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5.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EE39" w14:textId="77777777" w:rsidR="00B5475A" w:rsidRDefault="00B5475A" w:rsidP="000B62BB">
      <w:pPr>
        <w:jc w:val="center"/>
        <w:rPr>
          <w:rFonts w:ascii="Arial" w:hAnsi="Arial" w:cs="Arial"/>
          <w:b/>
          <w:bCs/>
          <w:sz w:val="32"/>
          <w:szCs w:val="32"/>
        </w:rPr>
      </w:pPr>
    </w:p>
    <w:p w14:paraId="6A0CF717" w14:textId="77777777" w:rsidR="00B5475A" w:rsidRDefault="00B5475A" w:rsidP="000B62BB">
      <w:pPr>
        <w:jc w:val="center"/>
        <w:rPr>
          <w:rFonts w:ascii="Arial" w:hAnsi="Arial" w:cs="Arial"/>
          <w:b/>
          <w:bCs/>
          <w:sz w:val="32"/>
          <w:szCs w:val="32"/>
        </w:rPr>
      </w:pPr>
    </w:p>
    <w:p w14:paraId="0E702D43" w14:textId="77777777" w:rsidR="00B5475A" w:rsidRDefault="00B5475A" w:rsidP="000B62BB">
      <w:pPr>
        <w:jc w:val="center"/>
        <w:rPr>
          <w:rFonts w:ascii="Arial" w:hAnsi="Arial" w:cs="Arial"/>
          <w:b/>
          <w:bCs/>
          <w:sz w:val="32"/>
          <w:szCs w:val="32"/>
        </w:rPr>
      </w:pPr>
    </w:p>
    <w:p w14:paraId="00851924" w14:textId="77777777" w:rsidR="00B5475A" w:rsidRDefault="00B5475A" w:rsidP="000B62BB">
      <w:pPr>
        <w:jc w:val="center"/>
        <w:rPr>
          <w:rFonts w:ascii="Arial" w:hAnsi="Arial" w:cs="Arial"/>
          <w:b/>
          <w:bCs/>
          <w:sz w:val="32"/>
          <w:szCs w:val="32"/>
        </w:rPr>
      </w:pPr>
    </w:p>
    <w:p w14:paraId="0D223D98" w14:textId="77777777" w:rsidR="00B5475A" w:rsidRDefault="00B5475A" w:rsidP="000B62BB">
      <w:pPr>
        <w:jc w:val="center"/>
        <w:rPr>
          <w:rFonts w:ascii="Arial" w:hAnsi="Arial" w:cs="Arial"/>
          <w:b/>
          <w:bCs/>
          <w:sz w:val="32"/>
          <w:szCs w:val="32"/>
        </w:rPr>
      </w:pPr>
    </w:p>
    <w:p w14:paraId="75A19695" w14:textId="77777777" w:rsidR="00B5475A" w:rsidRDefault="00B5475A" w:rsidP="000B62BB">
      <w:pPr>
        <w:jc w:val="center"/>
        <w:rPr>
          <w:rFonts w:ascii="Arial" w:hAnsi="Arial" w:cs="Arial"/>
          <w:b/>
          <w:bCs/>
          <w:sz w:val="32"/>
          <w:szCs w:val="32"/>
        </w:rPr>
      </w:pPr>
    </w:p>
    <w:p w14:paraId="531AB778" w14:textId="77777777" w:rsidR="000B62BB" w:rsidRPr="00EF3D76" w:rsidRDefault="000B62BB" w:rsidP="007139E5">
      <w:pPr>
        <w:jc w:val="center"/>
        <w:rPr>
          <w:rFonts w:ascii="Arial" w:hAnsi="Arial" w:cs="Arial"/>
          <w:b/>
          <w:bCs/>
          <w:sz w:val="32"/>
          <w:szCs w:val="32"/>
        </w:rPr>
      </w:pPr>
      <w:r w:rsidRPr="00EF3D76">
        <w:rPr>
          <w:rFonts w:ascii="Arial" w:hAnsi="Arial" w:cs="Arial"/>
          <w:b/>
          <w:bCs/>
          <w:sz w:val="32"/>
          <w:szCs w:val="32"/>
        </w:rPr>
        <w:t xml:space="preserve">IMPACT ASSESSMENT </w:t>
      </w:r>
      <w:r w:rsidR="007139E5">
        <w:rPr>
          <w:rFonts w:ascii="Arial" w:hAnsi="Arial" w:cs="Arial"/>
          <w:b/>
          <w:bCs/>
          <w:sz w:val="32"/>
          <w:szCs w:val="32"/>
        </w:rPr>
        <w:t xml:space="preserve">SURVEY </w:t>
      </w:r>
      <w:r>
        <w:rPr>
          <w:rFonts w:ascii="Arial" w:hAnsi="Arial" w:cs="Arial"/>
          <w:b/>
          <w:bCs/>
          <w:sz w:val="32"/>
          <w:szCs w:val="32"/>
        </w:rPr>
        <w:t>REPORT</w:t>
      </w:r>
    </w:p>
    <w:p w14:paraId="42FD5707" w14:textId="77777777" w:rsidR="000B62BB" w:rsidRPr="00EF3D76" w:rsidRDefault="000B62BB" w:rsidP="000B62BB">
      <w:pPr>
        <w:jc w:val="center"/>
        <w:rPr>
          <w:rFonts w:ascii="Arial" w:hAnsi="Arial" w:cs="Arial"/>
          <w:b/>
          <w:bCs/>
          <w:sz w:val="32"/>
          <w:szCs w:val="32"/>
        </w:rPr>
      </w:pPr>
      <w:r w:rsidRPr="00EF3D76">
        <w:rPr>
          <w:rFonts w:ascii="Arial" w:hAnsi="Arial" w:cs="Arial"/>
          <w:b/>
          <w:bCs/>
          <w:sz w:val="32"/>
          <w:szCs w:val="32"/>
        </w:rPr>
        <w:t>CLEARING FOR RESULTS II PROJECT 2011-2015</w:t>
      </w:r>
    </w:p>
    <w:p w14:paraId="0C00789E" w14:textId="77777777" w:rsidR="000B62BB" w:rsidRDefault="000B62BB" w:rsidP="000B62BB">
      <w:pPr>
        <w:jc w:val="center"/>
        <w:rPr>
          <w:rFonts w:ascii="Arial" w:hAnsi="Arial" w:cs="Arial"/>
          <w:b/>
          <w:bCs/>
          <w:sz w:val="32"/>
          <w:szCs w:val="32"/>
        </w:rPr>
      </w:pPr>
    </w:p>
    <w:p w14:paraId="09200D68" w14:textId="77777777" w:rsidR="000B62BB" w:rsidRDefault="000B62BB" w:rsidP="000B62BB">
      <w:pPr>
        <w:jc w:val="center"/>
        <w:rPr>
          <w:rFonts w:ascii="Arial" w:hAnsi="Arial" w:cs="Arial"/>
          <w:b/>
          <w:bCs/>
          <w:sz w:val="32"/>
          <w:szCs w:val="32"/>
        </w:rPr>
      </w:pPr>
    </w:p>
    <w:p w14:paraId="2DAF179D" w14:textId="77777777" w:rsidR="000B62BB" w:rsidRDefault="000B62BB" w:rsidP="000B62BB">
      <w:pPr>
        <w:jc w:val="center"/>
        <w:rPr>
          <w:rFonts w:ascii="Arial" w:hAnsi="Arial" w:cs="Arial"/>
          <w:b/>
          <w:bCs/>
          <w:sz w:val="32"/>
          <w:szCs w:val="32"/>
        </w:rPr>
      </w:pPr>
    </w:p>
    <w:p w14:paraId="3129AACB" w14:textId="77777777" w:rsidR="000B62BB" w:rsidRDefault="000B62BB" w:rsidP="000B62BB">
      <w:pPr>
        <w:jc w:val="center"/>
        <w:rPr>
          <w:rFonts w:ascii="Arial" w:hAnsi="Arial" w:cs="Arial"/>
          <w:b/>
          <w:bCs/>
          <w:sz w:val="32"/>
          <w:szCs w:val="32"/>
        </w:rPr>
      </w:pPr>
    </w:p>
    <w:p w14:paraId="2689EF89" w14:textId="77777777" w:rsidR="000B62BB" w:rsidRDefault="000B62BB" w:rsidP="000B62BB">
      <w:pPr>
        <w:jc w:val="center"/>
        <w:rPr>
          <w:rFonts w:ascii="Arial" w:hAnsi="Arial" w:cs="Arial"/>
          <w:b/>
          <w:bCs/>
          <w:sz w:val="32"/>
          <w:szCs w:val="32"/>
        </w:rPr>
      </w:pPr>
    </w:p>
    <w:p w14:paraId="14B720AE" w14:textId="77777777" w:rsidR="000B62BB" w:rsidRDefault="000B62BB" w:rsidP="000B62BB">
      <w:pPr>
        <w:jc w:val="center"/>
        <w:rPr>
          <w:rFonts w:ascii="Arial" w:hAnsi="Arial" w:cs="Arial"/>
          <w:b/>
          <w:bCs/>
          <w:sz w:val="32"/>
          <w:szCs w:val="32"/>
        </w:rPr>
      </w:pPr>
    </w:p>
    <w:p w14:paraId="506D78BE" w14:textId="77777777" w:rsidR="000B62BB" w:rsidRDefault="000B62BB" w:rsidP="000B62BB">
      <w:pPr>
        <w:jc w:val="center"/>
        <w:rPr>
          <w:rFonts w:ascii="Arial" w:hAnsi="Arial" w:cs="Arial"/>
          <w:b/>
          <w:bCs/>
          <w:sz w:val="32"/>
          <w:szCs w:val="32"/>
        </w:rPr>
      </w:pPr>
    </w:p>
    <w:p w14:paraId="12BE0072" w14:textId="77777777" w:rsidR="000B62BB" w:rsidRDefault="000B62BB" w:rsidP="000B62BB">
      <w:pPr>
        <w:jc w:val="center"/>
        <w:rPr>
          <w:rFonts w:ascii="Arial" w:hAnsi="Arial" w:cs="Arial"/>
          <w:b/>
          <w:bCs/>
          <w:sz w:val="32"/>
          <w:szCs w:val="32"/>
        </w:rPr>
      </w:pPr>
    </w:p>
    <w:p w14:paraId="1E23CCB7" w14:textId="77777777" w:rsidR="000B62BB" w:rsidRDefault="000B62BB" w:rsidP="000B62BB">
      <w:pPr>
        <w:jc w:val="center"/>
        <w:rPr>
          <w:rFonts w:ascii="Arial" w:hAnsi="Arial" w:cs="Arial"/>
          <w:b/>
          <w:bCs/>
          <w:sz w:val="32"/>
          <w:szCs w:val="32"/>
        </w:rPr>
      </w:pPr>
    </w:p>
    <w:p w14:paraId="5E713DE7" w14:textId="77777777" w:rsidR="000B62BB" w:rsidRDefault="000B62BB" w:rsidP="000B62BB">
      <w:pPr>
        <w:jc w:val="center"/>
        <w:rPr>
          <w:rFonts w:ascii="Arial" w:hAnsi="Arial" w:cs="Arial"/>
          <w:b/>
          <w:bCs/>
          <w:sz w:val="32"/>
          <w:szCs w:val="32"/>
        </w:rPr>
      </w:pPr>
    </w:p>
    <w:p w14:paraId="3960B450" w14:textId="77777777" w:rsidR="000B62BB" w:rsidRDefault="000B62BB" w:rsidP="000B62BB">
      <w:pPr>
        <w:jc w:val="center"/>
        <w:rPr>
          <w:rFonts w:ascii="Arial" w:hAnsi="Arial" w:cs="Arial"/>
          <w:b/>
          <w:bCs/>
          <w:sz w:val="32"/>
          <w:szCs w:val="32"/>
        </w:rPr>
      </w:pPr>
    </w:p>
    <w:p w14:paraId="4DF24265" w14:textId="77777777" w:rsidR="000B62BB" w:rsidRDefault="000B62BB" w:rsidP="000B62BB">
      <w:pPr>
        <w:jc w:val="center"/>
        <w:rPr>
          <w:rFonts w:ascii="Arial" w:hAnsi="Arial" w:cs="Arial"/>
          <w:b/>
          <w:bCs/>
          <w:sz w:val="32"/>
          <w:szCs w:val="32"/>
        </w:rPr>
      </w:pPr>
    </w:p>
    <w:p w14:paraId="61E9F4A8" w14:textId="77777777" w:rsidR="000B62BB" w:rsidRDefault="000B62BB" w:rsidP="000B62BB">
      <w:pPr>
        <w:jc w:val="center"/>
        <w:rPr>
          <w:rFonts w:ascii="Arial" w:hAnsi="Arial" w:cs="Arial"/>
          <w:b/>
          <w:bCs/>
          <w:sz w:val="32"/>
          <w:szCs w:val="32"/>
        </w:rPr>
      </w:pPr>
    </w:p>
    <w:p w14:paraId="675BB44F" w14:textId="77777777" w:rsidR="000B62BB" w:rsidRDefault="000B62BB" w:rsidP="000B62BB">
      <w:pPr>
        <w:jc w:val="center"/>
        <w:rPr>
          <w:rFonts w:ascii="Arial" w:hAnsi="Arial" w:cs="Arial"/>
          <w:b/>
          <w:bCs/>
          <w:sz w:val="32"/>
          <w:szCs w:val="32"/>
        </w:rPr>
      </w:pPr>
    </w:p>
    <w:p w14:paraId="44212E63" w14:textId="77777777" w:rsidR="00261C37" w:rsidRDefault="00B5475A" w:rsidP="00B5475A">
      <w:pPr>
        <w:jc w:val="center"/>
        <w:rPr>
          <w:rFonts w:ascii="Arial" w:hAnsi="Arial" w:cs="Arial"/>
          <w:b/>
          <w:bCs/>
          <w:sz w:val="28"/>
          <w:szCs w:val="28"/>
        </w:rPr>
        <w:sectPr w:rsidR="00261C37" w:rsidSect="004D42B6">
          <w:footerReference w:type="default" r:id="rId9"/>
          <w:pgSz w:w="12240" w:h="15840"/>
          <w:pgMar w:top="1440" w:right="1440" w:bottom="1440" w:left="1440" w:header="720" w:footer="720" w:gutter="0"/>
          <w:pgNumType w:start="2"/>
          <w:cols w:space="720"/>
          <w:docGrid w:linePitch="360"/>
        </w:sectPr>
      </w:pPr>
      <w:r>
        <w:rPr>
          <w:rFonts w:ascii="Arial" w:hAnsi="Arial" w:cs="Arial"/>
          <w:b/>
          <w:bCs/>
          <w:sz w:val="28"/>
          <w:szCs w:val="28"/>
        </w:rPr>
        <w:t>CAMBODIA 201</w:t>
      </w:r>
      <w:r w:rsidR="00A42B3A">
        <w:rPr>
          <w:rFonts w:ascii="Arial" w:hAnsi="Arial" w:cs="Arial"/>
          <w:b/>
          <w:bCs/>
          <w:sz w:val="28"/>
          <w:szCs w:val="28"/>
        </w:rPr>
        <w:t>5</w:t>
      </w:r>
    </w:p>
    <w:p w14:paraId="47FD7730" w14:textId="77777777" w:rsidR="000B62BB" w:rsidRPr="00B5475A" w:rsidRDefault="000B62BB" w:rsidP="00AF757D">
      <w:pPr>
        <w:rPr>
          <w:rFonts w:ascii="Arial" w:hAnsi="Arial" w:cs="Arial"/>
          <w:b/>
          <w:bCs/>
          <w:sz w:val="28"/>
          <w:szCs w:val="28"/>
        </w:rPr>
      </w:pPr>
    </w:p>
    <w:p w14:paraId="61D24381" w14:textId="77777777" w:rsidR="000B62BB" w:rsidRDefault="000B62BB" w:rsidP="007E5414">
      <w:pPr>
        <w:rPr>
          <w:rFonts w:ascii="Arial" w:hAnsi="Arial" w:cs="Arial"/>
          <w:sz w:val="20"/>
          <w:szCs w:val="20"/>
        </w:rPr>
      </w:pPr>
    </w:p>
    <w:p w14:paraId="5A748840" w14:textId="77777777" w:rsidR="008225FC" w:rsidRDefault="008225FC" w:rsidP="00FD5AD9">
      <w:pPr>
        <w:jc w:val="center"/>
        <w:rPr>
          <w:rFonts w:ascii="Arial" w:hAnsi="Arial" w:cs="Arial"/>
          <w:sz w:val="20"/>
          <w:szCs w:val="20"/>
        </w:rPr>
      </w:pPr>
      <w:r w:rsidRPr="004C6941">
        <w:rPr>
          <w:rFonts w:ascii="Arial" w:hAnsi="Arial" w:cs="Arial"/>
          <w:sz w:val="20"/>
          <w:szCs w:val="20"/>
        </w:rPr>
        <w:t>Table of Contents</w:t>
      </w:r>
    </w:p>
    <w:p w14:paraId="439BD7AA" w14:textId="77777777" w:rsidR="009302E6" w:rsidRPr="004C6941" w:rsidRDefault="009302E6" w:rsidP="00FD5AD9">
      <w:pPr>
        <w:jc w:val="center"/>
        <w:rPr>
          <w:rFonts w:ascii="Arial" w:hAnsi="Arial" w:cs="Arial"/>
          <w:sz w:val="20"/>
          <w:szCs w:val="20"/>
        </w:rPr>
      </w:pPr>
    </w:p>
    <w:p w14:paraId="4CAD7B7C" w14:textId="77777777" w:rsidR="008225FC" w:rsidRPr="004C6941" w:rsidRDefault="005C6D23" w:rsidP="008225FC">
      <w:pPr>
        <w:rPr>
          <w:rFonts w:ascii="Arial" w:hAnsi="Arial" w:cs="Arial"/>
          <w:sz w:val="20"/>
          <w:szCs w:val="20"/>
        </w:rPr>
      </w:pPr>
      <w:r>
        <w:rPr>
          <w:rFonts w:ascii="Arial" w:hAnsi="Arial" w:cs="Arial"/>
          <w:sz w:val="20"/>
          <w:szCs w:val="20"/>
        </w:rPr>
        <w:t xml:space="preserve">Acronyms and </w:t>
      </w:r>
      <w:r w:rsidRPr="004C6941">
        <w:rPr>
          <w:rFonts w:ascii="Arial" w:hAnsi="Arial" w:cs="Arial"/>
          <w:sz w:val="20"/>
          <w:szCs w:val="20"/>
        </w:rPr>
        <w:t>Abbreviations</w:t>
      </w:r>
      <w:r w:rsidR="008225FC" w:rsidRPr="004C6941">
        <w:rPr>
          <w:rFonts w:ascii="Arial" w:hAnsi="Arial" w:cs="Arial"/>
          <w:sz w:val="20"/>
          <w:szCs w:val="20"/>
        </w:rPr>
        <w:t>................................................................................................................</w:t>
      </w:r>
      <w:r>
        <w:rPr>
          <w:rFonts w:ascii="Arial" w:hAnsi="Arial" w:cs="Arial"/>
          <w:sz w:val="20"/>
          <w:szCs w:val="20"/>
        </w:rPr>
        <w:t>.......</w:t>
      </w:r>
    </w:p>
    <w:p w14:paraId="36671F03" w14:textId="77777777" w:rsidR="008225FC" w:rsidRPr="004C6941" w:rsidRDefault="008225FC" w:rsidP="008225FC">
      <w:pPr>
        <w:rPr>
          <w:rFonts w:ascii="Arial" w:hAnsi="Arial" w:cs="Arial"/>
          <w:sz w:val="20"/>
          <w:szCs w:val="20"/>
        </w:rPr>
      </w:pPr>
      <w:r w:rsidRPr="004C6941">
        <w:rPr>
          <w:rFonts w:ascii="Arial" w:hAnsi="Arial" w:cs="Arial"/>
          <w:sz w:val="20"/>
          <w:szCs w:val="20"/>
        </w:rPr>
        <w:t>Executive Summary.......................................................................................................................................</w:t>
      </w:r>
    </w:p>
    <w:p w14:paraId="2D1D7D33" w14:textId="77777777" w:rsidR="008225FC" w:rsidRPr="004C6941" w:rsidRDefault="008225FC" w:rsidP="008225FC">
      <w:pPr>
        <w:rPr>
          <w:rFonts w:ascii="Arial" w:hAnsi="Arial" w:cs="Arial"/>
          <w:sz w:val="20"/>
          <w:szCs w:val="20"/>
        </w:rPr>
      </w:pPr>
      <w:r w:rsidRPr="004C6941">
        <w:rPr>
          <w:rFonts w:ascii="Arial" w:hAnsi="Arial" w:cs="Arial"/>
          <w:sz w:val="20"/>
          <w:szCs w:val="20"/>
        </w:rPr>
        <w:t>Introduction................................................................................................................................................</w:t>
      </w:r>
      <w:r w:rsidR="007A0B8D" w:rsidRPr="004C6941">
        <w:rPr>
          <w:rFonts w:ascii="Arial" w:hAnsi="Arial" w:cs="Arial"/>
          <w:sz w:val="20"/>
          <w:szCs w:val="20"/>
        </w:rPr>
        <w:t>.</w:t>
      </w:r>
      <w:r w:rsidR="00635784">
        <w:rPr>
          <w:rFonts w:ascii="Arial" w:hAnsi="Arial" w:cs="Arial"/>
          <w:sz w:val="20"/>
          <w:szCs w:val="20"/>
        </w:rPr>
        <w:t>..</w:t>
      </w:r>
      <w:r w:rsidRPr="004C6941">
        <w:rPr>
          <w:rFonts w:ascii="Arial" w:hAnsi="Arial" w:cs="Arial"/>
          <w:sz w:val="20"/>
          <w:szCs w:val="20"/>
        </w:rPr>
        <w:t> </w:t>
      </w:r>
    </w:p>
    <w:p w14:paraId="5F58CF76" w14:textId="77777777" w:rsidR="008225FC" w:rsidRDefault="008225FC" w:rsidP="008225FC">
      <w:pPr>
        <w:rPr>
          <w:rFonts w:ascii="Arial" w:hAnsi="Arial" w:cs="Arial"/>
          <w:sz w:val="20"/>
          <w:szCs w:val="20"/>
        </w:rPr>
      </w:pPr>
      <w:r w:rsidRPr="004C6941">
        <w:rPr>
          <w:rFonts w:ascii="Arial" w:hAnsi="Arial" w:cs="Arial"/>
          <w:sz w:val="20"/>
          <w:szCs w:val="20"/>
        </w:rPr>
        <w:t>Methodology...........................................................................................................................................</w:t>
      </w:r>
      <w:r w:rsidR="007A0B8D" w:rsidRPr="004C6941">
        <w:rPr>
          <w:rFonts w:ascii="Arial" w:hAnsi="Arial" w:cs="Arial"/>
          <w:sz w:val="20"/>
          <w:szCs w:val="20"/>
        </w:rPr>
        <w:t>.....</w:t>
      </w:r>
      <w:r w:rsidRPr="004C6941">
        <w:rPr>
          <w:rFonts w:ascii="Arial" w:hAnsi="Arial" w:cs="Arial"/>
          <w:sz w:val="20"/>
          <w:szCs w:val="20"/>
        </w:rPr>
        <w:t> </w:t>
      </w:r>
    </w:p>
    <w:p w14:paraId="6D1BDC13" w14:textId="77777777" w:rsidR="00B32EA1" w:rsidRDefault="00B32EA1" w:rsidP="008225FC">
      <w:pPr>
        <w:rPr>
          <w:rFonts w:ascii="Arial" w:hAnsi="Arial" w:cs="Arial"/>
          <w:sz w:val="20"/>
          <w:szCs w:val="20"/>
        </w:rPr>
      </w:pPr>
      <w:r>
        <w:rPr>
          <w:rFonts w:ascii="Arial" w:hAnsi="Arial" w:cs="Arial"/>
          <w:sz w:val="20"/>
          <w:szCs w:val="20"/>
        </w:rPr>
        <w:t>Findings of the survey……………………………………………………………………………………………..</w:t>
      </w:r>
    </w:p>
    <w:p w14:paraId="60D6A88E" w14:textId="77777777" w:rsidR="00F13B1D" w:rsidRDefault="00F13B1D" w:rsidP="008225FC">
      <w:pPr>
        <w:rPr>
          <w:rFonts w:ascii="Arial" w:hAnsi="Arial" w:cs="Arial"/>
          <w:sz w:val="20"/>
          <w:szCs w:val="20"/>
        </w:rPr>
      </w:pPr>
      <w:r>
        <w:rPr>
          <w:rFonts w:ascii="Arial" w:hAnsi="Arial" w:cs="Arial"/>
          <w:sz w:val="20"/>
          <w:szCs w:val="20"/>
        </w:rPr>
        <w:t>Beneficiaries…………………………………………………………………………………………………………</w:t>
      </w:r>
    </w:p>
    <w:p w14:paraId="260D3FE8" w14:textId="77777777" w:rsidR="00F13B1D" w:rsidRDefault="00F13B1D" w:rsidP="008225FC">
      <w:pPr>
        <w:rPr>
          <w:rFonts w:ascii="Arial" w:hAnsi="Arial" w:cs="Arial"/>
          <w:sz w:val="20"/>
          <w:szCs w:val="20"/>
        </w:rPr>
      </w:pPr>
      <w:r>
        <w:rPr>
          <w:rFonts w:ascii="Arial" w:hAnsi="Arial" w:cs="Arial"/>
          <w:sz w:val="20"/>
          <w:szCs w:val="20"/>
        </w:rPr>
        <w:t>Ownership of cleared land…………………………………………………………………………………………</w:t>
      </w:r>
    </w:p>
    <w:p w14:paraId="65596578" w14:textId="77777777" w:rsidR="00A117DC" w:rsidRDefault="00A117DC" w:rsidP="008225FC">
      <w:pPr>
        <w:rPr>
          <w:rFonts w:ascii="Arial" w:hAnsi="Arial" w:cs="Arial"/>
          <w:sz w:val="20"/>
          <w:szCs w:val="20"/>
        </w:rPr>
      </w:pPr>
      <w:r>
        <w:rPr>
          <w:rFonts w:ascii="Arial" w:hAnsi="Arial" w:cs="Arial"/>
          <w:sz w:val="20"/>
          <w:szCs w:val="20"/>
        </w:rPr>
        <w:t>Value Chain………………………………………………………………………………………</w:t>
      </w:r>
      <w:r w:rsidR="00635784">
        <w:rPr>
          <w:rFonts w:ascii="Arial" w:hAnsi="Arial" w:cs="Arial"/>
          <w:sz w:val="20"/>
          <w:szCs w:val="20"/>
        </w:rPr>
        <w:t>………………….</w:t>
      </w:r>
    </w:p>
    <w:p w14:paraId="3196A3A8" w14:textId="77777777" w:rsidR="00635784" w:rsidRDefault="00635784" w:rsidP="008225FC">
      <w:pPr>
        <w:rPr>
          <w:rFonts w:ascii="Arial" w:hAnsi="Arial" w:cs="Arial"/>
          <w:sz w:val="20"/>
          <w:szCs w:val="20"/>
        </w:rPr>
      </w:pPr>
      <w:r>
        <w:rPr>
          <w:rFonts w:ascii="Arial" w:hAnsi="Arial" w:cs="Arial"/>
          <w:sz w:val="20"/>
          <w:szCs w:val="20"/>
        </w:rPr>
        <w:t>Benefits of mine clearance…………………………………………………………………………………………</w:t>
      </w:r>
    </w:p>
    <w:p w14:paraId="7B112F8E" w14:textId="77777777" w:rsidR="009302E6" w:rsidRDefault="009302E6" w:rsidP="009302E6">
      <w:pPr>
        <w:rPr>
          <w:rFonts w:ascii="Arial" w:hAnsi="Arial" w:cs="Arial"/>
          <w:sz w:val="20"/>
          <w:szCs w:val="20"/>
        </w:rPr>
      </w:pPr>
      <w:r>
        <w:rPr>
          <w:rFonts w:ascii="Arial" w:hAnsi="Arial" w:cs="Arial"/>
          <w:sz w:val="20"/>
          <w:szCs w:val="20"/>
        </w:rPr>
        <w:t>Land Rights</w:t>
      </w:r>
      <w:r w:rsidR="005C6D23">
        <w:rPr>
          <w:rFonts w:ascii="Arial" w:hAnsi="Arial" w:cs="Arial"/>
          <w:sz w:val="20"/>
          <w:szCs w:val="20"/>
        </w:rPr>
        <w:t>..........................................................................................................................</w:t>
      </w:r>
      <w:r w:rsidR="00F13B1D">
        <w:rPr>
          <w:rFonts w:ascii="Arial" w:hAnsi="Arial" w:cs="Arial"/>
          <w:sz w:val="20"/>
          <w:szCs w:val="20"/>
        </w:rPr>
        <w:t>.......................</w:t>
      </w:r>
    </w:p>
    <w:p w14:paraId="5D5A5E62" w14:textId="77777777" w:rsidR="00F13B1D" w:rsidRPr="004C6941" w:rsidRDefault="00F13B1D" w:rsidP="009302E6">
      <w:pPr>
        <w:rPr>
          <w:rFonts w:ascii="Arial" w:hAnsi="Arial" w:cs="Arial"/>
          <w:sz w:val="20"/>
          <w:szCs w:val="20"/>
        </w:rPr>
      </w:pPr>
      <w:r>
        <w:rPr>
          <w:rFonts w:ascii="Arial" w:hAnsi="Arial" w:cs="Arial"/>
          <w:sz w:val="20"/>
          <w:szCs w:val="20"/>
        </w:rPr>
        <w:t>Land Disputes………………………………………………………………………………………………………..</w:t>
      </w:r>
    </w:p>
    <w:p w14:paraId="6EE3C2EB" w14:textId="77777777" w:rsidR="009302E6" w:rsidRDefault="00635784" w:rsidP="008225FC">
      <w:pPr>
        <w:rPr>
          <w:rFonts w:ascii="Arial" w:hAnsi="Arial" w:cs="Arial"/>
          <w:sz w:val="20"/>
          <w:szCs w:val="20"/>
        </w:rPr>
      </w:pPr>
      <w:r>
        <w:rPr>
          <w:rFonts w:ascii="Arial" w:hAnsi="Arial" w:cs="Arial"/>
          <w:sz w:val="20"/>
          <w:szCs w:val="20"/>
        </w:rPr>
        <w:t>Land Size and Value</w:t>
      </w:r>
      <w:r w:rsidR="009302E6">
        <w:rPr>
          <w:rFonts w:ascii="Arial" w:hAnsi="Arial" w:cs="Arial"/>
          <w:sz w:val="20"/>
          <w:szCs w:val="20"/>
        </w:rPr>
        <w:t>……………………………………………………………………………………………….</w:t>
      </w:r>
    </w:p>
    <w:p w14:paraId="32B9B219" w14:textId="77777777" w:rsidR="00635784" w:rsidRPr="004C6941" w:rsidRDefault="009302E6" w:rsidP="008225FC">
      <w:pPr>
        <w:rPr>
          <w:rFonts w:ascii="Arial" w:hAnsi="Arial" w:cs="Arial"/>
          <w:sz w:val="20"/>
          <w:szCs w:val="20"/>
        </w:rPr>
      </w:pPr>
      <w:r>
        <w:rPr>
          <w:rFonts w:ascii="Arial" w:hAnsi="Arial" w:cs="Arial"/>
          <w:sz w:val="20"/>
          <w:szCs w:val="20"/>
        </w:rPr>
        <w:t>Land Use…………………………………………………………………………………………………………….</w:t>
      </w:r>
      <w:r w:rsidR="00635784">
        <w:rPr>
          <w:rFonts w:ascii="Arial" w:hAnsi="Arial" w:cs="Arial"/>
          <w:sz w:val="20"/>
          <w:szCs w:val="20"/>
        </w:rPr>
        <w:t xml:space="preserve"> </w:t>
      </w:r>
    </w:p>
    <w:p w14:paraId="18F24552" w14:textId="77777777" w:rsidR="009302E6" w:rsidRPr="004C6941" w:rsidRDefault="009302E6" w:rsidP="009302E6">
      <w:pPr>
        <w:rPr>
          <w:rFonts w:ascii="Arial" w:hAnsi="Arial" w:cs="Arial"/>
          <w:sz w:val="20"/>
          <w:szCs w:val="20"/>
        </w:rPr>
      </w:pPr>
      <w:r>
        <w:rPr>
          <w:rFonts w:ascii="Arial" w:hAnsi="Arial" w:cs="Arial"/>
          <w:sz w:val="20"/>
          <w:szCs w:val="20"/>
        </w:rPr>
        <w:t>Income Generation</w:t>
      </w:r>
      <w:r w:rsidRPr="004C6941">
        <w:rPr>
          <w:rFonts w:ascii="Arial" w:hAnsi="Arial" w:cs="Arial"/>
          <w:sz w:val="20"/>
          <w:szCs w:val="20"/>
        </w:rPr>
        <w:t>..................................................</w:t>
      </w:r>
      <w:r>
        <w:rPr>
          <w:rFonts w:ascii="Arial" w:hAnsi="Arial" w:cs="Arial"/>
          <w:sz w:val="20"/>
          <w:szCs w:val="20"/>
        </w:rPr>
        <w:t>.....................................................................................</w:t>
      </w:r>
    </w:p>
    <w:p w14:paraId="215A2545" w14:textId="77777777" w:rsidR="009302E6" w:rsidRDefault="009302E6" w:rsidP="009302E6">
      <w:pPr>
        <w:rPr>
          <w:rFonts w:ascii="Arial" w:hAnsi="Arial" w:cs="Arial"/>
          <w:sz w:val="20"/>
          <w:szCs w:val="20"/>
        </w:rPr>
      </w:pPr>
      <w:r>
        <w:rPr>
          <w:rFonts w:ascii="Arial" w:hAnsi="Arial" w:cs="Arial"/>
          <w:sz w:val="20"/>
          <w:szCs w:val="20"/>
        </w:rPr>
        <w:t>Expenditure</w:t>
      </w:r>
      <w:r w:rsidRPr="004C6941">
        <w:rPr>
          <w:rFonts w:ascii="Arial" w:hAnsi="Arial" w:cs="Arial"/>
          <w:sz w:val="20"/>
          <w:szCs w:val="20"/>
        </w:rPr>
        <w:t>...............................................................................................................................................</w:t>
      </w:r>
      <w:r>
        <w:rPr>
          <w:rFonts w:ascii="Arial" w:hAnsi="Arial" w:cs="Arial"/>
          <w:sz w:val="20"/>
          <w:szCs w:val="20"/>
        </w:rPr>
        <w:t>...</w:t>
      </w:r>
      <w:r w:rsidRPr="004C6941">
        <w:rPr>
          <w:rFonts w:ascii="Arial" w:hAnsi="Arial" w:cs="Arial"/>
          <w:sz w:val="20"/>
          <w:szCs w:val="20"/>
        </w:rPr>
        <w:t> </w:t>
      </w:r>
    </w:p>
    <w:p w14:paraId="1A5490AD" w14:textId="77777777" w:rsidR="00216F76" w:rsidRDefault="009302E6" w:rsidP="008225FC">
      <w:pPr>
        <w:rPr>
          <w:rFonts w:ascii="Arial" w:hAnsi="Arial" w:cs="Arial"/>
          <w:sz w:val="20"/>
          <w:szCs w:val="20"/>
        </w:rPr>
      </w:pPr>
      <w:r>
        <w:rPr>
          <w:rFonts w:ascii="Arial" w:hAnsi="Arial" w:cs="Arial"/>
          <w:sz w:val="20"/>
          <w:szCs w:val="20"/>
        </w:rPr>
        <w:t>Livelihood ……………………………………………………………………</w:t>
      </w:r>
      <w:r w:rsidR="006B037D">
        <w:rPr>
          <w:rFonts w:ascii="Arial" w:hAnsi="Arial" w:cs="Arial"/>
          <w:sz w:val="20"/>
          <w:szCs w:val="20"/>
        </w:rPr>
        <w:t>……………………………………</w:t>
      </w:r>
      <w:r w:rsidR="000F3DC3">
        <w:rPr>
          <w:rFonts w:ascii="Arial" w:hAnsi="Arial" w:cs="Arial"/>
          <w:sz w:val="20"/>
          <w:szCs w:val="20"/>
        </w:rPr>
        <w:t>…</w:t>
      </w:r>
    </w:p>
    <w:p w14:paraId="393EF0B3" w14:textId="77777777" w:rsidR="006B037D" w:rsidRPr="004C6941" w:rsidRDefault="006B037D" w:rsidP="008225FC">
      <w:pPr>
        <w:rPr>
          <w:rFonts w:ascii="Arial" w:hAnsi="Arial" w:cs="Arial"/>
          <w:sz w:val="20"/>
          <w:szCs w:val="20"/>
        </w:rPr>
      </w:pPr>
      <w:r>
        <w:rPr>
          <w:rFonts w:ascii="Arial" w:hAnsi="Arial" w:cs="Arial"/>
          <w:sz w:val="20"/>
          <w:szCs w:val="20"/>
        </w:rPr>
        <w:t>Future plans for cleared land……………………………………………………………………………………</w:t>
      </w:r>
      <w:r w:rsidR="000F3DC3">
        <w:rPr>
          <w:rFonts w:ascii="Arial" w:hAnsi="Arial" w:cs="Arial"/>
          <w:sz w:val="20"/>
          <w:szCs w:val="20"/>
        </w:rPr>
        <w:t>…</w:t>
      </w:r>
    </w:p>
    <w:p w14:paraId="3EA4D12E" w14:textId="77777777" w:rsidR="008225FC" w:rsidRDefault="00877343" w:rsidP="008225FC">
      <w:pPr>
        <w:rPr>
          <w:rFonts w:ascii="Arial" w:hAnsi="Arial" w:cs="Arial"/>
          <w:sz w:val="20"/>
          <w:szCs w:val="20"/>
        </w:rPr>
      </w:pPr>
      <w:r>
        <w:rPr>
          <w:rFonts w:ascii="Arial" w:hAnsi="Arial" w:cs="Arial"/>
          <w:sz w:val="20"/>
          <w:szCs w:val="20"/>
        </w:rPr>
        <w:t>Mine Risk Education</w:t>
      </w:r>
      <w:r w:rsidR="008225FC" w:rsidRPr="004C6941">
        <w:rPr>
          <w:rFonts w:ascii="Arial" w:hAnsi="Arial" w:cs="Arial"/>
          <w:sz w:val="20"/>
          <w:szCs w:val="20"/>
        </w:rPr>
        <w:t>............................................................................................................</w:t>
      </w:r>
      <w:r>
        <w:rPr>
          <w:rFonts w:ascii="Arial" w:hAnsi="Arial" w:cs="Arial"/>
          <w:sz w:val="20"/>
          <w:szCs w:val="20"/>
        </w:rPr>
        <w:t>......................</w:t>
      </w:r>
      <w:r w:rsidR="009302E6">
        <w:rPr>
          <w:rFonts w:ascii="Arial" w:hAnsi="Arial" w:cs="Arial"/>
          <w:sz w:val="20"/>
          <w:szCs w:val="20"/>
        </w:rPr>
        <w:t>.</w:t>
      </w:r>
      <w:r w:rsidR="00A42B3A">
        <w:rPr>
          <w:rFonts w:ascii="Arial" w:hAnsi="Arial" w:cs="Arial"/>
          <w:sz w:val="20"/>
          <w:szCs w:val="20"/>
        </w:rPr>
        <w:t>.</w:t>
      </w:r>
    </w:p>
    <w:p w14:paraId="53F9967F" w14:textId="77777777" w:rsidR="000F3DC3" w:rsidRDefault="000F3DC3" w:rsidP="008225FC">
      <w:pPr>
        <w:rPr>
          <w:rFonts w:ascii="Arial" w:hAnsi="Arial" w:cs="Arial"/>
          <w:sz w:val="20"/>
          <w:szCs w:val="20"/>
        </w:rPr>
      </w:pPr>
      <w:r>
        <w:rPr>
          <w:rFonts w:ascii="Arial" w:hAnsi="Arial" w:cs="Arial"/>
          <w:sz w:val="20"/>
          <w:szCs w:val="20"/>
        </w:rPr>
        <w:t>Fear of Contamination……………………………………………………………………………………………..</w:t>
      </w:r>
    </w:p>
    <w:p w14:paraId="290F563D" w14:textId="77777777" w:rsidR="000F3DC3" w:rsidRPr="004C6941" w:rsidRDefault="000F3DC3" w:rsidP="008225FC">
      <w:pPr>
        <w:rPr>
          <w:rFonts w:ascii="Arial" w:hAnsi="Arial" w:cs="Arial"/>
          <w:sz w:val="20"/>
          <w:szCs w:val="20"/>
        </w:rPr>
      </w:pPr>
      <w:r>
        <w:rPr>
          <w:rFonts w:ascii="Arial" w:hAnsi="Arial" w:cs="Arial"/>
          <w:sz w:val="20"/>
          <w:szCs w:val="20"/>
        </w:rPr>
        <w:t>Loan and labor market……………………………………………………………………………………………</w:t>
      </w:r>
      <w:r w:rsidR="00A42B3A">
        <w:rPr>
          <w:rFonts w:ascii="Arial" w:hAnsi="Arial" w:cs="Arial"/>
          <w:sz w:val="20"/>
          <w:szCs w:val="20"/>
        </w:rPr>
        <w:t>…</w:t>
      </w:r>
    </w:p>
    <w:p w14:paraId="4C6C1C4E" w14:textId="77777777" w:rsidR="008225FC" w:rsidRPr="004C6941" w:rsidRDefault="009302E6" w:rsidP="008225FC">
      <w:pPr>
        <w:rPr>
          <w:rFonts w:ascii="Arial" w:hAnsi="Arial" w:cs="Arial"/>
          <w:sz w:val="20"/>
          <w:szCs w:val="20"/>
        </w:rPr>
      </w:pPr>
      <w:r>
        <w:rPr>
          <w:rFonts w:ascii="Arial" w:hAnsi="Arial" w:cs="Arial"/>
          <w:sz w:val="20"/>
          <w:szCs w:val="20"/>
        </w:rPr>
        <w:t>Focus Group Discussions (FGDs)</w:t>
      </w:r>
      <w:r w:rsidR="008225FC" w:rsidRPr="004C6941">
        <w:rPr>
          <w:rFonts w:ascii="Arial" w:hAnsi="Arial" w:cs="Arial"/>
          <w:sz w:val="20"/>
          <w:szCs w:val="20"/>
        </w:rPr>
        <w:t>.................................................................................................</w:t>
      </w:r>
      <w:r>
        <w:rPr>
          <w:rFonts w:ascii="Arial" w:hAnsi="Arial" w:cs="Arial"/>
          <w:sz w:val="20"/>
          <w:szCs w:val="20"/>
        </w:rPr>
        <w:t>.............</w:t>
      </w:r>
      <w:r w:rsidR="00357D05">
        <w:rPr>
          <w:rFonts w:ascii="Arial" w:hAnsi="Arial" w:cs="Arial"/>
          <w:sz w:val="20"/>
          <w:szCs w:val="20"/>
        </w:rPr>
        <w:t>.</w:t>
      </w:r>
      <w:r w:rsidR="00A42B3A">
        <w:rPr>
          <w:rFonts w:ascii="Arial" w:hAnsi="Arial" w:cs="Arial"/>
          <w:sz w:val="20"/>
          <w:szCs w:val="20"/>
        </w:rPr>
        <w:t>.</w:t>
      </w:r>
    </w:p>
    <w:p w14:paraId="6A86B460" w14:textId="77777777" w:rsidR="008225FC" w:rsidRDefault="00357D05" w:rsidP="008225FC">
      <w:pPr>
        <w:rPr>
          <w:rFonts w:ascii="Arial" w:hAnsi="Arial" w:cs="Arial"/>
          <w:sz w:val="20"/>
          <w:szCs w:val="20"/>
        </w:rPr>
      </w:pPr>
      <w:r>
        <w:rPr>
          <w:rFonts w:ascii="Arial" w:hAnsi="Arial" w:cs="Arial"/>
          <w:sz w:val="20"/>
          <w:szCs w:val="20"/>
        </w:rPr>
        <w:t>Conclusion and recommendations</w:t>
      </w:r>
      <w:r w:rsidR="008225FC" w:rsidRPr="004C6941">
        <w:rPr>
          <w:rFonts w:ascii="Arial" w:hAnsi="Arial" w:cs="Arial"/>
          <w:sz w:val="20"/>
          <w:szCs w:val="20"/>
        </w:rPr>
        <w:t>...................................................................................</w:t>
      </w:r>
      <w:r>
        <w:rPr>
          <w:rFonts w:ascii="Arial" w:hAnsi="Arial" w:cs="Arial"/>
          <w:sz w:val="20"/>
          <w:szCs w:val="20"/>
        </w:rPr>
        <w:t>..............................</w:t>
      </w:r>
    </w:p>
    <w:p w14:paraId="4CC2B11F" w14:textId="77777777" w:rsidR="00A42B3A" w:rsidRDefault="00AF757D" w:rsidP="00A42B3A">
      <w:pPr>
        <w:jc w:val="both"/>
        <w:rPr>
          <w:rFonts w:ascii="Arial" w:hAnsi="Arial" w:cs="Arial"/>
          <w:sz w:val="20"/>
          <w:szCs w:val="20"/>
        </w:rPr>
      </w:pPr>
      <w:r>
        <w:rPr>
          <w:rFonts w:ascii="Arial" w:hAnsi="Arial" w:cs="Arial"/>
          <w:sz w:val="20"/>
          <w:szCs w:val="20"/>
        </w:rPr>
        <w:t xml:space="preserve">Annex 1 – List of </w:t>
      </w:r>
      <w:r w:rsidR="00A42B3A">
        <w:rPr>
          <w:rFonts w:ascii="Arial" w:hAnsi="Arial" w:cs="Arial"/>
          <w:sz w:val="20"/>
          <w:szCs w:val="20"/>
        </w:rPr>
        <w:t>villages and number of respondents…………………………………………………………</w:t>
      </w:r>
    </w:p>
    <w:p w14:paraId="6411E1D4" w14:textId="77777777" w:rsidR="00A42B3A" w:rsidRDefault="00A42B3A" w:rsidP="00A42B3A">
      <w:pPr>
        <w:jc w:val="both"/>
        <w:rPr>
          <w:rFonts w:ascii="Arial" w:hAnsi="Arial" w:cs="Arial"/>
          <w:sz w:val="20"/>
          <w:szCs w:val="20"/>
        </w:rPr>
      </w:pPr>
      <w:r>
        <w:rPr>
          <w:rFonts w:ascii="Arial" w:hAnsi="Arial" w:cs="Arial"/>
          <w:sz w:val="20"/>
          <w:szCs w:val="20"/>
        </w:rPr>
        <w:t>Annex 2 – Household Questionnaire………………………………………………………………………………</w:t>
      </w:r>
    </w:p>
    <w:p w14:paraId="1D116D9D" w14:textId="77777777" w:rsidR="00A42B3A" w:rsidRDefault="00A42B3A" w:rsidP="00A42B3A">
      <w:pPr>
        <w:jc w:val="both"/>
        <w:rPr>
          <w:rFonts w:ascii="Arial" w:hAnsi="Arial" w:cs="Arial"/>
          <w:sz w:val="20"/>
          <w:szCs w:val="20"/>
        </w:rPr>
      </w:pPr>
      <w:r>
        <w:rPr>
          <w:rFonts w:ascii="Arial" w:hAnsi="Arial" w:cs="Arial"/>
          <w:sz w:val="20"/>
          <w:szCs w:val="20"/>
        </w:rPr>
        <w:t>Annex 3 – Village Checklist…………………………………………………………………………………………</w:t>
      </w:r>
    </w:p>
    <w:p w14:paraId="40A6F395" w14:textId="77777777" w:rsidR="00FD5AD9" w:rsidRDefault="00A42B3A" w:rsidP="00B32EA1">
      <w:pPr>
        <w:jc w:val="both"/>
        <w:rPr>
          <w:rFonts w:ascii="Arial" w:hAnsi="Arial" w:cs="Arial"/>
          <w:sz w:val="20"/>
          <w:szCs w:val="20"/>
        </w:rPr>
      </w:pPr>
      <w:r>
        <w:rPr>
          <w:rFonts w:ascii="Arial" w:hAnsi="Arial" w:cs="Arial"/>
          <w:sz w:val="20"/>
          <w:szCs w:val="20"/>
        </w:rPr>
        <w:t>Annex 4 – Survey Calendar and Team Composition……………………………………………………………</w:t>
      </w:r>
    </w:p>
    <w:p w14:paraId="5FDB62E9" w14:textId="77777777" w:rsidR="00B32EA1" w:rsidRPr="004C6941" w:rsidRDefault="00B32EA1" w:rsidP="00B32EA1">
      <w:pPr>
        <w:jc w:val="both"/>
        <w:rPr>
          <w:rFonts w:ascii="Arial" w:hAnsi="Arial" w:cs="Arial"/>
          <w:sz w:val="20"/>
          <w:szCs w:val="20"/>
        </w:rPr>
      </w:pPr>
    </w:p>
    <w:p w14:paraId="7E6E5EEE" w14:textId="77777777" w:rsidR="005C6D23" w:rsidRDefault="005C6D23" w:rsidP="00F13B1D">
      <w:pPr>
        <w:rPr>
          <w:rFonts w:ascii="Arial" w:hAnsi="Arial" w:cs="Arial"/>
          <w:sz w:val="20"/>
          <w:szCs w:val="20"/>
        </w:rPr>
      </w:pPr>
    </w:p>
    <w:p w14:paraId="6B3CCBF1" w14:textId="77777777" w:rsidR="00A3733C" w:rsidRPr="00AF757D" w:rsidRDefault="00A3733C" w:rsidP="00FD5AD9">
      <w:pPr>
        <w:jc w:val="center"/>
        <w:rPr>
          <w:rFonts w:ascii="Arial" w:hAnsi="Arial" w:cs="Arial"/>
          <w:sz w:val="20"/>
          <w:szCs w:val="20"/>
        </w:rPr>
      </w:pPr>
      <w:r w:rsidRPr="00AF757D">
        <w:rPr>
          <w:rFonts w:ascii="Arial" w:hAnsi="Arial" w:cs="Arial"/>
          <w:sz w:val="20"/>
          <w:szCs w:val="20"/>
        </w:rPr>
        <w:t>Acronyms and Abbreviations</w:t>
      </w:r>
    </w:p>
    <w:p w14:paraId="1668C394" w14:textId="77777777" w:rsidR="007A1778" w:rsidRPr="00AF757D" w:rsidRDefault="007A1778" w:rsidP="00FD5AD9">
      <w:pPr>
        <w:jc w:val="center"/>
        <w:rPr>
          <w:rFonts w:ascii="Arial" w:hAnsi="Arial" w:cs="Arial"/>
          <w:sz w:val="20"/>
          <w:szCs w:val="20"/>
        </w:rPr>
      </w:pP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820"/>
      </w:tblGrid>
      <w:tr w:rsidR="00F71D42" w:rsidRPr="00AF757D" w14:paraId="7D93D37B" w14:textId="77777777" w:rsidTr="0061665F">
        <w:tc>
          <w:tcPr>
            <w:tcW w:w="2340" w:type="dxa"/>
          </w:tcPr>
          <w:p w14:paraId="4C23D550" w14:textId="77777777" w:rsidR="00F71D42" w:rsidRPr="00AF757D" w:rsidRDefault="00F71D42" w:rsidP="007A1778">
            <w:pPr>
              <w:rPr>
                <w:rFonts w:ascii="Arial" w:hAnsi="Arial" w:cs="Arial"/>
                <w:sz w:val="20"/>
                <w:szCs w:val="20"/>
              </w:rPr>
            </w:pPr>
            <w:r w:rsidRPr="00AF757D">
              <w:rPr>
                <w:rFonts w:ascii="Arial" w:hAnsi="Arial" w:cs="Arial"/>
                <w:sz w:val="20"/>
                <w:szCs w:val="20"/>
              </w:rPr>
              <w:t>CMAA</w:t>
            </w:r>
          </w:p>
          <w:p w14:paraId="15BB4205" w14:textId="77777777" w:rsidR="006B34D3" w:rsidRPr="00AF757D" w:rsidRDefault="006B34D3" w:rsidP="00FD5AD9">
            <w:pPr>
              <w:jc w:val="center"/>
              <w:rPr>
                <w:rFonts w:ascii="Arial" w:hAnsi="Arial" w:cs="Arial"/>
                <w:sz w:val="20"/>
                <w:szCs w:val="20"/>
              </w:rPr>
            </w:pPr>
          </w:p>
        </w:tc>
        <w:tc>
          <w:tcPr>
            <w:tcW w:w="8820" w:type="dxa"/>
          </w:tcPr>
          <w:p w14:paraId="4BE07921" w14:textId="77777777" w:rsidR="00F71D42" w:rsidRPr="00AF757D" w:rsidRDefault="00DA0A79" w:rsidP="007A1778">
            <w:pPr>
              <w:rPr>
                <w:rFonts w:ascii="Arial" w:hAnsi="Arial" w:cs="Arial"/>
                <w:sz w:val="20"/>
                <w:szCs w:val="20"/>
              </w:rPr>
            </w:pPr>
            <w:r w:rsidRPr="00AF757D">
              <w:rPr>
                <w:rFonts w:ascii="Arial" w:hAnsi="Arial" w:cs="Arial"/>
                <w:sz w:val="20"/>
                <w:szCs w:val="20"/>
              </w:rPr>
              <w:t>Cambodian Mine A</w:t>
            </w:r>
            <w:r w:rsidR="00F71D42" w:rsidRPr="00AF757D">
              <w:rPr>
                <w:rFonts w:ascii="Arial" w:hAnsi="Arial" w:cs="Arial"/>
                <w:sz w:val="20"/>
                <w:szCs w:val="20"/>
              </w:rPr>
              <w:t xml:space="preserve">ction </w:t>
            </w:r>
            <w:r w:rsidRPr="00AF757D">
              <w:rPr>
                <w:rFonts w:ascii="Arial" w:hAnsi="Arial" w:cs="Arial"/>
                <w:sz w:val="20"/>
                <w:szCs w:val="20"/>
              </w:rPr>
              <w:t xml:space="preserve">and Victim Assistance </w:t>
            </w:r>
            <w:r w:rsidR="00F71D42" w:rsidRPr="00AF757D">
              <w:rPr>
                <w:rFonts w:ascii="Arial" w:hAnsi="Arial" w:cs="Arial"/>
                <w:sz w:val="20"/>
                <w:szCs w:val="20"/>
              </w:rPr>
              <w:t xml:space="preserve">Authority </w:t>
            </w:r>
          </w:p>
        </w:tc>
      </w:tr>
      <w:tr w:rsidR="00F71D42" w:rsidRPr="00AF757D" w14:paraId="5DC1EC8C" w14:textId="77777777" w:rsidTr="0061665F">
        <w:tc>
          <w:tcPr>
            <w:tcW w:w="2340" w:type="dxa"/>
          </w:tcPr>
          <w:p w14:paraId="2B25167D" w14:textId="77777777" w:rsidR="00F71D42" w:rsidRPr="00AF757D" w:rsidRDefault="00F71D42" w:rsidP="007A1778">
            <w:pPr>
              <w:rPr>
                <w:rFonts w:ascii="Arial" w:hAnsi="Arial" w:cs="Arial"/>
                <w:sz w:val="20"/>
                <w:szCs w:val="20"/>
              </w:rPr>
            </w:pPr>
            <w:r w:rsidRPr="00AF757D">
              <w:rPr>
                <w:rFonts w:ascii="Arial" w:hAnsi="Arial" w:cs="Arial"/>
                <w:sz w:val="20"/>
                <w:szCs w:val="20"/>
              </w:rPr>
              <w:t>UNDP</w:t>
            </w:r>
          </w:p>
          <w:p w14:paraId="48DC762D" w14:textId="77777777" w:rsidR="006B34D3" w:rsidRPr="00AF757D" w:rsidRDefault="006B34D3" w:rsidP="00FD5AD9">
            <w:pPr>
              <w:jc w:val="center"/>
              <w:rPr>
                <w:rFonts w:ascii="Arial" w:hAnsi="Arial" w:cs="Arial"/>
                <w:sz w:val="20"/>
                <w:szCs w:val="20"/>
              </w:rPr>
            </w:pPr>
          </w:p>
        </w:tc>
        <w:tc>
          <w:tcPr>
            <w:tcW w:w="8820" w:type="dxa"/>
          </w:tcPr>
          <w:p w14:paraId="4CAE821A" w14:textId="77777777" w:rsidR="00F71D42" w:rsidRPr="00AF757D" w:rsidRDefault="00F71D42" w:rsidP="007A1778">
            <w:pPr>
              <w:rPr>
                <w:rFonts w:ascii="Arial" w:hAnsi="Arial" w:cs="Arial"/>
                <w:sz w:val="20"/>
                <w:szCs w:val="20"/>
              </w:rPr>
            </w:pPr>
            <w:r w:rsidRPr="00AF757D">
              <w:rPr>
                <w:rFonts w:ascii="Arial" w:hAnsi="Arial" w:cs="Arial"/>
                <w:sz w:val="20"/>
                <w:szCs w:val="20"/>
              </w:rPr>
              <w:t xml:space="preserve">United Nations Development Programme </w:t>
            </w:r>
          </w:p>
        </w:tc>
      </w:tr>
      <w:tr w:rsidR="00F71D42" w:rsidRPr="00AF757D" w14:paraId="75D10D6F" w14:textId="77777777" w:rsidTr="0061665F">
        <w:tc>
          <w:tcPr>
            <w:tcW w:w="2340" w:type="dxa"/>
          </w:tcPr>
          <w:p w14:paraId="739C8D2D" w14:textId="77777777" w:rsidR="00F71D42" w:rsidRPr="00AF757D" w:rsidRDefault="00F71D42" w:rsidP="007A1778">
            <w:pPr>
              <w:rPr>
                <w:rFonts w:ascii="Arial" w:hAnsi="Arial" w:cs="Arial"/>
                <w:sz w:val="20"/>
                <w:szCs w:val="20"/>
              </w:rPr>
            </w:pPr>
            <w:r w:rsidRPr="00AF757D">
              <w:rPr>
                <w:rFonts w:ascii="Arial" w:hAnsi="Arial" w:cs="Arial"/>
                <w:sz w:val="20"/>
                <w:szCs w:val="20"/>
              </w:rPr>
              <w:t xml:space="preserve">CFR </w:t>
            </w:r>
          </w:p>
          <w:p w14:paraId="57E0DAC7" w14:textId="77777777" w:rsidR="006B34D3" w:rsidRPr="00AF757D" w:rsidRDefault="006B34D3" w:rsidP="00FD5AD9">
            <w:pPr>
              <w:jc w:val="center"/>
              <w:rPr>
                <w:rFonts w:ascii="Arial" w:hAnsi="Arial" w:cs="Arial"/>
                <w:sz w:val="20"/>
                <w:szCs w:val="20"/>
              </w:rPr>
            </w:pPr>
          </w:p>
        </w:tc>
        <w:tc>
          <w:tcPr>
            <w:tcW w:w="8820" w:type="dxa"/>
          </w:tcPr>
          <w:p w14:paraId="6835DFA1" w14:textId="77777777" w:rsidR="00F71D42" w:rsidRPr="00AF757D" w:rsidRDefault="00F71D42" w:rsidP="007A1778">
            <w:pPr>
              <w:rPr>
                <w:rFonts w:ascii="Arial" w:hAnsi="Arial" w:cs="Arial"/>
                <w:sz w:val="20"/>
                <w:szCs w:val="20"/>
              </w:rPr>
            </w:pPr>
            <w:r w:rsidRPr="00AF757D">
              <w:rPr>
                <w:rFonts w:ascii="Arial" w:hAnsi="Arial" w:cs="Arial"/>
                <w:sz w:val="20"/>
                <w:szCs w:val="20"/>
              </w:rPr>
              <w:t>Clearing for Results Project</w:t>
            </w:r>
          </w:p>
        </w:tc>
      </w:tr>
      <w:tr w:rsidR="00F71D42" w:rsidRPr="00AF757D" w14:paraId="19BE1660" w14:textId="77777777" w:rsidTr="0061665F">
        <w:tc>
          <w:tcPr>
            <w:tcW w:w="2340" w:type="dxa"/>
          </w:tcPr>
          <w:p w14:paraId="6FFD5561" w14:textId="77777777" w:rsidR="00F71D42" w:rsidRPr="00AF757D" w:rsidRDefault="00F71D42" w:rsidP="007A1778">
            <w:pPr>
              <w:rPr>
                <w:rFonts w:ascii="Arial" w:hAnsi="Arial" w:cs="Arial"/>
                <w:sz w:val="20"/>
                <w:szCs w:val="20"/>
              </w:rPr>
            </w:pPr>
            <w:r w:rsidRPr="00AF757D">
              <w:rPr>
                <w:rFonts w:ascii="Arial" w:hAnsi="Arial" w:cs="Arial"/>
                <w:sz w:val="20"/>
                <w:szCs w:val="20"/>
              </w:rPr>
              <w:t xml:space="preserve">DFID </w:t>
            </w:r>
          </w:p>
          <w:p w14:paraId="64C16664" w14:textId="77777777" w:rsidR="006B34D3" w:rsidRPr="00AF757D" w:rsidRDefault="006B34D3" w:rsidP="00FD5AD9">
            <w:pPr>
              <w:jc w:val="center"/>
              <w:rPr>
                <w:rFonts w:ascii="Arial" w:hAnsi="Arial" w:cs="Arial"/>
                <w:sz w:val="20"/>
                <w:szCs w:val="20"/>
              </w:rPr>
            </w:pPr>
          </w:p>
        </w:tc>
        <w:tc>
          <w:tcPr>
            <w:tcW w:w="8820" w:type="dxa"/>
          </w:tcPr>
          <w:p w14:paraId="6A8209C7" w14:textId="77777777" w:rsidR="00F71D42" w:rsidRPr="00AF757D" w:rsidRDefault="00DA0A79" w:rsidP="007A1778">
            <w:pPr>
              <w:rPr>
                <w:rFonts w:ascii="Arial" w:hAnsi="Arial" w:cs="Arial"/>
                <w:sz w:val="20"/>
                <w:szCs w:val="20"/>
              </w:rPr>
            </w:pPr>
            <w:r w:rsidRPr="00AF757D">
              <w:rPr>
                <w:rFonts w:ascii="Arial" w:hAnsi="Arial" w:cs="Arial"/>
                <w:sz w:val="20"/>
                <w:szCs w:val="20"/>
              </w:rPr>
              <w:t>Department for International Development</w:t>
            </w:r>
          </w:p>
        </w:tc>
      </w:tr>
      <w:tr w:rsidR="00F71D42" w:rsidRPr="00AF757D" w14:paraId="53ECF7EC" w14:textId="77777777" w:rsidTr="0061665F">
        <w:tc>
          <w:tcPr>
            <w:tcW w:w="2340" w:type="dxa"/>
          </w:tcPr>
          <w:p w14:paraId="2C6D16C0" w14:textId="77777777" w:rsidR="00F71D42" w:rsidRPr="00AF757D" w:rsidRDefault="00DA0A79" w:rsidP="007A1778">
            <w:pPr>
              <w:rPr>
                <w:rFonts w:ascii="Arial" w:hAnsi="Arial" w:cs="Arial"/>
                <w:sz w:val="20"/>
                <w:szCs w:val="20"/>
              </w:rPr>
            </w:pPr>
            <w:r w:rsidRPr="00AF757D">
              <w:rPr>
                <w:rFonts w:ascii="Arial" w:hAnsi="Arial" w:cs="Arial"/>
                <w:sz w:val="20"/>
                <w:szCs w:val="20"/>
              </w:rPr>
              <w:t>PCM</w:t>
            </w:r>
          </w:p>
          <w:p w14:paraId="700E8E3A" w14:textId="77777777" w:rsidR="006B34D3" w:rsidRPr="00AF757D" w:rsidRDefault="006B34D3" w:rsidP="00FD5AD9">
            <w:pPr>
              <w:jc w:val="center"/>
              <w:rPr>
                <w:rFonts w:ascii="Arial" w:hAnsi="Arial" w:cs="Arial"/>
                <w:sz w:val="20"/>
                <w:szCs w:val="20"/>
              </w:rPr>
            </w:pPr>
          </w:p>
        </w:tc>
        <w:tc>
          <w:tcPr>
            <w:tcW w:w="8820" w:type="dxa"/>
          </w:tcPr>
          <w:p w14:paraId="79733609" w14:textId="77777777" w:rsidR="00F71D42" w:rsidRPr="00AF757D" w:rsidRDefault="00DA0A79" w:rsidP="007A1778">
            <w:pPr>
              <w:rPr>
                <w:rFonts w:ascii="Arial" w:hAnsi="Arial" w:cs="Arial"/>
                <w:sz w:val="20"/>
                <w:szCs w:val="20"/>
              </w:rPr>
            </w:pPr>
            <w:r w:rsidRPr="00AF757D">
              <w:rPr>
                <w:rFonts w:ascii="Arial" w:hAnsi="Arial" w:cs="Arial"/>
                <w:sz w:val="20"/>
                <w:szCs w:val="20"/>
              </w:rPr>
              <w:t xml:space="preserve">Post Clearance Monitoring </w:t>
            </w:r>
          </w:p>
        </w:tc>
      </w:tr>
      <w:tr w:rsidR="00F71D42" w:rsidRPr="00AF757D" w14:paraId="2B0D63E7" w14:textId="77777777" w:rsidTr="0061665F">
        <w:tc>
          <w:tcPr>
            <w:tcW w:w="2340" w:type="dxa"/>
          </w:tcPr>
          <w:p w14:paraId="44EFEDEE" w14:textId="77777777" w:rsidR="00F71D42" w:rsidRPr="00AF757D" w:rsidRDefault="00DA0A79" w:rsidP="007A1778">
            <w:pPr>
              <w:rPr>
                <w:rFonts w:ascii="Arial" w:hAnsi="Arial" w:cs="Arial"/>
                <w:sz w:val="20"/>
                <w:szCs w:val="20"/>
              </w:rPr>
            </w:pPr>
            <w:r w:rsidRPr="00AF757D">
              <w:rPr>
                <w:rFonts w:ascii="Arial" w:hAnsi="Arial" w:cs="Arial"/>
                <w:sz w:val="20"/>
                <w:szCs w:val="20"/>
              </w:rPr>
              <w:t>MDG</w:t>
            </w:r>
          </w:p>
          <w:p w14:paraId="43878B18" w14:textId="77777777" w:rsidR="006B34D3" w:rsidRPr="00AF757D" w:rsidRDefault="006B34D3" w:rsidP="00FD5AD9">
            <w:pPr>
              <w:jc w:val="center"/>
              <w:rPr>
                <w:rFonts w:ascii="Arial" w:hAnsi="Arial" w:cs="Arial"/>
                <w:sz w:val="20"/>
                <w:szCs w:val="20"/>
              </w:rPr>
            </w:pPr>
          </w:p>
        </w:tc>
        <w:tc>
          <w:tcPr>
            <w:tcW w:w="8820" w:type="dxa"/>
          </w:tcPr>
          <w:p w14:paraId="41EFE412" w14:textId="77777777" w:rsidR="00F71D42" w:rsidRPr="00AF757D" w:rsidRDefault="00DA0A79" w:rsidP="007A1778">
            <w:pPr>
              <w:rPr>
                <w:rFonts w:ascii="Arial" w:hAnsi="Arial" w:cs="Arial"/>
                <w:sz w:val="20"/>
                <w:szCs w:val="20"/>
              </w:rPr>
            </w:pPr>
            <w:r w:rsidRPr="00AF757D">
              <w:rPr>
                <w:rFonts w:ascii="Arial" w:hAnsi="Arial" w:cs="Arial"/>
                <w:sz w:val="20"/>
                <w:szCs w:val="20"/>
              </w:rPr>
              <w:t>Millennium Development Goals</w:t>
            </w:r>
          </w:p>
        </w:tc>
      </w:tr>
      <w:tr w:rsidR="00F71D42" w:rsidRPr="00AF757D" w14:paraId="342E8F3C" w14:textId="77777777" w:rsidTr="0061665F">
        <w:tc>
          <w:tcPr>
            <w:tcW w:w="2340" w:type="dxa"/>
          </w:tcPr>
          <w:p w14:paraId="3BBE54D5" w14:textId="77777777" w:rsidR="00F71D42" w:rsidRPr="00AF757D" w:rsidRDefault="00DA0A79" w:rsidP="007A1778">
            <w:pPr>
              <w:rPr>
                <w:rFonts w:ascii="Arial" w:hAnsi="Arial" w:cs="Arial"/>
                <w:sz w:val="20"/>
                <w:szCs w:val="20"/>
              </w:rPr>
            </w:pPr>
            <w:r w:rsidRPr="00AF757D">
              <w:rPr>
                <w:rFonts w:ascii="Arial" w:hAnsi="Arial" w:cs="Arial"/>
                <w:sz w:val="20"/>
                <w:szCs w:val="20"/>
              </w:rPr>
              <w:t>MAF</w:t>
            </w:r>
            <w:r w:rsidR="006B34D3" w:rsidRPr="00AF757D">
              <w:rPr>
                <w:rFonts w:ascii="Arial" w:hAnsi="Arial" w:cs="Arial"/>
                <w:sz w:val="20"/>
                <w:szCs w:val="20"/>
              </w:rPr>
              <w:t>F</w:t>
            </w:r>
          </w:p>
          <w:p w14:paraId="0FC946E6" w14:textId="77777777" w:rsidR="006B34D3" w:rsidRPr="00AF757D" w:rsidRDefault="006B34D3" w:rsidP="00FD5AD9">
            <w:pPr>
              <w:jc w:val="center"/>
              <w:rPr>
                <w:rFonts w:ascii="Arial" w:hAnsi="Arial" w:cs="Arial"/>
                <w:sz w:val="20"/>
                <w:szCs w:val="20"/>
              </w:rPr>
            </w:pPr>
          </w:p>
        </w:tc>
        <w:tc>
          <w:tcPr>
            <w:tcW w:w="8820" w:type="dxa"/>
          </w:tcPr>
          <w:p w14:paraId="37B19F07" w14:textId="77777777" w:rsidR="00F71D42" w:rsidRPr="00AF757D" w:rsidRDefault="00DA0A79" w:rsidP="007A1778">
            <w:pPr>
              <w:rPr>
                <w:rFonts w:ascii="Arial" w:hAnsi="Arial" w:cs="Arial"/>
                <w:sz w:val="20"/>
                <w:szCs w:val="20"/>
              </w:rPr>
            </w:pPr>
            <w:r w:rsidRPr="00AF757D">
              <w:rPr>
                <w:rFonts w:ascii="Arial" w:hAnsi="Arial" w:cs="Arial"/>
                <w:sz w:val="20"/>
                <w:szCs w:val="20"/>
              </w:rPr>
              <w:t xml:space="preserve">Ministry of Agriculture </w:t>
            </w:r>
            <w:r w:rsidR="006B34D3" w:rsidRPr="00AF757D">
              <w:rPr>
                <w:rFonts w:ascii="Arial" w:hAnsi="Arial" w:cs="Arial"/>
                <w:sz w:val="20"/>
                <w:szCs w:val="20"/>
              </w:rPr>
              <w:t xml:space="preserve">Forestry and Fishery </w:t>
            </w:r>
          </w:p>
        </w:tc>
      </w:tr>
      <w:tr w:rsidR="00F71D42" w:rsidRPr="00AF757D" w14:paraId="048D69EE" w14:textId="77777777" w:rsidTr="0061665F">
        <w:tc>
          <w:tcPr>
            <w:tcW w:w="2340" w:type="dxa"/>
          </w:tcPr>
          <w:p w14:paraId="7939B368" w14:textId="77777777" w:rsidR="00F71D42" w:rsidRPr="00AF757D" w:rsidRDefault="00DA0A79" w:rsidP="007A1778">
            <w:pPr>
              <w:rPr>
                <w:rFonts w:ascii="Arial" w:hAnsi="Arial" w:cs="Arial"/>
                <w:sz w:val="20"/>
                <w:szCs w:val="20"/>
              </w:rPr>
            </w:pPr>
            <w:r w:rsidRPr="00AF757D">
              <w:rPr>
                <w:rFonts w:ascii="Arial" w:hAnsi="Arial" w:cs="Arial"/>
                <w:sz w:val="20"/>
                <w:szCs w:val="20"/>
              </w:rPr>
              <w:t xml:space="preserve">SBK </w:t>
            </w:r>
          </w:p>
          <w:p w14:paraId="35A488FB" w14:textId="77777777" w:rsidR="006B34D3" w:rsidRPr="00AF757D" w:rsidRDefault="006B34D3" w:rsidP="00FD5AD9">
            <w:pPr>
              <w:jc w:val="center"/>
              <w:rPr>
                <w:rFonts w:ascii="Arial" w:hAnsi="Arial" w:cs="Arial"/>
                <w:sz w:val="20"/>
                <w:szCs w:val="20"/>
              </w:rPr>
            </w:pPr>
          </w:p>
        </w:tc>
        <w:tc>
          <w:tcPr>
            <w:tcW w:w="8820" w:type="dxa"/>
          </w:tcPr>
          <w:p w14:paraId="0427C3C1" w14:textId="77777777" w:rsidR="00F71D42" w:rsidRPr="00AF757D" w:rsidRDefault="00DA0A79" w:rsidP="007A1778">
            <w:pPr>
              <w:rPr>
                <w:rFonts w:ascii="Arial" w:hAnsi="Arial" w:cs="Arial"/>
                <w:sz w:val="20"/>
                <w:szCs w:val="20"/>
              </w:rPr>
            </w:pPr>
            <w:r w:rsidRPr="00AF757D">
              <w:rPr>
                <w:rFonts w:ascii="Arial" w:hAnsi="Arial" w:cs="Arial"/>
                <w:sz w:val="20"/>
                <w:szCs w:val="20"/>
              </w:rPr>
              <w:t>Social Business and Khmer</w:t>
            </w:r>
          </w:p>
        </w:tc>
      </w:tr>
      <w:tr w:rsidR="00DA0A79" w:rsidRPr="00AF757D" w14:paraId="28BAB3B1" w14:textId="77777777" w:rsidTr="0061665F">
        <w:tc>
          <w:tcPr>
            <w:tcW w:w="2340" w:type="dxa"/>
          </w:tcPr>
          <w:p w14:paraId="40258662" w14:textId="77777777" w:rsidR="00DA0A79" w:rsidRPr="00AF757D" w:rsidRDefault="00DA0A79" w:rsidP="007A1778">
            <w:pPr>
              <w:rPr>
                <w:rFonts w:ascii="Arial" w:hAnsi="Arial" w:cs="Arial"/>
                <w:sz w:val="20"/>
                <w:szCs w:val="20"/>
              </w:rPr>
            </w:pPr>
            <w:r w:rsidRPr="00AF757D">
              <w:rPr>
                <w:rFonts w:ascii="Arial" w:hAnsi="Arial" w:cs="Arial"/>
                <w:sz w:val="20"/>
                <w:szCs w:val="20"/>
              </w:rPr>
              <w:t xml:space="preserve">ERW </w:t>
            </w:r>
          </w:p>
          <w:p w14:paraId="7AA13CE8" w14:textId="77777777" w:rsidR="006B34D3" w:rsidRPr="00AF757D" w:rsidRDefault="006B34D3" w:rsidP="00FD5AD9">
            <w:pPr>
              <w:jc w:val="center"/>
              <w:rPr>
                <w:rFonts w:ascii="Arial" w:hAnsi="Arial" w:cs="Arial"/>
                <w:sz w:val="20"/>
                <w:szCs w:val="20"/>
              </w:rPr>
            </w:pPr>
          </w:p>
        </w:tc>
        <w:tc>
          <w:tcPr>
            <w:tcW w:w="8820" w:type="dxa"/>
          </w:tcPr>
          <w:p w14:paraId="16AA9249" w14:textId="77777777" w:rsidR="00DA0A79" w:rsidRPr="00AF757D" w:rsidRDefault="003C255D" w:rsidP="007A1778">
            <w:pPr>
              <w:rPr>
                <w:rFonts w:ascii="Arial" w:hAnsi="Arial" w:cs="Arial"/>
                <w:sz w:val="20"/>
                <w:szCs w:val="20"/>
              </w:rPr>
            </w:pPr>
            <w:r w:rsidRPr="00AF757D">
              <w:rPr>
                <w:rFonts w:ascii="Arial" w:hAnsi="Arial" w:cs="Arial"/>
                <w:sz w:val="20"/>
                <w:szCs w:val="20"/>
              </w:rPr>
              <w:t>Explosive Remnants of War</w:t>
            </w:r>
          </w:p>
        </w:tc>
      </w:tr>
      <w:tr w:rsidR="00DA0A79" w:rsidRPr="00AF757D" w14:paraId="1BDDE4ED" w14:textId="77777777" w:rsidTr="0061665F">
        <w:tc>
          <w:tcPr>
            <w:tcW w:w="2340" w:type="dxa"/>
          </w:tcPr>
          <w:p w14:paraId="1D8C577B" w14:textId="77777777" w:rsidR="00DA0A79" w:rsidRPr="00AF757D" w:rsidRDefault="00DA0A79" w:rsidP="007A1778">
            <w:pPr>
              <w:rPr>
                <w:rFonts w:ascii="Arial" w:hAnsi="Arial" w:cs="Arial"/>
                <w:sz w:val="20"/>
                <w:szCs w:val="20"/>
              </w:rPr>
            </w:pPr>
            <w:r w:rsidRPr="00AF757D">
              <w:rPr>
                <w:rFonts w:ascii="Arial" w:hAnsi="Arial" w:cs="Arial"/>
                <w:sz w:val="20"/>
                <w:szCs w:val="20"/>
              </w:rPr>
              <w:t xml:space="preserve">UXO </w:t>
            </w:r>
          </w:p>
          <w:p w14:paraId="2C04DCC8" w14:textId="77777777" w:rsidR="006B34D3" w:rsidRPr="00AF757D" w:rsidRDefault="006B34D3" w:rsidP="00FD5AD9">
            <w:pPr>
              <w:jc w:val="center"/>
              <w:rPr>
                <w:rFonts w:ascii="Arial" w:hAnsi="Arial" w:cs="Arial"/>
                <w:sz w:val="20"/>
                <w:szCs w:val="20"/>
              </w:rPr>
            </w:pPr>
          </w:p>
        </w:tc>
        <w:tc>
          <w:tcPr>
            <w:tcW w:w="8820" w:type="dxa"/>
          </w:tcPr>
          <w:p w14:paraId="5196A8FD" w14:textId="77777777" w:rsidR="00DA0A79" w:rsidRPr="00AF757D" w:rsidRDefault="003C255D" w:rsidP="007A1778">
            <w:pPr>
              <w:rPr>
                <w:rFonts w:ascii="Arial" w:hAnsi="Arial" w:cs="Arial"/>
                <w:sz w:val="20"/>
                <w:szCs w:val="20"/>
              </w:rPr>
            </w:pPr>
            <w:r w:rsidRPr="00AF757D">
              <w:rPr>
                <w:rFonts w:ascii="Arial" w:hAnsi="Arial" w:cs="Arial"/>
                <w:sz w:val="20"/>
                <w:szCs w:val="20"/>
              </w:rPr>
              <w:t>Unexploded Ordnance</w:t>
            </w:r>
          </w:p>
        </w:tc>
      </w:tr>
      <w:tr w:rsidR="00DA0A79" w:rsidRPr="00AF757D" w14:paraId="4E0A6665" w14:textId="77777777" w:rsidTr="0061665F">
        <w:tc>
          <w:tcPr>
            <w:tcW w:w="2340" w:type="dxa"/>
          </w:tcPr>
          <w:p w14:paraId="2AA42AF8" w14:textId="77777777" w:rsidR="00DA0A79" w:rsidRPr="00AF757D" w:rsidRDefault="00DA0A79" w:rsidP="007A1778">
            <w:pPr>
              <w:rPr>
                <w:rFonts w:ascii="Arial" w:hAnsi="Arial" w:cs="Arial"/>
                <w:sz w:val="20"/>
                <w:szCs w:val="20"/>
              </w:rPr>
            </w:pPr>
            <w:r w:rsidRPr="00AF757D">
              <w:rPr>
                <w:rFonts w:ascii="Arial" w:hAnsi="Arial" w:cs="Arial"/>
                <w:sz w:val="20"/>
                <w:szCs w:val="20"/>
              </w:rPr>
              <w:t>MAPU</w:t>
            </w:r>
          </w:p>
          <w:p w14:paraId="771141E2" w14:textId="77777777" w:rsidR="006B34D3" w:rsidRPr="00AF757D" w:rsidRDefault="006B34D3" w:rsidP="00FD5AD9">
            <w:pPr>
              <w:jc w:val="center"/>
              <w:rPr>
                <w:rFonts w:ascii="Arial" w:hAnsi="Arial" w:cs="Arial"/>
                <w:sz w:val="20"/>
                <w:szCs w:val="20"/>
              </w:rPr>
            </w:pPr>
          </w:p>
        </w:tc>
        <w:tc>
          <w:tcPr>
            <w:tcW w:w="8820" w:type="dxa"/>
          </w:tcPr>
          <w:p w14:paraId="6C197A7A" w14:textId="77777777" w:rsidR="00DA0A79" w:rsidRPr="00AF757D" w:rsidRDefault="003C255D" w:rsidP="007A1778">
            <w:pPr>
              <w:rPr>
                <w:rFonts w:ascii="Arial" w:hAnsi="Arial" w:cs="Arial"/>
                <w:sz w:val="20"/>
                <w:szCs w:val="20"/>
              </w:rPr>
            </w:pPr>
            <w:r w:rsidRPr="00AF757D">
              <w:rPr>
                <w:rFonts w:ascii="Arial" w:hAnsi="Arial" w:cs="Arial"/>
                <w:sz w:val="20"/>
                <w:szCs w:val="20"/>
              </w:rPr>
              <w:t xml:space="preserve">Mine Action Planning Unit </w:t>
            </w:r>
          </w:p>
          <w:p w14:paraId="287C926F" w14:textId="77777777" w:rsidR="0061665F" w:rsidRPr="00AF757D" w:rsidRDefault="0061665F" w:rsidP="007A1778">
            <w:pPr>
              <w:rPr>
                <w:rFonts w:ascii="Arial" w:hAnsi="Arial" w:cs="Arial"/>
                <w:sz w:val="20"/>
                <w:szCs w:val="20"/>
              </w:rPr>
            </w:pPr>
          </w:p>
        </w:tc>
      </w:tr>
      <w:tr w:rsidR="0061665F" w:rsidRPr="00AF757D" w14:paraId="62C2162B" w14:textId="77777777" w:rsidTr="0061665F">
        <w:tc>
          <w:tcPr>
            <w:tcW w:w="2340" w:type="dxa"/>
          </w:tcPr>
          <w:p w14:paraId="000701C5" w14:textId="77777777" w:rsidR="0061665F" w:rsidRPr="00AF757D" w:rsidRDefault="0061665F" w:rsidP="007A1778">
            <w:pPr>
              <w:rPr>
                <w:rFonts w:ascii="Arial" w:hAnsi="Arial" w:cs="Arial"/>
                <w:sz w:val="20"/>
                <w:szCs w:val="20"/>
              </w:rPr>
            </w:pPr>
            <w:r w:rsidRPr="00AF757D">
              <w:rPr>
                <w:rFonts w:ascii="Arial" w:hAnsi="Arial" w:cs="Arial"/>
                <w:sz w:val="20"/>
                <w:szCs w:val="20"/>
              </w:rPr>
              <w:t>TWG</w:t>
            </w:r>
          </w:p>
        </w:tc>
        <w:tc>
          <w:tcPr>
            <w:tcW w:w="8820" w:type="dxa"/>
          </w:tcPr>
          <w:p w14:paraId="27DB8436" w14:textId="77777777" w:rsidR="0061665F" w:rsidRPr="00AF757D" w:rsidRDefault="0061665F" w:rsidP="007A1778">
            <w:pPr>
              <w:rPr>
                <w:rFonts w:ascii="Arial" w:hAnsi="Arial" w:cs="Arial"/>
                <w:sz w:val="20"/>
                <w:szCs w:val="20"/>
              </w:rPr>
            </w:pPr>
            <w:r w:rsidRPr="00AF757D">
              <w:rPr>
                <w:rFonts w:ascii="Arial" w:hAnsi="Arial" w:cs="Arial"/>
                <w:sz w:val="20"/>
                <w:szCs w:val="20"/>
              </w:rPr>
              <w:t>Technical Working Group</w:t>
            </w:r>
          </w:p>
          <w:p w14:paraId="2B6BD473" w14:textId="77777777" w:rsidR="0061665F" w:rsidRPr="00AF757D" w:rsidRDefault="0061665F" w:rsidP="007A1778">
            <w:pPr>
              <w:rPr>
                <w:rFonts w:ascii="Arial" w:hAnsi="Arial" w:cs="Arial"/>
                <w:sz w:val="20"/>
                <w:szCs w:val="20"/>
              </w:rPr>
            </w:pPr>
          </w:p>
        </w:tc>
      </w:tr>
      <w:tr w:rsidR="00DA0A79" w:rsidRPr="00AF757D" w14:paraId="7AF317B7" w14:textId="77777777" w:rsidTr="0061665F">
        <w:tc>
          <w:tcPr>
            <w:tcW w:w="2340" w:type="dxa"/>
          </w:tcPr>
          <w:p w14:paraId="4AD95A05" w14:textId="77777777" w:rsidR="00DA0A79" w:rsidRPr="00AF757D" w:rsidRDefault="00DA0A79" w:rsidP="007A1778">
            <w:pPr>
              <w:rPr>
                <w:rFonts w:ascii="Arial" w:hAnsi="Arial" w:cs="Arial"/>
                <w:sz w:val="20"/>
                <w:szCs w:val="20"/>
              </w:rPr>
            </w:pPr>
            <w:r w:rsidRPr="00AF757D">
              <w:rPr>
                <w:rFonts w:ascii="Arial" w:hAnsi="Arial" w:cs="Arial"/>
                <w:sz w:val="20"/>
                <w:szCs w:val="20"/>
              </w:rPr>
              <w:t>HHQ</w:t>
            </w:r>
          </w:p>
          <w:p w14:paraId="0F5F48F6" w14:textId="77777777" w:rsidR="006B34D3" w:rsidRPr="00AF757D" w:rsidRDefault="006B34D3" w:rsidP="00FD5AD9">
            <w:pPr>
              <w:jc w:val="center"/>
              <w:rPr>
                <w:rFonts w:ascii="Arial" w:hAnsi="Arial" w:cs="Arial"/>
                <w:sz w:val="20"/>
                <w:szCs w:val="20"/>
              </w:rPr>
            </w:pPr>
          </w:p>
        </w:tc>
        <w:tc>
          <w:tcPr>
            <w:tcW w:w="8820" w:type="dxa"/>
          </w:tcPr>
          <w:p w14:paraId="557EC25C" w14:textId="77777777" w:rsidR="00DA0A79" w:rsidRPr="00AF757D" w:rsidRDefault="003C255D" w:rsidP="007A1778">
            <w:pPr>
              <w:rPr>
                <w:rFonts w:ascii="Arial" w:hAnsi="Arial" w:cs="Arial"/>
                <w:sz w:val="20"/>
                <w:szCs w:val="20"/>
              </w:rPr>
            </w:pPr>
            <w:r w:rsidRPr="00AF757D">
              <w:rPr>
                <w:rFonts w:ascii="Arial" w:hAnsi="Arial" w:cs="Arial"/>
                <w:sz w:val="20"/>
                <w:szCs w:val="20"/>
              </w:rPr>
              <w:t xml:space="preserve">Household Questionnaire </w:t>
            </w:r>
          </w:p>
        </w:tc>
      </w:tr>
      <w:tr w:rsidR="00DA0A79" w:rsidRPr="00AF757D" w14:paraId="78F6E617" w14:textId="77777777" w:rsidTr="0061665F">
        <w:tc>
          <w:tcPr>
            <w:tcW w:w="2340" w:type="dxa"/>
          </w:tcPr>
          <w:p w14:paraId="5AE1AE95" w14:textId="77777777" w:rsidR="00DA0A79" w:rsidRPr="00AF757D" w:rsidRDefault="006B34D3" w:rsidP="007A1778">
            <w:pPr>
              <w:rPr>
                <w:rFonts w:ascii="Arial" w:hAnsi="Arial" w:cs="Arial"/>
                <w:sz w:val="20"/>
                <w:szCs w:val="20"/>
              </w:rPr>
            </w:pPr>
            <w:r w:rsidRPr="00AF757D">
              <w:rPr>
                <w:rFonts w:ascii="Arial" w:hAnsi="Arial" w:cs="Arial"/>
                <w:sz w:val="20"/>
                <w:szCs w:val="20"/>
              </w:rPr>
              <w:t xml:space="preserve">ID Poor Card </w:t>
            </w:r>
          </w:p>
          <w:p w14:paraId="1EF36193" w14:textId="77777777" w:rsidR="006B34D3" w:rsidRPr="00AF757D" w:rsidRDefault="006B34D3" w:rsidP="00FD5AD9">
            <w:pPr>
              <w:jc w:val="center"/>
              <w:rPr>
                <w:rFonts w:ascii="Arial" w:hAnsi="Arial" w:cs="Arial"/>
                <w:sz w:val="20"/>
                <w:szCs w:val="20"/>
              </w:rPr>
            </w:pPr>
          </w:p>
        </w:tc>
        <w:tc>
          <w:tcPr>
            <w:tcW w:w="8820" w:type="dxa"/>
          </w:tcPr>
          <w:p w14:paraId="79F2F6E7" w14:textId="77777777" w:rsidR="00DA0A79" w:rsidRPr="00AF757D" w:rsidRDefault="007A1778" w:rsidP="007A1778">
            <w:pPr>
              <w:rPr>
                <w:rFonts w:ascii="Arial" w:hAnsi="Arial" w:cs="Arial"/>
                <w:sz w:val="20"/>
                <w:szCs w:val="20"/>
              </w:rPr>
            </w:pPr>
            <w:r w:rsidRPr="00AF757D">
              <w:rPr>
                <w:rFonts w:ascii="Arial" w:hAnsi="Arial" w:cs="Arial"/>
                <w:sz w:val="20"/>
                <w:szCs w:val="20"/>
              </w:rPr>
              <w:t>Identification of Poor</w:t>
            </w:r>
          </w:p>
        </w:tc>
      </w:tr>
      <w:tr w:rsidR="00574639" w:rsidRPr="00AF757D" w14:paraId="11A4009E" w14:textId="77777777" w:rsidTr="0061665F">
        <w:tc>
          <w:tcPr>
            <w:tcW w:w="2340" w:type="dxa"/>
          </w:tcPr>
          <w:p w14:paraId="32E5E908" w14:textId="77777777" w:rsidR="00574639" w:rsidRPr="00AF757D" w:rsidRDefault="00574639" w:rsidP="007A1778">
            <w:pPr>
              <w:rPr>
                <w:rFonts w:ascii="Arial" w:hAnsi="Arial" w:cs="Arial"/>
                <w:sz w:val="20"/>
                <w:szCs w:val="20"/>
              </w:rPr>
            </w:pPr>
            <w:r w:rsidRPr="00AF757D">
              <w:rPr>
                <w:rFonts w:ascii="Arial" w:hAnsi="Arial" w:cs="Arial"/>
                <w:sz w:val="20"/>
                <w:szCs w:val="20"/>
              </w:rPr>
              <w:t xml:space="preserve">FGD </w:t>
            </w:r>
          </w:p>
        </w:tc>
        <w:tc>
          <w:tcPr>
            <w:tcW w:w="8820" w:type="dxa"/>
          </w:tcPr>
          <w:p w14:paraId="3929A84E" w14:textId="77777777" w:rsidR="00574639" w:rsidRPr="00AF757D" w:rsidRDefault="00574639" w:rsidP="007A1778">
            <w:pPr>
              <w:rPr>
                <w:rFonts w:ascii="Arial" w:hAnsi="Arial" w:cs="Arial"/>
                <w:sz w:val="20"/>
                <w:szCs w:val="20"/>
              </w:rPr>
            </w:pPr>
            <w:r w:rsidRPr="00AF757D">
              <w:rPr>
                <w:rFonts w:ascii="Arial" w:hAnsi="Arial" w:cs="Arial"/>
                <w:sz w:val="20"/>
                <w:szCs w:val="20"/>
              </w:rPr>
              <w:t>Focus Group Discussion</w:t>
            </w:r>
          </w:p>
          <w:p w14:paraId="0E2A8E5B" w14:textId="77777777" w:rsidR="00574639" w:rsidRPr="00AF757D" w:rsidRDefault="00574639" w:rsidP="007A1778">
            <w:pPr>
              <w:rPr>
                <w:rFonts w:ascii="Arial" w:hAnsi="Arial" w:cs="Arial"/>
                <w:sz w:val="20"/>
                <w:szCs w:val="20"/>
              </w:rPr>
            </w:pPr>
          </w:p>
        </w:tc>
      </w:tr>
      <w:tr w:rsidR="00E64C37" w:rsidRPr="00AF757D" w14:paraId="13FAD89F" w14:textId="77777777" w:rsidTr="0061665F">
        <w:tc>
          <w:tcPr>
            <w:tcW w:w="2340" w:type="dxa"/>
          </w:tcPr>
          <w:p w14:paraId="5BB872C8" w14:textId="77777777" w:rsidR="00E64C37" w:rsidRPr="00AF757D" w:rsidRDefault="00E64C37" w:rsidP="007A1778">
            <w:pPr>
              <w:rPr>
                <w:rFonts w:ascii="Arial" w:hAnsi="Arial" w:cs="Arial"/>
                <w:sz w:val="20"/>
                <w:szCs w:val="20"/>
              </w:rPr>
            </w:pPr>
            <w:r w:rsidRPr="00AF757D">
              <w:rPr>
                <w:rFonts w:ascii="Arial" w:hAnsi="Arial" w:cs="Arial"/>
                <w:sz w:val="20"/>
                <w:szCs w:val="20"/>
              </w:rPr>
              <w:t xml:space="preserve">CMAC </w:t>
            </w:r>
          </w:p>
        </w:tc>
        <w:tc>
          <w:tcPr>
            <w:tcW w:w="8820" w:type="dxa"/>
          </w:tcPr>
          <w:p w14:paraId="4E184423" w14:textId="77777777" w:rsidR="00E64C37" w:rsidRPr="00AF757D" w:rsidRDefault="00E64C37" w:rsidP="007A1778">
            <w:pPr>
              <w:rPr>
                <w:rFonts w:ascii="Arial" w:hAnsi="Arial" w:cs="Arial"/>
                <w:sz w:val="20"/>
                <w:szCs w:val="20"/>
              </w:rPr>
            </w:pPr>
            <w:r w:rsidRPr="00AF757D">
              <w:rPr>
                <w:rFonts w:ascii="Arial" w:hAnsi="Arial" w:cs="Arial"/>
                <w:sz w:val="20"/>
                <w:szCs w:val="20"/>
              </w:rPr>
              <w:t xml:space="preserve">Cambodian Mine Action Center </w:t>
            </w:r>
          </w:p>
        </w:tc>
      </w:tr>
      <w:tr w:rsidR="00E64C37" w:rsidRPr="00AF757D" w14:paraId="7DEA9B04" w14:textId="77777777" w:rsidTr="0061665F">
        <w:tc>
          <w:tcPr>
            <w:tcW w:w="2340" w:type="dxa"/>
          </w:tcPr>
          <w:p w14:paraId="19550070" w14:textId="77777777" w:rsidR="00E64C37" w:rsidRPr="00AF757D" w:rsidRDefault="00E64C37" w:rsidP="007A1778">
            <w:pPr>
              <w:rPr>
                <w:rFonts w:ascii="Arial" w:hAnsi="Arial" w:cs="Arial"/>
                <w:sz w:val="20"/>
                <w:szCs w:val="20"/>
              </w:rPr>
            </w:pPr>
          </w:p>
        </w:tc>
        <w:tc>
          <w:tcPr>
            <w:tcW w:w="8820" w:type="dxa"/>
          </w:tcPr>
          <w:p w14:paraId="6CFE96C3" w14:textId="77777777" w:rsidR="00E64C37" w:rsidRPr="00AF757D" w:rsidRDefault="00E64C37" w:rsidP="007A1778">
            <w:pPr>
              <w:rPr>
                <w:rFonts w:ascii="Arial" w:hAnsi="Arial" w:cs="Arial"/>
                <w:sz w:val="20"/>
                <w:szCs w:val="20"/>
              </w:rPr>
            </w:pPr>
          </w:p>
        </w:tc>
      </w:tr>
      <w:tr w:rsidR="00340C16" w:rsidRPr="00AF757D" w14:paraId="0E1141C5" w14:textId="77777777" w:rsidTr="0061665F">
        <w:tc>
          <w:tcPr>
            <w:tcW w:w="2340" w:type="dxa"/>
          </w:tcPr>
          <w:p w14:paraId="2C49E31D" w14:textId="77777777" w:rsidR="00340C16" w:rsidRPr="00AF757D" w:rsidRDefault="00340C16" w:rsidP="007A1778">
            <w:pPr>
              <w:rPr>
                <w:rFonts w:ascii="Arial" w:hAnsi="Arial" w:cs="Arial"/>
                <w:sz w:val="20"/>
                <w:szCs w:val="20"/>
              </w:rPr>
            </w:pPr>
            <w:r w:rsidRPr="00AF757D">
              <w:rPr>
                <w:rFonts w:ascii="Arial" w:hAnsi="Arial" w:cs="Arial"/>
                <w:sz w:val="20"/>
                <w:szCs w:val="20"/>
              </w:rPr>
              <w:t xml:space="preserve">IMSMA </w:t>
            </w:r>
          </w:p>
          <w:p w14:paraId="299A905A" w14:textId="77777777" w:rsidR="007A1778" w:rsidRPr="00AF757D" w:rsidRDefault="007A1778" w:rsidP="00FD5AD9">
            <w:pPr>
              <w:jc w:val="center"/>
              <w:rPr>
                <w:rFonts w:ascii="Arial" w:hAnsi="Arial" w:cs="Arial"/>
                <w:sz w:val="20"/>
                <w:szCs w:val="20"/>
              </w:rPr>
            </w:pPr>
          </w:p>
        </w:tc>
        <w:tc>
          <w:tcPr>
            <w:tcW w:w="8820" w:type="dxa"/>
          </w:tcPr>
          <w:p w14:paraId="29A084BE" w14:textId="77777777" w:rsidR="00340C16" w:rsidRPr="00AF757D" w:rsidRDefault="007A1778" w:rsidP="007A1778">
            <w:pPr>
              <w:rPr>
                <w:rFonts w:ascii="Arial" w:hAnsi="Arial" w:cs="Arial"/>
                <w:sz w:val="20"/>
                <w:szCs w:val="20"/>
              </w:rPr>
            </w:pPr>
            <w:r w:rsidRPr="00AF757D">
              <w:rPr>
                <w:rFonts w:ascii="Arial" w:hAnsi="Arial" w:cs="Arial"/>
                <w:sz w:val="20"/>
                <w:szCs w:val="20"/>
              </w:rPr>
              <w:t xml:space="preserve">Information Management System for Mine Action </w:t>
            </w:r>
          </w:p>
        </w:tc>
      </w:tr>
    </w:tbl>
    <w:p w14:paraId="4714E6C0" w14:textId="77777777" w:rsidR="00A3733C" w:rsidRPr="00AF757D" w:rsidRDefault="00A3733C" w:rsidP="00FD5AD9">
      <w:pPr>
        <w:jc w:val="center"/>
        <w:rPr>
          <w:rFonts w:ascii="Arial" w:hAnsi="Arial" w:cs="Arial"/>
          <w:sz w:val="20"/>
          <w:szCs w:val="20"/>
        </w:rPr>
      </w:pPr>
    </w:p>
    <w:p w14:paraId="07E538D5" w14:textId="77777777" w:rsidR="00A3733C" w:rsidRPr="00AF757D" w:rsidRDefault="00A3733C" w:rsidP="00FD5AD9">
      <w:pPr>
        <w:jc w:val="center"/>
        <w:rPr>
          <w:rFonts w:ascii="Arial" w:hAnsi="Arial" w:cs="Arial"/>
          <w:sz w:val="20"/>
          <w:szCs w:val="20"/>
        </w:rPr>
      </w:pPr>
    </w:p>
    <w:p w14:paraId="7FC1F820" w14:textId="77777777" w:rsidR="00A3733C" w:rsidRDefault="00A3733C" w:rsidP="00FD5AD9">
      <w:pPr>
        <w:jc w:val="center"/>
        <w:rPr>
          <w:rFonts w:ascii="Arial" w:hAnsi="Arial" w:cs="Arial"/>
          <w:sz w:val="20"/>
          <w:szCs w:val="20"/>
        </w:rPr>
      </w:pPr>
    </w:p>
    <w:p w14:paraId="4F58DF08" w14:textId="77777777" w:rsidR="00635784" w:rsidRDefault="00635784" w:rsidP="00F13B1D">
      <w:pPr>
        <w:rPr>
          <w:rFonts w:ascii="Arial" w:hAnsi="Arial" w:cs="Arial"/>
          <w:sz w:val="20"/>
          <w:szCs w:val="20"/>
        </w:rPr>
      </w:pPr>
    </w:p>
    <w:p w14:paraId="1F71160B" w14:textId="77777777" w:rsidR="00F13B1D" w:rsidRDefault="00F13B1D" w:rsidP="00F13B1D">
      <w:pPr>
        <w:rPr>
          <w:rFonts w:ascii="Arial" w:hAnsi="Arial" w:cs="Arial"/>
          <w:sz w:val="20"/>
          <w:szCs w:val="20"/>
        </w:rPr>
      </w:pPr>
    </w:p>
    <w:p w14:paraId="50675932" w14:textId="77777777" w:rsidR="00635784" w:rsidRDefault="00635784" w:rsidP="00FD5AD9">
      <w:pPr>
        <w:jc w:val="center"/>
        <w:rPr>
          <w:rFonts w:ascii="Arial" w:hAnsi="Arial" w:cs="Arial"/>
          <w:sz w:val="20"/>
          <w:szCs w:val="20"/>
        </w:rPr>
      </w:pPr>
    </w:p>
    <w:p w14:paraId="27D5ABA8" w14:textId="77777777" w:rsidR="00F13B1D" w:rsidRDefault="00F13B1D" w:rsidP="0061665F">
      <w:pPr>
        <w:rPr>
          <w:rFonts w:ascii="Arial" w:hAnsi="Arial" w:cs="Arial"/>
          <w:sz w:val="20"/>
          <w:szCs w:val="20"/>
        </w:rPr>
      </w:pPr>
    </w:p>
    <w:p w14:paraId="4B27135D" w14:textId="77777777" w:rsidR="00B40807" w:rsidRDefault="00B40807" w:rsidP="00FD5AD9">
      <w:pPr>
        <w:jc w:val="center"/>
        <w:rPr>
          <w:rFonts w:ascii="Arial" w:hAnsi="Arial" w:cs="Arial"/>
          <w:sz w:val="20"/>
          <w:szCs w:val="20"/>
        </w:rPr>
      </w:pPr>
    </w:p>
    <w:p w14:paraId="351EADA1" w14:textId="77777777" w:rsidR="00AF757D" w:rsidRDefault="00AF757D" w:rsidP="0061665F">
      <w:pPr>
        <w:jc w:val="center"/>
        <w:rPr>
          <w:rFonts w:ascii="Arial" w:hAnsi="Arial" w:cs="Arial"/>
          <w:sz w:val="20"/>
          <w:szCs w:val="20"/>
        </w:rPr>
      </w:pPr>
    </w:p>
    <w:p w14:paraId="74F7C0F8" w14:textId="77777777" w:rsidR="00AF757D" w:rsidRDefault="00AF757D" w:rsidP="0061665F">
      <w:pPr>
        <w:jc w:val="center"/>
        <w:rPr>
          <w:rFonts w:ascii="Arial" w:hAnsi="Arial" w:cs="Arial"/>
          <w:sz w:val="20"/>
          <w:szCs w:val="20"/>
        </w:rPr>
      </w:pPr>
    </w:p>
    <w:p w14:paraId="5FB2CEDF" w14:textId="77777777" w:rsidR="00FB1F76" w:rsidRDefault="00FD5AD9" w:rsidP="0061665F">
      <w:pPr>
        <w:jc w:val="center"/>
        <w:rPr>
          <w:rFonts w:ascii="Arial" w:hAnsi="Arial" w:cs="Arial"/>
          <w:sz w:val="20"/>
          <w:szCs w:val="20"/>
        </w:rPr>
      </w:pPr>
      <w:r w:rsidRPr="00275667">
        <w:rPr>
          <w:rFonts w:ascii="Arial" w:hAnsi="Arial" w:cs="Arial"/>
          <w:sz w:val="20"/>
          <w:szCs w:val="20"/>
        </w:rPr>
        <w:lastRenderedPageBreak/>
        <w:t>Executive Summary</w:t>
      </w:r>
    </w:p>
    <w:p w14:paraId="69B726B0" w14:textId="77777777" w:rsidR="0076140D" w:rsidRDefault="0076140D" w:rsidP="0061665F">
      <w:pPr>
        <w:jc w:val="center"/>
        <w:rPr>
          <w:rFonts w:ascii="Arial" w:hAnsi="Arial" w:cs="Arial"/>
          <w:sz w:val="20"/>
          <w:szCs w:val="20"/>
        </w:rPr>
      </w:pPr>
    </w:p>
    <w:p w14:paraId="32541A6F" w14:textId="77777777" w:rsidR="00FB1F76" w:rsidRPr="00FB1F76" w:rsidRDefault="00FB1F76" w:rsidP="00FB1F76">
      <w:pPr>
        <w:jc w:val="both"/>
        <w:rPr>
          <w:rFonts w:ascii="Arial" w:hAnsi="Arial" w:cs="Arial"/>
          <w:sz w:val="20"/>
          <w:szCs w:val="20"/>
        </w:rPr>
      </w:pPr>
      <w:r w:rsidRPr="00FB1F76">
        <w:rPr>
          <w:rFonts w:ascii="Arial" w:hAnsi="Arial" w:cs="Arial"/>
          <w:sz w:val="20"/>
          <w:szCs w:val="20"/>
        </w:rPr>
        <w:t>After nearly three decades of war and internal conflict, Cambodia remains severely affected by landmines and explosive remnants of war. In 2003</w:t>
      </w:r>
      <w:r w:rsidR="00A53A72">
        <w:rPr>
          <w:rFonts w:ascii="Arial" w:hAnsi="Arial" w:cs="Arial"/>
          <w:sz w:val="20"/>
          <w:szCs w:val="20"/>
        </w:rPr>
        <w:t>,</w:t>
      </w:r>
      <w:r w:rsidRPr="00FB1F76">
        <w:rPr>
          <w:rFonts w:ascii="Arial" w:hAnsi="Arial" w:cs="Arial"/>
          <w:sz w:val="20"/>
          <w:szCs w:val="20"/>
        </w:rPr>
        <w:t xml:space="preserve"> Cambodia has adopted a special ninth Millennium Development Goal</w:t>
      </w:r>
      <w:r w:rsidR="00DA0A79">
        <w:rPr>
          <w:rFonts w:ascii="Arial" w:hAnsi="Arial" w:cs="Arial"/>
          <w:sz w:val="20"/>
          <w:szCs w:val="20"/>
        </w:rPr>
        <w:t xml:space="preserve"> (MDGs)</w:t>
      </w:r>
      <w:r w:rsidRPr="00FB1F76">
        <w:rPr>
          <w:rFonts w:ascii="Arial" w:hAnsi="Arial" w:cs="Arial"/>
          <w:sz w:val="20"/>
          <w:szCs w:val="20"/>
        </w:rPr>
        <w:t xml:space="preserve"> to clear all affected land, reduce the casualty rate to zero, and improve survivor assistance by 2015. The Government estimated in 2009 that some 649 sq km of mines contaminated land required clearance over the next 10 to 13 years. </w:t>
      </w:r>
    </w:p>
    <w:p w14:paraId="5F86EEC3" w14:textId="77777777" w:rsidR="00275667" w:rsidRPr="00403E4E" w:rsidRDefault="00275667" w:rsidP="00FB1F76">
      <w:pPr>
        <w:tabs>
          <w:tab w:val="left" w:pos="720"/>
        </w:tabs>
        <w:spacing w:line="276" w:lineRule="auto"/>
        <w:jc w:val="both"/>
        <w:rPr>
          <w:rFonts w:ascii="Arial" w:hAnsi="Arial" w:cs="Arial"/>
          <w:sz w:val="20"/>
          <w:szCs w:val="20"/>
        </w:rPr>
      </w:pPr>
      <w:r w:rsidRPr="00275667">
        <w:rPr>
          <w:rFonts w:ascii="Arial" w:hAnsi="Arial" w:cs="Arial"/>
          <w:color w:val="000000"/>
          <w:sz w:val="20"/>
          <w:szCs w:val="20"/>
        </w:rPr>
        <w:t>Clearing for Results II (CFRII) is a five-year project that aims to enhance national structures and mechanisms that will ensure demining resources are effectively allocated, promoting the release of land for productive use by the poor.</w:t>
      </w:r>
      <w:r w:rsidR="00FB1F76">
        <w:rPr>
          <w:rFonts w:ascii="Arial" w:hAnsi="Arial" w:cs="Arial"/>
          <w:color w:val="000000"/>
          <w:sz w:val="20"/>
          <w:szCs w:val="20"/>
          <w:lang w:val="en-GB"/>
        </w:rPr>
        <w:t xml:space="preserve"> </w:t>
      </w:r>
      <w:r w:rsidRPr="00275667">
        <w:rPr>
          <w:rFonts w:ascii="Arial" w:hAnsi="Arial" w:cs="Arial"/>
          <w:color w:val="000000"/>
          <w:sz w:val="20"/>
          <w:szCs w:val="20"/>
        </w:rPr>
        <w:t xml:space="preserve">To achieve this, the United Nations Development Programme and other development partners are supporting the Cambodian Mine Action and Victim Assistance Authority </w:t>
      </w:r>
      <w:r w:rsidRPr="00403E4E">
        <w:rPr>
          <w:rFonts w:ascii="Arial" w:hAnsi="Arial" w:cs="Arial"/>
          <w:sz w:val="20"/>
          <w:szCs w:val="20"/>
        </w:rPr>
        <w:t>(CMAA) in leading and managing the implementation of CFRII.</w:t>
      </w:r>
    </w:p>
    <w:p w14:paraId="568291E5" w14:textId="77777777" w:rsidR="00403E4E" w:rsidRPr="0061665F" w:rsidRDefault="00403E4E" w:rsidP="00403E4E">
      <w:pPr>
        <w:jc w:val="both"/>
        <w:rPr>
          <w:rFonts w:ascii="Arial" w:hAnsi="Arial" w:cs="Arial"/>
          <w:sz w:val="20"/>
          <w:szCs w:val="20"/>
        </w:rPr>
      </w:pPr>
      <w:r w:rsidRPr="0061665F">
        <w:rPr>
          <w:rFonts w:ascii="Arial" w:hAnsi="Arial" w:cs="Arial"/>
          <w:sz w:val="20"/>
          <w:szCs w:val="20"/>
        </w:rPr>
        <w:t>This project is shared with key stakeholders through the Mine Action Technical Working Group (TWG) in line with the Royal Government of Cambodia’s principles on aid effectiveness to increase transparency and harmonization of the resources allocated to the sector. The key deliverables for the project is</w:t>
      </w:r>
      <w:r>
        <w:rPr>
          <w:rFonts w:ascii="Arial" w:hAnsi="Arial" w:cs="Arial"/>
          <w:sz w:val="20"/>
          <w:szCs w:val="20"/>
        </w:rPr>
        <w:t>:</w:t>
      </w:r>
      <w:r w:rsidRPr="0061665F">
        <w:rPr>
          <w:rFonts w:ascii="Arial" w:hAnsi="Arial" w:cs="Arial"/>
          <w:sz w:val="20"/>
          <w:szCs w:val="20"/>
        </w:rPr>
        <w:t xml:space="preserve"> </w:t>
      </w:r>
      <w:r>
        <w:rPr>
          <w:rFonts w:ascii="Arial" w:hAnsi="Arial" w:cs="Arial"/>
          <w:sz w:val="20"/>
          <w:szCs w:val="20"/>
        </w:rPr>
        <w:t xml:space="preserve">(1) </w:t>
      </w:r>
      <w:r w:rsidRPr="0061665F">
        <w:rPr>
          <w:rFonts w:ascii="Arial" w:hAnsi="Arial" w:cs="Arial"/>
          <w:sz w:val="20"/>
          <w:szCs w:val="20"/>
        </w:rPr>
        <w:t>to ensure all resources are effectively allocated to national priorities as defined by local planning processes and maximize</w:t>
      </w:r>
      <w:r>
        <w:rPr>
          <w:rFonts w:ascii="Arial" w:hAnsi="Arial" w:cs="Arial"/>
          <w:sz w:val="20"/>
          <w:szCs w:val="20"/>
        </w:rPr>
        <w:t xml:space="preserve"> </w:t>
      </w:r>
      <w:r w:rsidRPr="0061665F">
        <w:rPr>
          <w:rFonts w:ascii="Arial" w:hAnsi="Arial" w:cs="Arial"/>
          <w:sz w:val="20"/>
          <w:szCs w:val="20"/>
        </w:rPr>
        <w:t xml:space="preserve">the land </w:t>
      </w:r>
      <w:r>
        <w:rPr>
          <w:rFonts w:ascii="Arial" w:hAnsi="Arial" w:cs="Arial"/>
          <w:sz w:val="20"/>
          <w:szCs w:val="20"/>
        </w:rPr>
        <w:t>available for local development; (2) t</w:t>
      </w:r>
      <w:r w:rsidRPr="0061665F">
        <w:rPr>
          <w:rFonts w:ascii="Arial" w:hAnsi="Arial" w:cs="Arial"/>
          <w:sz w:val="20"/>
          <w:szCs w:val="20"/>
        </w:rPr>
        <w:t>he CMAA is equipped with the technical and functional</w:t>
      </w:r>
      <w:r>
        <w:rPr>
          <w:rFonts w:ascii="Arial" w:hAnsi="Arial" w:cs="Arial"/>
          <w:sz w:val="20"/>
          <w:szCs w:val="20"/>
        </w:rPr>
        <w:t xml:space="preserve"> </w:t>
      </w:r>
      <w:r w:rsidRPr="0061665F">
        <w:rPr>
          <w:rFonts w:ascii="Arial" w:hAnsi="Arial" w:cs="Arial"/>
          <w:sz w:val="20"/>
          <w:szCs w:val="20"/>
        </w:rPr>
        <w:t>capacities required to manage, coordinate, regulate and monitor the sector within an evolving environment</w:t>
      </w:r>
      <w:r>
        <w:rPr>
          <w:rFonts w:ascii="Arial" w:hAnsi="Arial" w:cs="Arial"/>
          <w:sz w:val="20"/>
          <w:szCs w:val="20"/>
        </w:rPr>
        <w:t>; (3)</w:t>
      </w:r>
      <w:r w:rsidRPr="0061665F">
        <w:rPr>
          <w:rFonts w:ascii="Arial" w:hAnsi="Arial" w:cs="Arial"/>
          <w:sz w:val="20"/>
          <w:szCs w:val="20"/>
        </w:rPr>
        <w:t xml:space="preserve"> </w:t>
      </w:r>
      <w:r>
        <w:rPr>
          <w:rFonts w:ascii="Arial" w:hAnsi="Arial" w:cs="Arial"/>
          <w:sz w:val="20"/>
          <w:szCs w:val="20"/>
        </w:rPr>
        <w:t>a</w:t>
      </w:r>
      <w:r w:rsidRPr="0061665F">
        <w:rPr>
          <w:rFonts w:ascii="Arial" w:hAnsi="Arial" w:cs="Arial"/>
          <w:sz w:val="20"/>
          <w:szCs w:val="20"/>
        </w:rPr>
        <w:t>t least 35 sq km of contaminated land is mapped, cleared and released for productive use through local planning</w:t>
      </w:r>
      <w:r>
        <w:rPr>
          <w:rFonts w:ascii="Arial" w:hAnsi="Arial" w:cs="Arial"/>
          <w:sz w:val="20"/>
          <w:szCs w:val="20"/>
        </w:rPr>
        <w:t xml:space="preserve"> </w:t>
      </w:r>
      <w:r w:rsidRPr="0061665F">
        <w:rPr>
          <w:rFonts w:ascii="Arial" w:hAnsi="Arial" w:cs="Arial"/>
          <w:sz w:val="20"/>
          <w:szCs w:val="20"/>
        </w:rPr>
        <w:t>which promotes efficiency and transparency.</w:t>
      </w:r>
    </w:p>
    <w:p w14:paraId="6A23DCF9" w14:textId="77777777" w:rsidR="00275667" w:rsidRDefault="00275667" w:rsidP="00FB1F76">
      <w:pPr>
        <w:tabs>
          <w:tab w:val="left" w:pos="6086"/>
        </w:tabs>
        <w:spacing w:line="276" w:lineRule="auto"/>
        <w:jc w:val="both"/>
        <w:rPr>
          <w:rFonts w:ascii="Arial" w:hAnsi="Arial" w:cs="Arial"/>
          <w:color w:val="000000"/>
          <w:sz w:val="20"/>
          <w:szCs w:val="20"/>
        </w:rPr>
      </w:pPr>
      <w:r w:rsidRPr="00275667">
        <w:rPr>
          <w:rFonts w:ascii="Arial" w:hAnsi="Arial" w:cs="Arial"/>
          <w:color w:val="000000"/>
          <w:sz w:val="20"/>
          <w:szCs w:val="20"/>
        </w:rPr>
        <w:t>Under CFRII, the project has achieved a cumulative total of about 79 km</w:t>
      </w:r>
      <w:r w:rsidRPr="00275667">
        <w:rPr>
          <w:rFonts w:ascii="Arial" w:hAnsi="Arial" w:cs="Arial"/>
          <w:color w:val="000000"/>
          <w:sz w:val="20"/>
          <w:szCs w:val="20"/>
          <w:vertAlign w:val="superscript"/>
        </w:rPr>
        <w:t>2</w:t>
      </w:r>
      <w:r w:rsidRPr="00275667">
        <w:rPr>
          <w:rFonts w:ascii="Arial" w:hAnsi="Arial" w:cs="Arial"/>
          <w:color w:val="000000"/>
          <w:sz w:val="20"/>
          <w:szCs w:val="20"/>
        </w:rPr>
        <w:t xml:space="preserve"> of land released (May 2011 – Mar</w:t>
      </w:r>
      <w:r w:rsidR="00A53A72">
        <w:rPr>
          <w:rFonts w:ascii="Arial" w:hAnsi="Arial" w:cs="Arial"/>
          <w:color w:val="000000"/>
          <w:sz w:val="20"/>
          <w:szCs w:val="20"/>
        </w:rPr>
        <w:t>ch</w:t>
      </w:r>
      <w:r w:rsidRPr="00275667">
        <w:rPr>
          <w:rFonts w:ascii="Arial" w:hAnsi="Arial" w:cs="Arial"/>
          <w:color w:val="000000"/>
          <w:sz w:val="20"/>
          <w:szCs w:val="20"/>
        </w:rPr>
        <w:t xml:space="preserve"> 2015). This represents 225% of the CFR II project target of 35 </w:t>
      </w:r>
      <w:commentRangeStart w:id="0"/>
      <w:r w:rsidRPr="00275667">
        <w:rPr>
          <w:rFonts w:ascii="Arial" w:hAnsi="Arial" w:cs="Arial"/>
          <w:color w:val="000000"/>
          <w:sz w:val="20"/>
          <w:szCs w:val="20"/>
        </w:rPr>
        <w:t>km</w:t>
      </w:r>
      <w:r w:rsidRPr="00275667">
        <w:rPr>
          <w:rFonts w:ascii="Arial" w:hAnsi="Arial" w:cs="Arial"/>
          <w:color w:val="000000"/>
          <w:sz w:val="20"/>
          <w:szCs w:val="20"/>
          <w:vertAlign w:val="superscript"/>
        </w:rPr>
        <w:t>2</w:t>
      </w:r>
      <w:commentRangeEnd w:id="0"/>
      <w:r w:rsidR="00E35AC5">
        <w:rPr>
          <w:rStyle w:val="CommentReference"/>
        </w:rPr>
        <w:commentReference w:id="0"/>
      </w:r>
      <w:r w:rsidR="00A53A72">
        <w:rPr>
          <w:rFonts w:ascii="Arial" w:hAnsi="Arial" w:cs="Arial"/>
          <w:color w:val="000000"/>
          <w:sz w:val="20"/>
          <w:szCs w:val="20"/>
        </w:rPr>
        <w:t xml:space="preserve">. </w:t>
      </w:r>
      <w:r w:rsidRPr="00275667">
        <w:rPr>
          <w:rFonts w:ascii="Arial" w:hAnsi="Arial" w:cs="Arial"/>
          <w:color w:val="000000"/>
          <w:sz w:val="20"/>
          <w:szCs w:val="20"/>
        </w:rPr>
        <w:t xml:space="preserve">CFRII has also been contributing to the decline in landmine casualties in the three western provinces it operates where contamination and a history of reported casualties had been the </w:t>
      </w:r>
      <w:commentRangeStart w:id="1"/>
      <w:r w:rsidRPr="00275667">
        <w:rPr>
          <w:rFonts w:ascii="Arial" w:hAnsi="Arial" w:cs="Arial"/>
          <w:color w:val="000000"/>
          <w:sz w:val="20"/>
          <w:szCs w:val="20"/>
        </w:rPr>
        <w:t>highest</w:t>
      </w:r>
      <w:commentRangeEnd w:id="1"/>
      <w:r w:rsidR="00E35AC5">
        <w:rPr>
          <w:rStyle w:val="CommentReference"/>
        </w:rPr>
        <w:commentReference w:id="1"/>
      </w:r>
      <w:r w:rsidRPr="00275667">
        <w:rPr>
          <w:rFonts w:ascii="Arial" w:hAnsi="Arial" w:cs="Arial"/>
          <w:color w:val="000000"/>
          <w:sz w:val="20"/>
          <w:szCs w:val="20"/>
        </w:rPr>
        <w:t xml:space="preserve">. </w:t>
      </w:r>
    </w:p>
    <w:p w14:paraId="7CE1340A" w14:textId="77777777" w:rsidR="00275667" w:rsidRPr="00275667" w:rsidRDefault="00275667" w:rsidP="00FB1F76">
      <w:pPr>
        <w:tabs>
          <w:tab w:val="left" w:pos="6086"/>
        </w:tabs>
        <w:spacing w:line="276" w:lineRule="auto"/>
        <w:jc w:val="both"/>
        <w:rPr>
          <w:rFonts w:ascii="Arial" w:hAnsi="Arial" w:cs="Arial"/>
          <w:color w:val="000000"/>
          <w:sz w:val="20"/>
          <w:szCs w:val="20"/>
          <w:lang w:val="en-GB"/>
        </w:rPr>
      </w:pPr>
      <w:r w:rsidRPr="00275667">
        <w:rPr>
          <w:rFonts w:ascii="Arial" w:hAnsi="Arial" w:cs="Arial"/>
          <w:color w:val="000000"/>
          <w:sz w:val="20"/>
          <w:szCs w:val="20"/>
        </w:rPr>
        <w:t>The project technical monitoring reports state that released lands used for agriculture (more than 88% in 2014) for housing and infrastructure such as: construction of roads, schools, temples and historical sites.</w:t>
      </w:r>
    </w:p>
    <w:p w14:paraId="66965FF0" w14:textId="77777777" w:rsidR="00275667" w:rsidRPr="00275667" w:rsidRDefault="0028387A" w:rsidP="00FB1F76">
      <w:pPr>
        <w:spacing w:line="276" w:lineRule="auto"/>
        <w:jc w:val="both"/>
        <w:rPr>
          <w:rFonts w:ascii="Arial" w:hAnsi="Arial" w:cs="Arial"/>
          <w:color w:val="000000"/>
          <w:sz w:val="20"/>
          <w:szCs w:val="20"/>
          <w:lang w:val="en-GB"/>
        </w:rPr>
      </w:pPr>
      <w:r>
        <w:rPr>
          <w:rFonts w:ascii="Arial" w:hAnsi="Arial" w:cs="Arial"/>
          <w:color w:val="000000"/>
          <w:sz w:val="20"/>
          <w:szCs w:val="20"/>
          <w:lang w:val="en-GB"/>
        </w:rPr>
        <w:t>T</w:t>
      </w:r>
      <w:r w:rsidR="00403E4E">
        <w:rPr>
          <w:rFonts w:ascii="Arial" w:hAnsi="Arial" w:cs="Arial"/>
          <w:color w:val="000000"/>
          <w:sz w:val="20"/>
          <w:szCs w:val="20"/>
          <w:lang w:val="en-GB"/>
        </w:rPr>
        <w:t xml:space="preserve">o </w:t>
      </w:r>
      <w:r>
        <w:rPr>
          <w:rFonts w:ascii="Arial" w:hAnsi="Arial" w:cs="Arial"/>
          <w:color w:val="000000"/>
          <w:sz w:val="20"/>
          <w:szCs w:val="20"/>
          <w:lang w:val="en-GB"/>
        </w:rPr>
        <w:t xml:space="preserve">measure </w:t>
      </w:r>
      <w:r w:rsidRPr="00275667">
        <w:rPr>
          <w:rFonts w:ascii="Arial" w:hAnsi="Arial" w:cs="Arial"/>
          <w:color w:val="000000"/>
          <w:sz w:val="20"/>
          <w:szCs w:val="20"/>
          <w:lang w:val="en-GB"/>
        </w:rPr>
        <w:t xml:space="preserve">impact of </w:t>
      </w:r>
      <w:r>
        <w:rPr>
          <w:rFonts w:ascii="Arial" w:hAnsi="Arial" w:cs="Arial"/>
          <w:color w:val="000000"/>
          <w:sz w:val="20"/>
          <w:szCs w:val="20"/>
          <w:lang w:val="en-GB"/>
        </w:rPr>
        <w:t>the CFRII II project</w:t>
      </w:r>
      <w:r w:rsidRPr="00275667">
        <w:rPr>
          <w:rFonts w:ascii="Arial" w:hAnsi="Arial" w:cs="Arial"/>
          <w:color w:val="000000"/>
          <w:sz w:val="20"/>
          <w:szCs w:val="20"/>
          <w:lang w:val="en-GB"/>
        </w:rPr>
        <w:t xml:space="preserve"> against Cambodia’s National Mine Action Strategy (2010-2019) to reduce poverty and enhance economic growth </w:t>
      </w:r>
      <w:r>
        <w:rPr>
          <w:rFonts w:ascii="Arial" w:hAnsi="Arial" w:cs="Arial"/>
          <w:color w:val="000000"/>
          <w:sz w:val="20"/>
          <w:szCs w:val="20"/>
          <w:lang w:val="en-GB"/>
        </w:rPr>
        <w:t xml:space="preserve">and assess achievements of the project </w:t>
      </w:r>
      <w:r w:rsidR="00403E4E">
        <w:rPr>
          <w:rFonts w:ascii="Arial" w:hAnsi="Arial" w:cs="Arial"/>
          <w:color w:val="000000"/>
          <w:sz w:val="20"/>
          <w:szCs w:val="20"/>
          <w:lang w:val="en-GB"/>
        </w:rPr>
        <w:t>key deliverable</w:t>
      </w:r>
      <w:r>
        <w:rPr>
          <w:rFonts w:ascii="Arial" w:hAnsi="Arial" w:cs="Arial"/>
          <w:color w:val="000000"/>
          <w:sz w:val="20"/>
          <w:szCs w:val="20"/>
          <w:lang w:val="en-GB"/>
        </w:rPr>
        <w:t xml:space="preserve">s the Impact Assessment survey is designed </w:t>
      </w:r>
      <w:r w:rsidR="0076140D">
        <w:rPr>
          <w:rFonts w:ascii="Arial" w:hAnsi="Arial" w:cs="Arial"/>
          <w:color w:val="000000"/>
          <w:sz w:val="20"/>
          <w:szCs w:val="20"/>
          <w:lang w:val="en-GB"/>
        </w:rPr>
        <w:t xml:space="preserve">to </w:t>
      </w:r>
      <w:r w:rsidR="00275667" w:rsidRPr="00275667">
        <w:rPr>
          <w:rFonts w:ascii="Arial" w:hAnsi="Arial" w:cs="Arial"/>
          <w:color w:val="000000"/>
          <w:sz w:val="20"/>
          <w:szCs w:val="20"/>
          <w:lang w:val="en-GB"/>
        </w:rPr>
        <w:t xml:space="preserve">identify the changes in human livelihoods </w:t>
      </w:r>
      <w:r w:rsidR="007139E5">
        <w:rPr>
          <w:rFonts w:ascii="Arial" w:hAnsi="Arial" w:cs="Arial"/>
          <w:color w:val="000000"/>
          <w:sz w:val="20"/>
          <w:szCs w:val="20"/>
          <w:lang w:val="en-GB"/>
        </w:rPr>
        <w:t>after release of land</w:t>
      </w:r>
      <w:r w:rsidR="00275667" w:rsidRPr="00275667">
        <w:rPr>
          <w:rFonts w:ascii="Arial" w:hAnsi="Arial" w:cs="Arial"/>
          <w:color w:val="000000"/>
          <w:sz w:val="20"/>
          <w:szCs w:val="20"/>
          <w:lang w:val="en-GB"/>
        </w:rPr>
        <w:t xml:space="preserve">. </w:t>
      </w:r>
    </w:p>
    <w:p w14:paraId="31EB6137" w14:textId="77777777" w:rsidR="00275667" w:rsidRPr="00275667" w:rsidRDefault="00275667" w:rsidP="00FB1F76">
      <w:pPr>
        <w:tabs>
          <w:tab w:val="left" w:pos="6086"/>
        </w:tabs>
        <w:spacing w:line="276" w:lineRule="auto"/>
        <w:jc w:val="both"/>
        <w:rPr>
          <w:rFonts w:ascii="Arial" w:hAnsi="Arial" w:cs="Arial"/>
          <w:color w:val="000000"/>
          <w:sz w:val="20"/>
          <w:szCs w:val="20"/>
        </w:rPr>
      </w:pPr>
      <w:r w:rsidRPr="00275667">
        <w:rPr>
          <w:rFonts w:ascii="Arial" w:hAnsi="Arial" w:cs="Arial"/>
          <w:color w:val="000000"/>
          <w:sz w:val="20"/>
          <w:szCs w:val="20"/>
        </w:rPr>
        <w:t>The study should identify changes</w:t>
      </w:r>
      <w:r w:rsidR="00284ED9">
        <w:rPr>
          <w:rFonts w:ascii="Arial" w:hAnsi="Arial" w:cs="Arial"/>
          <w:color w:val="000000"/>
          <w:sz w:val="20"/>
          <w:szCs w:val="20"/>
        </w:rPr>
        <w:t xml:space="preserve"> </w:t>
      </w:r>
      <w:r w:rsidRPr="00275667">
        <w:rPr>
          <w:rFonts w:ascii="Arial" w:hAnsi="Arial" w:cs="Arial"/>
          <w:color w:val="000000"/>
          <w:sz w:val="20"/>
          <w:szCs w:val="20"/>
        </w:rPr>
        <w:t>in liveli</w:t>
      </w:r>
      <w:r w:rsidR="007139E5">
        <w:rPr>
          <w:rFonts w:ascii="Arial" w:hAnsi="Arial" w:cs="Arial"/>
          <w:color w:val="000000"/>
          <w:sz w:val="20"/>
          <w:szCs w:val="20"/>
        </w:rPr>
        <w:t>hoods, community infrastructure</w:t>
      </w:r>
      <w:r w:rsidRPr="00275667">
        <w:rPr>
          <w:rFonts w:ascii="Arial" w:hAnsi="Arial" w:cs="Arial"/>
          <w:color w:val="000000"/>
          <w:sz w:val="20"/>
          <w:szCs w:val="20"/>
        </w:rPr>
        <w:t xml:space="preserve"> and </w:t>
      </w:r>
      <w:r w:rsidR="0076140D">
        <w:rPr>
          <w:rFonts w:ascii="Arial" w:hAnsi="Arial" w:cs="Arial"/>
          <w:color w:val="000000"/>
          <w:sz w:val="20"/>
          <w:szCs w:val="20"/>
        </w:rPr>
        <w:t xml:space="preserve">local </w:t>
      </w:r>
      <w:r w:rsidRPr="00275667">
        <w:rPr>
          <w:rFonts w:ascii="Arial" w:hAnsi="Arial" w:cs="Arial"/>
          <w:color w:val="000000"/>
          <w:sz w:val="20"/>
          <w:szCs w:val="20"/>
        </w:rPr>
        <w:t xml:space="preserve">development in </w:t>
      </w:r>
      <w:r w:rsidR="00284ED9">
        <w:rPr>
          <w:rFonts w:ascii="Arial" w:hAnsi="Arial" w:cs="Arial"/>
          <w:color w:val="000000"/>
          <w:sz w:val="20"/>
          <w:szCs w:val="20"/>
        </w:rPr>
        <w:t xml:space="preserve">the </w:t>
      </w:r>
      <w:r w:rsidRPr="00275667">
        <w:rPr>
          <w:rFonts w:ascii="Arial" w:hAnsi="Arial" w:cs="Arial"/>
          <w:color w:val="000000"/>
          <w:sz w:val="20"/>
          <w:szCs w:val="20"/>
        </w:rPr>
        <w:t>three target</w:t>
      </w:r>
      <w:r w:rsidR="007139E5">
        <w:rPr>
          <w:rFonts w:ascii="Arial" w:hAnsi="Arial" w:cs="Arial"/>
          <w:color w:val="000000"/>
          <w:sz w:val="20"/>
          <w:szCs w:val="20"/>
        </w:rPr>
        <w:t>ed</w:t>
      </w:r>
      <w:r w:rsidRPr="00275667">
        <w:rPr>
          <w:rFonts w:ascii="Arial" w:hAnsi="Arial" w:cs="Arial"/>
          <w:color w:val="000000"/>
          <w:sz w:val="20"/>
          <w:szCs w:val="20"/>
        </w:rPr>
        <w:t xml:space="preserve"> provinces: Battambang, Banteay Meanchey and Pailin. </w:t>
      </w:r>
    </w:p>
    <w:p w14:paraId="2DFD4B74" w14:textId="77777777" w:rsidR="00284ED9" w:rsidRDefault="0076140D" w:rsidP="00FB1F76">
      <w:pPr>
        <w:spacing w:line="276" w:lineRule="auto"/>
        <w:jc w:val="both"/>
        <w:rPr>
          <w:rFonts w:ascii="Arial" w:hAnsi="Arial" w:cs="Arial"/>
          <w:color w:val="000000"/>
          <w:sz w:val="20"/>
          <w:szCs w:val="20"/>
        </w:rPr>
      </w:pPr>
      <w:r>
        <w:rPr>
          <w:rFonts w:ascii="Arial" w:hAnsi="Arial" w:cs="Arial"/>
          <w:color w:val="000000"/>
          <w:sz w:val="20"/>
          <w:szCs w:val="20"/>
        </w:rPr>
        <w:t>In addition, findings and</w:t>
      </w:r>
      <w:r w:rsidR="00275667" w:rsidRPr="00275667">
        <w:rPr>
          <w:rFonts w:ascii="Arial" w:hAnsi="Arial" w:cs="Arial"/>
          <w:color w:val="000000"/>
          <w:sz w:val="20"/>
          <w:szCs w:val="20"/>
        </w:rPr>
        <w:t xml:space="preserve"> recommendations of </w:t>
      </w:r>
      <w:r w:rsidR="007139E5">
        <w:rPr>
          <w:rFonts w:ascii="Arial" w:hAnsi="Arial" w:cs="Arial"/>
          <w:color w:val="000000"/>
          <w:sz w:val="20"/>
          <w:szCs w:val="20"/>
        </w:rPr>
        <w:t>the survey will be integrated into</w:t>
      </w:r>
      <w:r w:rsidR="00275667" w:rsidRPr="00275667">
        <w:rPr>
          <w:rFonts w:ascii="Arial" w:hAnsi="Arial" w:cs="Arial"/>
          <w:color w:val="000000"/>
          <w:sz w:val="20"/>
          <w:szCs w:val="20"/>
        </w:rPr>
        <w:t xml:space="preserve"> </w:t>
      </w:r>
      <w:r>
        <w:rPr>
          <w:rFonts w:ascii="Arial" w:hAnsi="Arial" w:cs="Arial"/>
          <w:color w:val="000000"/>
          <w:sz w:val="20"/>
          <w:szCs w:val="20"/>
        </w:rPr>
        <w:t xml:space="preserve">mine action sector evaluation </w:t>
      </w:r>
      <w:r w:rsidR="00284ED9">
        <w:rPr>
          <w:rFonts w:ascii="Arial" w:hAnsi="Arial" w:cs="Arial"/>
          <w:color w:val="000000"/>
          <w:sz w:val="20"/>
          <w:szCs w:val="20"/>
        </w:rPr>
        <w:t xml:space="preserve">in Cambodia.  </w:t>
      </w:r>
    </w:p>
    <w:p w14:paraId="69447E20" w14:textId="77777777" w:rsidR="00275667" w:rsidRPr="00275667" w:rsidRDefault="00275667" w:rsidP="00275667">
      <w:pPr>
        <w:tabs>
          <w:tab w:val="left" w:pos="6086"/>
        </w:tabs>
        <w:spacing w:line="276" w:lineRule="auto"/>
        <w:ind w:left="720"/>
        <w:jc w:val="both"/>
        <w:rPr>
          <w:rFonts w:ascii="Arial" w:hAnsi="Arial" w:cs="Arial"/>
          <w:color w:val="000000"/>
          <w:sz w:val="20"/>
          <w:szCs w:val="20"/>
        </w:rPr>
      </w:pPr>
    </w:p>
    <w:p w14:paraId="03A77B6E" w14:textId="77777777" w:rsidR="00275667" w:rsidRPr="00275667" w:rsidRDefault="00275667" w:rsidP="00275667">
      <w:pPr>
        <w:spacing w:line="276" w:lineRule="auto"/>
        <w:ind w:left="720"/>
        <w:jc w:val="both"/>
        <w:rPr>
          <w:rFonts w:ascii="Arial" w:hAnsi="Arial" w:cs="Arial"/>
          <w:color w:val="000000"/>
          <w:sz w:val="20"/>
          <w:szCs w:val="20"/>
          <w:lang w:val="en-GB"/>
        </w:rPr>
      </w:pPr>
    </w:p>
    <w:p w14:paraId="4B36CA5B" w14:textId="77777777" w:rsidR="00275667" w:rsidRDefault="00275667" w:rsidP="00275667">
      <w:pPr>
        <w:jc w:val="both"/>
        <w:rPr>
          <w:rFonts w:ascii="Arial" w:hAnsi="Arial" w:cs="Arial"/>
          <w:sz w:val="20"/>
          <w:szCs w:val="20"/>
        </w:rPr>
      </w:pPr>
    </w:p>
    <w:p w14:paraId="0FFDE306" w14:textId="77777777" w:rsidR="00275667" w:rsidRDefault="00275667" w:rsidP="00275667">
      <w:pPr>
        <w:jc w:val="both"/>
        <w:rPr>
          <w:rFonts w:ascii="Arial" w:hAnsi="Arial" w:cs="Arial"/>
          <w:sz w:val="20"/>
          <w:szCs w:val="20"/>
        </w:rPr>
      </w:pPr>
    </w:p>
    <w:p w14:paraId="19FB081E" w14:textId="77777777" w:rsidR="003B6499" w:rsidRDefault="003B6499" w:rsidP="00275667">
      <w:pPr>
        <w:jc w:val="both"/>
        <w:rPr>
          <w:rFonts w:ascii="Arial" w:hAnsi="Arial" w:cs="Arial"/>
          <w:sz w:val="20"/>
          <w:szCs w:val="20"/>
        </w:rPr>
      </w:pPr>
    </w:p>
    <w:p w14:paraId="4E731D72" w14:textId="77777777" w:rsidR="0076140D" w:rsidRDefault="0076140D" w:rsidP="00560803">
      <w:pPr>
        <w:rPr>
          <w:rFonts w:ascii="Arial" w:hAnsi="Arial" w:cs="Arial"/>
          <w:sz w:val="20"/>
          <w:szCs w:val="20"/>
        </w:rPr>
      </w:pPr>
    </w:p>
    <w:p w14:paraId="313D813F" w14:textId="77777777" w:rsidR="00FD5AD9" w:rsidRPr="004C6941" w:rsidRDefault="000D6F5A" w:rsidP="00560803">
      <w:pPr>
        <w:rPr>
          <w:rFonts w:ascii="Arial" w:hAnsi="Arial" w:cs="Arial"/>
          <w:color w:val="0070C0"/>
          <w:sz w:val="20"/>
          <w:szCs w:val="20"/>
        </w:rPr>
      </w:pPr>
      <w:r w:rsidRPr="004C6941">
        <w:rPr>
          <w:rFonts w:ascii="Arial" w:hAnsi="Arial" w:cs="Arial"/>
          <w:color w:val="0070C0"/>
          <w:sz w:val="20"/>
          <w:szCs w:val="20"/>
        </w:rPr>
        <w:lastRenderedPageBreak/>
        <w:t>INTRODUCTION</w:t>
      </w:r>
    </w:p>
    <w:p w14:paraId="1F9417C5" w14:textId="4D94656F" w:rsidR="00831990" w:rsidRPr="004C6941" w:rsidRDefault="00B13413" w:rsidP="00831990">
      <w:pPr>
        <w:rPr>
          <w:rFonts w:ascii="Arial" w:hAnsi="Arial" w:cs="Arial"/>
          <w:sz w:val="20"/>
          <w:szCs w:val="20"/>
        </w:rPr>
      </w:pPr>
      <w:r w:rsidRPr="004C6941">
        <w:rPr>
          <w:rFonts w:ascii="Arial" w:hAnsi="Arial" w:cs="Arial"/>
          <w:sz w:val="20"/>
          <w:szCs w:val="20"/>
        </w:rPr>
        <w:t>For communities l</w:t>
      </w:r>
      <w:r w:rsidR="00284ED9">
        <w:rPr>
          <w:rFonts w:ascii="Arial" w:hAnsi="Arial" w:cs="Arial"/>
          <w:sz w:val="20"/>
          <w:szCs w:val="20"/>
        </w:rPr>
        <w:t xml:space="preserve">iving in contaminated areas, </w:t>
      </w:r>
      <w:r w:rsidR="00284ED9" w:rsidRPr="004C6941">
        <w:rPr>
          <w:rFonts w:ascii="Arial" w:hAnsi="Arial" w:cs="Arial"/>
          <w:sz w:val="20"/>
          <w:szCs w:val="20"/>
        </w:rPr>
        <w:t>mine</w:t>
      </w:r>
      <w:r w:rsidRPr="004C6941">
        <w:rPr>
          <w:rFonts w:ascii="Arial" w:hAnsi="Arial" w:cs="Arial"/>
          <w:sz w:val="20"/>
          <w:szCs w:val="20"/>
        </w:rPr>
        <w:t xml:space="preserve"> action sector has enabled safe access to means of production, </w:t>
      </w:r>
      <w:r w:rsidR="0024757B">
        <w:rPr>
          <w:rFonts w:ascii="Arial" w:hAnsi="Arial" w:cs="Arial"/>
          <w:sz w:val="20"/>
          <w:szCs w:val="20"/>
        </w:rPr>
        <w:t>use of public schools</w:t>
      </w:r>
      <w:r w:rsidR="00DE331E" w:rsidRPr="004C6941">
        <w:rPr>
          <w:rFonts w:ascii="Arial" w:hAnsi="Arial" w:cs="Arial"/>
          <w:sz w:val="20"/>
          <w:szCs w:val="20"/>
        </w:rPr>
        <w:t xml:space="preserve">, settlements and better use of infrastructure and shelter. </w:t>
      </w:r>
      <w:r w:rsidR="00E35AC5">
        <w:rPr>
          <w:rFonts w:ascii="Arial" w:hAnsi="Arial" w:cs="Arial"/>
          <w:sz w:val="20"/>
          <w:szCs w:val="20"/>
        </w:rPr>
        <w:t xml:space="preserve">Land </w:t>
      </w:r>
      <w:proofErr w:type="spellStart"/>
      <w:r w:rsidR="00E35AC5">
        <w:rPr>
          <w:rFonts w:ascii="Arial" w:hAnsi="Arial" w:cs="Arial"/>
          <w:sz w:val="20"/>
          <w:szCs w:val="20"/>
        </w:rPr>
        <w:t>releasem</w:t>
      </w:r>
      <w:proofErr w:type="spellEnd"/>
      <w:r w:rsidR="00E35AC5">
        <w:rPr>
          <w:rFonts w:ascii="Arial" w:hAnsi="Arial" w:cs="Arial"/>
          <w:sz w:val="20"/>
          <w:szCs w:val="20"/>
        </w:rPr>
        <w:t xml:space="preserve"> including through m</w:t>
      </w:r>
      <w:r w:rsidR="00DE331E" w:rsidRPr="004C6941">
        <w:rPr>
          <w:rFonts w:ascii="Arial" w:hAnsi="Arial" w:cs="Arial"/>
          <w:sz w:val="20"/>
          <w:szCs w:val="20"/>
        </w:rPr>
        <w:t xml:space="preserve">ine clearance regenerated </w:t>
      </w:r>
      <w:r w:rsidR="00831990" w:rsidRPr="004C6941">
        <w:rPr>
          <w:rFonts w:ascii="Arial" w:hAnsi="Arial" w:cs="Arial"/>
          <w:sz w:val="20"/>
          <w:szCs w:val="20"/>
        </w:rPr>
        <w:t xml:space="preserve">safe and sustainable livelihoods in the affected areas. </w:t>
      </w:r>
    </w:p>
    <w:p w14:paraId="0F6097CB" w14:textId="26400D36" w:rsidR="00D84662" w:rsidRPr="004C6941" w:rsidRDefault="00284ED9" w:rsidP="00D84662">
      <w:pPr>
        <w:jc w:val="both"/>
        <w:rPr>
          <w:rFonts w:ascii="Arial" w:hAnsi="Arial" w:cs="Arial"/>
          <w:sz w:val="20"/>
          <w:szCs w:val="20"/>
        </w:rPr>
      </w:pPr>
      <w:r>
        <w:rPr>
          <w:rFonts w:ascii="Arial" w:hAnsi="Arial" w:cs="Arial"/>
          <w:sz w:val="20"/>
          <w:szCs w:val="20"/>
        </w:rPr>
        <w:t>Clear</w:t>
      </w:r>
      <w:r w:rsidR="00AE6D47">
        <w:rPr>
          <w:rFonts w:ascii="Arial" w:hAnsi="Arial" w:cs="Arial"/>
          <w:sz w:val="20"/>
          <w:szCs w:val="20"/>
        </w:rPr>
        <w:t>ing</w:t>
      </w:r>
      <w:r>
        <w:rPr>
          <w:rFonts w:ascii="Arial" w:hAnsi="Arial" w:cs="Arial"/>
          <w:sz w:val="20"/>
          <w:szCs w:val="20"/>
        </w:rPr>
        <w:t xml:space="preserve"> for Results </w:t>
      </w:r>
      <w:r w:rsidR="0076140D">
        <w:rPr>
          <w:rFonts w:ascii="Arial" w:hAnsi="Arial" w:cs="Arial"/>
          <w:sz w:val="20"/>
          <w:szCs w:val="20"/>
        </w:rPr>
        <w:t xml:space="preserve">II project </w:t>
      </w:r>
      <w:r>
        <w:rPr>
          <w:rFonts w:ascii="Arial" w:hAnsi="Arial" w:cs="Arial"/>
          <w:sz w:val="20"/>
          <w:szCs w:val="20"/>
        </w:rPr>
        <w:t xml:space="preserve">reported </w:t>
      </w:r>
      <w:r w:rsidR="0076140D">
        <w:rPr>
          <w:rFonts w:ascii="Arial" w:hAnsi="Arial" w:cs="Arial"/>
          <w:sz w:val="20"/>
          <w:szCs w:val="20"/>
        </w:rPr>
        <w:t>its</w:t>
      </w:r>
      <w:r w:rsidR="00D84662" w:rsidRPr="004C6941">
        <w:rPr>
          <w:rFonts w:ascii="Arial" w:hAnsi="Arial" w:cs="Arial"/>
          <w:sz w:val="20"/>
          <w:szCs w:val="20"/>
        </w:rPr>
        <w:t xml:space="preserve"> results in </w:t>
      </w:r>
      <w:r w:rsidR="001B5BD3">
        <w:rPr>
          <w:rFonts w:ascii="Arial" w:hAnsi="Arial" w:cs="Arial"/>
          <w:sz w:val="20"/>
          <w:szCs w:val="20"/>
        </w:rPr>
        <w:t xml:space="preserve">mine action </w:t>
      </w:r>
      <w:r w:rsidR="00D84662" w:rsidRPr="004C6941">
        <w:rPr>
          <w:rFonts w:ascii="Arial" w:hAnsi="Arial" w:cs="Arial"/>
          <w:sz w:val="20"/>
          <w:szCs w:val="20"/>
        </w:rPr>
        <w:t>traditional terms based on cleared square meters</w:t>
      </w:r>
      <w:r w:rsidR="004A664B" w:rsidRPr="004C6941">
        <w:rPr>
          <w:rFonts w:ascii="Arial" w:hAnsi="Arial" w:cs="Arial"/>
          <w:sz w:val="20"/>
          <w:szCs w:val="20"/>
        </w:rPr>
        <w:t xml:space="preserve"> and number of</w:t>
      </w:r>
      <w:r w:rsidR="00D84662" w:rsidRPr="004C6941">
        <w:rPr>
          <w:rFonts w:ascii="Arial" w:hAnsi="Arial" w:cs="Arial"/>
          <w:sz w:val="20"/>
          <w:szCs w:val="20"/>
        </w:rPr>
        <w:t xml:space="preserve"> removed unexploded ordnance or mines. Even though such</w:t>
      </w:r>
      <w:r w:rsidR="0077680D">
        <w:rPr>
          <w:rFonts w:ascii="Arial" w:hAnsi="Arial" w:cs="Arial"/>
          <w:sz w:val="20"/>
          <w:szCs w:val="20"/>
        </w:rPr>
        <w:t xml:space="preserve"> quantitative</w:t>
      </w:r>
      <w:r w:rsidR="00D84662" w:rsidRPr="004C6941">
        <w:rPr>
          <w:rFonts w:ascii="Arial" w:hAnsi="Arial" w:cs="Arial"/>
          <w:sz w:val="20"/>
          <w:szCs w:val="20"/>
        </w:rPr>
        <w:t xml:space="preserve"> information is needed for measuring the</w:t>
      </w:r>
      <w:r w:rsidR="0077680D">
        <w:rPr>
          <w:rFonts w:ascii="Arial" w:hAnsi="Arial" w:cs="Arial"/>
          <w:sz w:val="20"/>
          <w:szCs w:val="20"/>
        </w:rPr>
        <w:t xml:space="preserve"> effectiveness and</w:t>
      </w:r>
      <w:r w:rsidR="00D84662" w:rsidRPr="004C6941">
        <w:rPr>
          <w:rFonts w:ascii="Arial" w:hAnsi="Arial" w:cs="Arial"/>
          <w:sz w:val="20"/>
          <w:szCs w:val="20"/>
        </w:rPr>
        <w:t xml:space="preserve"> efficiency of mine field operators</w:t>
      </w:r>
      <w:r w:rsidR="004A664B" w:rsidRPr="004C6941">
        <w:rPr>
          <w:rFonts w:ascii="Arial" w:hAnsi="Arial" w:cs="Arial"/>
          <w:sz w:val="20"/>
          <w:szCs w:val="20"/>
        </w:rPr>
        <w:t xml:space="preserve"> and technical achievements</w:t>
      </w:r>
      <w:r w:rsidR="00D84662" w:rsidRPr="004C6941">
        <w:rPr>
          <w:rFonts w:ascii="Arial" w:hAnsi="Arial" w:cs="Arial"/>
          <w:sz w:val="20"/>
          <w:szCs w:val="20"/>
        </w:rPr>
        <w:t>, they are not meaningful</w:t>
      </w:r>
      <w:r w:rsidR="0077680D">
        <w:rPr>
          <w:rFonts w:ascii="Arial" w:hAnsi="Arial" w:cs="Arial"/>
          <w:sz w:val="20"/>
          <w:szCs w:val="20"/>
        </w:rPr>
        <w:t xml:space="preserve"> qualitative</w:t>
      </w:r>
      <w:r w:rsidR="00D84662" w:rsidRPr="004C6941">
        <w:rPr>
          <w:rFonts w:ascii="Arial" w:hAnsi="Arial" w:cs="Arial"/>
          <w:sz w:val="20"/>
          <w:szCs w:val="20"/>
        </w:rPr>
        <w:t xml:space="preserve"> indicators of</w:t>
      </w:r>
      <w:r w:rsidR="0077680D">
        <w:rPr>
          <w:rFonts w:ascii="Arial" w:hAnsi="Arial" w:cs="Arial"/>
          <w:sz w:val="20"/>
          <w:szCs w:val="20"/>
        </w:rPr>
        <w:t xml:space="preserve"> outcomes, particularly</w:t>
      </w:r>
      <w:r w:rsidR="00D84662" w:rsidRPr="004C6941">
        <w:rPr>
          <w:rFonts w:ascii="Arial" w:hAnsi="Arial" w:cs="Arial"/>
          <w:sz w:val="20"/>
          <w:szCs w:val="20"/>
        </w:rPr>
        <w:t xml:space="preserve"> livelih</w:t>
      </w:r>
      <w:r w:rsidR="004A664B" w:rsidRPr="004C6941">
        <w:rPr>
          <w:rFonts w:ascii="Arial" w:hAnsi="Arial" w:cs="Arial"/>
          <w:sz w:val="20"/>
          <w:szCs w:val="20"/>
        </w:rPr>
        <w:t xml:space="preserve">ood impact and </w:t>
      </w:r>
      <w:r w:rsidR="00B008BE" w:rsidRPr="004C6941">
        <w:rPr>
          <w:rFonts w:ascii="Arial" w:hAnsi="Arial" w:cs="Arial"/>
          <w:sz w:val="20"/>
          <w:szCs w:val="20"/>
        </w:rPr>
        <w:t>development</w:t>
      </w:r>
      <w:r w:rsidR="00D84662" w:rsidRPr="004C6941">
        <w:rPr>
          <w:rFonts w:ascii="Arial" w:hAnsi="Arial" w:cs="Arial"/>
          <w:sz w:val="20"/>
          <w:szCs w:val="20"/>
        </w:rPr>
        <w:t xml:space="preserve">. </w:t>
      </w:r>
      <w:r w:rsidR="0076140D">
        <w:rPr>
          <w:rFonts w:ascii="Arial" w:hAnsi="Arial" w:cs="Arial"/>
          <w:sz w:val="20"/>
          <w:szCs w:val="20"/>
        </w:rPr>
        <w:t>The Impact</w:t>
      </w:r>
      <w:r w:rsidR="00AE6D47">
        <w:rPr>
          <w:rFonts w:ascii="Arial" w:hAnsi="Arial" w:cs="Arial"/>
          <w:sz w:val="20"/>
          <w:szCs w:val="20"/>
        </w:rPr>
        <w:t xml:space="preserve"> Assessment should address this information gap and provide clear indicators </w:t>
      </w:r>
      <w:r w:rsidR="0076140D">
        <w:rPr>
          <w:rFonts w:ascii="Arial" w:hAnsi="Arial" w:cs="Arial"/>
          <w:sz w:val="20"/>
          <w:szCs w:val="20"/>
        </w:rPr>
        <w:t xml:space="preserve">for monitoring and evaluation </w:t>
      </w:r>
      <w:r w:rsidR="001B5BD3">
        <w:rPr>
          <w:rFonts w:ascii="Arial" w:hAnsi="Arial" w:cs="Arial"/>
          <w:sz w:val="20"/>
          <w:szCs w:val="20"/>
        </w:rPr>
        <w:t>and</w:t>
      </w:r>
      <w:r w:rsidR="00E8753D">
        <w:rPr>
          <w:rFonts w:ascii="Arial" w:hAnsi="Arial" w:cs="Arial"/>
          <w:sz w:val="20"/>
          <w:szCs w:val="20"/>
        </w:rPr>
        <w:t xml:space="preserve"> livelihood</w:t>
      </w:r>
      <w:r w:rsidR="00AE6D47">
        <w:rPr>
          <w:rFonts w:ascii="Arial" w:hAnsi="Arial" w:cs="Arial"/>
          <w:sz w:val="20"/>
          <w:szCs w:val="20"/>
        </w:rPr>
        <w:t xml:space="preserve"> and community development aspects.</w:t>
      </w:r>
      <w:r w:rsidR="0077680D">
        <w:rPr>
          <w:rFonts w:ascii="Arial" w:hAnsi="Arial" w:cs="Arial"/>
          <w:sz w:val="20"/>
          <w:szCs w:val="20"/>
        </w:rPr>
        <w:t xml:space="preserve"> Analysis of impact, especially understanding the linkages between</w:t>
      </w:r>
      <w:r w:rsidR="00AE6D47">
        <w:rPr>
          <w:rFonts w:ascii="Arial" w:hAnsi="Arial" w:cs="Arial"/>
          <w:sz w:val="20"/>
          <w:szCs w:val="20"/>
        </w:rPr>
        <w:t xml:space="preserve"> </w:t>
      </w:r>
      <w:r w:rsidR="00D84662" w:rsidRPr="004C6941">
        <w:rPr>
          <w:rFonts w:ascii="Arial" w:hAnsi="Arial" w:cs="Arial"/>
          <w:sz w:val="20"/>
          <w:szCs w:val="20"/>
        </w:rPr>
        <w:t xml:space="preserve">mine action and development is still in its </w:t>
      </w:r>
      <w:r w:rsidR="0063481E" w:rsidRPr="004C6941">
        <w:rPr>
          <w:rFonts w:ascii="Arial" w:hAnsi="Arial" w:cs="Arial"/>
          <w:sz w:val="20"/>
          <w:szCs w:val="20"/>
        </w:rPr>
        <w:t xml:space="preserve">early stages </w:t>
      </w:r>
      <w:r w:rsidR="00D84662" w:rsidRPr="004C6941">
        <w:rPr>
          <w:rFonts w:ascii="Arial" w:hAnsi="Arial" w:cs="Arial"/>
          <w:sz w:val="20"/>
          <w:szCs w:val="20"/>
        </w:rPr>
        <w:t>in Cambodia</w:t>
      </w:r>
      <w:r w:rsidR="00C42DA7" w:rsidRPr="004C6941">
        <w:rPr>
          <w:rFonts w:ascii="Arial" w:hAnsi="Arial" w:cs="Arial"/>
          <w:sz w:val="20"/>
          <w:szCs w:val="20"/>
        </w:rPr>
        <w:t xml:space="preserve">, therefore </w:t>
      </w:r>
      <w:r w:rsidR="00E8753D">
        <w:rPr>
          <w:rFonts w:ascii="Arial" w:hAnsi="Arial" w:cs="Arial"/>
          <w:sz w:val="20"/>
          <w:szCs w:val="20"/>
        </w:rPr>
        <w:t>the st</w:t>
      </w:r>
      <w:r w:rsidR="001B5BD3">
        <w:rPr>
          <w:rFonts w:ascii="Arial" w:hAnsi="Arial" w:cs="Arial"/>
          <w:sz w:val="20"/>
          <w:szCs w:val="20"/>
        </w:rPr>
        <w:t>udy is</w:t>
      </w:r>
      <w:r w:rsidR="00E8753D">
        <w:rPr>
          <w:rFonts w:ascii="Arial" w:hAnsi="Arial" w:cs="Arial"/>
          <w:sz w:val="20"/>
          <w:szCs w:val="20"/>
        </w:rPr>
        <w:t xml:space="preserve"> considered as </w:t>
      </w:r>
      <w:r w:rsidR="001B5BD3">
        <w:rPr>
          <w:rFonts w:ascii="Arial" w:hAnsi="Arial" w:cs="Arial"/>
          <w:sz w:val="20"/>
          <w:szCs w:val="20"/>
        </w:rPr>
        <w:t xml:space="preserve">a </w:t>
      </w:r>
      <w:r w:rsidR="00E8753D">
        <w:rPr>
          <w:rFonts w:ascii="Arial" w:hAnsi="Arial" w:cs="Arial"/>
          <w:sz w:val="20"/>
          <w:szCs w:val="20"/>
        </w:rPr>
        <w:t>pilot and</w:t>
      </w:r>
      <w:r w:rsidR="00AE6D47">
        <w:rPr>
          <w:rFonts w:ascii="Arial" w:hAnsi="Arial" w:cs="Arial"/>
          <w:sz w:val="20"/>
          <w:szCs w:val="20"/>
        </w:rPr>
        <w:t xml:space="preserve"> lessons learned for</w:t>
      </w:r>
      <w:r w:rsidR="0077680D">
        <w:rPr>
          <w:rFonts w:ascii="Arial" w:hAnsi="Arial" w:cs="Arial"/>
          <w:sz w:val="20"/>
          <w:szCs w:val="20"/>
        </w:rPr>
        <w:t xml:space="preserve"> the</w:t>
      </w:r>
      <w:r w:rsidR="00AE6D47">
        <w:rPr>
          <w:rFonts w:ascii="Arial" w:hAnsi="Arial" w:cs="Arial"/>
          <w:sz w:val="20"/>
          <w:szCs w:val="20"/>
        </w:rPr>
        <w:t xml:space="preserve"> future</w:t>
      </w:r>
      <w:r w:rsidR="0077680D">
        <w:rPr>
          <w:rFonts w:ascii="Arial" w:hAnsi="Arial" w:cs="Arial"/>
          <w:sz w:val="20"/>
          <w:szCs w:val="20"/>
        </w:rPr>
        <w:t xml:space="preserve"> UNDP project Mine Action for Human Development (MAHD)</w:t>
      </w:r>
      <w:r w:rsidR="00AE6D47">
        <w:rPr>
          <w:rFonts w:ascii="Arial" w:hAnsi="Arial" w:cs="Arial"/>
          <w:sz w:val="20"/>
          <w:szCs w:val="20"/>
        </w:rPr>
        <w:t>.</w:t>
      </w:r>
    </w:p>
    <w:p w14:paraId="07ABF535" w14:textId="77777777" w:rsidR="00976EB7" w:rsidRDefault="00E8753D" w:rsidP="00D84662">
      <w:pPr>
        <w:jc w:val="both"/>
        <w:rPr>
          <w:rFonts w:ascii="Arial" w:hAnsi="Arial" w:cs="Arial"/>
          <w:sz w:val="20"/>
          <w:szCs w:val="20"/>
        </w:rPr>
      </w:pPr>
      <w:r>
        <w:rPr>
          <w:rFonts w:ascii="Arial" w:hAnsi="Arial" w:cs="Arial"/>
          <w:sz w:val="20"/>
          <w:szCs w:val="20"/>
        </w:rPr>
        <w:t>The</w:t>
      </w:r>
      <w:r w:rsidR="0063481E" w:rsidRPr="004C6941">
        <w:rPr>
          <w:rFonts w:ascii="Arial" w:hAnsi="Arial" w:cs="Arial"/>
          <w:sz w:val="20"/>
          <w:szCs w:val="20"/>
        </w:rPr>
        <w:t xml:space="preserve"> impact</w:t>
      </w:r>
      <w:r w:rsidR="00B008BE" w:rsidRPr="004C6941">
        <w:rPr>
          <w:rFonts w:ascii="Arial" w:hAnsi="Arial" w:cs="Arial"/>
          <w:sz w:val="20"/>
          <w:szCs w:val="20"/>
        </w:rPr>
        <w:t xml:space="preserve"> assessment tools were designed to capture </w:t>
      </w:r>
      <w:r w:rsidR="00B96A49" w:rsidRPr="004C6941">
        <w:rPr>
          <w:rFonts w:ascii="Arial" w:hAnsi="Arial" w:cs="Arial"/>
          <w:sz w:val="20"/>
          <w:szCs w:val="20"/>
        </w:rPr>
        <w:t>households</w:t>
      </w:r>
      <w:r w:rsidR="00B008BE" w:rsidRPr="004C6941">
        <w:rPr>
          <w:rFonts w:ascii="Arial" w:hAnsi="Arial" w:cs="Arial"/>
          <w:sz w:val="20"/>
          <w:szCs w:val="20"/>
        </w:rPr>
        <w:t xml:space="preserve"> </w:t>
      </w:r>
      <w:r>
        <w:rPr>
          <w:rFonts w:ascii="Arial" w:hAnsi="Arial" w:cs="Arial"/>
          <w:sz w:val="20"/>
          <w:szCs w:val="20"/>
        </w:rPr>
        <w:t xml:space="preserve">and community development outcomes </w:t>
      </w:r>
      <w:r w:rsidR="00B96A49">
        <w:rPr>
          <w:rFonts w:ascii="Arial" w:hAnsi="Arial" w:cs="Arial"/>
          <w:sz w:val="20"/>
          <w:szCs w:val="20"/>
        </w:rPr>
        <w:t>due to the project intervention</w:t>
      </w:r>
      <w:r w:rsidR="00B008BE" w:rsidRPr="004C6941">
        <w:rPr>
          <w:rFonts w:ascii="Arial" w:hAnsi="Arial" w:cs="Arial"/>
          <w:sz w:val="20"/>
          <w:szCs w:val="20"/>
        </w:rPr>
        <w:t xml:space="preserve"> rather than </w:t>
      </w:r>
      <w:r w:rsidR="00B96A49">
        <w:rPr>
          <w:rFonts w:ascii="Arial" w:hAnsi="Arial" w:cs="Arial"/>
          <w:sz w:val="20"/>
          <w:szCs w:val="20"/>
        </w:rPr>
        <w:t xml:space="preserve">technical outputs </w:t>
      </w:r>
      <w:r w:rsidR="0063481E" w:rsidRPr="004C6941">
        <w:rPr>
          <w:rFonts w:ascii="Arial" w:hAnsi="Arial" w:cs="Arial"/>
          <w:sz w:val="20"/>
          <w:szCs w:val="20"/>
        </w:rPr>
        <w:t xml:space="preserve">e.g. cleared square </w:t>
      </w:r>
      <w:r w:rsidR="001B5BD3" w:rsidRPr="004C6941">
        <w:rPr>
          <w:rFonts w:ascii="Arial" w:hAnsi="Arial" w:cs="Arial"/>
          <w:sz w:val="20"/>
          <w:szCs w:val="20"/>
        </w:rPr>
        <w:t>me</w:t>
      </w:r>
      <w:r w:rsidR="001B5BD3">
        <w:rPr>
          <w:rFonts w:ascii="Arial" w:hAnsi="Arial" w:cs="Arial"/>
          <w:sz w:val="20"/>
          <w:szCs w:val="20"/>
        </w:rPr>
        <w:t>ters or lifted mines and ERWs</w:t>
      </w:r>
      <w:r w:rsidR="009F198D" w:rsidRPr="004C6941">
        <w:rPr>
          <w:rFonts w:ascii="Arial" w:hAnsi="Arial" w:cs="Arial"/>
          <w:sz w:val="20"/>
          <w:szCs w:val="20"/>
        </w:rPr>
        <w:t xml:space="preserve">. </w:t>
      </w:r>
    </w:p>
    <w:p w14:paraId="6AEA970B" w14:textId="77777777" w:rsidR="00560803" w:rsidRPr="004C6941" w:rsidRDefault="00AE78E5" w:rsidP="00D84662">
      <w:pPr>
        <w:jc w:val="both"/>
        <w:rPr>
          <w:rFonts w:ascii="Arial" w:hAnsi="Arial" w:cs="Arial"/>
          <w:sz w:val="20"/>
          <w:szCs w:val="20"/>
        </w:rPr>
      </w:pPr>
      <w:r w:rsidRPr="004C6941">
        <w:rPr>
          <w:rFonts w:ascii="Arial" w:hAnsi="Arial" w:cs="Arial"/>
          <w:color w:val="4472C4" w:themeColor="accent5"/>
          <w:sz w:val="20"/>
          <w:szCs w:val="20"/>
        </w:rPr>
        <w:t>OBJECTVES</w:t>
      </w:r>
    </w:p>
    <w:p w14:paraId="44B161F4" w14:textId="6409A8BB" w:rsidR="00AE78E5" w:rsidRPr="004C6941" w:rsidRDefault="00AE78E5" w:rsidP="00D84662">
      <w:pPr>
        <w:jc w:val="both"/>
        <w:rPr>
          <w:rFonts w:ascii="Arial" w:hAnsi="Arial" w:cs="Arial"/>
          <w:sz w:val="20"/>
          <w:szCs w:val="20"/>
        </w:rPr>
      </w:pPr>
      <w:r w:rsidRPr="004C6941">
        <w:rPr>
          <w:rFonts w:ascii="Arial" w:hAnsi="Arial" w:cs="Arial"/>
          <w:sz w:val="20"/>
          <w:szCs w:val="20"/>
        </w:rPr>
        <w:t xml:space="preserve">The primary objective of an Impact Assessment Survey is to provide </w:t>
      </w:r>
      <w:r w:rsidR="00A43F57" w:rsidRPr="004C6941">
        <w:rPr>
          <w:rFonts w:ascii="Arial" w:hAnsi="Arial" w:cs="Arial"/>
          <w:sz w:val="20"/>
          <w:szCs w:val="20"/>
        </w:rPr>
        <w:t>comprehensive assessment</w:t>
      </w:r>
      <w:r w:rsidRPr="004C6941">
        <w:rPr>
          <w:rFonts w:ascii="Arial" w:hAnsi="Arial" w:cs="Arial"/>
          <w:sz w:val="20"/>
          <w:szCs w:val="20"/>
        </w:rPr>
        <w:t xml:space="preserve"> and </w:t>
      </w:r>
      <w:r w:rsidR="00A43F57" w:rsidRPr="004C6941">
        <w:rPr>
          <w:rFonts w:ascii="Arial" w:hAnsi="Arial" w:cs="Arial"/>
          <w:sz w:val="20"/>
          <w:szCs w:val="20"/>
        </w:rPr>
        <w:t>explore</w:t>
      </w:r>
      <w:r w:rsidRPr="004C6941">
        <w:rPr>
          <w:rFonts w:ascii="Arial" w:hAnsi="Arial" w:cs="Arial"/>
          <w:sz w:val="20"/>
          <w:szCs w:val="20"/>
        </w:rPr>
        <w:t xml:space="preserve"> the effects of </w:t>
      </w:r>
      <w:r w:rsidR="00F447B5">
        <w:rPr>
          <w:rFonts w:ascii="Arial" w:hAnsi="Arial" w:cs="Arial"/>
          <w:sz w:val="20"/>
          <w:szCs w:val="20"/>
        </w:rPr>
        <w:t>land release on</w:t>
      </w:r>
      <w:r w:rsidR="00A43F57" w:rsidRPr="004C6941">
        <w:rPr>
          <w:rFonts w:ascii="Arial" w:hAnsi="Arial" w:cs="Arial"/>
          <w:sz w:val="20"/>
          <w:szCs w:val="20"/>
        </w:rPr>
        <w:t xml:space="preserve"> human livelihoods</w:t>
      </w:r>
      <w:r w:rsidRPr="004C6941">
        <w:rPr>
          <w:rFonts w:ascii="Arial" w:hAnsi="Arial" w:cs="Arial"/>
          <w:sz w:val="20"/>
          <w:szCs w:val="20"/>
        </w:rPr>
        <w:t xml:space="preserve"> </w:t>
      </w:r>
      <w:r w:rsidR="00A43F57" w:rsidRPr="004C6941">
        <w:rPr>
          <w:rFonts w:ascii="Arial" w:hAnsi="Arial" w:cs="Arial"/>
          <w:sz w:val="20"/>
          <w:szCs w:val="20"/>
        </w:rPr>
        <w:t>based on evidence. These are: socio-economic benefits to communities, safety and security and the link between mine action and development process</w:t>
      </w:r>
      <w:r w:rsidR="00976EB7">
        <w:rPr>
          <w:rFonts w:ascii="Arial" w:hAnsi="Arial" w:cs="Arial"/>
          <w:sz w:val="20"/>
          <w:szCs w:val="20"/>
        </w:rPr>
        <w:t>es</w:t>
      </w:r>
      <w:r w:rsidR="00A43F57" w:rsidRPr="004C6941">
        <w:rPr>
          <w:rFonts w:ascii="Arial" w:hAnsi="Arial" w:cs="Arial"/>
          <w:sz w:val="20"/>
          <w:szCs w:val="20"/>
        </w:rPr>
        <w:t xml:space="preserve">. The </w:t>
      </w:r>
      <w:r w:rsidR="00976EB7">
        <w:rPr>
          <w:rFonts w:ascii="Arial" w:hAnsi="Arial" w:cs="Arial"/>
          <w:sz w:val="20"/>
          <w:szCs w:val="20"/>
        </w:rPr>
        <w:t>study is</w:t>
      </w:r>
      <w:r w:rsidR="00A43F57" w:rsidRPr="004C6941">
        <w:rPr>
          <w:rFonts w:ascii="Arial" w:hAnsi="Arial" w:cs="Arial"/>
          <w:sz w:val="20"/>
          <w:szCs w:val="20"/>
        </w:rPr>
        <w:t xml:space="preserve"> intended to assess the changes before and after mine clearance intervention by answering </w:t>
      </w:r>
      <w:r w:rsidR="00092121">
        <w:rPr>
          <w:rFonts w:ascii="Arial" w:hAnsi="Arial" w:cs="Arial"/>
          <w:sz w:val="20"/>
          <w:szCs w:val="20"/>
        </w:rPr>
        <w:t xml:space="preserve">the </w:t>
      </w:r>
      <w:r w:rsidR="00A43F57" w:rsidRPr="004C6941">
        <w:rPr>
          <w:rFonts w:ascii="Arial" w:hAnsi="Arial" w:cs="Arial"/>
          <w:sz w:val="20"/>
          <w:szCs w:val="20"/>
        </w:rPr>
        <w:t xml:space="preserve">following questions: </w:t>
      </w:r>
    </w:p>
    <w:p w14:paraId="6407A947" w14:textId="77777777" w:rsidR="00106B54" w:rsidRPr="004C6941" w:rsidRDefault="00FB3402" w:rsidP="00FB3402">
      <w:pPr>
        <w:pStyle w:val="ListParagraph"/>
        <w:numPr>
          <w:ilvl w:val="0"/>
          <w:numId w:val="5"/>
        </w:numPr>
        <w:jc w:val="both"/>
        <w:rPr>
          <w:rFonts w:ascii="Arial" w:hAnsi="Arial" w:cs="Arial"/>
          <w:sz w:val="20"/>
          <w:szCs w:val="20"/>
        </w:rPr>
      </w:pPr>
      <w:r w:rsidRPr="004C6941">
        <w:rPr>
          <w:rFonts w:ascii="Arial" w:hAnsi="Arial" w:cs="Arial"/>
          <w:sz w:val="20"/>
          <w:szCs w:val="20"/>
        </w:rPr>
        <w:t xml:space="preserve">How cleared land is being used by beneficiaries? </w:t>
      </w:r>
    </w:p>
    <w:p w14:paraId="14F5E841" w14:textId="77777777" w:rsidR="00FB3402" w:rsidRPr="004C6941" w:rsidRDefault="00FB3402" w:rsidP="00FB3402">
      <w:pPr>
        <w:pStyle w:val="ListParagraph"/>
        <w:numPr>
          <w:ilvl w:val="0"/>
          <w:numId w:val="5"/>
        </w:numPr>
        <w:jc w:val="both"/>
        <w:rPr>
          <w:rFonts w:ascii="Arial" w:hAnsi="Arial" w:cs="Arial"/>
          <w:sz w:val="20"/>
          <w:szCs w:val="20"/>
        </w:rPr>
      </w:pPr>
      <w:r w:rsidRPr="004C6941">
        <w:rPr>
          <w:rFonts w:ascii="Arial" w:hAnsi="Arial" w:cs="Arial"/>
          <w:sz w:val="20"/>
          <w:szCs w:val="20"/>
        </w:rPr>
        <w:t xml:space="preserve">Did land clearance affect their income? </w:t>
      </w:r>
    </w:p>
    <w:p w14:paraId="38DBC8D3" w14:textId="77777777" w:rsidR="00FB3402" w:rsidRPr="004C6941" w:rsidRDefault="00FB3402" w:rsidP="00FB3402">
      <w:pPr>
        <w:pStyle w:val="ListParagraph"/>
        <w:numPr>
          <w:ilvl w:val="0"/>
          <w:numId w:val="5"/>
        </w:numPr>
        <w:jc w:val="both"/>
        <w:rPr>
          <w:rFonts w:ascii="Arial" w:hAnsi="Arial" w:cs="Arial"/>
          <w:sz w:val="20"/>
          <w:szCs w:val="20"/>
        </w:rPr>
      </w:pPr>
      <w:r w:rsidRPr="004C6941">
        <w:rPr>
          <w:rFonts w:ascii="Arial" w:hAnsi="Arial" w:cs="Arial"/>
          <w:sz w:val="20"/>
          <w:szCs w:val="20"/>
        </w:rPr>
        <w:t xml:space="preserve">What are future plans for </w:t>
      </w:r>
      <w:r w:rsidR="001B5BD3">
        <w:rPr>
          <w:rFonts w:ascii="Arial" w:hAnsi="Arial" w:cs="Arial"/>
          <w:sz w:val="20"/>
          <w:szCs w:val="20"/>
        </w:rPr>
        <w:t>released land</w:t>
      </w:r>
      <w:r w:rsidRPr="004C6941">
        <w:rPr>
          <w:rFonts w:ascii="Arial" w:hAnsi="Arial" w:cs="Arial"/>
          <w:sz w:val="20"/>
          <w:szCs w:val="20"/>
        </w:rPr>
        <w:t>?</w:t>
      </w:r>
    </w:p>
    <w:p w14:paraId="62B41DDE" w14:textId="77777777" w:rsidR="00FB3402" w:rsidRPr="004C6941" w:rsidRDefault="0024757B" w:rsidP="00FB3402">
      <w:pPr>
        <w:pStyle w:val="ListParagraph"/>
        <w:numPr>
          <w:ilvl w:val="0"/>
          <w:numId w:val="5"/>
        </w:numPr>
        <w:jc w:val="both"/>
        <w:rPr>
          <w:rFonts w:ascii="Arial" w:hAnsi="Arial" w:cs="Arial"/>
          <w:sz w:val="20"/>
          <w:szCs w:val="20"/>
        </w:rPr>
      </w:pPr>
      <w:r>
        <w:rPr>
          <w:rFonts w:ascii="Arial" w:hAnsi="Arial" w:cs="Arial"/>
          <w:sz w:val="20"/>
          <w:szCs w:val="20"/>
        </w:rPr>
        <w:t>If l</w:t>
      </w:r>
      <w:r w:rsidR="00FB3402" w:rsidRPr="004C6941">
        <w:rPr>
          <w:rFonts w:ascii="Arial" w:hAnsi="Arial" w:cs="Arial"/>
          <w:sz w:val="20"/>
          <w:szCs w:val="20"/>
        </w:rPr>
        <w:t>a</w:t>
      </w:r>
      <w:r>
        <w:rPr>
          <w:rFonts w:ascii="Arial" w:hAnsi="Arial" w:cs="Arial"/>
          <w:sz w:val="20"/>
          <w:szCs w:val="20"/>
        </w:rPr>
        <w:t>nd disputes a</w:t>
      </w:r>
      <w:r w:rsidR="00F5767B">
        <w:rPr>
          <w:rFonts w:ascii="Arial" w:hAnsi="Arial" w:cs="Arial"/>
          <w:sz w:val="20"/>
          <w:szCs w:val="20"/>
        </w:rPr>
        <w:t xml:space="preserve">nd </w:t>
      </w:r>
      <w:r w:rsidR="00976EB7">
        <w:rPr>
          <w:rFonts w:ascii="Arial" w:hAnsi="Arial" w:cs="Arial"/>
          <w:sz w:val="20"/>
          <w:szCs w:val="20"/>
        </w:rPr>
        <w:t>ownership are the issues</w:t>
      </w:r>
      <w:r w:rsidR="00625B65">
        <w:rPr>
          <w:rFonts w:ascii="Arial" w:hAnsi="Arial" w:cs="Arial"/>
          <w:sz w:val="20"/>
          <w:szCs w:val="20"/>
        </w:rPr>
        <w:t xml:space="preserve"> </w:t>
      </w:r>
    </w:p>
    <w:p w14:paraId="32EAB7F9" w14:textId="77777777" w:rsidR="00FB3402" w:rsidRPr="004C6941" w:rsidRDefault="0024757B" w:rsidP="00FB3402">
      <w:pPr>
        <w:pStyle w:val="ListParagraph"/>
        <w:numPr>
          <w:ilvl w:val="0"/>
          <w:numId w:val="5"/>
        </w:numPr>
        <w:jc w:val="both"/>
        <w:rPr>
          <w:rFonts w:ascii="Arial" w:hAnsi="Arial" w:cs="Arial"/>
          <w:sz w:val="20"/>
          <w:szCs w:val="20"/>
        </w:rPr>
      </w:pPr>
      <w:r>
        <w:rPr>
          <w:rFonts w:ascii="Arial" w:hAnsi="Arial" w:cs="Arial"/>
          <w:sz w:val="20"/>
          <w:szCs w:val="20"/>
        </w:rPr>
        <w:t>Households behavior if their</w:t>
      </w:r>
      <w:r w:rsidR="0069790A" w:rsidRPr="004C6941">
        <w:rPr>
          <w:rFonts w:ascii="Arial" w:hAnsi="Arial" w:cs="Arial"/>
          <w:sz w:val="20"/>
          <w:szCs w:val="20"/>
        </w:rPr>
        <w:t xml:space="preserve"> </w:t>
      </w:r>
      <w:r w:rsidR="00FB3402" w:rsidRPr="004C6941">
        <w:rPr>
          <w:rFonts w:ascii="Arial" w:hAnsi="Arial" w:cs="Arial"/>
          <w:sz w:val="20"/>
          <w:szCs w:val="20"/>
        </w:rPr>
        <w:t>land</w:t>
      </w:r>
      <w:r>
        <w:rPr>
          <w:rFonts w:ascii="Arial" w:hAnsi="Arial" w:cs="Arial"/>
          <w:sz w:val="20"/>
          <w:szCs w:val="20"/>
        </w:rPr>
        <w:t xml:space="preserve">s </w:t>
      </w:r>
      <w:r w:rsidR="00976EB7">
        <w:rPr>
          <w:rFonts w:ascii="Arial" w:hAnsi="Arial" w:cs="Arial"/>
          <w:sz w:val="20"/>
          <w:szCs w:val="20"/>
        </w:rPr>
        <w:t xml:space="preserve">are </w:t>
      </w:r>
      <w:r>
        <w:rPr>
          <w:rFonts w:ascii="Arial" w:hAnsi="Arial" w:cs="Arial"/>
          <w:sz w:val="20"/>
          <w:szCs w:val="20"/>
        </w:rPr>
        <w:t>not safe to use</w:t>
      </w:r>
      <w:r w:rsidR="00FB3402" w:rsidRPr="004C6941">
        <w:rPr>
          <w:rFonts w:ascii="Arial" w:hAnsi="Arial" w:cs="Arial"/>
          <w:sz w:val="20"/>
          <w:szCs w:val="20"/>
        </w:rPr>
        <w:t xml:space="preserve"> </w:t>
      </w:r>
    </w:p>
    <w:p w14:paraId="71A09BA1" w14:textId="77777777" w:rsidR="00106B54" w:rsidRPr="004C6941" w:rsidRDefault="00FB3402" w:rsidP="00D84662">
      <w:pPr>
        <w:jc w:val="both"/>
        <w:rPr>
          <w:rFonts w:ascii="Arial" w:hAnsi="Arial" w:cs="Arial"/>
          <w:sz w:val="20"/>
          <w:szCs w:val="20"/>
        </w:rPr>
      </w:pPr>
      <w:r w:rsidRPr="004C6941">
        <w:rPr>
          <w:rFonts w:ascii="Arial" w:hAnsi="Arial" w:cs="Arial"/>
          <w:sz w:val="20"/>
          <w:szCs w:val="20"/>
        </w:rPr>
        <w:t xml:space="preserve"> The specific objectiv</w:t>
      </w:r>
      <w:r w:rsidR="0024757B">
        <w:rPr>
          <w:rFonts w:ascii="Arial" w:hAnsi="Arial" w:cs="Arial"/>
          <w:sz w:val="20"/>
          <w:szCs w:val="20"/>
        </w:rPr>
        <w:t>es of the impact assessment are</w:t>
      </w:r>
      <w:r w:rsidRPr="004C6941">
        <w:rPr>
          <w:rFonts w:ascii="Arial" w:hAnsi="Arial" w:cs="Arial"/>
          <w:sz w:val="20"/>
          <w:szCs w:val="20"/>
        </w:rPr>
        <w:t xml:space="preserve"> as follows:</w:t>
      </w:r>
    </w:p>
    <w:p w14:paraId="397F56F7" w14:textId="77777777" w:rsidR="00A43F57" w:rsidRPr="004C6941" w:rsidRDefault="00106B54" w:rsidP="00106B54">
      <w:pPr>
        <w:pStyle w:val="ListParagraph"/>
        <w:numPr>
          <w:ilvl w:val="0"/>
          <w:numId w:val="4"/>
        </w:numPr>
        <w:jc w:val="both"/>
        <w:rPr>
          <w:rFonts w:ascii="Arial" w:hAnsi="Arial" w:cs="Arial"/>
          <w:sz w:val="20"/>
          <w:szCs w:val="20"/>
        </w:rPr>
      </w:pPr>
      <w:r w:rsidRPr="004C6941">
        <w:rPr>
          <w:rFonts w:ascii="Arial" w:hAnsi="Arial" w:cs="Arial"/>
          <w:sz w:val="20"/>
          <w:szCs w:val="20"/>
        </w:rPr>
        <w:t>V</w:t>
      </w:r>
      <w:r w:rsidR="00A43F57" w:rsidRPr="004C6941">
        <w:rPr>
          <w:rFonts w:ascii="Arial" w:hAnsi="Arial" w:cs="Arial"/>
          <w:sz w:val="20"/>
          <w:szCs w:val="20"/>
        </w:rPr>
        <w:t xml:space="preserve">alue </w:t>
      </w:r>
      <w:r w:rsidRPr="004C6941">
        <w:rPr>
          <w:rFonts w:ascii="Arial" w:hAnsi="Arial" w:cs="Arial"/>
          <w:sz w:val="20"/>
          <w:szCs w:val="20"/>
        </w:rPr>
        <w:t xml:space="preserve">of land </w:t>
      </w:r>
      <w:r w:rsidR="00A43F57" w:rsidRPr="004C6941">
        <w:rPr>
          <w:rFonts w:ascii="Arial" w:hAnsi="Arial" w:cs="Arial"/>
          <w:sz w:val="20"/>
          <w:szCs w:val="20"/>
        </w:rPr>
        <w:t>before and after clearance</w:t>
      </w:r>
    </w:p>
    <w:p w14:paraId="653815B9" w14:textId="77777777" w:rsidR="00A43F57" w:rsidRPr="004C6941" w:rsidRDefault="00F5767B" w:rsidP="00106B54">
      <w:pPr>
        <w:pStyle w:val="ListParagraph"/>
        <w:numPr>
          <w:ilvl w:val="0"/>
          <w:numId w:val="4"/>
        </w:numPr>
        <w:jc w:val="both"/>
        <w:rPr>
          <w:rFonts w:ascii="Arial" w:hAnsi="Arial" w:cs="Arial"/>
          <w:sz w:val="20"/>
          <w:szCs w:val="20"/>
        </w:rPr>
      </w:pPr>
      <w:r>
        <w:rPr>
          <w:rFonts w:ascii="Arial" w:hAnsi="Arial" w:cs="Arial"/>
          <w:sz w:val="20"/>
          <w:szCs w:val="20"/>
        </w:rPr>
        <w:t>Land use</w:t>
      </w:r>
    </w:p>
    <w:p w14:paraId="33A64BCD" w14:textId="77777777" w:rsidR="00A43F57" w:rsidRPr="004C6941" w:rsidRDefault="00106B54" w:rsidP="00106B54">
      <w:pPr>
        <w:pStyle w:val="ListParagraph"/>
        <w:numPr>
          <w:ilvl w:val="0"/>
          <w:numId w:val="4"/>
        </w:numPr>
        <w:jc w:val="both"/>
        <w:rPr>
          <w:rFonts w:ascii="Arial" w:hAnsi="Arial" w:cs="Arial"/>
          <w:sz w:val="20"/>
          <w:szCs w:val="20"/>
        </w:rPr>
      </w:pPr>
      <w:r w:rsidRPr="004C6941">
        <w:rPr>
          <w:rFonts w:ascii="Arial" w:hAnsi="Arial" w:cs="Arial"/>
          <w:sz w:val="20"/>
          <w:szCs w:val="20"/>
        </w:rPr>
        <w:t>Income generation</w:t>
      </w:r>
    </w:p>
    <w:p w14:paraId="0DB6B90A" w14:textId="77777777" w:rsidR="00106B54" w:rsidRPr="004C6941" w:rsidRDefault="00106B54" w:rsidP="00106B54">
      <w:pPr>
        <w:pStyle w:val="ListParagraph"/>
        <w:numPr>
          <w:ilvl w:val="0"/>
          <w:numId w:val="4"/>
        </w:numPr>
        <w:jc w:val="both"/>
        <w:rPr>
          <w:rFonts w:ascii="Arial" w:hAnsi="Arial" w:cs="Arial"/>
          <w:sz w:val="20"/>
          <w:szCs w:val="20"/>
        </w:rPr>
      </w:pPr>
      <w:r w:rsidRPr="004C6941">
        <w:rPr>
          <w:rFonts w:ascii="Arial" w:hAnsi="Arial" w:cs="Arial"/>
          <w:sz w:val="20"/>
          <w:szCs w:val="20"/>
        </w:rPr>
        <w:t>Gender and labor effects</w:t>
      </w:r>
    </w:p>
    <w:p w14:paraId="35E565A3" w14:textId="77777777" w:rsidR="00A43F57" w:rsidRPr="004C6941" w:rsidRDefault="00106B54" w:rsidP="00D84662">
      <w:pPr>
        <w:pStyle w:val="ListParagraph"/>
        <w:numPr>
          <w:ilvl w:val="0"/>
          <w:numId w:val="4"/>
        </w:numPr>
        <w:jc w:val="both"/>
        <w:rPr>
          <w:rFonts w:ascii="Arial" w:hAnsi="Arial" w:cs="Arial"/>
          <w:sz w:val="20"/>
          <w:szCs w:val="20"/>
        </w:rPr>
      </w:pPr>
      <w:r w:rsidRPr="004C6941">
        <w:rPr>
          <w:rFonts w:ascii="Arial" w:hAnsi="Arial" w:cs="Arial"/>
          <w:sz w:val="20"/>
          <w:szCs w:val="20"/>
        </w:rPr>
        <w:t xml:space="preserve">Safety and security </w:t>
      </w:r>
    </w:p>
    <w:p w14:paraId="3C78F01D" w14:textId="77777777" w:rsidR="00625B65" w:rsidRDefault="00625B65" w:rsidP="00D84662">
      <w:pPr>
        <w:jc w:val="both"/>
        <w:rPr>
          <w:rFonts w:ascii="Arial" w:hAnsi="Arial" w:cs="Arial"/>
          <w:color w:val="0070C0"/>
          <w:sz w:val="20"/>
          <w:szCs w:val="20"/>
        </w:rPr>
      </w:pPr>
    </w:p>
    <w:p w14:paraId="06A05078" w14:textId="77777777" w:rsidR="00560803" w:rsidRPr="004C6941" w:rsidRDefault="000D6F5A" w:rsidP="00D84662">
      <w:pPr>
        <w:jc w:val="both"/>
        <w:rPr>
          <w:rFonts w:ascii="Arial" w:hAnsi="Arial" w:cs="Arial"/>
          <w:color w:val="0070C0"/>
          <w:sz w:val="20"/>
          <w:szCs w:val="20"/>
        </w:rPr>
      </w:pPr>
      <w:r w:rsidRPr="004C6941">
        <w:rPr>
          <w:rFonts w:ascii="Arial" w:hAnsi="Arial" w:cs="Arial"/>
          <w:color w:val="0070C0"/>
          <w:sz w:val="20"/>
          <w:szCs w:val="20"/>
        </w:rPr>
        <w:t>METHOD</w:t>
      </w:r>
      <w:r w:rsidR="00413513" w:rsidRPr="004C6941">
        <w:rPr>
          <w:rFonts w:ascii="Arial" w:hAnsi="Arial" w:cs="Arial"/>
          <w:color w:val="0070C0"/>
          <w:sz w:val="20"/>
          <w:szCs w:val="20"/>
        </w:rPr>
        <w:t>S</w:t>
      </w:r>
    </w:p>
    <w:p w14:paraId="4F3BCD75" w14:textId="77777777" w:rsidR="00413513" w:rsidRPr="004C6941" w:rsidRDefault="00413513" w:rsidP="00D84662">
      <w:pPr>
        <w:jc w:val="both"/>
        <w:rPr>
          <w:rFonts w:ascii="Arial" w:hAnsi="Arial" w:cs="Arial"/>
          <w:sz w:val="20"/>
          <w:szCs w:val="20"/>
        </w:rPr>
      </w:pPr>
      <w:r w:rsidRPr="004C6941">
        <w:rPr>
          <w:rFonts w:ascii="Arial" w:hAnsi="Arial" w:cs="Arial"/>
          <w:sz w:val="20"/>
          <w:szCs w:val="20"/>
        </w:rPr>
        <w:t xml:space="preserve">SAMPLING PROCEDURE </w:t>
      </w:r>
    </w:p>
    <w:p w14:paraId="4445CE61" w14:textId="77777777" w:rsidR="00413513" w:rsidRPr="004C6941" w:rsidRDefault="00413513" w:rsidP="00D84662">
      <w:pPr>
        <w:jc w:val="both"/>
        <w:rPr>
          <w:rFonts w:ascii="Arial" w:hAnsi="Arial" w:cs="Arial"/>
          <w:sz w:val="20"/>
          <w:szCs w:val="20"/>
        </w:rPr>
      </w:pPr>
      <w:r w:rsidRPr="004C6941">
        <w:rPr>
          <w:rFonts w:ascii="Arial" w:hAnsi="Arial" w:cs="Arial"/>
          <w:sz w:val="20"/>
          <w:szCs w:val="20"/>
        </w:rPr>
        <w:t>The survey was designed to provide statistically represented information</w:t>
      </w:r>
      <w:r w:rsidR="00135561" w:rsidRPr="004C6941">
        <w:rPr>
          <w:rFonts w:ascii="Arial" w:hAnsi="Arial" w:cs="Arial"/>
          <w:sz w:val="20"/>
          <w:szCs w:val="20"/>
        </w:rPr>
        <w:t xml:space="preserve">. </w:t>
      </w:r>
      <w:r w:rsidRPr="004C6941">
        <w:rPr>
          <w:rFonts w:ascii="Arial" w:hAnsi="Arial" w:cs="Arial"/>
          <w:sz w:val="20"/>
          <w:szCs w:val="20"/>
        </w:rPr>
        <w:t xml:space="preserve"> </w:t>
      </w:r>
      <w:r w:rsidR="00135561" w:rsidRPr="004C6941">
        <w:rPr>
          <w:rFonts w:ascii="Arial" w:hAnsi="Arial" w:cs="Arial"/>
          <w:sz w:val="20"/>
          <w:szCs w:val="20"/>
        </w:rPr>
        <w:t xml:space="preserve">Data was collected from </w:t>
      </w:r>
      <w:r w:rsidRPr="004C6941">
        <w:rPr>
          <w:rFonts w:ascii="Arial" w:hAnsi="Arial" w:cs="Arial"/>
          <w:sz w:val="20"/>
          <w:szCs w:val="20"/>
        </w:rPr>
        <w:t xml:space="preserve">three provinces Battambang, </w:t>
      </w:r>
      <w:proofErr w:type="spellStart"/>
      <w:r w:rsidRPr="004C6941">
        <w:rPr>
          <w:rFonts w:ascii="Arial" w:hAnsi="Arial" w:cs="Arial"/>
          <w:sz w:val="20"/>
          <w:szCs w:val="20"/>
        </w:rPr>
        <w:t>Bantey</w:t>
      </w:r>
      <w:proofErr w:type="spellEnd"/>
      <w:r w:rsidR="00625B65">
        <w:rPr>
          <w:rFonts w:ascii="Arial" w:hAnsi="Arial" w:cs="Arial"/>
          <w:sz w:val="20"/>
          <w:szCs w:val="20"/>
        </w:rPr>
        <w:t xml:space="preserve"> Meanchey and Pailin. The study</w:t>
      </w:r>
      <w:r w:rsidRPr="004C6941">
        <w:rPr>
          <w:rFonts w:ascii="Arial" w:hAnsi="Arial" w:cs="Arial"/>
          <w:sz w:val="20"/>
          <w:szCs w:val="20"/>
        </w:rPr>
        <w:t xml:space="preserve"> applied </w:t>
      </w:r>
      <w:r w:rsidR="002E2985" w:rsidRPr="004C6941">
        <w:rPr>
          <w:rFonts w:ascii="Arial" w:hAnsi="Arial" w:cs="Arial"/>
          <w:sz w:val="20"/>
          <w:szCs w:val="20"/>
        </w:rPr>
        <w:t xml:space="preserve">random selection technique in 21 urban and rural villages, </w:t>
      </w:r>
      <w:r w:rsidR="00135561" w:rsidRPr="004C6941">
        <w:rPr>
          <w:rFonts w:ascii="Arial" w:hAnsi="Arial" w:cs="Arial"/>
          <w:sz w:val="20"/>
          <w:szCs w:val="20"/>
        </w:rPr>
        <w:t>which implies that larger village have higher probability for more interviews than smaller villages.  A total of 491 households were interviewed</w:t>
      </w:r>
      <w:r w:rsidR="007A1778">
        <w:rPr>
          <w:rFonts w:ascii="Arial" w:hAnsi="Arial" w:cs="Arial"/>
          <w:sz w:val="20"/>
          <w:szCs w:val="20"/>
        </w:rPr>
        <w:t xml:space="preserve"> in 21 </w:t>
      </w:r>
      <w:r w:rsidR="007A1778" w:rsidRPr="00465FF5">
        <w:rPr>
          <w:rFonts w:ascii="Arial" w:hAnsi="Arial" w:cs="Arial"/>
          <w:sz w:val="20"/>
          <w:szCs w:val="20"/>
        </w:rPr>
        <w:t>villages.</w:t>
      </w:r>
      <w:r w:rsidR="00135561" w:rsidRPr="00465FF5">
        <w:rPr>
          <w:rFonts w:ascii="Arial" w:hAnsi="Arial" w:cs="Arial"/>
          <w:sz w:val="20"/>
          <w:szCs w:val="20"/>
        </w:rPr>
        <w:t xml:space="preserve"> (</w:t>
      </w:r>
      <w:r w:rsidR="004E6788" w:rsidRPr="00465FF5">
        <w:rPr>
          <w:rFonts w:ascii="Arial" w:hAnsi="Arial" w:cs="Arial"/>
          <w:sz w:val="20"/>
          <w:szCs w:val="20"/>
        </w:rPr>
        <w:t>Annex</w:t>
      </w:r>
      <w:r w:rsidR="00092121" w:rsidRPr="00465FF5">
        <w:rPr>
          <w:rFonts w:ascii="Arial" w:hAnsi="Arial" w:cs="Arial"/>
          <w:sz w:val="20"/>
          <w:szCs w:val="20"/>
        </w:rPr>
        <w:t xml:space="preserve"> 1</w:t>
      </w:r>
      <w:r w:rsidR="004E6788" w:rsidRPr="00465FF5">
        <w:rPr>
          <w:rFonts w:ascii="Arial" w:hAnsi="Arial" w:cs="Arial"/>
          <w:sz w:val="20"/>
          <w:szCs w:val="20"/>
        </w:rPr>
        <w:t>)</w:t>
      </w:r>
    </w:p>
    <w:p w14:paraId="450B4704" w14:textId="77777777" w:rsidR="00625B65" w:rsidRDefault="00142D14" w:rsidP="00142D14">
      <w:pPr>
        <w:jc w:val="both"/>
        <w:rPr>
          <w:rFonts w:ascii="Arial" w:hAnsi="Arial" w:cs="Arial"/>
          <w:sz w:val="20"/>
          <w:szCs w:val="20"/>
        </w:rPr>
      </w:pPr>
      <w:r w:rsidRPr="004C6941">
        <w:rPr>
          <w:rFonts w:ascii="Arial" w:hAnsi="Arial" w:cs="Arial"/>
          <w:sz w:val="20"/>
          <w:szCs w:val="20"/>
        </w:rPr>
        <w:t xml:space="preserve">The study applied quantitative and qualitative approaches. </w:t>
      </w:r>
      <w:r w:rsidR="00D6721B" w:rsidRPr="004C6941">
        <w:rPr>
          <w:rFonts w:ascii="Arial" w:hAnsi="Arial" w:cs="Arial"/>
          <w:sz w:val="20"/>
          <w:szCs w:val="20"/>
        </w:rPr>
        <w:t xml:space="preserve">Three main methods were applied such as: (a) household interviews, (b) focus group discussions and (c) study of relevant documents.  </w:t>
      </w:r>
    </w:p>
    <w:p w14:paraId="5CB02DE2" w14:textId="77777777" w:rsidR="00DB6B1E" w:rsidRDefault="00DB6B1E" w:rsidP="00142D14">
      <w:pPr>
        <w:jc w:val="both"/>
        <w:rPr>
          <w:rFonts w:ascii="Arial" w:hAnsi="Arial" w:cs="Arial"/>
          <w:sz w:val="20"/>
          <w:szCs w:val="20"/>
        </w:rPr>
      </w:pPr>
    </w:p>
    <w:p w14:paraId="6DDD113D" w14:textId="77777777" w:rsidR="007C1AF9" w:rsidRDefault="007C1AF9" w:rsidP="00142D14">
      <w:pPr>
        <w:jc w:val="both"/>
        <w:rPr>
          <w:rFonts w:ascii="Arial" w:hAnsi="Arial" w:cs="Arial"/>
          <w:sz w:val="20"/>
          <w:szCs w:val="20"/>
        </w:rPr>
      </w:pPr>
    </w:p>
    <w:p w14:paraId="54EB3EB4" w14:textId="77777777" w:rsidR="00142D14" w:rsidRPr="004C6941" w:rsidRDefault="00142D14" w:rsidP="00142D14">
      <w:pPr>
        <w:jc w:val="both"/>
        <w:rPr>
          <w:rFonts w:ascii="Arial" w:hAnsi="Arial" w:cs="Arial"/>
          <w:sz w:val="20"/>
          <w:szCs w:val="20"/>
        </w:rPr>
      </w:pPr>
      <w:r w:rsidRPr="004C6941">
        <w:rPr>
          <w:rFonts w:ascii="Arial" w:hAnsi="Arial" w:cs="Arial"/>
          <w:sz w:val="20"/>
          <w:szCs w:val="20"/>
        </w:rPr>
        <w:t xml:space="preserve">PRIMARY DATA: THE HOUSEHOLD SURVEY </w:t>
      </w:r>
    </w:p>
    <w:p w14:paraId="5FD16ECF" w14:textId="52B60DD2" w:rsidR="00142D14" w:rsidRPr="004C6941" w:rsidRDefault="00142D14" w:rsidP="00142D14">
      <w:pPr>
        <w:jc w:val="both"/>
        <w:rPr>
          <w:rFonts w:ascii="Arial" w:hAnsi="Arial" w:cs="Arial"/>
          <w:sz w:val="20"/>
          <w:szCs w:val="20"/>
        </w:rPr>
      </w:pPr>
      <w:r w:rsidRPr="004C6941">
        <w:rPr>
          <w:rFonts w:ascii="Arial" w:hAnsi="Arial" w:cs="Arial"/>
          <w:sz w:val="20"/>
          <w:szCs w:val="20"/>
        </w:rPr>
        <w:t>The household questionnaire (HHQ) utilized for the household survey was designed and finalized through participation of several stakeholders</w:t>
      </w:r>
      <w:r w:rsidR="00EB7528" w:rsidRPr="004C6941">
        <w:rPr>
          <w:rFonts w:ascii="Arial" w:hAnsi="Arial" w:cs="Arial"/>
          <w:sz w:val="20"/>
          <w:szCs w:val="20"/>
        </w:rPr>
        <w:t xml:space="preserve">. </w:t>
      </w:r>
      <w:r w:rsidRPr="004C6941">
        <w:rPr>
          <w:rFonts w:ascii="Arial" w:hAnsi="Arial" w:cs="Arial"/>
          <w:sz w:val="20"/>
          <w:szCs w:val="20"/>
        </w:rPr>
        <w:t xml:space="preserve"> </w:t>
      </w:r>
      <w:r w:rsidR="00EB7528" w:rsidRPr="004C6941">
        <w:rPr>
          <w:rFonts w:ascii="Arial" w:hAnsi="Arial" w:cs="Arial"/>
          <w:sz w:val="20"/>
          <w:szCs w:val="20"/>
        </w:rPr>
        <w:t>The Cambodia S</w:t>
      </w:r>
      <w:r w:rsidR="00D27FC2" w:rsidRPr="004C6941">
        <w:rPr>
          <w:rFonts w:ascii="Arial" w:hAnsi="Arial" w:cs="Arial"/>
          <w:sz w:val="20"/>
          <w:szCs w:val="20"/>
        </w:rPr>
        <w:t xml:space="preserve">ocial Business and Khmer </w:t>
      </w:r>
      <w:r w:rsidR="00EB7528" w:rsidRPr="004C6941">
        <w:rPr>
          <w:rFonts w:ascii="Arial" w:hAnsi="Arial" w:cs="Arial"/>
          <w:sz w:val="20"/>
          <w:szCs w:val="20"/>
        </w:rPr>
        <w:t xml:space="preserve">Research and Development </w:t>
      </w:r>
      <w:r w:rsidR="00F5767B">
        <w:rPr>
          <w:rFonts w:ascii="Arial" w:hAnsi="Arial" w:cs="Arial"/>
          <w:sz w:val="20"/>
          <w:szCs w:val="20"/>
        </w:rPr>
        <w:t>(SBK), under the supervision of</w:t>
      </w:r>
      <w:r w:rsidR="00AE6680">
        <w:rPr>
          <w:rFonts w:ascii="Arial" w:hAnsi="Arial" w:cs="Arial"/>
          <w:sz w:val="20"/>
          <w:szCs w:val="20"/>
        </w:rPr>
        <w:t xml:space="preserve"> </w:t>
      </w:r>
      <w:r w:rsidR="00EB7528" w:rsidRPr="004C6941">
        <w:rPr>
          <w:rFonts w:ascii="Arial" w:hAnsi="Arial" w:cs="Arial"/>
          <w:sz w:val="20"/>
          <w:szCs w:val="20"/>
        </w:rPr>
        <w:t>United Nations Develo</w:t>
      </w:r>
      <w:r w:rsidR="00BB651C">
        <w:rPr>
          <w:rFonts w:ascii="Arial" w:hAnsi="Arial" w:cs="Arial"/>
          <w:sz w:val="20"/>
          <w:szCs w:val="20"/>
        </w:rPr>
        <w:t>pme</w:t>
      </w:r>
      <w:r w:rsidR="00EB7528" w:rsidRPr="004C6941">
        <w:rPr>
          <w:rFonts w:ascii="Arial" w:hAnsi="Arial" w:cs="Arial"/>
          <w:sz w:val="20"/>
          <w:szCs w:val="20"/>
        </w:rPr>
        <w:t xml:space="preserve">nt Programme (UNDP) </w:t>
      </w:r>
      <w:proofErr w:type="gramStart"/>
      <w:r w:rsidR="00EB7528" w:rsidRPr="004C6941">
        <w:rPr>
          <w:rFonts w:ascii="Arial" w:hAnsi="Arial" w:cs="Arial"/>
          <w:sz w:val="20"/>
          <w:szCs w:val="20"/>
        </w:rPr>
        <w:t>was</w:t>
      </w:r>
      <w:proofErr w:type="gramEnd"/>
      <w:r w:rsidR="00EB7528" w:rsidRPr="004C6941">
        <w:rPr>
          <w:rFonts w:ascii="Arial" w:hAnsi="Arial" w:cs="Arial"/>
          <w:sz w:val="20"/>
          <w:szCs w:val="20"/>
        </w:rPr>
        <w:t xml:space="preserve"> responsible for conducting survey. Specifically, </w:t>
      </w:r>
      <w:r w:rsidRPr="004C6941">
        <w:rPr>
          <w:rFonts w:ascii="Arial" w:hAnsi="Arial" w:cs="Arial"/>
          <w:sz w:val="20"/>
          <w:szCs w:val="20"/>
        </w:rPr>
        <w:t>a total of</w:t>
      </w:r>
      <w:r w:rsidR="00535836" w:rsidRPr="004C6941">
        <w:rPr>
          <w:rFonts w:ascii="Arial" w:hAnsi="Arial" w:cs="Arial"/>
          <w:sz w:val="20"/>
          <w:szCs w:val="20"/>
        </w:rPr>
        <w:t xml:space="preserve"> 3</w:t>
      </w:r>
      <w:r w:rsidRPr="004C6941">
        <w:rPr>
          <w:rFonts w:ascii="Arial" w:hAnsi="Arial" w:cs="Arial"/>
          <w:sz w:val="20"/>
          <w:szCs w:val="20"/>
        </w:rPr>
        <w:t xml:space="preserve"> teams – each composed of </w:t>
      </w:r>
      <w:r w:rsidR="00535836" w:rsidRPr="004C6941">
        <w:rPr>
          <w:rFonts w:ascii="Arial" w:hAnsi="Arial" w:cs="Arial"/>
          <w:sz w:val="20"/>
          <w:szCs w:val="20"/>
        </w:rPr>
        <w:t xml:space="preserve">four </w:t>
      </w:r>
      <w:r w:rsidRPr="004C6941">
        <w:rPr>
          <w:rFonts w:ascii="Arial" w:hAnsi="Arial" w:cs="Arial"/>
          <w:sz w:val="20"/>
          <w:szCs w:val="20"/>
        </w:rPr>
        <w:t>enumerators and one team supervisor – conducted the field work</w:t>
      </w:r>
      <w:r w:rsidR="00D27FC2" w:rsidRPr="004C6941">
        <w:rPr>
          <w:rFonts w:ascii="Arial" w:hAnsi="Arial" w:cs="Arial"/>
          <w:sz w:val="20"/>
          <w:szCs w:val="20"/>
        </w:rPr>
        <w:t xml:space="preserve"> in each province</w:t>
      </w:r>
      <w:r w:rsidRPr="004C6941">
        <w:rPr>
          <w:rFonts w:ascii="Arial" w:hAnsi="Arial" w:cs="Arial"/>
          <w:sz w:val="20"/>
          <w:szCs w:val="20"/>
        </w:rPr>
        <w:t xml:space="preserve">. </w:t>
      </w:r>
      <w:r w:rsidR="00EB7528" w:rsidRPr="004C6941">
        <w:rPr>
          <w:rFonts w:ascii="Arial" w:hAnsi="Arial" w:cs="Arial"/>
          <w:sz w:val="20"/>
          <w:szCs w:val="20"/>
        </w:rPr>
        <w:t xml:space="preserve">The teams participated in 2 days training course prior to data collection, including pilot testing of the household questionnaire. The HH questionnaire  contained 11 sections: (1) </w:t>
      </w:r>
      <w:r w:rsidR="00F5767B">
        <w:rPr>
          <w:rFonts w:ascii="Arial" w:hAnsi="Arial" w:cs="Arial"/>
          <w:sz w:val="20"/>
          <w:szCs w:val="20"/>
        </w:rPr>
        <w:t>s</w:t>
      </w:r>
      <w:r w:rsidR="00AF16F3">
        <w:rPr>
          <w:rFonts w:ascii="Arial" w:hAnsi="Arial" w:cs="Arial"/>
          <w:sz w:val="20"/>
          <w:szCs w:val="20"/>
        </w:rPr>
        <w:t>creening -</w:t>
      </w:r>
      <w:r w:rsidR="00885E4E" w:rsidRPr="004C6941">
        <w:rPr>
          <w:rFonts w:ascii="Arial" w:hAnsi="Arial" w:cs="Arial"/>
          <w:sz w:val="20"/>
          <w:szCs w:val="20"/>
        </w:rPr>
        <w:t xml:space="preserve">  ID Poor Card information, </w:t>
      </w:r>
      <w:r w:rsidR="00F5767B">
        <w:rPr>
          <w:rFonts w:ascii="Arial" w:hAnsi="Arial" w:cs="Arial"/>
          <w:sz w:val="20"/>
          <w:szCs w:val="20"/>
        </w:rPr>
        <w:t>ownership of released land and  t</w:t>
      </w:r>
      <w:r w:rsidR="00885E4E" w:rsidRPr="004C6941">
        <w:rPr>
          <w:rFonts w:ascii="Arial" w:hAnsi="Arial" w:cs="Arial"/>
          <w:sz w:val="20"/>
          <w:szCs w:val="20"/>
        </w:rPr>
        <w:t>ype</w:t>
      </w:r>
      <w:r w:rsidR="00AE6680">
        <w:rPr>
          <w:rFonts w:ascii="Arial" w:hAnsi="Arial" w:cs="Arial"/>
          <w:sz w:val="20"/>
          <w:szCs w:val="20"/>
        </w:rPr>
        <w:t xml:space="preserve"> </w:t>
      </w:r>
      <w:r w:rsidR="00F5767B">
        <w:rPr>
          <w:rFonts w:ascii="Arial" w:hAnsi="Arial" w:cs="Arial"/>
          <w:sz w:val="20"/>
          <w:szCs w:val="20"/>
        </w:rPr>
        <w:t xml:space="preserve">of beneficiary; Section (2) </w:t>
      </w:r>
      <w:r w:rsidR="00AF16F3">
        <w:rPr>
          <w:rFonts w:ascii="Arial" w:hAnsi="Arial" w:cs="Arial"/>
          <w:sz w:val="20"/>
          <w:szCs w:val="20"/>
        </w:rPr>
        <w:t xml:space="preserve">housing; </w:t>
      </w:r>
      <w:r w:rsidR="00F5767B">
        <w:rPr>
          <w:rFonts w:ascii="Arial" w:hAnsi="Arial" w:cs="Arial"/>
          <w:sz w:val="20"/>
          <w:szCs w:val="20"/>
        </w:rPr>
        <w:t>Section (3) household information and labor; Section (4) m</w:t>
      </w:r>
      <w:r w:rsidR="00885E4E" w:rsidRPr="004C6941">
        <w:rPr>
          <w:rFonts w:ascii="Arial" w:hAnsi="Arial" w:cs="Arial"/>
          <w:sz w:val="20"/>
          <w:szCs w:val="20"/>
        </w:rPr>
        <w:t xml:space="preserve">ine and ERW information, perception </w:t>
      </w:r>
      <w:r w:rsidR="00F5767B">
        <w:rPr>
          <w:rFonts w:ascii="Arial" w:hAnsi="Arial" w:cs="Arial"/>
          <w:sz w:val="20"/>
          <w:szCs w:val="20"/>
        </w:rPr>
        <w:t>and benefits; Section (5) l</w:t>
      </w:r>
      <w:r w:rsidR="00885E4E" w:rsidRPr="004C6941">
        <w:rPr>
          <w:rFonts w:ascii="Arial" w:hAnsi="Arial" w:cs="Arial"/>
          <w:sz w:val="20"/>
          <w:szCs w:val="20"/>
        </w:rPr>
        <w:t>and use</w:t>
      </w:r>
      <w:r w:rsidR="00F5767B">
        <w:rPr>
          <w:rFonts w:ascii="Arial" w:hAnsi="Arial" w:cs="Arial"/>
          <w:sz w:val="20"/>
          <w:szCs w:val="20"/>
        </w:rPr>
        <w:t xml:space="preserve"> and productivity; Section (6) a</w:t>
      </w:r>
      <w:r w:rsidR="00885E4E" w:rsidRPr="004C6941">
        <w:rPr>
          <w:rFonts w:ascii="Arial" w:hAnsi="Arial" w:cs="Arial"/>
          <w:sz w:val="20"/>
          <w:szCs w:val="20"/>
        </w:rPr>
        <w:t>gricultura</w:t>
      </w:r>
      <w:r w:rsidR="00F5767B">
        <w:rPr>
          <w:rFonts w:ascii="Arial" w:hAnsi="Arial" w:cs="Arial"/>
          <w:sz w:val="20"/>
          <w:szCs w:val="20"/>
        </w:rPr>
        <w:t>l labor; Section (7) l</w:t>
      </w:r>
      <w:r w:rsidR="00885E4E" w:rsidRPr="004C6941">
        <w:rPr>
          <w:rFonts w:ascii="Arial" w:hAnsi="Arial" w:cs="Arial"/>
          <w:sz w:val="20"/>
          <w:szCs w:val="20"/>
        </w:rPr>
        <w:t xml:space="preserve">ivestock; </w:t>
      </w:r>
      <w:r w:rsidR="00F5767B">
        <w:rPr>
          <w:rFonts w:ascii="Arial" w:hAnsi="Arial" w:cs="Arial"/>
          <w:sz w:val="20"/>
          <w:szCs w:val="20"/>
        </w:rPr>
        <w:t>Section (8) e</w:t>
      </w:r>
      <w:r w:rsidR="00AF16F3">
        <w:rPr>
          <w:rFonts w:ascii="Arial" w:hAnsi="Arial" w:cs="Arial"/>
          <w:sz w:val="20"/>
          <w:szCs w:val="20"/>
        </w:rPr>
        <w:t>xpenditure based on additional income from released land; Section (9) a</w:t>
      </w:r>
      <w:r w:rsidR="00DA4A66" w:rsidRPr="004C6941">
        <w:rPr>
          <w:rFonts w:ascii="Arial" w:hAnsi="Arial" w:cs="Arial"/>
          <w:sz w:val="20"/>
          <w:szCs w:val="20"/>
        </w:rPr>
        <w:t xml:space="preserve">ssets acquired </w:t>
      </w:r>
      <w:r w:rsidR="00AF16F3">
        <w:rPr>
          <w:rFonts w:ascii="Arial" w:hAnsi="Arial" w:cs="Arial"/>
          <w:sz w:val="20"/>
          <w:szCs w:val="20"/>
        </w:rPr>
        <w:t xml:space="preserve">based on  income from released land; Section (10) land </w:t>
      </w:r>
      <w:r w:rsidR="00DA4A66" w:rsidRPr="004C6941">
        <w:rPr>
          <w:rFonts w:ascii="Arial" w:hAnsi="Arial" w:cs="Arial"/>
          <w:sz w:val="20"/>
          <w:szCs w:val="20"/>
        </w:rPr>
        <w:t xml:space="preserve"> disputes and future p</w:t>
      </w:r>
      <w:r w:rsidR="00AF16F3">
        <w:rPr>
          <w:rFonts w:ascii="Arial" w:hAnsi="Arial" w:cs="Arial"/>
          <w:sz w:val="20"/>
          <w:szCs w:val="20"/>
        </w:rPr>
        <w:t>lan for land use; Section (11) c</w:t>
      </w:r>
      <w:r w:rsidR="00DA4A66" w:rsidRPr="004C6941">
        <w:rPr>
          <w:rFonts w:ascii="Arial" w:hAnsi="Arial" w:cs="Arial"/>
          <w:sz w:val="20"/>
          <w:szCs w:val="20"/>
        </w:rPr>
        <w:t>hange of occupation afte</w:t>
      </w:r>
      <w:r w:rsidR="00AF16F3">
        <w:rPr>
          <w:rFonts w:ascii="Arial" w:hAnsi="Arial" w:cs="Arial"/>
          <w:sz w:val="20"/>
          <w:szCs w:val="20"/>
        </w:rPr>
        <w:t>r mine clearance; Section (12) l</w:t>
      </w:r>
      <w:r w:rsidR="00DA4A66" w:rsidRPr="004C6941">
        <w:rPr>
          <w:rFonts w:ascii="Arial" w:hAnsi="Arial" w:cs="Arial"/>
          <w:sz w:val="20"/>
          <w:szCs w:val="20"/>
        </w:rPr>
        <w:t>oan</w:t>
      </w:r>
      <w:r w:rsidR="00A8512B" w:rsidRPr="004C6941">
        <w:rPr>
          <w:rFonts w:ascii="Arial" w:hAnsi="Arial" w:cs="Arial"/>
          <w:sz w:val="20"/>
          <w:szCs w:val="20"/>
        </w:rPr>
        <w:t xml:space="preserve">. </w:t>
      </w:r>
      <w:r w:rsidR="00DA4A66" w:rsidRPr="004C6941">
        <w:rPr>
          <w:rFonts w:ascii="Arial" w:hAnsi="Arial" w:cs="Arial"/>
          <w:sz w:val="20"/>
          <w:szCs w:val="20"/>
        </w:rPr>
        <w:t xml:space="preserve"> </w:t>
      </w:r>
      <w:r w:rsidR="00F5767B">
        <w:rPr>
          <w:rFonts w:ascii="Arial" w:hAnsi="Arial" w:cs="Arial"/>
          <w:sz w:val="20"/>
          <w:szCs w:val="20"/>
        </w:rPr>
        <w:t xml:space="preserve"> </w:t>
      </w:r>
    </w:p>
    <w:p w14:paraId="0094D8DD" w14:textId="77777777" w:rsidR="00F5767B" w:rsidRDefault="005C1082" w:rsidP="00142D14">
      <w:pPr>
        <w:jc w:val="both"/>
        <w:rPr>
          <w:rFonts w:ascii="Arial" w:hAnsi="Arial" w:cs="Arial"/>
          <w:sz w:val="20"/>
          <w:szCs w:val="20"/>
        </w:rPr>
      </w:pPr>
      <w:r w:rsidRPr="004C6941">
        <w:rPr>
          <w:rFonts w:ascii="Arial" w:hAnsi="Arial" w:cs="Arial"/>
          <w:sz w:val="20"/>
          <w:szCs w:val="20"/>
        </w:rPr>
        <w:t xml:space="preserve">VILLAGE CHECK LIST </w:t>
      </w:r>
    </w:p>
    <w:p w14:paraId="69504BB5" w14:textId="77777777" w:rsidR="00641767" w:rsidRPr="004C6941" w:rsidRDefault="00142D14" w:rsidP="00142D14">
      <w:pPr>
        <w:jc w:val="both"/>
        <w:rPr>
          <w:rFonts w:ascii="Arial" w:hAnsi="Arial" w:cs="Arial"/>
          <w:sz w:val="20"/>
          <w:szCs w:val="20"/>
        </w:rPr>
      </w:pPr>
      <w:r w:rsidRPr="004C6941">
        <w:rPr>
          <w:rFonts w:ascii="Arial" w:hAnsi="Arial" w:cs="Arial"/>
          <w:sz w:val="20"/>
          <w:szCs w:val="20"/>
        </w:rPr>
        <w:t xml:space="preserve">The survey gathered information from </w:t>
      </w:r>
      <w:r w:rsidR="00DA4A66" w:rsidRPr="004C6941">
        <w:rPr>
          <w:rFonts w:ascii="Arial" w:hAnsi="Arial" w:cs="Arial"/>
          <w:sz w:val="20"/>
          <w:szCs w:val="20"/>
        </w:rPr>
        <w:t>key informants using a focus group discussion (FGD) checklist</w:t>
      </w:r>
      <w:r w:rsidRPr="004C6941">
        <w:rPr>
          <w:rFonts w:ascii="Arial" w:hAnsi="Arial" w:cs="Arial"/>
          <w:sz w:val="20"/>
          <w:szCs w:val="20"/>
        </w:rPr>
        <w:t xml:space="preserve">. This </w:t>
      </w:r>
      <w:r w:rsidR="00A8512B" w:rsidRPr="004C6941">
        <w:rPr>
          <w:rFonts w:ascii="Arial" w:hAnsi="Arial" w:cs="Arial"/>
          <w:sz w:val="20"/>
          <w:szCs w:val="20"/>
        </w:rPr>
        <w:t xml:space="preserve">information provided a useful context to the data collected through HHQ. The FGD contained both open-ended and coded system to score key informant answers. The FGD included </w:t>
      </w:r>
      <w:r w:rsidR="00AE6680">
        <w:rPr>
          <w:rFonts w:ascii="Arial" w:hAnsi="Arial" w:cs="Arial"/>
          <w:sz w:val="20"/>
          <w:szCs w:val="20"/>
        </w:rPr>
        <w:t>4 sections: (1) village background; (2) l</w:t>
      </w:r>
      <w:r w:rsidR="00641767" w:rsidRPr="004C6941">
        <w:rPr>
          <w:rFonts w:ascii="Arial" w:hAnsi="Arial" w:cs="Arial"/>
          <w:sz w:val="20"/>
          <w:szCs w:val="20"/>
        </w:rPr>
        <w:t>and contamination, risk and prioritization criteria’s; (3) impact</w:t>
      </w:r>
      <w:r w:rsidR="00D27FC2" w:rsidRPr="004C6941">
        <w:rPr>
          <w:rFonts w:ascii="Arial" w:hAnsi="Arial" w:cs="Arial"/>
          <w:sz w:val="20"/>
          <w:szCs w:val="20"/>
        </w:rPr>
        <w:t>/</w:t>
      </w:r>
      <w:r w:rsidR="00641767" w:rsidRPr="004C6941">
        <w:rPr>
          <w:rFonts w:ascii="Arial" w:hAnsi="Arial" w:cs="Arial"/>
          <w:sz w:val="20"/>
          <w:szCs w:val="20"/>
        </w:rPr>
        <w:t xml:space="preserve">benefits of mine clearance; </w:t>
      </w:r>
      <w:r w:rsidR="00D27FC2" w:rsidRPr="004C6941">
        <w:rPr>
          <w:rFonts w:ascii="Arial" w:hAnsi="Arial" w:cs="Arial"/>
          <w:sz w:val="20"/>
          <w:szCs w:val="20"/>
        </w:rPr>
        <w:t xml:space="preserve">and </w:t>
      </w:r>
      <w:r w:rsidR="00AE6680">
        <w:rPr>
          <w:rFonts w:ascii="Arial" w:hAnsi="Arial" w:cs="Arial"/>
          <w:sz w:val="20"/>
          <w:szCs w:val="20"/>
        </w:rPr>
        <w:t>(4) m</w:t>
      </w:r>
      <w:r w:rsidR="00641767" w:rsidRPr="004C6941">
        <w:rPr>
          <w:rFonts w:ascii="Arial" w:hAnsi="Arial" w:cs="Arial"/>
          <w:sz w:val="20"/>
          <w:szCs w:val="20"/>
        </w:rPr>
        <w:t xml:space="preserve">ine risk education. </w:t>
      </w:r>
    </w:p>
    <w:p w14:paraId="48754C26" w14:textId="77777777" w:rsidR="00E6117F" w:rsidRPr="004C6941" w:rsidRDefault="00641767" w:rsidP="00142D14">
      <w:pPr>
        <w:jc w:val="both"/>
        <w:rPr>
          <w:rFonts w:ascii="Arial" w:hAnsi="Arial" w:cs="Arial"/>
          <w:sz w:val="20"/>
          <w:szCs w:val="20"/>
        </w:rPr>
      </w:pPr>
      <w:r w:rsidRPr="004C6941">
        <w:rPr>
          <w:rFonts w:ascii="Arial" w:hAnsi="Arial" w:cs="Arial"/>
          <w:sz w:val="20"/>
          <w:szCs w:val="20"/>
        </w:rPr>
        <w:t>In each team</w:t>
      </w:r>
      <w:r w:rsidR="00E6117F" w:rsidRPr="004C6941">
        <w:rPr>
          <w:rFonts w:ascii="Arial" w:hAnsi="Arial" w:cs="Arial"/>
          <w:sz w:val="20"/>
          <w:szCs w:val="20"/>
        </w:rPr>
        <w:t>, facilitator was responsible for leading focus group discussion</w:t>
      </w:r>
      <w:r w:rsidR="00AF16F3">
        <w:rPr>
          <w:rFonts w:ascii="Arial" w:hAnsi="Arial" w:cs="Arial"/>
          <w:sz w:val="20"/>
          <w:szCs w:val="20"/>
        </w:rPr>
        <w:t xml:space="preserve"> consisting of</w:t>
      </w:r>
      <w:r w:rsidR="00E6117F" w:rsidRPr="004C6941">
        <w:rPr>
          <w:rFonts w:ascii="Arial" w:hAnsi="Arial" w:cs="Arial"/>
          <w:sz w:val="20"/>
          <w:szCs w:val="20"/>
        </w:rPr>
        <w:t xml:space="preserve"> village chief, commune council, </w:t>
      </w:r>
      <w:r w:rsidR="00D27FC2" w:rsidRPr="004C6941">
        <w:rPr>
          <w:rFonts w:ascii="Arial" w:hAnsi="Arial" w:cs="Arial"/>
          <w:sz w:val="20"/>
          <w:szCs w:val="20"/>
        </w:rPr>
        <w:t>school director or</w:t>
      </w:r>
      <w:r w:rsidR="00E6117F" w:rsidRPr="004C6941">
        <w:rPr>
          <w:rFonts w:ascii="Arial" w:hAnsi="Arial" w:cs="Arial"/>
          <w:sz w:val="20"/>
          <w:szCs w:val="20"/>
        </w:rPr>
        <w:t xml:space="preserve"> teacher, village volunteers and other key informants. Note taker recorded FGDs for preparation of narrative report. </w:t>
      </w:r>
    </w:p>
    <w:p w14:paraId="56F73A99" w14:textId="77777777" w:rsidR="000D6F5A" w:rsidRPr="004C6941" w:rsidRDefault="000D6F5A" w:rsidP="00142D14">
      <w:pPr>
        <w:jc w:val="both"/>
        <w:rPr>
          <w:rFonts w:ascii="Arial" w:hAnsi="Arial" w:cs="Arial"/>
          <w:color w:val="2E74B5" w:themeColor="accent1" w:themeShade="BF"/>
          <w:sz w:val="20"/>
          <w:szCs w:val="20"/>
        </w:rPr>
      </w:pPr>
      <w:r w:rsidRPr="004C6941">
        <w:rPr>
          <w:rFonts w:ascii="Arial" w:hAnsi="Arial" w:cs="Arial"/>
          <w:color w:val="2E74B5" w:themeColor="accent1" w:themeShade="BF"/>
          <w:sz w:val="20"/>
          <w:szCs w:val="20"/>
        </w:rPr>
        <w:t xml:space="preserve">STATISTICAL ANALYSES TOOLS </w:t>
      </w:r>
    </w:p>
    <w:p w14:paraId="658FF5E4" w14:textId="77777777" w:rsidR="0069790A" w:rsidRPr="004C6941" w:rsidRDefault="000D6F5A" w:rsidP="00781CEB">
      <w:pPr>
        <w:jc w:val="both"/>
        <w:rPr>
          <w:rFonts w:ascii="Arial" w:hAnsi="Arial" w:cs="Arial"/>
          <w:sz w:val="20"/>
          <w:szCs w:val="20"/>
        </w:rPr>
      </w:pPr>
      <w:r w:rsidRPr="004C6941">
        <w:rPr>
          <w:rFonts w:ascii="Arial" w:hAnsi="Arial" w:cs="Arial"/>
          <w:sz w:val="20"/>
          <w:szCs w:val="20"/>
        </w:rPr>
        <w:t xml:space="preserve">The SBK was responsible for the data entry of the household questionnaire and </w:t>
      </w:r>
      <w:r w:rsidR="00AF16F3">
        <w:rPr>
          <w:rFonts w:ascii="Arial" w:hAnsi="Arial" w:cs="Arial"/>
          <w:sz w:val="20"/>
          <w:szCs w:val="20"/>
        </w:rPr>
        <w:t>preparation of narrative report based on FGDs</w:t>
      </w:r>
      <w:r w:rsidRPr="004C6941">
        <w:rPr>
          <w:rFonts w:ascii="Arial" w:hAnsi="Arial" w:cs="Arial"/>
          <w:sz w:val="20"/>
          <w:szCs w:val="20"/>
        </w:rPr>
        <w:t xml:space="preserve">. </w:t>
      </w:r>
      <w:r w:rsidR="003A74C2" w:rsidRPr="004C6941">
        <w:rPr>
          <w:rFonts w:ascii="Arial" w:hAnsi="Arial" w:cs="Arial"/>
          <w:sz w:val="20"/>
          <w:szCs w:val="20"/>
        </w:rPr>
        <w:t xml:space="preserve">UNDP </w:t>
      </w:r>
      <w:r w:rsidRPr="004C6941">
        <w:rPr>
          <w:rFonts w:ascii="Arial" w:hAnsi="Arial" w:cs="Arial"/>
          <w:sz w:val="20"/>
          <w:szCs w:val="20"/>
        </w:rPr>
        <w:t xml:space="preserve">prepared format on </w:t>
      </w:r>
      <w:proofErr w:type="spellStart"/>
      <w:r w:rsidRPr="004C6941">
        <w:rPr>
          <w:rFonts w:ascii="Arial" w:hAnsi="Arial" w:cs="Arial"/>
          <w:sz w:val="20"/>
          <w:szCs w:val="20"/>
        </w:rPr>
        <w:t>CSPro</w:t>
      </w:r>
      <w:proofErr w:type="spellEnd"/>
      <w:r w:rsidRPr="004C6941">
        <w:rPr>
          <w:rFonts w:ascii="Arial" w:hAnsi="Arial" w:cs="Arial"/>
          <w:sz w:val="20"/>
          <w:szCs w:val="20"/>
        </w:rPr>
        <w:t xml:space="preserve"> softw</w:t>
      </w:r>
      <w:r w:rsidR="0023353D">
        <w:rPr>
          <w:rFonts w:ascii="Arial" w:hAnsi="Arial" w:cs="Arial"/>
          <w:sz w:val="20"/>
          <w:szCs w:val="20"/>
        </w:rPr>
        <w:t>are and then converted into SPSS</w:t>
      </w:r>
      <w:r w:rsidRPr="004C6941">
        <w:rPr>
          <w:rFonts w:ascii="Arial" w:hAnsi="Arial" w:cs="Arial"/>
          <w:sz w:val="20"/>
          <w:szCs w:val="20"/>
        </w:rPr>
        <w:t xml:space="preserve"> for data analyses. </w:t>
      </w:r>
      <w:r w:rsidR="003A74C2" w:rsidRPr="004C6941">
        <w:rPr>
          <w:rFonts w:ascii="Arial" w:hAnsi="Arial" w:cs="Arial"/>
          <w:sz w:val="20"/>
          <w:szCs w:val="20"/>
        </w:rPr>
        <w:t xml:space="preserve">Data cleaning and analyses </w:t>
      </w:r>
      <w:r w:rsidR="00AE6680">
        <w:rPr>
          <w:rFonts w:ascii="Arial" w:hAnsi="Arial" w:cs="Arial"/>
          <w:sz w:val="20"/>
          <w:szCs w:val="20"/>
        </w:rPr>
        <w:t>were performed by UNDP</w:t>
      </w:r>
      <w:r w:rsidR="00625B65">
        <w:rPr>
          <w:rFonts w:ascii="Arial" w:hAnsi="Arial" w:cs="Arial"/>
          <w:sz w:val="20"/>
          <w:szCs w:val="20"/>
        </w:rPr>
        <w:t xml:space="preserve"> using </w:t>
      </w:r>
      <w:r w:rsidR="003A74C2" w:rsidRPr="004C6941">
        <w:rPr>
          <w:rFonts w:ascii="Arial" w:hAnsi="Arial" w:cs="Arial"/>
          <w:sz w:val="20"/>
          <w:szCs w:val="20"/>
        </w:rPr>
        <w:t xml:space="preserve">SPSS software. </w:t>
      </w:r>
    </w:p>
    <w:p w14:paraId="5ED924C3" w14:textId="77777777" w:rsidR="00AE6680" w:rsidRDefault="00D27FC2" w:rsidP="00142D14">
      <w:pPr>
        <w:jc w:val="both"/>
        <w:rPr>
          <w:rFonts w:ascii="Arial" w:hAnsi="Arial" w:cs="Arial"/>
          <w:sz w:val="20"/>
          <w:szCs w:val="20"/>
        </w:rPr>
      </w:pPr>
      <w:r w:rsidRPr="004C6941">
        <w:rPr>
          <w:rFonts w:ascii="Arial" w:hAnsi="Arial" w:cs="Arial"/>
          <w:sz w:val="20"/>
          <w:szCs w:val="20"/>
        </w:rPr>
        <w:t xml:space="preserve">Notwithstanding, the overall survey design and methodology </w:t>
      </w:r>
      <w:r w:rsidR="00E719B8" w:rsidRPr="004C6941">
        <w:rPr>
          <w:rFonts w:ascii="Arial" w:hAnsi="Arial" w:cs="Arial"/>
          <w:sz w:val="20"/>
          <w:szCs w:val="20"/>
        </w:rPr>
        <w:t xml:space="preserve">were </w:t>
      </w:r>
      <w:r w:rsidR="00595E25" w:rsidRPr="004C6941">
        <w:rPr>
          <w:rFonts w:ascii="Arial" w:hAnsi="Arial" w:cs="Arial"/>
          <w:sz w:val="20"/>
          <w:szCs w:val="20"/>
        </w:rPr>
        <w:t xml:space="preserve">prepared based on the </w:t>
      </w:r>
      <w:r w:rsidRPr="004C6941">
        <w:rPr>
          <w:rFonts w:ascii="Arial" w:hAnsi="Arial" w:cs="Arial"/>
          <w:sz w:val="20"/>
          <w:szCs w:val="20"/>
        </w:rPr>
        <w:t xml:space="preserve"> </w:t>
      </w:r>
      <w:r w:rsidR="00AE6680">
        <w:rPr>
          <w:rFonts w:ascii="Arial" w:hAnsi="Arial" w:cs="Arial"/>
          <w:sz w:val="20"/>
          <w:szCs w:val="20"/>
        </w:rPr>
        <w:t>prior field visits,</w:t>
      </w:r>
      <w:r w:rsidR="00E719B8" w:rsidRPr="004C6941">
        <w:rPr>
          <w:rFonts w:ascii="Arial" w:hAnsi="Arial" w:cs="Arial"/>
          <w:sz w:val="20"/>
          <w:szCs w:val="20"/>
        </w:rPr>
        <w:t xml:space="preserve"> household interviews and discussions with community representatives to capture all aspects of  land use </w:t>
      </w:r>
      <w:r w:rsidR="00595E25" w:rsidRPr="004C6941">
        <w:rPr>
          <w:rFonts w:ascii="Arial" w:hAnsi="Arial" w:cs="Arial"/>
          <w:sz w:val="20"/>
          <w:szCs w:val="20"/>
        </w:rPr>
        <w:t>after mine clearance</w:t>
      </w:r>
      <w:r w:rsidR="00AE6680">
        <w:rPr>
          <w:rFonts w:ascii="Arial" w:hAnsi="Arial" w:cs="Arial"/>
          <w:sz w:val="20"/>
          <w:szCs w:val="20"/>
        </w:rPr>
        <w:t xml:space="preserve"> and identify the value chain of livelihoods after release of land.  </w:t>
      </w:r>
    </w:p>
    <w:p w14:paraId="4B642D1F" w14:textId="77777777" w:rsidR="00E719B8" w:rsidRPr="004C6941" w:rsidRDefault="00AE6680" w:rsidP="00142D14">
      <w:pPr>
        <w:jc w:val="both"/>
        <w:rPr>
          <w:rFonts w:ascii="Arial" w:hAnsi="Arial" w:cs="Arial"/>
          <w:sz w:val="20"/>
          <w:szCs w:val="20"/>
        </w:rPr>
      </w:pPr>
      <w:r>
        <w:rPr>
          <w:rFonts w:ascii="Arial" w:hAnsi="Arial" w:cs="Arial"/>
          <w:sz w:val="20"/>
          <w:szCs w:val="20"/>
        </w:rPr>
        <w:t>S</w:t>
      </w:r>
      <w:r w:rsidR="00E719B8" w:rsidRPr="004C6941">
        <w:rPr>
          <w:rFonts w:ascii="Arial" w:hAnsi="Arial" w:cs="Arial"/>
          <w:sz w:val="20"/>
          <w:szCs w:val="20"/>
        </w:rPr>
        <w:t xml:space="preserve">ome limitations need to be noted: </w:t>
      </w:r>
    </w:p>
    <w:p w14:paraId="5D23E7C2" w14:textId="77777777" w:rsidR="00E719B8" w:rsidRPr="004C6941" w:rsidRDefault="00595E25" w:rsidP="00F265FF">
      <w:pPr>
        <w:pStyle w:val="ListParagraph"/>
        <w:numPr>
          <w:ilvl w:val="0"/>
          <w:numId w:val="3"/>
        </w:numPr>
        <w:jc w:val="both"/>
        <w:rPr>
          <w:rFonts w:ascii="Arial" w:hAnsi="Arial" w:cs="Arial"/>
          <w:b/>
          <w:bCs/>
          <w:sz w:val="20"/>
          <w:szCs w:val="20"/>
        </w:rPr>
      </w:pPr>
      <w:r w:rsidRPr="004C6941">
        <w:rPr>
          <w:rFonts w:ascii="Arial" w:hAnsi="Arial" w:cs="Arial"/>
          <w:b/>
          <w:bCs/>
          <w:sz w:val="20"/>
          <w:szCs w:val="20"/>
        </w:rPr>
        <w:t xml:space="preserve">Baseline Data </w:t>
      </w:r>
    </w:p>
    <w:p w14:paraId="457EF417" w14:textId="0FA61E00" w:rsidR="00657034" w:rsidRPr="00625B65" w:rsidRDefault="009516D0" w:rsidP="00625B65">
      <w:pPr>
        <w:pStyle w:val="ListParagraph"/>
        <w:ind w:left="405"/>
        <w:jc w:val="both"/>
        <w:rPr>
          <w:rFonts w:ascii="Arial" w:hAnsi="Arial" w:cs="Arial"/>
          <w:sz w:val="20"/>
          <w:szCs w:val="20"/>
        </w:rPr>
      </w:pPr>
      <w:r w:rsidRPr="004C6941">
        <w:rPr>
          <w:rFonts w:ascii="Arial" w:hAnsi="Arial" w:cs="Arial"/>
          <w:sz w:val="20"/>
          <w:szCs w:val="20"/>
        </w:rPr>
        <w:t>I</w:t>
      </w:r>
      <w:r w:rsidR="00DA2503" w:rsidRPr="004C6941">
        <w:rPr>
          <w:rFonts w:ascii="Arial" w:hAnsi="Arial" w:cs="Arial"/>
          <w:sz w:val="20"/>
          <w:szCs w:val="20"/>
        </w:rPr>
        <w:t xml:space="preserve">n Monitoring and Evaluation activities, the baseline </w:t>
      </w:r>
      <w:r w:rsidR="005825E9">
        <w:rPr>
          <w:rFonts w:ascii="Arial" w:hAnsi="Arial" w:cs="Arial"/>
          <w:sz w:val="20"/>
          <w:szCs w:val="20"/>
        </w:rPr>
        <w:t xml:space="preserve">study is an early element </w:t>
      </w:r>
      <w:r w:rsidR="00625B65">
        <w:rPr>
          <w:rFonts w:ascii="Arial" w:hAnsi="Arial" w:cs="Arial"/>
          <w:sz w:val="20"/>
          <w:szCs w:val="20"/>
        </w:rPr>
        <w:t xml:space="preserve">of </w:t>
      </w:r>
      <w:r w:rsidR="00625B65" w:rsidRPr="004C6941">
        <w:rPr>
          <w:rFonts w:ascii="Arial" w:hAnsi="Arial" w:cs="Arial"/>
          <w:sz w:val="20"/>
          <w:szCs w:val="20"/>
        </w:rPr>
        <w:t>monitoring</w:t>
      </w:r>
      <w:r w:rsidR="00DA2503" w:rsidRPr="004C6941">
        <w:rPr>
          <w:rFonts w:ascii="Arial" w:hAnsi="Arial" w:cs="Arial"/>
          <w:sz w:val="20"/>
          <w:szCs w:val="20"/>
        </w:rPr>
        <w:t xml:space="preserve"> plan. </w:t>
      </w:r>
      <w:r w:rsidR="00657034">
        <w:rPr>
          <w:rFonts w:ascii="Arial" w:hAnsi="Arial" w:cs="Arial"/>
          <w:sz w:val="20"/>
          <w:szCs w:val="20"/>
        </w:rPr>
        <w:t>The b</w:t>
      </w:r>
      <w:r w:rsidR="00C82544" w:rsidRPr="004C6941">
        <w:rPr>
          <w:rFonts w:ascii="Arial" w:hAnsi="Arial" w:cs="Arial"/>
          <w:sz w:val="20"/>
          <w:szCs w:val="20"/>
        </w:rPr>
        <w:t xml:space="preserve">aseline survey provides data upon which project’s progress </w:t>
      </w:r>
      <w:r w:rsidR="00F447B5">
        <w:rPr>
          <w:rFonts w:ascii="Arial" w:hAnsi="Arial" w:cs="Arial"/>
          <w:sz w:val="20"/>
          <w:szCs w:val="20"/>
        </w:rPr>
        <w:t>i</w:t>
      </w:r>
      <w:r w:rsidR="00C82544" w:rsidRPr="004C6941">
        <w:rPr>
          <w:rFonts w:ascii="Arial" w:hAnsi="Arial" w:cs="Arial"/>
          <w:sz w:val="20"/>
          <w:szCs w:val="20"/>
        </w:rPr>
        <w:t>n</w:t>
      </w:r>
      <w:r w:rsidR="00F447B5">
        <w:rPr>
          <w:rFonts w:ascii="Arial" w:hAnsi="Arial" w:cs="Arial"/>
          <w:sz w:val="20"/>
          <w:szCs w:val="20"/>
        </w:rPr>
        <w:t xml:space="preserve"> the</w:t>
      </w:r>
      <w:r w:rsidR="00C82544" w:rsidRPr="004C6941">
        <w:rPr>
          <w:rFonts w:ascii="Arial" w:hAnsi="Arial" w:cs="Arial"/>
          <w:sz w:val="20"/>
          <w:szCs w:val="20"/>
        </w:rPr>
        <w:t xml:space="preserve"> generation of outputs and outcomes and impact is assessed.  </w:t>
      </w:r>
      <w:r w:rsidR="00657034">
        <w:rPr>
          <w:rFonts w:ascii="Arial" w:hAnsi="Arial" w:cs="Arial"/>
          <w:sz w:val="20"/>
          <w:szCs w:val="20"/>
        </w:rPr>
        <w:t xml:space="preserve">Information on </w:t>
      </w:r>
      <w:r w:rsidR="00625B65">
        <w:rPr>
          <w:rFonts w:ascii="Arial" w:hAnsi="Arial" w:cs="Arial"/>
          <w:sz w:val="20"/>
          <w:szCs w:val="20"/>
        </w:rPr>
        <w:t>the household level</w:t>
      </w:r>
      <w:r w:rsidR="00657034">
        <w:rPr>
          <w:rFonts w:ascii="Arial" w:hAnsi="Arial" w:cs="Arial"/>
          <w:sz w:val="20"/>
          <w:szCs w:val="20"/>
        </w:rPr>
        <w:t xml:space="preserve"> </w:t>
      </w:r>
      <w:r w:rsidR="00625B65">
        <w:rPr>
          <w:rFonts w:ascii="Arial" w:hAnsi="Arial" w:cs="Arial"/>
          <w:sz w:val="20"/>
          <w:szCs w:val="20"/>
        </w:rPr>
        <w:t>(</w:t>
      </w:r>
      <w:r w:rsidR="00657034">
        <w:rPr>
          <w:rFonts w:ascii="Arial" w:hAnsi="Arial" w:cs="Arial"/>
          <w:sz w:val="20"/>
          <w:szCs w:val="20"/>
        </w:rPr>
        <w:t>livelihoods</w:t>
      </w:r>
      <w:r w:rsidR="00625B65">
        <w:rPr>
          <w:rFonts w:ascii="Arial" w:hAnsi="Arial" w:cs="Arial"/>
          <w:sz w:val="20"/>
          <w:szCs w:val="20"/>
        </w:rPr>
        <w:t>)</w:t>
      </w:r>
      <w:r w:rsidR="00657034">
        <w:rPr>
          <w:rFonts w:ascii="Arial" w:hAnsi="Arial" w:cs="Arial"/>
          <w:sz w:val="20"/>
          <w:szCs w:val="20"/>
        </w:rPr>
        <w:t xml:space="preserve"> was not available at the baseline stage to measure changes. Therefore, </w:t>
      </w:r>
      <w:r w:rsidR="00F447B5">
        <w:rPr>
          <w:rFonts w:ascii="Arial" w:hAnsi="Arial" w:cs="Arial"/>
          <w:sz w:val="20"/>
          <w:szCs w:val="20"/>
        </w:rPr>
        <w:t xml:space="preserve">the </w:t>
      </w:r>
      <w:r w:rsidR="00657034">
        <w:rPr>
          <w:rFonts w:ascii="Arial" w:hAnsi="Arial" w:cs="Arial"/>
          <w:sz w:val="20"/>
          <w:szCs w:val="20"/>
        </w:rPr>
        <w:t>study relied on the information provided by househol</w:t>
      </w:r>
      <w:r w:rsidR="00625B65">
        <w:rPr>
          <w:rFonts w:ascii="Arial" w:hAnsi="Arial" w:cs="Arial"/>
          <w:sz w:val="20"/>
          <w:szCs w:val="20"/>
        </w:rPr>
        <w:t xml:space="preserve">ds on the changes in livelihoods </w:t>
      </w:r>
      <w:r w:rsidR="00657034">
        <w:rPr>
          <w:rFonts w:ascii="Arial" w:hAnsi="Arial" w:cs="Arial"/>
          <w:sz w:val="20"/>
          <w:szCs w:val="20"/>
        </w:rPr>
        <w:t xml:space="preserve">based on the increased size of </w:t>
      </w:r>
      <w:r w:rsidR="00012824">
        <w:rPr>
          <w:rFonts w:ascii="Arial" w:hAnsi="Arial" w:cs="Arial"/>
          <w:sz w:val="20"/>
          <w:szCs w:val="20"/>
        </w:rPr>
        <w:t>safe and usable</w:t>
      </w:r>
      <w:r w:rsidR="00625B65">
        <w:rPr>
          <w:rFonts w:ascii="Arial" w:hAnsi="Arial" w:cs="Arial"/>
          <w:sz w:val="20"/>
          <w:szCs w:val="20"/>
        </w:rPr>
        <w:t xml:space="preserve"> </w:t>
      </w:r>
      <w:r w:rsidR="00657034">
        <w:rPr>
          <w:rFonts w:ascii="Arial" w:hAnsi="Arial" w:cs="Arial"/>
          <w:sz w:val="20"/>
          <w:szCs w:val="20"/>
        </w:rPr>
        <w:t>residential or agricultural lands</w:t>
      </w:r>
      <w:r w:rsidR="00012824">
        <w:rPr>
          <w:rFonts w:ascii="Arial" w:hAnsi="Arial" w:cs="Arial"/>
          <w:sz w:val="20"/>
          <w:szCs w:val="20"/>
        </w:rPr>
        <w:t xml:space="preserve"> as a result of mine clearance</w:t>
      </w:r>
      <w:r w:rsidR="00657034">
        <w:rPr>
          <w:rFonts w:ascii="Arial" w:hAnsi="Arial" w:cs="Arial"/>
          <w:sz w:val="20"/>
          <w:szCs w:val="20"/>
        </w:rPr>
        <w:t xml:space="preserve">. </w:t>
      </w:r>
      <w:r w:rsidR="00012824">
        <w:rPr>
          <w:rFonts w:ascii="Arial" w:hAnsi="Arial" w:cs="Arial"/>
          <w:sz w:val="20"/>
          <w:szCs w:val="20"/>
        </w:rPr>
        <w:t xml:space="preserve">FGDs provided information on the changes and affects of land release into community development. </w:t>
      </w:r>
    </w:p>
    <w:p w14:paraId="3266DE70" w14:textId="77777777" w:rsidR="00657034" w:rsidRPr="004C6941" w:rsidRDefault="00657034" w:rsidP="00F265FF">
      <w:pPr>
        <w:pStyle w:val="ListParagraph"/>
        <w:ind w:left="405"/>
        <w:jc w:val="both"/>
        <w:rPr>
          <w:rFonts w:ascii="Arial" w:hAnsi="Arial" w:cs="Arial"/>
          <w:sz w:val="20"/>
          <w:szCs w:val="20"/>
        </w:rPr>
      </w:pPr>
    </w:p>
    <w:p w14:paraId="2F703E7D" w14:textId="77777777" w:rsidR="006D032D" w:rsidRPr="004C6941" w:rsidRDefault="00FC055B" w:rsidP="00F265FF">
      <w:pPr>
        <w:pStyle w:val="ListParagraph"/>
        <w:numPr>
          <w:ilvl w:val="0"/>
          <w:numId w:val="3"/>
        </w:numPr>
        <w:jc w:val="both"/>
        <w:rPr>
          <w:rFonts w:ascii="Arial" w:hAnsi="Arial" w:cs="Arial"/>
          <w:b/>
          <w:bCs/>
          <w:sz w:val="20"/>
          <w:szCs w:val="20"/>
        </w:rPr>
      </w:pPr>
      <w:r w:rsidRPr="004C6941">
        <w:rPr>
          <w:rFonts w:ascii="Arial" w:hAnsi="Arial" w:cs="Arial"/>
          <w:b/>
          <w:bCs/>
          <w:sz w:val="20"/>
          <w:szCs w:val="20"/>
        </w:rPr>
        <w:t xml:space="preserve">Identification of Beneficiaries </w:t>
      </w:r>
    </w:p>
    <w:p w14:paraId="001A060C" w14:textId="77777777" w:rsidR="007C1AF9" w:rsidRDefault="00FC055B" w:rsidP="007C1AF9">
      <w:pPr>
        <w:pStyle w:val="ListParagraph"/>
        <w:ind w:left="405"/>
        <w:jc w:val="both"/>
        <w:rPr>
          <w:rFonts w:ascii="Arial" w:hAnsi="Arial" w:cs="Arial"/>
          <w:sz w:val="20"/>
          <w:szCs w:val="20"/>
        </w:rPr>
      </w:pPr>
      <w:r w:rsidRPr="004C6941">
        <w:rPr>
          <w:rFonts w:ascii="Arial" w:hAnsi="Arial" w:cs="Arial"/>
          <w:sz w:val="20"/>
          <w:szCs w:val="20"/>
        </w:rPr>
        <w:t xml:space="preserve">The </w:t>
      </w:r>
      <w:r w:rsidR="00F0249E" w:rsidRPr="004C6941">
        <w:rPr>
          <w:rFonts w:ascii="Arial" w:hAnsi="Arial" w:cs="Arial"/>
          <w:sz w:val="20"/>
          <w:szCs w:val="20"/>
        </w:rPr>
        <w:t>IMSMA (</w:t>
      </w:r>
      <w:r w:rsidR="00012824">
        <w:rPr>
          <w:rFonts w:ascii="Arial" w:hAnsi="Arial" w:cs="Arial"/>
          <w:sz w:val="20"/>
          <w:szCs w:val="20"/>
        </w:rPr>
        <w:t>information management system for mine action</w:t>
      </w:r>
      <w:r w:rsidR="00F0249E" w:rsidRPr="004C6941">
        <w:rPr>
          <w:rFonts w:ascii="Arial" w:hAnsi="Arial" w:cs="Arial"/>
          <w:sz w:val="20"/>
          <w:szCs w:val="20"/>
        </w:rPr>
        <w:t xml:space="preserve">) records data on </w:t>
      </w:r>
      <w:r w:rsidR="00447079">
        <w:rPr>
          <w:rFonts w:ascii="Arial" w:hAnsi="Arial" w:cs="Arial"/>
          <w:sz w:val="20"/>
          <w:szCs w:val="20"/>
        </w:rPr>
        <w:t xml:space="preserve">the size of cleared land, number of beneficiaries based on sex and children, infrastructure and etc. </w:t>
      </w:r>
      <w:r w:rsidR="00F0249E" w:rsidRPr="004C6941">
        <w:rPr>
          <w:rFonts w:ascii="Arial" w:hAnsi="Arial" w:cs="Arial"/>
          <w:sz w:val="20"/>
          <w:szCs w:val="20"/>
        </w:rPr>
        <w:t>However, recorde</w:t>
      </w:r>
      <w:r w:rsidR="00447079">
        <w:rPr>
          <w:rFonts w:ascii="Arial" w:hAnsi="Arial" w:cs="Arial"/>
          <w:sz w:val="20"/>
          <w:szCs w:val="20"/>
        </w:rPr>
        <w:t>d information were found inconsistent and inaccurate</w:t>
      </w:r>
      <w:r w:rsidR="00F265FF" w:rsidRPr="004C6941">
        <w:rPr>
          <w:rFonts w:ascii="Arial" w:hAnsi="Arial" w:cs="Arial"/>
          <w:sz w:val="20"/>
          <w:szCs w:val="20"/>
        </w:rPr>
        <w:t xml:space="preserve">. </w:t>
      </w:r>
      <w:r w:rsidR="00447079">
        <w:rPr>
          <w:rFonts w:ascii="Arial" w:hAnsi="Arial" w:cs="Arial"/>
          <w:sz w:val="20"/>
          <w:szCs w:val="20"/>
        </w:rPr>
        <w:t xml:space="preserve">Therefore, study did not rely on IMSMA and </w:t>
      </w:r>
      <w:r w:rsidR="00447079">
        <w:rPr>
          <w:rFonts w:ascii="Arial" w:hAnsi="Arial" w:cs="Arial"/>
          <w:sz w:val="20"/>
          <w:szCs w:val="20"/>
        </w:rPr>
        <w:lastRenderedPageBreak/>
        <w:t xml:space="preserve">involved </w:t>
      </w:r>
      <w:r w:rsidR="00012824">
        <w:rPr>
          <w:rFonts w:ascii="Arial" w:hAnsi="Arial" w:cs="Arial"/>
          <w:sz w:val="20"/>
          <w:szCs w:val="20"/>
        </w:rPr>
        <w:t xml:space="preserve">provincial </w:t>
      </w:r>
      <w:r w:rsidR="00F265FF" w:rsidRPr="004C6941">
        <w:rPr>
          <w:rFonts w:ascii="Arial" w:hAnsi="Arial" w:cs="Arial"/>
          <w:sz w:val="20"/>
          <w:szCs w:val="20"/>
        </w:rPr>
        <w:t xml:space="preserve">Mine Action Planning Units (MAPUs) </w:t>
      </w:r>
      <w:r w:rsidR="00447079">
        <w:rPr>
          <w:rFonts w:ascii="Arial" w:hAnsi="Arial" w:cs="Arial"/>
          <w:sz w:val="20"/>
          <w:szCs w:val="20"/>
        </w:rPr>
        <w:t xml:space="preserve">for identification of </w:t>
      </w:r>
      <w:r w:rsidR="00F265FF" w:rsidRPr="004C6941">
        <w:rPr>
          <w:rFonts w:ascii="Arial" w:hAnsi="Arial" w:cs="Arial"/>
          <w:sz w:val="20"/>
          <w:szCs w:val="20"/>
        </w:rPr>
        <w:t>household</w:t>
      </w:r>
      <w:r w:rsidR="00012824">
        <w:rPr>
          <w:rFonts w:ascii="Arial" w:hAnsi="Arial" w:cs="Arial"/>
          <w:sz w:val="20"/>
          <w:szCs w:val="20"/>
        </w:rPr>
        <w:t>s/beneficiaries</w:t>
      </w:r>
      <w:r w:rsidR="002C19FA">
        <w:rPr>
          <w:rFonts w:ascii="Arial" w:hAnsi="Arial" w:cs="Arial"/>
          <w:sz w:val="20"/>
          <w:szCs w:val="20"/>
        </w:rPr>
        <w:t xml:space="preserve">. Beneficiary identification </w:t>
      </w:r>
      <w:proofErr w:type="gramStart"/>
      <w:r w:rsidR="002C19FA">
        <w:rPr>
          <w:rFonts w:ascii="Arial" w:hAnsi="Arial" w:cs="Arial"/>
          <w:sz w:val="20"/>
          <w:szCs w:val="20"/>
        </w:rPr>
        <w:t>were</w:t>
      </w:r>
      <w:proofErr w:type="gramEnd"/>
      <w:r w:rsidR="002C19FA">
        <w:rPr>
          <w:rFonts w:ascii="Arial" w:hAnsi="Arial" w:cs="Arial"/>
          <w:sz w:val="20"/>
          <w:szCs w:val="20"/>
        </w:rPr>
        <w:t xml:space="preserve"> </w:t>
      </w:r>
      <w:r w:rsidR="00F265FF" w:rsidRPr="004C6941">
        <w:rPr>
          <w:rFonts w:ascii="Arial" w:hAnsi="Arial" w:cs="Arial"/>
          <w:sz w:val="20"/>
          <w:szCs w:val="20"/>
        </w:rPr>
        <w:t xml:space="preserve">based on </w:t>
      </w:r>
      <w:r w:rsidR="00447079" w:rsidRPr="004C6941">
        <w:rPr>
          <w:rFonts w:ascii="Arial" w:hAnsi="Arial" w:cs="Arial"/>
          <w:sz w:val="20"/>
          <w:szCs w:val="20"/>
        </w:rPr>
        <w:t>MAPUs</w:t>
      </w:r>
      <w:r w:rsidR="00447079">
        <w:rPr>
          <w:rFonts w:ascii="Arial" w:hAnsi="Arial" w:cs="Arial"/>
          <w:sz w:val="20"/>
          <w:szCs w:val="20"/>
        </w:rPr>
        <w:t xml:space="preserve"> land prioritization and </w:t>
      </w:r>
      <w:r w:rsidR="00447079" w:rsidRPr="004C6941">
        <w:rPr>
          <w:rFonts w:ascii="Arial" w:hAnsi="Arial" w:cs="Arial"/>
          <w:sz w:val="20"/>
          <w:szCs w:val="20"/>
        </w:rPr>
        <w:t>post</w:t>
      </w:r>
      <w:r w:rsidR="00F265FF" w:rsidRPr="004C6941">
        <w:rPr>
          <w:rFonts w:ascii="Arial" w:hAnsi="Arial" w:cs="Arial"/>
          <w:sz w:val="20"/>
          <w:szCs w:val="20"/>
        </w:rPr>
        <w:t xml:space="preserve"> </w:t>
      </w:r>
      <w:r w:rsidR="00657034">
        <w:rPr>
          <w:rFonts w:ascii="Arial" w:hAnsi="Arial" w:cs="Arial"/>
          <w:sz w:val="20"/>
          <w:szCs w:val="20"/>
        </w:rPr>
        <w:t xml:space="preserve">clearance </w:t>
      </w:r>
      <w:r w:rsidR="00F265FF" w:rsidRPr="004C6941">
        <w:rPr>
          <w:rFonts w:ascii="Arial" w:hAnsi="Arial" w:cs="Arial"/>
          <w:sz w:val="20"/>
          <w:szCs w:val="20"/>
        </w:rPr>
        <w:t>monitoring reports</w:t>
      </w:r>
      <w:r w:rsidR="00657034">
        <w:rPr>
          <w:rFonts w:ascii="Arial" w:hAnsi="Arial" w:cs="Arial"/>
          <w:sz w:val="20"/>
          <w:szCs w:val="20"/>
        </w:rPr>
        <w:t xml:space="preserve"> (PCM)</w:t>
      </w:r>
      <w:r w:rsidR="00F265FF" w:rsidRPr="004C6941">
        <w:rPr>
          <w:rFonts w:ascii="Arial" w:hAnsi="Arial" w:cs="Arial"/>
          <w:sz w:val="20"/>
          <w:szCs w:val="20"/>
        </w:rPr>
        <w:t xml:space="preserve">.  </w:t>
      </w:r>
    </w:p>
    <w:p w14:paraId="0166BC86" w14:textId="77777777" w:rsidR="00B32EA1" w:rsidRPr="007C1AF9" w:rsidRDefault="00B32EA1" w:rsidP="007C1AF9">
      <w:pPr>
        <w:jc w:val="both"/>
        <w:rPr>
          <w:rFonts w:ascii="Arial" w:hAnsi="Arial" w:cs="Arial"/>
          <w:sz w:val="20"/>
          <w:szCs w:val="20"/>
        </w:rPr>
      </w:pPr>
      <w:r w:rsidRPr="007C1AF9">
        <w:rPr>
          <w:rFonts w:ascii="Arial" w:hAnsi="Arial" w:cs="Arial"/>
          <w:color w:val="5B9BD5" w:themeColor="accent1"/>
          <w:sz w:val="20"/>
          <w:szCs w:val="20"/>
        </w:rPr>
        <w:t>FINDINGS OF THE SURVEY</w:t>
      </w:r>
    </w:p>
    <w:p w14:paraId="5D5B2311" w14:textId="77777777" w:rsidR="00E14E11" w:rsidRDefault="00E14E11" w:rsidP="00480E55">
      <w:pPr>
        <w:pStyle w:val="ListParagraph"/>
        <w:ind w:left="0"/>
        <w:jc w:val="both"/>
        <w:rPr>
          <w:rFonts w:ascii="Arial" w:hAnsi="Arial" w:cs="Arial"/>
          <w:sz w:val="20"/>
          <w:szCs w:val="20"/>
        </w:rPr>
      </w:pPr>
      <w:r w:rsidRPr="00E14E11">
        <w:rPr>
          <w:rFonts w:ascii="Arial" w:hAnsi="Arial" w:cs="Arial"/>
          <w:sz w:val="20"/>
          <w:szCs w:val="20"/>
        </w:rPr>
        <w:t xml:space="preserve">Findings of the survey are presented below: </w:t>
      </w:r>
    </w:p>
    <w:p w14:paraId="0C5D28D8" w14:textId="77777777" w:rsidR="00E14E11" w:rsidRPr="00E14E11" w:rsidRDefault="00E14E11" w:rsidP="00480E55">
      <w:pPr>
        <w:pStyle w:val="ListParagraph"/>
        <w:ind w:left="0"/>
        <w:jc w:val="both"/>
        <w:rPr>
          <w:rFonts w:ascii="Arial" w:hAnsi="Arial" w:cs="Arial"/>
          <w:sz w:val="20"/>
          <w:szCs w:val="20"/>
        </w:rPr>
      </w:pPr>
    </w:p>
    <w:p w14:paraId="6CF4A136" w14:textId="77777777" w:rsidR="00FC3032" w:rsidRPr="00E14E11" w:rsidRDefault="00CC64D1" w:rsidP="00480E55">
      <w:pPr>
        <w:pStyle w:val="ListParagraph"/>
        <w:ind w:left="0"/>
        <w:jc w:val="both"/>
        <w:rPr>
          <w:rFonts w:ascii="Arial" w:hAnsi="Arial" w:cs="Arial"/>
          <w:b/>
          <w:sz w:val="20"/>
          <w:szCs w:val="20"/>
        </w:rPr>
      </w:pPr>
      <w:r w:rsidRPr="00E14E11">
        <w:rPr>
          <w:rFonts w:ascii="Arial" w:hAnsi="Arial" w:cs="Arial"/>
          <w:b/>
          <w:sz w:val="20"/>
          <w:szCs w:val="20"/>
        </w:rPr>
        <w:t>ID Poor Card</w:t>
      </w:r>
    </w:p>
    <w:p w14:paraId="7FD97E0A" w14:textId="77777777" w:rsidR="00CC64D1" w:rsidRDefault="00CC64D1" w:rsidP="00480E55">
      <w:pPr>
        <w:pStyle w:val="ListParagraph"/>
        <w:ind w:left="0"/>
        <w:jc w:val="both"/>
        <w:rPr>
          <w:rFonts w:ascii="Arial" w:hAnsi="Arial" w:cs="Arial"/>
          <w:sz w:val="20"/>
          <w:szCs w:val="20"/>
        </w:rPr>
      </w:pPr>
    </w:p>
    <w:p w14:paraId="55C5355A" w14:textId="77777777" w:rsidR="00CC64D1" w:rsidRPr="00CC64D1" w:rsidRDefault="00CC64D1" w:rsidP="00CC64D1">
      <w:pPr>
        <w:pStyle w:val="ListParagraph"/>
        <w:numPr>
          <w:ilvl w:val="0"/>
          <w:numId w:val="10"/>
        </w:numPr>
        <w:jc w:val="both"/>
        <w:rPr>
          <w:rFonts w:ascii="Arial" w:hAnsi="Arial" w:cs="Arial"/>
          <w:sz w:val="20"/>
          <w:szCs w:val="20"/>
        </w:rPr>
      </w:pPr>
      <w:r>
        <w:rPr>
          <w:rFonts w:ascii="Arial" w:hAnsi="Arial" w:cs="Arial"/>
          <w:sz w:val="20"/>
          <w:szCs w:val="20"/>
        </w:rPr>
        <w:t>Out of 491 respondents, only 37 percent has been identified as poor.</w:t>
      </w:r>
    </w:p>
    <w:p w14:paraId="099C90F2" w14:textId="77777777" w:rsidR="006B3289" w:rsidRPr="00CC64D1" w:rsidRDefault="006B3289" w:rsidP="00480E55">
      <w:pPr>
        <w:pStyle w:val="ListParagraph"/>
        <w:ind w:left="0"/>
        <w:jc w:val="both"/>
        <w:rPr>
          <w:rFonts w:ascii="Arial" w:hAnsi="Arial" w:cs="Arial"/>
          <w:sz w:val="20"/>
          <w:szCs w:val="20"/>
        </w:rPr>
      </w:pPr>
    </w:p>
    <w:p w14:paraId="56713FD2" w14:textId="77777777" w:rsidR="006B3289" w:rsidRPr="00E14E11" w:rsidRDefault="006B3289" w:rsidP="00480E55">
      <w:pPr>
        <w:pStyle w:val="ListParagraph"/>
        <w:ind w:left="0"/>
        <w:jc w:val="both"/>
        <w:rPr>
          <w:rFonts w:ascii="Arial" w:hAnsi="Arial" w:cs="Arial"/>
          <w:b/>
          <w:sz w:val="20"/>
          <w:szCs w:val="20"/>
        </w:rPr>
      </w:pPr>
      <w:r w:rsidRPr="00E14E11">
        <w:rPr>
          <w:rFonts w:ascii="Arial" w:hAnsi="Arial" w:cs="Arial"/>
          <w:b/>
          <w:sz w:val="20"/>
          <w:szCs w:val="20"/>
        </w:rPr>
        <w:t>Ownership of released land</w:t>
      </w:r>
    </w:p>
    <w:p w14:paraId="51AA4610" w14:textId="77777777" w:rsidR="006B3289" w:rsidRDefault="006B3289" w:rsidP="00480E55">
      <w:pPr>
        <w:pStyle w:val="ListParagraph"/>
        <w:ind w:left="0"/>
        <w:jc w:val="both"/>
        <w:rPr>
          <w:rFonts w:ascii="Arial" w:hAnsi="Arial" w:cs="Arial"/>
          <w:sz w:val="20"/>
          <w:szCs w:val="20"/>
        </w:rPr>
      </w:pPr>
    </w:p>
    <w:p w14:paraId="0C4EA770" w14:textId="77777777" w:rsidR="006B3289" w:rsidRPr="006B3289" w:rsidRDefault="00E14E11" w:rsidP="006B3289">
      <w:pPr>
        <w:pStyle w:val="ListParagraph"/>
        <w:numPr>
          <w:ilvl w:val="0"/>
          <w:numId w:val="9"/>
        </w:numPr>
        <w:jc w:val="both"/>
        <w:rPr>
          <w:rFonts w:ascii="Arial" w:hAnsi="Arial" w:cs="Arial"/>
          <w:sz w:val="20"/>
          <w:szCs w:val="20"/>
        </w:rPr>
      </w:pPr>
      <w:r>
        <w:rPr>
          <w:rFonts w:ascii="Arial" w:hAnsi="Arial" w:cs="Arial"/>
          <w:sz w:val="20"/>
          <w:szCs w:val="20"/>
        </w:rPr>
        <w:t>Households and farmers</w:t>
      </w:r>
      <w:r w:rsidR="006B3289">
        <w:rPr>
          <w:rFonts w:ascii="Arial" w:hAnsi="Arial" w:cs="Arial"/>
          <w:sz w:val="20"/>
          <w:szCs w:val="20"/>
        </w:rPr>
        <w:t xml:space="preserve"> own released land (nearly 97.8 percent).  </w:t>
      </w:r>
    </w:p>
    <w:p w14:paraId="407A1C13" w14:textId="72D9A05E" w:rsidR="00F447B5" w:rsidRPr="00E14E11" w:rsidRDefault="00C118F3" w:rsidP="00C118F3">
      <w:pPr>
        <w:jc w:val="both"/>
        <w:rPr>
          <w:rFonts w:ascii="Arial" w:hAnsi="Arial" w:cs="Arial"/>
          <w:b/>
          <w:sz w:val="20"/>
          <w:szCs w:val="20"/>
        </w:rPr>
      </w:pPr>
      <w:r w:rsidRPr="00E14E11">
        <w:rPr>
          <w:rFonts w:ascii="Arial" w:hAnsi="Arial" w:cs="Arial"/>
          <w:b/>
          <w:sz w:val="20"/>
          <w:szCs w:val="20"/>
        </w:rPr>
        <w:t>Ben</w:t>
      </w:r>
      <w:r w:rsidR="006B3289" w:rsidRPr="00E14E11">
        <w:rPr>
          <w:rFonts w:ascii="Arial" w:hAnsi="Arial" w:cs="Arial"/>
          <w:b/>
          <w:sz w:val="20"/>
          <w:szCs w:val="20"/>
        </w:rPr>
        <w:t xml:space="preserve">efits of </w:t>
      </w:r>
      <w:r w:rsidR="00F447B5">
        <w:rPr>
          <w:rFonts w:ascii="Arial" w:hAnsi="Arial" w:cs="Arial"/>
          <w:b/>
          <w:sz w:val="20"/>
          <w:szCs w:val="20"/>
        </w:rPr>
        <w:t>Land Release</w:t>
      </w:r>
    </w:p>
    <w:p w14:paraId="2793DB12" w14:textId="2EC81740" w:rsidR="00C118F3" w:rsidRPr="006B3289" w:rsidRDefault="00F447B5" w:rsidP="00C118F3">
      <w:pPr>
        <w:pStyle w:val="ListParagraph"/>
        <w:numPr>
          <w:ilvl w:val="0"/>
          <w:numId w:val="8"/>
        </w:numPr>
        <w:jc w:val="both"/>
        <w:rPr>
          <w:rFonts w:ascii="Arial" w:hAnsi="Arial" w:cs="Arial"/>
          <w:sz w:val="20"/>
          <w:szCs w:val="20"/>
        </w:rPr>
      </w:pPr>
      <w:r>
        <w:rPr>
          <w:rFonts w:ascii="Arial" w:hAnsi="Arial" w:cs="Arial"/>
          <w:sz w:val="20"/>
          <w:szCs w:val="20"/>
        </w:rPr>
        <w:t xml:space="preserve">The key </w:t>
      </w:r>
      <w:r w:rsidR="00C118F3" w:rsidRPr="00C118F3">
        <w:rPr>
          <w:rFonts w:ascii="Arial" w:hAnsi="Arial" w:cs="Arial"/>
          <w:sz w:val="20"/>
          <w:szCs w:val="20"/>
        </w:rPr>
        <w:t>benefit</w:t>
      </w:r>
      <w:r>
        <w:rPr>
          <w:rFonts w:ascii="Arial" w:hAnsi="Arial" w:cs="Arial"/>
          <w:sz w:val="20"/>
          <w:szCs w:val="20"/>
        </w:rPr>
        <w:t>s</w:t>
      </w:r>
      <w:r w:rsidR="00C118F3" w:rsidRPr="00C118F3">
        <w:rPr>
          <w:rFonts w:ascii="Arial" w:hAnsi="Arial" w:cs="Arial"/>
          <w:sz w:val="20"/>
          <w:szCs w:val="20"/>
        </w:rPr>
        <w:t xml:space="preserve"> of </w:t>
      </w:r>
      <w:r>
        <w:rPr>
          <w:rFonts w:ascii="Arial" w:hAnsi="Arial" w:cs="Arial"/>
          <w:sz w:val="20"/>
          <w:szCs w:val="20"/>
        </w:rPr>
        <w:t xml:space="preserve">land release </w:t>
      </w:r>
      <w:r w:rsidR="00C118F3" w:rsidRPr="006B3289">
        <w:rPr>
          <w:rFonts w:ascii="Arial" w:hAnsi="Arial" w:cs="Arial"/>
          <w:sz w:val="20"/>
          <w:szCs w:val="20"/>
        </w:rPr>
        <w:t xml:space="preserve">for households </w:t>
      </w:r>
      <w:r>
        <w:rPr>
          <w:rFonts w:ascii="Arial" w:hAnsi="Arial" w:cs="Arial"/>
          <w:sz w:val="20"/>
          <w:szCs w:val="20"/>
        </w:rPr>
        <w:t>are</w:t>
      </w:r>
      <w:r w:rsidR="00C118F3" w:rsidRPr="006B3289">
        <w:rPr>
          <w:rFonts w:ascii="Arial" w:hAnsi="Arial" w:cs="Arial"/>
          <w:sz w:val="20"/>
          <w:szCs w:val="20"/>
        </w:rPr>
        <w:t xml:space="preserve"> safety: (1) safe land for farming; and (2) safe land for housing; and for community</w:t>
      </w:r>
      <w:r w:rsidR="006B3289" w:rsidRPr="006B3289">
        <w:rPr>
          <w:rFonts w:ascii="Arial" w:hAnsi="Arial" w:cs="Arial"/>
          <w:sz w:val="20"/>
          <w:szCs w:val="20"/>
        </w:rPr>
        <w:t>: (1)</w:t>
      </w:r>
      <w:r w:rsidR="00B501C6">
        <w:rPr>
          <w:rFonts w:ascii="Arial" w:hAnsi="Arial" w:cs="Arial"/>
          <w:sz w:val="20"/>
          <w:szCs w:val="20"/>
        </w:rPr>
        <w:t xml:space="preserve"> confidence investing in land.</w:t>
      </w:r>
      <w:r w:rsidR="00C118F3" w:rsidRPr="006B3289">
        <w:rPr>
          <w:rFonts w:ascii="Arial" w:hAnsi="Arial" w:cs="Arial"/>
          <w:sz w:val="20"/>
          <w:szCs w:val="20"/>
        </w:rPr>
        <w:t xml:space="preserve">  </w:t>
      </w:r>
    </w:p>
    <w:p w14:paraId="6E481708" w14:textId="77777777" w:rsidR="006B3289" w:rsidRPr="00E14E11" w:rsidRDefault="006B3289" w:rsidP="006B3289">
      <w:pPr>
        <w:jc w:val="both"/>
        <w:rPr>
          <w:rFonts w:ascii="Arial" w:hAnsi="Arial" w:cs="Arial"/>
          <w:b/>
          <w:sz w:val="20"/>
          <w:szCs w:val="20"/>
        </w:rPr>
      </w:pPr>
      <w:r w:rsidRPr="00E14E11">
        <w:rPr>
          <w:rFonts w:ascii="Arial" w:hAnsi="Arial" w:cs="Arial"/>
          <w:b/>
          <w:sz w:val="20"/>
          <w:szCs w:val="20"/>
        </w:rPr>
        <w:t>Land Disputes and Land Titles</w:t>
      </w:r>
    </w:p>
    <w:p w14:paraId="5EA87169" w14:textId="77777777" w:rsidR="006B3289" w:rsidRDefault="006B3289" w:rsidP="006B3289">
      <w:pPr>
        <w:pStyle w:val="ListParagraph"/>
        <w:numPr>
          <w:ilvl w:val="0"/>
          <w:numId w:val="8"/>
        </w:numPr>
        <w:jc w:val="both"/>
        <w:rPr>
          <w:rFonts w:ascii="Arial" w:hAnsi="Arial" w:cs="Arial"/>
          <w:sz w:val="20"/>
          <w:szCs w:val="20"/>
        </w:rPr>
      </w:pPr>
      <w:r>
        <w:rPr>
          <w:rFonts w:ascii="Arial" w:hAnsi="Arial" w:cs="Arial"/>
          <w:sz w:val="20"/>
          <w:szCs w:val="20"/>
        </w:rPr>
        <w:t>Land disputes and grabbing has not been observed in any province. Hence land deputes is</w:t>
      </w:r>
      <w:r w:rsidR="00E14E11">
        <w:rPr>
          <w:rFonts w:ascii="Arial" w:hAnsi="Arial" w:cs="Arial"/>
          <w:sz w:val="20"/>
          <w:szCs w:val="20"/>
        </w:rPr>
        <w:t xml:space="preserve"> found to </w:t>
      </w:r>
      <w:proofErr w:type="gramStart"/>
      <w:r w:rsidR="00E14E11">
        <w:rPr>
          <w:rFonts w:ascii="Arial" w:hAnsi="Arial" w:cs="Arial"/>
          <w:sz w:val="20"/>
          <w:szCs w:val="20"/>
        </w:rPr>
        <w:t xml:space="preserve">be </w:t>
      </w:r>
      <w:r>
        <w:rPr>
          <w:rFonts w:ascii="Arial" w:hAnsi="Arial" w:cs="Arial"/>
          <w:sz w:val="20"/>
          <w:szCs w:val="20"/>
        </w:rPr>
        <w:t xml:space="preserve"> not</w:t>
      </w:r>
      <w:proofErr w:type="gramEnd"/>
      <w:r>
        <w:rPr>
          <w:rFonts w:ascii="Arial" w:hAnsi="Arial" w:cs="Arial"/>
          <w:sz w:val="20"/>
          <w:szCs w:val="20"/>
        </w:rPr>
        <w:t xml:space="preserve"> an issue. </w:t>
      </w:r>
    </w:p>
    <w:p w14:paraId="7F13AB5F" w14:textId="77777777" w:rsidR="00B501C6" w:rsidRDefault="00B501C6" w:rsidP="006B3289">
      <w:pPr>
        <w:pStyle w:val="ListParagraph"/>
        <w:numPr>
          <w:ilvl w:val="0"/>
          <w:numId w:val="8"/>
        </w:numPr>
        <w:jc w:val="both"/>
        <w:rPr>
          <w:rFonts w:ascii="Arial" w:hAnsi="Arial" w:cs="Arial"/>
          <w:sz w:val="20"/>
          <w:szCs w:val="20"/>
        </w:rPr>
      </w:pPr>
      <w:r>
        <w:rPr>
          <w:rFonts w:ascii="Arial" w:hAnsi="Arial" w:cs="Arial"/>
          <w:sz w:val="20"/>
          <w:szCs w:val="20"/>
        </w:rPr>
        <w:t xml:space="preserve">Majority of households hold Land Ownership Certificates (Soft or Hard Titles). However,   </w:t>
      </w:r>
      <w:r w:rsidR="006B3289">
        <w:rPr>
          <w:rFonts w:ascii="Arial" w:hAnsi="Arial" w:cs="Arial"/>
          <w:sz w:val="20"/>
          <w:szCs w:val="20"/>
        </w:rPr>
        <w:t xml:space="preserve">19.2 </w:t>
      </w:r>
      <w:r>
        <w:rPr>
          <w:rFonts w:ascii="Arial" w:hAnsi="Arial" w:cs="Arial"/>
          <w:sz w:val="20"/>
          <w:szCs w:val="20"/>
        </w:rPr>
        <w:t xml:space="preserve">percent </w:t>
      </w:r>
      <w:r w:rsidR="006B3289">
        <w:rPr>
          <w:rFonts w:ascii="Arial" w:hAnsi="Arial" w:cs="Arial"/>
          <w:sz w:val="20"/>
          <w:szCs w:val="20"/>
        </w:rPr>
        <w:t xml:space="preserve">of respondents </w:t>
      </w:r>
      <w:proofErr w:type="gramStart"/>
      <w:r w:rsidR="006B3289">
        <w:rPr>
          <w:rFonts w:ascii="Arial" w:hAnsi="Arial" w:cs="Arial"/>
          <w:sz w:val="20"/>
          <w:szCs w:val="20"/>
        </w:rPr>
        <w:t>d</w:t>
      </w:r>
      <w:r>
        <w:rPr>
          <w:rFonts w:ascii="Arial" w:hAnsi="Arial" w:cs="Arial"/>
          <w:sz w:val="20"/>
          <w:szCs w:val="20"/>
        </w:rPr>
        <w:t xml:space="preserve">id </w:t>
      </w:r>
      <w:r w:rsidR="006B3289">
        <w:rPr>
          <w:rFonts w:ascii="Arial" w:hAnsi="Arial" w:cs="Arial"/>
          <w:sz w:val="20"/>
          <w:szCs w:val="20"/>
        </w:rPr>
        <w:t xml:space="preserve"> not</w:t>
      </w:r>
      <w:proofErr w:type="gramEnd"/>
      <w:r w:rsidR="006B3289">
        <w:rPr>
          <w:rFonts w:ascii="Arial" w:hAnsi="Arial" w:cs="Arial"/>
          <w:sz w:val="20"/>
          <w:szCs w:val="20"/>
        </w:rPr>
        <w:t xml:space="preserve"> have any land titling</w:t>
      </w:r>
      <w:r>
        <w:rPr>
          <w:rFonts w:ascii="Arial" w:hAnsi="Arial" w:cs="Arial"/>
          <w:sz w:val="20"/>
          <w:szCs w:val="20"/>
        </w:rPr>
        <w:t xml:space="preserve">. </w:t>
      </w:r>
    </w:p>
    <w:p w14:paraId="30A260BC" w14:textId="77777777" w:rsidR="00B501C6" w:rsidRPr="00E14E11" w:rsidRDefault="00B501C6" w:rsidP="00B501C6">
      <w:pPr>
        <w:jc w:val="both"/>
        <w:rPr>
          <w:rFonts w:ascii="Arial" w:hAnsi="Arial" w:cs="Arial"/>
          <w:b/>
          <w:sz w:val="20"/>
          <w:szCs w:val="20"/>
        </w:rPr>
      </w:pPr>
      <w:r w:rsidRPr="00E14E11">
        <w:rPr>
          <w:rFonts w:ascii="Arial" w:hAnsi="Arial" w:cs="Arial"/>
          <w:b/>
          <w:sz w:val="20"/>
          <w:szCs w:val="20"/>
        </w:rPr>
        <w:t>Use of released land</w:t>
      </w:r>
    </w:p>
    <w:p w14:paraId="6065E4A3" w14:textId="77777777" w:rsidR="006B3289" w:rsidRDefault="00B501C6" w:rsidP="00B501C6">
      <w:pPr>
        <w:pStyle w:val="ListParagraph"/>
        <w:numPr>
          <w:ilvl w:val="0"/>
          <w:numId w:val="8"/>
        </w:numPr>
        <w:jc w:val="both"/>
        <w:rPr>
          <w:rFonts w:ascii="Arial" w:hAnsi="Arial" w:cs="Arial"/>
          <w:sz w:val="20"/>
          <w:szCs w:val="20"/>
        </w:rPr>
      </w:pPr>
      <w:r>
        <w:rPr>
          <w:rFonts w:ascii="Arial" w:hAnsi="Arial" w:cs="Arial"/>
          <w:sz w:val="20"/>
          <w:szCs w:val="20"/>
        </w:rPr>
        <w:t xml:space="preserve">Released land is used for agricultural purposes (nearly 99.5 percent) growing crops. Types of crops cultivated on the released land are rice and cassava. Rice is cultivated for household consumption mostly and cassava for sell. The data on raising livestock is not significant. </w:t>
      </w:r>
      <w:r w:rsidR="006B3289" w:rsidRPr="00B501C6">
        <w:rPr>
          <w:rFonts w:ascii="Arial" w:hAnsi="Arial" w:cs="Arial"/>
          <w:sz w:val="20"/>
          <w:szCs w:val="20"/>
        </w:rPr>
        <w:t xml:space="preserve"> </w:t>
      </w:r>
    </w:p>
    <w:p w14:paraId="400120F9" w14:textId="77777777" w:rsidR="00FC3032" w:rsidRPr="00E14E11" w:rsidRDefault="00FC3032" w:rsidP="00FC3032">
      <w:pPr>
        <w:jc w:val="both"/>
        <w:rPr>
          <w:rFonts w:ascii="Arial" w:hAnsi="Arial" w:cs="Arial"/>
          <w:b/>
          <w:sz w:val="20"/>
          <w:szCs w:val="20"/>
        </w:rPr>
      </w:pPr>
      <w:r w:rsidRPr="00E14E11">
        <w:rPr>
          <w:rFonts w:ascii="Arial" w:hAnsi="Arial" w:cs="Arial"/>
          <w:b/>
          <w:sz w:val="20"/>
          <w:szCs w:val="20"/>
        </w:rPr>
        <w:t>Income Generation</w:t>
      </w:r>
    </w:p>
    <w:p w14:paraId="065ACF8B" w14:textId="77777777" w:rsidR="00FC3032" w:rsidRDefault="00FC3032" w:rsidP="00FC3032">
      <w:pPr>
        <w:jc w:val="both"/>
        <w:rPr>
          <w:rFonts w:ascii="Arial" w:hAnsi="Arial" w:cs="Arial"/>
          <w:sz w:val="20"/>
          <w:szCs w:val="20"/>
        </w:rPr>
      </w:pPr>
      <w:r>
        <w:rPr>
          <w:rFonts w:ascii="Arial" w:hAnsi="Arial" w:cs="Arial"/>
          <w:sz w:val="20"/>
          <w:szCs w:val="20"/>
        </w:rPr>
        <w:t xml:space="preserve">In all three provinces, the main income from agricultural production comes from cassava while rice and maize are also income generating crops. The small share of income is from selling fruits too. </w:t>
      </w:r>
    </w:p>
    <w:p w14:paraId="64D8CE3A" w14:textId="77777777" w:rsidR="00FC3032" w:rsidRPr="00FC3032" w:rsidRDefault="00FC3032" w:rsidP="00FC3032">
      <w:pPr>
        <w:pStyle w:val="ListParagraph"/>
        <w:numPr>
          <w:ilvl w:val="0"/>
          <w:numId w:val="8"/>
        </w:numPr>
        <w:jc w:val="both"/>
        <w:rPr>
          <w:rFonts w:ascii="Arial" w:hAnsi="Arial" w:cs="Arial"/>
          <w:color w:val="1A1A1A"/>
          <w:sz w:val="20"/>
          <w:szCs w:val="20"/>
          <w:shd w:val="clear" w:color="auto" w:fill="FFFFFF"/>
        </w:rPr>
      </w:pPr>
      <w:r w:rsidRPr="00FC3032">
        <w:rPr>
          <w:rFonts w:ascii="Arial" w:hAnsi="Arial" w:cs="Arial"/>
          <w:color w:val="1A1A1A"/>
          <w:sz w:val="20"/>
          <w:szCs w:val="20"/>
          <w:shd w:val="clear" w:color="auto" w:fill="FFFFFF"/>
        </w:rPr>
        <w:t>In Battambang, the estimated average household income from agricultural production on the released land is 3,141 USD per year, which corresponds to 261.75 USD per household, per month.</w:t>
      </w:r>
    </w:p>
    <w:p w14:paraId="6C6C72E4" w14:textId="77777777" w:rsidR="00FC3032" w:rsidRPr="00FC3032" w:rsidRDefault="00FC3032" w:rsidP="00FC3032">
      <w:pPr>
        <w:pStyle w:val="ListParagraph"/>
        <w:numPr>
          <w:ilvl w:val="0"/>
          <w:numId w:val="8"/>
        </w:numPr>
        <w:jc w:val="both"/>
        <w:rPr>
          <w:rFonts w:ascii="Arial" w:hAnsi="Arial" w:cs="Arial"/>
          <w:color w:val="1A1A1A"/>
          <w:sz w:val="20"/>
          <w:szCs w:val="20"/>
          <w:shd w:val="clear" w:color="auto" w:fill="FFFFFF"/>
        </w:rPr>
      </w:pPr>
      <w:r w:rsidRPr="00FC3032">
        <w:rPr>
          <w:rFonts w:ascii="Arial" w:hAnsi="Arial" w:cs="Arial"/>
          <w:color w:val="1A1A1A"/>
          <w:sz w:val="20"/>
          <w:szCs w:val="20"/>
          <w:shd w:val="clear" w:color="auto" w:fill="FFFFFF"/>
        </w:rPr>
        <w:t xml:space="preserve">In </w:t>
      </w:r>
      <w:proofErr w:type="spellStart"/>
      <w:r w:rsidRPr="00FC3032">
        <w:rPr>
          <w:rFonts w:ascii="Arial" w:hAnsi="Arial" w:cs="Arial"/>
          <w:color w:val="1A1A1A"/>
          <w:sz w:val="20"/>
          <w:szCs w:val="20"/>
          <w:shd w:val="clear" w:color="auto" w:fill="FFFFFF"/>
        </w:rPr>
        <w:t>Bantey</w:t>
      </w:r>
      <w:proofErr w:type="spellEnd"/>
      <w:r w:rsidRPr="00FC3032">
        <w:rPr>
          <w:rFonts w:ascii="Arial" w:hAnsi="Arial" w:cs="Arial"/>
          <w:color w:val="1A1A1A"/>
          <w:sz w:val="20"/>
          <w:szCs w:val="20"/>
          <w:shd w:val="clear" w:color="auto" w:fill="FFFFFF"/>
        </w:rPr>
        <w:t xml:space="preserve"> Meanchey, the average household income is highest compared to other two provinces which is 3,969 USD per year, equivalent to 330.75 USD per household, per month.</w:t>
      </w:r>
    </w:p>
    <w:p w14:paraId="17807D48" w14:textId="77777777" w:rsidR="00FC3032" w:rsidRPr="00FC3032" w:rsidRDefault="00FC3032" w:rsidP="00FC3032">
      <w:pPr>
        <w:pStyle w:val="ListParagraph"/>
        <w:numPr>
          <w:ilvl w:val="0"/>
          <w:numId w:val="8"/>
        </w:numPr>
        <w:jc w:val="both"/>
        <w:rPr>
          <w:rFonts w:ascii="Arial" w:hAnsi="Arial" w:cs="Arial"/>
          <w:color w:val="1A1A1A"/>
          <w:sz w:val="20"/>
          <w:szCs w:val="20"/>
          <w:shd w:val="clear" w:color="auto" w:fill="FFFFFF"/>
        </w:rPr>
      </w:pPr>
      <w:r w:rsidRPr="00FC3032">
        <w:rPr>
          <w:rFonts w:ascii="Arial" w:hAnsi="Arial" w:cs="Arial"/>
          <w:color w:val="1A1A1A"/>
          <w:sz w:val="20"/>
          <w:szCs w:val="20"/>
          <w:shd w:val="clear" w:color="auto" w:fill="FFFFFF"/>
        </w:rPr>
        <w:t xml:space="preserve">In Pailin, the estimated household’s average income is 3,248 USD per </w:t>
      </w:r>
      <w:proofErr w:type="gramStart"/>
      <w:r w:rsidRPr="00FC3032">
        <w:rPr>
          <w:rFonts w:ascii="Arial" w:hAnsi="Arial" w:cs="Arial"/>
          <w:color w:val="1A1A1A"/>
          <w:sz w:val="20"/>
          <w:szCs w:val="20"/>
          <w:shd w:val="clear" w:color="auto" w:fill="FFFFFF"/>
        </w:rPr>
        <w:t>year,</w:t>
      </w:r>
      <w:proofErr w:type="gramEnd"/>
      <w:r w:rsidRPr="00FC3032">
        <w:rPr>
          <w:rFonts w:ascii="Arial" w:hAnsi="Arial" w:cs="Arial"/>
          <w:color w:val="1A1A1A"/>
          <w:sz w:val="20"/>
          <w:szCs w:val="20"/>
          <w:shd w:val="clear" w:color="auto" w:fill="FFFFFF"/>
        </w:rPr>
        <w:t xml:space="preserve"> this is equivalent to 270.66 USD per household, per month.   </w:t>
      </w:r>
    </w:p>
    <w:p w14:paraId="3752EEBA" w14:textId="77777777" w:rsidR="00FC3032" w:rsidRPr="00E14E11" w:rsidRDefault="00FC3032" w:rsidP="00FC3032">
      <w:pPr>
        <w:jc w:val="both"/>
        <w:rPr>
          <w:rFonts w:ascii="Arial" w:hAnsi="Arial" w:cs="Arial"/>
          <w:b/>
          <w:sz w:val="20"/>
          <w:szCs w:val="20"/>
        </w:rPr>
      </w:pPr>
      <w:r w:rsidRPr="00E14E11">
        <w:rPr>
          <w:rFonts w:ascii="Arial" w:hAnsi="Arial" w:cs="Arial"/>
          <w:b/>
          <w:sz w:val="20"/>
          <w:szCs w:val="20"/>
        </w:rPr>
        <w:t>Expenditure</w:t>
      </w:r>
      <w:r w:rsidR="00CC64D1" w:rsidRPr="00E14E11">
        <w:rPr>
          <w:rFonts w:ascii="Arial" w:hAnsi="Arial" w:cs="Arial"/>
          <w:b/>
          <w:sz w:val="20"/>
          <w:szCs w:val="20"/>
        </w:rPr>
        <w:t xml:space="preserve"> </w:t>
      </w:r>
    </w:p>
    <w:p w14:paraId="039D188F" w14:textId="77777777" w:rsidR="00CC64D1" w:rsidRDefault="00CC64D1" w:rsidP="00FC3032">
      <w:pPr>
        <w:pStyle w:val="ListParagraph"/>
        <w:numPr>
          <w:ilvl w:val="0"/>
          <w:numId w:val="8"/>
        </w:numPr>
        <w:jc w:val="both"/>
        <w:rPr>
          <w:rFonts w:ascii="Arial" w:hAnsi="Arial" w:cs="Arial"/>
          <w:sz w:val="20"/>
          <w:szCs w:val="20"/>
        </w:rPr>
      </w:pPr>
      <w:r w:rsidRPr="00CC64D1">
        <w:rPr>
          <w:rFonts w:ascii="Arial" w:hAnsi="Arial" w:cs="Arial"/>
          <w:sz w:val="20"/>
          <w:szCs w:val="20"/>
        </w:rPr>
        <w:t xml:space="preserve">Food, clothes and health are the main priorities for </w:t>
      </w:r>
      <w:proofErr w:type="gramStart"/>
      <w:r w:rsidRPr="00CC64D1">
        <w:rPr>
          <w:rFonts w:ascii="Arial" w:hAnsi="Arial" w:cs="Arial"/>
          <w:sz w:val="20"/>
          <w:szCs w:val="20"/>
        </w:rPr>
        <w:t>households</w:t>
      </w:r>
      <w:proofErr w:type="gramEnd"/>
      <w:r w:rsidRPr="00CC64D1">
        <w:rPr>
          <w:rFonts w:ascii="Arial" w:hAnsi="Arial" w:cs="Arial"/>
          <w:sz w:val="20"/>
          <w:szCs w:val="20"/>
        </w:rPr>
        <w:t xml:space="preserve"> expenditure</w:t>
      </w:r>
      <w:r>
        <w:rPr>
          <w:rFonts w:ascii="Arial" w:hAnsi="Arial" w:cs="Arial"/>
          <w:sz w:val="20"/>
          <w:szCs w:val="20"/>
        </w:rPr>
        <w:t>s</w:t>
      </w:r>
      <w:r w:rsidR="00E14E11">
        <w:rPr>
          <w:rFonts w:ascii="Arial" w:hAnsi="Arial" w:cs="Arial"/>
          <w:sz w:val="20"/>
          <w:szCs w:val="20"/>
        </w:rPr>
        <w:t>.</w:t>
      </w:r>
    </w:p>
    <w:p w14:paraId="3CC3E843" w14:textId="77777777" w:rsidR="00FC3032" w:rsidRPr="00E14E11" w:rsidRDefault="00CC64D1" w:rsidP="00CC64D1">
      <w:pPr>
        <w:jc w:val="both"/>
        <w:rPr>
          <w:rFonts w:ascii="Arial" w:hAnsi="Arial" w:cs="Arial"/>
          <w:b/>
          <w:sz w:val="20"/>
          <w:szCs w:val="20"/>
        </w:rPr>
      </w:pPr>
      <w:r w:rsidRPr="00E14E11">
        <w:rPr>
          <w:rFonts w:ascii="Arial" w:hAnsi="Arial" w:cs="Arial"/>
          <w:b/>
          <w:sz w:val="20"/>
          <w:szCs w:val="20"/>
        </w:rPr>
        <w:t xml:space="preserve">Livelihood and Future Plans for the Use of Released Land </w:t>
      </w:r>
    </w:p>
    <w:p w14:paraId="42B222AA" w14:textId="77777777" w:rsidR="00CC64D1" w:rsidRDefault="00CC64D1" w:rsidP="00CC64D1">
      <w:pPr>
        <w:pStyle w:val="ListParagraph"/>
        <w:numPr>
          <w:ilvl w:val="0"/>
          <w:numId w:val="8"/>
        </w:numPr>
        <w:jc w:val="both"/>
        <w:rPr>
          <w:rFonts w:ascii="Arial" w:hAnsi="Arial" w:cs="Arial"/>
          <w:sz w:val="20"/>
          <w:szCs w:val="20"/>
        </w:rPr>
      </w:pPr>
      <w:r>
        <w:rPr>
          <w:rFonts w:ascii="Arial" w:hAnsi="Arial" w:cs="Arial"/>
          <w:sz w:val="20"/>
          <w:szCs w:val="20"/>
        </w:rPr>
        <w:t xml:space="preserve">As a result of land release, majority of households started to cultivate different types of crops. Future plans for the use of released land is to use for agricultural purposes. </w:t>
      </w:r>
    </w:p>
    <w:p w14:paraId="46E8A2CF" w14:textId="77777777" w:rsidR="00E14E11" w:rsidRPr="00E14E11" w:rsidRDefault="00E14E11" w:rsidP="00E14E11">
      <w:pPr>
        <w:jc w:val="both"/>
        <w:rPr>
          <w:rFonts w:ascii="Arial" w:hAnsi="Arial" w:cs="Arial"/>
          <w:sz w:val="20"/>
          <w:szCs w:val="20"/>
        </w:rPr>
      </w:pPr>
    </w:p>
    <w:p w14:paraId="65BAAAE0" w14:textId="5FA0133D" w:rsidR="00CC64D1" w:rsidRPr="00E14E11" w:rsidRDefault="00CC64D1" w:rsidP="00CC64D1">
      <w:pPr>
        <w:jc w:val="both"/>
        <w:rPr>
          <w:rFonts w:ascii="Arial" w:hAnsi="Arial" w:cs="Arial"/>
          <w:b/>
          <w:sz w:val="20"/>
          <w:szCs w:val="20"/>
        </w:rPr>
      </w:pPr>
      <w:r w:rsidRPr="00E14E11">
        <w:rPr>
          <w:rFonts w:ascii="Arial" w:hAnsi="Arial" w:cs="Arial"/>
          <w:b/>
          <w:sz w:val="20"/>
          <w:szCs w:val="20"/>
        </w:rPr>
        <w:lastRenderedPageBreak/>
        <w:t>Use of Land that</w:t>
      </w:r>
      <w:r w:rsidR="00F447B5">
        <w:rPr>
          <w:rFonts w:ascii="Arial" w:hAnsi="Arial" w:cs="Arial"/>
          <w:b/>
          <w:sz w:val="20"/>
          <w:szCs w:val="20"/>
        </w:rPr>
        <w:t xml:space="preserve"> was</w:t>
      </w:r>
      <w:r w:rsidRPr="00E14E11">
        <w:rPr>
          <w:rFonts w:ascii="Arial" w:hAnsi="Arial" w:cs="Arial"/>
          <w:b/>
          <w:sz w:val="20"/>
          <w:szCs w:val="20"/>
        </w:rPr>
        <w:t xml:space="preserve"> thought </w:t>
      </w:r>
      <w:r w:rsidR="00F447B5">
        <w:rPr>
          <w:rFonts w:ascii="Arial" w:hAnsi="Arial" w:cs="Arial"/>
          <w:b/>
          <w:sz w:val="20"/>
          <w:szCs w:val="20"/>
        </w:rPr>
        <w:t>to be</w:t>
      </w:r>
      <w:r w:rsidRPr="00E14E11">
        <w:rPr>
          <w:rFonts w:ascii="Arial" w:hAnsi="Arial" w:cs="Arial"/>
          <w:b/>
          <w:sz w:val="20"/>
          <w:szCs w:val="20"/>
        </w:rPr>
        <w:t xml:space="preserve"> contaminated</w:t>
      </w:r>
      <w:r w:rsidR="00F447B5">
        <w:rPr>
          <w:rFonts w:ascii="Arial" w:hAnsi="Arial" w:cs="Arial"/>
          <w:b/>
          <w:sz w:val="20"/>
          <w:szCs w:val="20"/>
        </w:rPr>
        <w:t xml:space="preserve"> / fear of contamination</w:t>
      </w:r>
    </w:p>
    <w:p w14:paraId="453A3EBF" w14:textId="3CDB085A" w:rsidR="00CC64D1" w:rsidRPr="00EA3E2E" w:rsidRDefault="00CC64D1" w:rsidP="00EA3E2E">
      <w:pPr>
        <w:pStyle w:val="ListParagraph"/>
        <w:numPr>
          <w:ilvl w:val="0"/>
          <w:numId w:val="8"/>
        </w:numPr>
        <w:jc w:val="both"/>
        <w:rPr>
          <w:rFonts w:ascii="Arial" w:hAnsi="Arial" w:cs="Arial"/>
          <w:sz w:val="20"/>
          <w:szCs w:val="20"/>
        </w:rPr>
      </w:pPr>
      <w:r>
        <w:rPr>
          <w:rFonts w:ascii="Arial" w:hAnsi="Arial" w:cs="Arial"/>
          <w:sz w:val="20"/>
          <w:szCs w:val="20"/>
          <w:shd w:val="clear" w:color="auto" w:fill="FFFFFF"/>
        </w:rPr>
        <w:t>H</w:t>
      </w:r>
      <w:r w:rsidRPr="00CC64D1">
        <w:rPr>
          <w:rFonts w:ascii="Arial" w:hAnsi="Arial" w:cs="Arial"/>
          <w:sz w:val="20"/>
          <w:szCs w:val="20"/>
          <w:shd w:val="clear" w:color="auto" w:fill="FFFFFF"/>
        </w:rPr>
        <w:t>ousehold interviews confirmed that</w:t>
      </w:r>
      <w:r w:rsidR="00F447B5">
        <w:rPr>
          <w:rFonts w:ascii="Arial" w:hAnsi="Arial" w:cs="Arial"/>
          <w:sz w:val="20"/>
          <w:szCs w:val="20"/>
          <w:shd w:val="clear" w:color="auto" w:fill="FFFFFF"/>
        </w:rPr>
        <w:t xml:space="preserve"> the majority of</w:t>
      </w:r>
      <w:r w:rsidRPr="00CC64D1">
        <w:rPr>
          <w:rFonts w:ascii="Arial" w:hAnsi="Arial" w:cs="Arial"/>
          <w:sz w:val="20"/>
          <w:szCs w:val="20"/>
          <w:shd w:val="clear" w:color="auto" w:fill="FFFFFF"/>
        </w:rPr>
        <w:t xml:space="preserve"> </w:t>
      </w:r>
      <w:r>
        <w:rPr>
          <w:rFonts w:ascii="Arial" w:hAnsi="Arial" w:cs="Arial"/>
          <w:sz w:val="20"/>
          <w:szCs w:val="20"/>
          <w:shd w:val="clear" w:color="auto" w:fill="FFFFFF"/>
        </w:rPr>
        <w:t>villagers</w:t>
      </w:r>
      <w:r w:rsidR="00F447B5">
        <w:rPr>
          <w:rFonts w:ascii="Arial" w:hAnsi="Arial" w:cs="Arial"/>
          <w:sz w:val="20"/>
          <w:szCs w:val="20"/>
          <w:shd w:val="clear" w:color="auto" w:fill="FFFFFF"/>
        </w:rPr>
        <w:t xml:space="preserve"> already</w:t>
      </w:r>
      <w:r>
        <w:rPr>
          <w:rFonts w:ascii="Arial" w:hAnsi="Arial" w:cs="Arial"/>
          <w:sz w:val="20"/>
          <w:szCs w:val="20"/>
          <w:shd w:val="clear" w:color="auto" w:fill="FFFFFF"/>
        </w:rPr>
        <w:t xml:space="preserve"> </w:t>
      </w:r>
      <w:proofErr w:type="gramStart"/>
      <w:r w:rsidRPr="00CC64D1">
        <w:rPr>
          <w:rFonts w:ascii="Arial" w:hAnsi="Arial" w:cs="Arial"/>
          <w:sz w:val="20"/>
          <w:szCs w:val="20"/>
          <w:shd w:val="clear" w:color="auto" w:fill="FFFFFF"/>
        </w:rPr>
        <w:t>used  land</w:t>
      </w:r>
      <w:proofErr w:type="gramEnd"/>
      <w:r w:rsidRPr="00CC64D1">
        <w:rPr>
          <w:rFonts w:ascii="Arial" w:hAnsi="Arial" w:cs="Arial"/>
          <w:sz w:val="20"/>
          <w:szCs w:val="20"/>
          <w:shd w:val="clear" w:color="auto" w:fill="FFFFFF"/>
        </w:rPr>
        <w:t xml:space="preserve"> that they feared or thought was contaminated. </w:t>
      </w:r>
      <w:r>
        <w:rPr>
          <w:rFonts w:ascii="Arial" w:hAnsi="Arial" w:cs="Arial"/>
          <w:sz w:val="20"/>
          <w:szCs w:val="20"/>
          <w:shd w:val="clear" w:color="auto" w:fill="FFFFFF"/>
        </w:rPr>
        <w:t xml:space="preserve">People follow what their relatives or neighbors do. </w:t>
      </w:r>
      <w:r w:rsidRPr="00CC64D1">
        <w:rPr>
          <w:rFonts w:ascii="Arial" w:hAnsi="Arial" w:cs="Arial"/>
          <w:sz w:val="20"/>
          <w:szCs w:val="20"/>
          <w:shd w:val="clear" w:color="auto" w:fill="FFFFFF"/>
        </w:rPr>
        <w:t xml:space="preserve">The local practice of checking if </w:t>
      </w:r>
      <w:r>
        <w:rPr>
          <w:rFonts w:ascii="Arial" w:hAnsi="Arial" w:cs="Arial"/>
          <w:sz w:val="20"/>
          <w:szCs w:val="20"/>
          <w:shd w:val="clear" w:color="auto" w:fill="FFFFFF"/>
        </w:rPr>
        <w:t xml:space="preserve">the land is safe is burning </w:t>
      </w:r>
      <w:r w:rsidRPr="00CC64D1">
        <w:rPr>
          <w:rFonts w:ascii="Arial" w:hAnsi="Arial" w:cs="Arial"/>
          <w:sz w:val="20"/>
          <w:szCs w:val="20"/>
          <w:shd w:val="clear" w:color="auto" w:fill="FFFFFF"/>
        </w:rPr>
        <w:t>grass</w:t>
      </w:r>
      <w:r>
        <w:rPr>
          <w:rFonts w:ascii="Arial" w:hAnsi="Arial" w:cs="Arial"/>
          <w:sz w:val="20"/>
          <w:szCs w:val="20"/>
          <w:shd w:val="clear" w:color="auto" w:fill="FFFFFF"/>
        </w:rPr>
        <w:t xml:space="preserve"> or</w:t>
      </w:r>
      <w:r w:rsidRPr="00CC64D1">
        <w:rPr>
          <w:rFonts w:ascii="Arial" w:hAnsi="Arial" w:cs="Arial"/>
          <w:sz w:val="20"/>
          <w:szCs w:val="20"/>
          <w:shd w:val="clear" w:color="auto" w:fill="FFFFFF"/>
        </w:rPr>
        <w:t xml:space="preserve"> letting animals to graze in the suspected land or plo</w:t>
      </w:r>
      <w:r>
        <w:rPr>
          <w:rFonts w:ascii="Arial" w:hAnsi="Arial" w:cs="Arial"/>
          <w:sz w:val="20"/>
          <w:szCs w:val="20"/>
          <w:shd w:val="clear" w:color="auto" w:fill="FFFFFF"/>
        </w:rPr>
        <w:t xml:space="preserve">wing </w:t>
      </w:r>
      <w:r w:rsidRPr="00CC64D1">
        <w:rPr>
          <w:rFonts w:ascii="Arial" w:hAnsi="Arial" w:cs="Arial"/>
          <w:sz w:val="20"/>
          <w:szCs w:val="20"/>
          <w:shd w:val="clear" w:color="auto" w:fill="FFFFFF"/>
        </w:rPr>
        <w:t xml:space="preserve">the land.  </w:t>
      </w:r>
      <w:r w:rsidR="00EA3E2E" w:rsidRPr="00EA3E2E">
        <w:rPr>
          <w:rFonts w:ascii="Arial" w:hAnsi="Arial" w:cs="Arial"/>
          <w:sz w:val="20"/>
          <w:szCs w:val="20"/>
        </w:rPr>
        <w:t xml:space="preserve">The ways of addressing fear issue were reported as: (1) inform village chief and (2) inform operator MAPU.  </w:t>
      </w:r>
      <w:r w:rsidR="00F447B5">
        <w:rPr>
          <w:rFonts w:ascii="Arial" w:hAnsi="Arial" w:cs="Arial"/>
          <w:sz w:val="20"/>
          <w:szCs w:val="20"/>
        </w:rPr>
        <w:t>Field work from the Final Project evaluation suggests that use of suspected hazardous land, is often facilitated by informal mine clearance (referred to as threat reduction as it is not to national standards, nor done by accredited operators).</w:t>
      </w:r>
    </w:p>
    <w:p w14:paraId="66860A63" w14:textId="77777777" w:rsidR="00CC402D" w:rsidRPr="00E14E11" w:rsidRDefault="00CC402D" w:rsidP="00CC402D">
      <w:pPr>
        <w:jc w:val="both"/>
        <w:rPr>
          <w:rFonts w:ascii="Arial" w:hAnsi="Arial" w:cs="Arial"/>
          <w:b/>
          <w:sz w:val="20"/>
          <w:szCs w:val="20"/>
        </w:rPr>
      </w:pPr>
      <w:r w:rsidRPr="00E14E11">
        <w:rPr>
          <w:rFonts w:ascii="Arial" w:hAnsi="Arial" w:cs="Arial"/>
          <w:b/>
          <w:sz w:val="20"/>
          <w:szCs w:val="20"/>
        </w:rPr>
        <w:t>Loan and Labor Market</w:t>
      </w:r>
    </w:p>
    <w:p w14:paraId="3F497279" w14:textId="77777777" w:rsidR="006B3289" w:rsidRDefault="00CC402D" w:rsidP="006B3289">
      <w:pPr>
        <w:pStyle w:val="ListParagraph"/>
        <w:numPr>
          <w:ilvl w:val="0"/>
          <w:numId w:val="8"/>
        </w:numPr>
        <w:jc w:val="both"/>
        <w:rPr>
          <w:rFonts w:ascii="Arial" w:hAnsi="Arial" w:cs="Arial"/>
          <w:sz w:val="20"/>
          <w:szCs w:val="20"/>
        </w:rPr>
      </w:pPr>
      <w:r w:rsidRPr="00CC402D">
        <w:rPr>
          <w:rFonts w:ascii="Arial" w:hAnsi="Arial" w:cs="Arial"/>
          <w:sz w:val="20"/>
          <w:szCs w:val="20"/>
        </w:rPr>
        <w:t xml:space="preserve">Land certificates are the main documents that make farmers eligible for getting a loan. The amount of loan depends on the utilizable safe land. Hence, after release of </w:t>
      </w:r>
      <w:r>
        <w:rPr>
          <w:rFonts w:ascii="Arial" w:hAnsi="Arial" w:cs="Arial"/>
          <w:sz w:val="20"/>
          <w:szCs w:val="20"/>
        </w:rPr>
        <w:t xml:space="preserve">safe </w:t>
      </w:r>
      <w:r w:rsidRPr="00CC402D">
        <w:rPr>
          <w:rFonts w:ascii="Arial" w:hAnsi="Arial" w:cs="Arial"/>
          <w:sz w:val="20"/>
          <w:szCs w:val="20"/>
        </w:rPr>
        <w:t>land farmers were able to borrow mor</w:t>
      </w:r>
      <w:r>
        <w:rPr>
          <w:rFonts w:ascii="Arial" w:hAnsi="Arial" w:cs="Arial"/>
          <w:sz w:val="20"/>
          <w:szCs w:val="20"/>
        </w:rPr>
        <w:t xml:space="preserve">e to buy agricultural inputs and hire more agricultural labor. </w:t>
      </w:r>
    </w:p>
    <w:p w14:paraId="7FB9651E" w14:textId="77777777" w:rsidR="00CC402D" w:rsidRPr="00E14E11" w:rsidRDefault="00CC402D" w:rsidP="00CC402D">
      <w:pPr>
        <w:jc w:val="both"/>
        <w:rPr>
          <w:rFonts w:ascii="Arial" w:hAnsi="Arial" w:cs="Arial"/>
          <w:b/>
          <w:sz w:val="20"/>
          <w:szCs w:val="20"/>
        </w:rPr>
      </w:pPr>
      <w:r w:rsidRPr="00E14E11">
        <w:rPr>
          <w:rFonts w:ascii="Arial" w:hAnsi="Arial" w:cs="Arial"/>
          <w:b/>
          <w:sz w:val="20"/>
          <w:szCs w:val="20"/>
        </w:rPr>
        <w:t xml:space="preserve">Mine Risk Education </w:t>
      </w:r>
    </w:p>
    <w:p w14:paraId="066935F3" w14:textId="77777777" w:rsidR="00CC402D" w:rsidRDefault="00CC402D" w:rsidP="00CC402D">
      <w:pPr>
        <w:pStyle w:val="ListParagraph"/>
        <w:numPr>
          <w:ilvl w:val="0"/>
          <w:numId w:val="8"/>
        </w:numPr>
        <w:jc w:val="both"/>
        <w:rPr>
          <w:rFonts w:ascii="Arial" w:hAnsi="Arial" w:cs="Arial"/>
          <w:sz w:val="20"/>
          <w:szCs w:val="20"/>
        </w:rPr>
      </w:pPr>
      <w:r w:rsidRPr="00EA3E2E">
        <w:rPr>
          <w:rFonts w:ascii="Arial" w:hAnsi="Arial" w:cs="Arial"/>
          <w:sz w:val="20"/>
          <w:szCs w:val="20"/>
        </w:rPr>
        <w:t>Households are aware of risks of mines</w:t>
      </w:r>
      <w:r w:rsidR="00EA3E2E" w:rsidRPr="00EA3E2E">
        <w:rPr>
          <w:rFonts w:ascii="Arial" w:hAnsi="Arial" w:cs="Arial"/>
          <w:sz w:val="20"/>
          <w:szCs w:val="20"/>
        </w:rPr>
        <w:t xml:space="preserve"> through MAPUs and Village Chiefs.</w:t>
      </w:r>
      <w:r w:rsidRPr="00EA3E2E">
        <w:rPr>
          <w:rFonts w:ascii="Arial" w:hAnsi="Arial" w:cs="Arial"/>
          <w:sz w:val="20"/>
          <w:szCs w:val="20"/>
        </w:rPr>
        <w:t xml:space="preserve"> </w:t>
      </w:r>
      <w:r w:rsidR="00EA3E2E">
        <w:rPr>
          <w:rFonts w:ascii="Arial" w:hAnsi="Arial" w:cs="Arial"/>
          <w:sz w:val="20"/>
          <w:szCs w:val="20"/>
        </w:rPr>
        <w:t xml:space="preserve">However, women awareness about risks of mines is very low as they do not attend village meetings or any other gatherings related to community issues. </w:t>
      </w:r>
    </w:p>
    <w:p w14:paraId="0D475D1C" w14:textId="77777777" w:rsidR="00EA3E2E" w:rsidRPr="00E14E11" w:rsidRDefault="00EA3E2E" w:rsidP="00EA3E2E">
      <w:pPr>
        <w:jc w:val="both"/>
        <w:rPr>
          <w:rFonts w:ascii="Arial" w:hAnsi="Arial" w:cs="Arial"/>
          <w:b/>
          <w:sz w:val="20"/>
          <w:szCs w:val="20"/>
        </w:rPr>
      </w:pPr>
      <w:r w:rsidRPr="00E14E11">
        <w:rPr>
          <w:rFonts w:ascii="Arial" w:hAnsi="Arial" w:cs="Arial"/>
          <w:b/>
          <w:sz w:val="20"/>
          <w:szCs w:val="20"/>
        </w:rPr>
        <w:t>Land Prioritization Process</w:t>
      </w:r>
    </w:p>
    <w:p w14:paraId="05CBA6A2" w14:textId="77777777" w:rsidR="00EA3E2E" w:rsidRDefault="00EA3E2E" w:rsidP="00EA3E2E">
      <w:pPr>
        <w:pStyle w:val="ListParagraph"/>
        <w:numPr>
          <w:ilvl w:val="0"/>
          <w:numId w:val="8"/>
        </w:numPr>
        <w:jc w:val="both"/>
        <w:rPr>
          <w:rFonts w:ascii="Arial" w:hAnsi="Arial" w:cs="Arial"/>
          <w:sz w:val="20"/>
          <w:szCs w:val="20"/>
        </w:rPr>
      </w:pPr>
      <w:r>
        <w:rPr>
          <w:rFonts w:ascii="Arial" w:hAnsi="Arial" w:cs="Arial"/>
          <w:sz w:val="20"/>
          <w:szCs w:val="20"/>
        </w:rPr>
        <w:t xml:space="preserve">Prioritization process is well known to villagers such as informing village chiefs or MAPUs during village meetings. However, village meetings are held only one time per year. </w:t>
      </w:r>
      <w:r w:rsidR="0031068E">
        <w:rPr>
          <w:rFonts w:ascii="Arial" w:hAnsi="Arial" w:cs="Arial"/>
          <w:sz w:val="20"/>
          <w:szCs w:val="20"/>
        </w:rPr>
        <w:t xml:space="preserve">Also, FGD results records showed that women do not participate in land prioritization process due to being busy with household </w:t>
      </w:r>
      <w:commentRangeStart w:id="2"/>
      <w:r w:rsidR="0031068E">
        <w:rPr>
          <w:rFonts w:ascii="Arial" w:hAnsi="Arial" w:cs="Arial"/>
          <w:sz w:val="20"/>
          <w:szCs w:val="20"/>
        </w:rPr>
        <w:t>works</w:t>
      </w:r>
      <w:commentRangeEnd w:id="2"/>
      <w:r w:rsidR="00CC50DA">
        <w:rPr>
          <w:rStyle w:val="CommentReference"/>
        </w:rPr>
        <w:commentReference w:id="2"/>
      </w:r>
      <w:r w:rsidR="0031068E">
        <w:rPr>
          <w:rFonts w:ascii="Arial" w:hAnsi="Arial" w:cs="Arial"/>
          <w:sz w:val="20"/>
          <w:szCs w:val="20"/>
        </w:rPr>
        <w:t xml:space="preserve">. </w:t>
      </w:r>
    </w:p>
    <w:p w14:paraId="70C455D0" w14:textId="77777777" w:rsidR="0031068E" w:rsidRPr="00E14E11" w:rsidRDefault="0031068E" w:rsidP="0031068E">
      <w:pPr>
        <w:jc w:val="both"/>
        <w:rPr>
          <w:rFonts w:ascii="Arial" w:hAnsi="Arial" w:cs="Arial"/>
          <w:b/>
          <w:sz w:val="20"/>
          <w:szCs w:val="20"/>
        </w:rPr>
      </w:pPr>
      <w:r w:rsidRPr="00E14E11">
        <w:rPr>
          <w:rFonts w:ascii="Arial" w:hAnsi="Arial" w:cs="Arial"/>
          <w:b/>
          <w:sz w:val="20"/>
          <w:szCs w:val="20"/>
        </w:rPr>
        <w:t>Gender</w:t>
      </w:r>
    </w:p>
    <w:p w14:paraId="371CF8E9" w14:textId="77777777" w:rsidR="00C118F3" w:rsidRDefault="0031068E" w:rsidP="0031068E">
      <w:pPr>
        <w:pStyle w:val="ListParagraph"/>
        <w:numPr>
          <w:ilvl w:val="0"/>
          <w:numId w:val="8"/>
        </w:numPr>
        <w:jc w:val="both"/>
        <w:rPr>
          <w:rFonts w:ascii="Arial" w:hAnsi="Arial" w:cs="Arial"/>
          <w:sz w:val="20"/>
          <w:szCs w:val="20"/>
        </w:rPr>
      </w:pPr>
      <w:r>
        <w:rPr>
          <w:rFonts w:ascii="Arial" w:hAnsi="Arial" w:cs="Arial"/>
          <w:sz w:val="20"/>
          <w:szCs w:val="20"/>
        </w:rPr>
        <w:t xml:space="preserve">Land Titles: Soft Titles (92.3 percent) are joint titles with spouse, while Hard Titles </w:t>
      </w:r>
      <w:r w:rsidR="00030B83">
        <w:rPr>
          <w:rFonts w:ascii="Arial" w:hAnsi="Arial" w:cs="Arial"/>
          <w:sz w:val="20"/>
          <w:szCs w:val="20"/>
        </w:rPr>
        <w:t xml:space="preserve">are </w:t>
      </w:r>
      <w:r>
        <w:rPr>
          <w:rFonts w:ascii="Arial" w:hAnsi="Arial" w:cs="Arial"/>
          <w:sz w:val="20"/>
          <w:szCs w:val="20"/>
        </w:rPr>
        <w:t>less joint titles (</w:t>
      </w:r>
      <w:r w:rsidR="00BA1955">
        <w:rPr>
          <w:rFonts w:ascii="Arial" w:hAnsi="Arial" w:cs="Arial"/>
          <w:sz w:val="20"/>
          <w:szCs w:val="20"/>
        </w:rPr>
        <w:t xml:space="preserve">58.8 percent). </w:t>
      </w:r>
    </w:p>
    <w:p w14:paraId="6D85CF4B" w14:textId="77777777" w:rsidR="00BA1955" w:rsidRDefault="00BA1955" w:rsidP="0031068E">
      <w:pPr>
        <w:pStyle w:val="ListParagraph"/>
        <w:numPr>
          <w:ilvl w:val="0"/>
          <w:numId w:val="8"/>
        </w:numPr>
        <w:jc w:val="both"/>
        <w:rPr>
          <w:rFonts w:ascii="Arial" w:hAnsi="Arial" w:cs="Arial"/>
          <w:sz w:val="20"/>
          <w:szCs w:val="20"/>
        </w:rPr>
      </w:pPr>
      <w:r>
        <w:rPr>
          <w:rFonts w:ascii="Arial" w:hAnsi="Arial" w:cs="Arial"/>
          <w:sz w:val="20"/>
          <w:szCs w:val="20"/>
        </w:rPr>
        <w:t xml:space="preserve">Labor Market: due to increase of utilizable safe land, farmers hire more labor and </w:t>
      </w:r>
      <w:r w:rsidR="00030B83">
        <w:rPr>
          <w:rFonts w:ascii="Arial" w:hAnsi="Arial" w:cs="Arial"/>
          <w:sz w:val="20"/>
          <w:szCs w:val="20"/>
        </w:rPr>
        <w:t>majorities hire</w:t>
      </w:r>
      <w:r>
        <w:rPr>
          <w:rFonts w:ascii="Arial" w:hAnsi="Arial" w:cs="Arial"/>
          <w:sz w:val="20"/>
          <w:szCs w:val="20"/>
        </w:rPr>
        <w:t xml:space="preserve"> women for certain agricultural work, 91.7 percent of farmers reported hiring women on a seasonal basis.</w:t>
      </w:r>
    </w:p>
    <w:p w14:paraId="416E697B" w14:textId="77777777" w:rsidR="00BA1955" w:rsidRDefault="00BA1955" w:rsidP="0031068E">
      <w:pPr>
        <w:pStyle w:val="ListParagraph"/>
        <w:numPr>
          <w:ilvl w:val="0"/>
          <w:numId w:val="8"/>
        </w:numPr>
        <w:jc w:val="both"/>
        <w:rPr>
          <w:rFonts w:ascii="Arial" w:hAnsi="Arial" w:cs="Arial"/>
          <w:sz w:val="20"/>
          <w:szCs w:val="20"/>
        </w:rPr>
      </w:pPr>
      <w:r>
        <w:rPr>
          <w:rFonts w:ascii="Arial" w:hAnsi="Arial" w:cs="Arial"/>
          <w:sz w:val="20"/>
          <w:szCs w:val="20"/>
        </w:rPr>
        <w:t xml:space="preserve">Assets: Decision for buying assets </w:t>
      </w:r>
      <w:r w:rsidR="00030B83">
        <w:rPr>
          <w:rFonts w:ascii="Arial" w:hAnsi="Arial" w:cs="Arial"/>
          <w:sz w:val="20"/>
          <w:szCs w:val="20"/>
        </w:rPr>
        <w:t>based on the additional</w:t>
      </w:r>
      <w:r>
        <w:rPr>
          <w:rFonts w:ascii="Arial" w:hAnsi="Arial" w:cs="Arial"/>
          <w:sz w:val="20"/>
          <w:szCs w:val="20"/>
        </w:rPr>
        <w:t xml:space="preserve"> income from released land </w:t>
      </w:r>
      <w:proofErr w:type="gramStart"/>
      <w:r>
        <w:rPr>
          <w:rFonts w:ascii="Arial" w:hAnsi="Arial" w:cs="Arial"/>
          <w:sz w:val="20"/>
          <w:szCs w:val="20"/>
        </w:rPr>
        <w:t>are</w:t>
      </w:r>
      <w:proofErr w:type="gramEnd"/>
      <w:r>
        <w:rPr>
          <w:rFonts w:ascii="Arial" w:hAnsi="Arial" w:cs="Arial"/>
          <w:sz w:val="20"/>
          <w:szCs w:val="20"/>
        </w:rPr>
        <w:t xml:space="preserve"> joint decisions with </w:t>
      </w:r>
      <w:r w:rsidR="00030B83">
        <w:rPr>
          <w:rFonts w:ascii="Arial" w:hAnsi="Arial" w:cs="Arial"/>
          <w:sz w:val="20"/>
          <w:szCs w:val="20"/>
        </w:rPr>
        <w:t>spouses (</w:t>
      </w:r>
      <w:r>
        <w:rPr>
          <w:rFonts w:ascii="Arial" w:hAnsi="Arial" w:cs="Arial"/>
          <w:sz w:val="20"/>
          <w:szCs w:val="20"/>
        </w:rPr>
        <w:t xml:space="preserve">85.9 percent of households </w:t>
      </w:r>
      <w:r w:rsidR="00030B83">
        <w:rPr>
          <w:rFonts w:ascii="Arial" w:hAnsi="Arial" w:cs="Arial"/>
          <w:sz w:val="20"/>
          <w:szCs w:val="20"/>
        </w:rPr>
        <w:t xml:space="preserve">take joint decisions). </w:t>
      </w:r>
    </w:p>
    <w:p w14:paraId="43D169A0" w14:textId="77777777" w:rsidR="00C118F3" w:rsidRDefault="00C118F3" w:rsidP="00480E55">
      <w:pPr>
        <w:pStyle w:val="ListParagraph"/>
        <w:ind w:left="0"/>
        <w:jc w:val="both"/>
        <w:rPr>
          <w:rFonts w:ascii="Arial" w:hAnsi="Arial" w:cs="Arial"/>
          <w:sz w:val="20"/>
          <w:szCs w:val="20"/>
        </w:rPr>
      </w:pPr>
    </w:p>
    <w:p w14:paraId="53CE0613" w14:textId="77777777" w:rsidR="00C118F3" w:rsidRDefault="00C118F3" w:rsidP="00480E55">
      <w:pPr>
        <w:pStyle w:val="ListParagraph"/>
        <w:ind w:left="0"/>
        <w:jc w:val="both"/>
        <w:rPr>
          <w:rFonts w:ascii="Arial" w:hAnsi="Arial" w:cs="Arial"/>
          <w:sz w:val="20"/>
          <w:szCs w:val="20"/>
        </w:rPr>
      </w:pPr>
    </w:p>
    <w:p w14:paraId="21CBF6C6" w14:textId="77777777" w:rsidR="00C118F3" w:rsidRDefault="00C118F3" w:rsidP="00480E55">
      <w:pPr>
        <w:pStyle w:val="ListParagraph"/>
        <w:ind w:left="0"/>
        <w:jc w:val="both"/>
        <w:rPr>
          <w:rFonts w:ascii="Arial" w:hAnsi="Arial" w:cs="Arial"/>
          <w:sz w:val="20"/>
          <w:szCs w:val="20"/>
        </w:rPr>
      </w:pPr>
    </w:p>
    <w:p w14:paraId="28C6C4AD" w14:textId="77777777" w:rsidR="007C1AF9" w:rsidRDefault="007C1AF9" w:rsidP="001545D7">
      <w:pPr>
        <w:pStyle w:val="ListParagraph"/>
        <w:tabs>
          <w:tab w:val="left" w:pos="3130"/>
        </w:tabs>
        <w:ind w:left="0"/>
        <w:jc w:val="both"/>
        <w:rPr>
          <w:rFonts w:ascii="Arial" w:hAnsi="Arial" w:cs="Arial"/>
          <w:sz w:val="20"/>
          <w:szCs w:val="20"/>
        </w:rPr>
      </w:pPr>
    </w:p>
    <w:p w14:paraId="6C73E3E8" w14:textId="77777777" w:rsidR="007C1AF9" w:rsidRDefault="007C1AF9" w:rsidP="001545D7">
      <w:pPr>
        <w:pStyle w:val="ListParagraph"/>
        <w:tabs>
          <w:tab w:val="left" w:pos="3130"/>
        </w:tabs>
        <w:ind w:left="0"/>
        <w:jc w:val="both"/>
        <w:rPr>
          <w:rFonts w:ascii="Arial" w:hAnsi="Arial" w:cs="Arial"/>
          <w:sz w:val="20"/>
          <w:szCs w:val="20"/>
        </w:rPr>
      </w:pPr>
    </w:p>
    <w:p w14:paraId="34FB2AED" w14:textId="77777777" w:rsidR="007C1AF9" w:rsidRDefault="007C1AF9" w:rsidP="001545D7">
      <w:pPr>
        <w:pStyle w:val="ListParagraph"/>
        <w:tabs>
          <w:tab w:val="left" w:pos="3130"/>
        </w:tabs>
        <w:ind w:left="0"/>
        <w:jc w:val="both"/>
        <w:rPr>
          <w:rFonts w:ascii="Arial" w:hAnsi="Arial" w:cs="Arial"/>
          <w:sz w:val="20"/>
          <w:szCs w:val="20"/>
        </w:rPr>
      </w:pPr>
    </w:p>
    <w:p w14:paraId="22AA9274" w14:textId="77777777" w:rsidR="007C1AF9" w:rsidRDefault="007C1AF9" w:rsidP="001545D7">
      <w:pPr>
        <w:pStyle w:val="ListParagraph"/>
        <w:tabs>
          <w:tab w:val="left" w:pos="3130"/>
        </w:tabs>
        <w:ind w:left="0"/>
        <w:jc w:val="both"/>
        <w:rPr>
          <w:rFonts w:ascii="Arial" w:hAnsi="Arial" w:cs="Arial"/>
          <w:sz w:val="20"/>
          <w:szCs w:val="20"/>
        </w:rPr>
      </w:pPr>
    </w:p>
    <w:p w14:paraId="04C12324" w14:textId="77777777" w:rsidR="007C1AF9" w:rsidRDefault="007C1AF9" w:rsidP="001545D7">
      <w:pPr>
        <w:pStyle w:val="ListParagraph"/>
        <w:tabs>
          <w:tab w:val="left" w:pos="3130"/>
        </w:tabs>
        <w:ind w:left="0"/>
        <w:jc w:val="both"/>
        <w:rPr>
          <w:rFonts w:ascii="Arial" w:hAnsi="Arial" w:cs="Arial"/>
          <w:sz w:val="20"/>
          <w:szCs w:val="20"/>
        </w:rPr>
      </w:pPr>
    </w:p>
    <w:p w14:paraId="006DDBFF" w14:textId="77777777" w:rsidR="007C1AF9" w:rsidRDefault="007C1AF9" w:rsidP="001545D7">
      <w:pPr>
        <w:pStyle w:val="ListParagraph"/>
        <w:tabs>
          <w:tab w:val="left" w:pos="3130"/>
        </w:tabs>
        <w:ind w:left="0"/>
        <w:jc w:val="both"/>
        <w:rPr>
          <w:rFonts w:ascii="Arial" w:hAnsi="Arial" w:cs="Arial"/>
          <w:sz w:val="20"/>
          <w:szCs w:val="20"/>
        </w:rPr>
      </w:pPr>
    </w:p>
    <w:p w14:paraId="119D76CB" w14:textId="77777777" w:rsidR="007C1AF9" w:rsidRDefault="007C1AF9" w:rsidP="001545D7">
      <w:pPr>
        <w:pStyle w:val="ListParagraph"/>
        <w:tabs>
          <w:tab w:val="left" w:pos="3130"/>
        </w:tabs>
        <w:ind w:left="0"/>
        <w:jc w:val="both"/>
        <w:rPr>
          <w:rFonts w:ascii="Arial" w:hAnsi="Arial" w:cs="Arial"/>
          <w:sz w:val="20"/>
          <w:szCs w:val="20"/>
        </w:rPr>
      </w:pPr>
    </w:p>
    <w:p w14:paraId="60E30337" w14:textId="77777777" w:rsidR="007C1AF9" w:rsidRDefault="007C1AF9" w:rsidP="001545D7">
      <w:pPr>
        <w:pStyle w:val="ListParagraph"/>
        <w:tabs>
          <w:tab w:val="left" w:pos="3130"/>
        </w:tabs>
        <w:ind w:left="0"/>
        <w:jc w:val="both"/>
        <w:rPr>
          <w:rFonts w:ascii="Arial" w:hAnsi="Arial" w:cs="Arial"/>
          <w:sz w:val="20"/>
          <w:szCs w:val="20"/>
        </w:rPr>
      </w:pPr>
    </w:p>
    <w:p w14:paraId="7FFF4688" w14:textId="77777777" w:rsidR="007C1AF9" w:rsidRDefault="007C1AF9" w:rsidP="001545D7">
      <w:pPr>
        <w:pStyle w:val="ListParagraph"/>
        <w:tabs>
          <w:tab w:val="left" w:pos="3130"/>
        </w:tabs>
        <w:ind w:left="0"/>
        <w:jc w:val="both"/>
        <w:rPr>
          <w:rFonts w:ascii="Arial" w:hAnsi="Arial" w:cs="Arial"/>
          <w:sz w:val="20"/>
          <w:szCs w:val="20"/>
        </w:rPr>
      </w:pPr>
    </w:p>
    <w:p w14:paraId="7F41C6FD" w14:textId="77777777" w:rsidR="007C1AF9" w:rsidRDefault="007C1AF9" w:rsidP="001545D7">
      <w:pPr>
        <w:pStyle w:val="ListParagraph"/>
        <w:tabs>
          <w:tab w:val="left" w:pos="3130"/>
        </w:tabs>
        <w:ind w:left="0"/>
        <w:jc w:val="both"/>
        <w:rPr>
          <w:rFonts w:ascii="Arial" w:hAnsi="Arial" w:cs="Arial"/>
          <w:sz w:val="20"/>
          <w:szCs w:val="20"/>
        </w:rPr>
      </w:pPr>
    </w:p>
    <w:p w14:paraId="197BD438" w14:textId="77777777" w:rsidR="007C1AF9" w:rsidRDefault="007C1AF9" w:rsidP="001545D7">
      <w:pPr>
        <w:pStyle w:val="ListParagraph"/>
        <w:tabs>
          <w:tab w:val="left" w:pos="3130"/>
        </w:tabs>
        <w:ind w:left="0"/>
        <w:jc w:val="both"/>
        <w:rPr>
          <w:rFonts w:ascii="Arial" w:hAnsi="Arial" w:cs="Arial"/>
          <w:sz w:val="20"/>
          <w:szCs w:val="20"/>
        </w:rPr>
      </w:pPr>
    </w:p>
    <w:p w14:paraId="3E892902" w14:textId="77777777" w:rsidR="007C1AF9" w:rsidRDefault="007C1AF9" w:rsidP="001545D7">
      <w:pPr>
        <w:pStyle w:val="ListParagraph"/>
        <w:tabs>
          <w:tab w:val="left" w:pos="3130"/>
        </w:tabs>
        <w:ind w:left="0"/>
        <w:jc w:val="both"/>
        <w:rPr>
          <w:rFonts w:ascii="Arial" w:hAnsi="Arial" w:cs="Arial"/>
          <w:sz w:val="20"/>
          <w:szCs w:val="20"/>
        </w:rPr>
      </w:pPr>
    </w:p>
    <w:p w14:paraId="2EF70233" w14:textId="77777777" w:rsidR="007C1AF9" w:rsidRDefault="007C1AF9" w:rsidP="001545D7">
      <w:pPr>
        <w:pStyle w:val="ListParagraph"/>
        <w:tabs>
          <w:tab w:val="left" w:pos="3130"/>
        </w:tabs>
        <w:ind w:left="0"/>
        <w:jc w:val="both"/>
        <w:rPr>
          <w:rFonts w:ascii="Arial" w:hAnsi="Arial" w:cs="Arial"/>
          <w:sz w:val="20"/>
          <w:szCs w:val="20"/>
        </w:rPr>
      </w:pPr>
    </w:p>
    <w:p w14:paraId="551C3B83" w14:textId="77777777" w:rsidR="007C1AF9" w:rsidRDefault="007C1AF9" w:rsidP="001545D7">
      <w:pPr>
        <w:pStyle w:val="ListParagraph"/>
        <w:tabs>
          <w:tab w:val="left" w:pos="3130"/>
        </w:tabs>
        <w:ind w:left="0"/>
        <w:jc w:val="both"/>
        <w:rPr>
          <w:rFonts w:ascii="Arial" w:hAnsi="Arial" w:cs="Arial"/>
          <w:sz w:val="20"/>
          <w:szCs w:val="20"/>
        </w:rPr>
      </w:pPr>
    </w:p>
    <w:p w14:paraId="3723FA64" w14:textId="77777777" w:rsidR="007C1AF9" w:rsidRDefault="007C1AF9" w:rsidP="001545D7">
      <w:pPr>
        <w:pStyle w:val="ListParagraph"/>
        <w:tabs>
          <w:tab w:val="left" w:pos="3130"/>
        </w:tabs>
        <w:ind w:left="0"/>
        <w:jc w:val="both"/>
        <w:rPr>
          <w:rFonts w:ascii="Arial" w:hAnsi="Arial" w:cs="Arial"/>
          <w:sz w:val="20"/>
          <w:szCs w:val="20"/>
        </w:rPr>
      </w:pPr>
    </w:p>
    <w:p w14:paraId="7A499415" w14:textId="77777777" w:rsidR="007C1AF9" w:rsidRDefault="007C1AF9" w:rsidP="001545D7">
      <w:pPr>
        <w:pStyle w:val="ListParagraph"/>
        <w:tabs>
          <w:tab w:val="left" w:pos="3130"/>
        </w:tabs>
        <w:ind w:left="0"/>
        <w:jc w:val="both"/>
        <w:rPr>
          <w:rFonts w:ascii="Arial" w:hAnsi="Arial" w:cs="Arial"/>
          <w:sz w:val="20"/>
          <w:szCs w:val="20"/>
        </w:rPr>
      </w:pPr>
    </w:p>
    <w:p w14:paraId="73C2EDF3" w14:textId="77777777" w:rsidR="007C1AF9" w:rsidRDefault="007C1AF9" w:rsidP="001545D7">
      <w:pPr>
        <w:pStyle w:val="ListParagraph"/>
        <w:tabs>
          <w:tab w:val="left" w:pos="3130"/>
        </w:tabs>
        <w:ind w:left="0"/>
        <w:jc w:val="both"/>
        <w:rPr>
          <w:rFonts w:ascii="Arial" w:hAnsi="Arial" w:cs="Arial"/>
          <w:sz w:val="20"/>
          <w:szCs w:val="20"/>
        </w:rPr>
      </w:pPr>
    </w:p>
    <w:p w14:paraId="182F7B17" w14:textId="77777777" w:rsidR="00121113" w:rsidRPr="00B32EA1" w:rsidRDefault="00F13B1D" w:rsidP="001545D7">
      <w:pPr>
        <w:pStyle w:val="ListParagraph"/>
        <w:tabs>
          <w:tab w:val="left" w:pos="3130"/>
        </w:tabs>
        <w:ind w:left="0"/>
        <w:jc w:val="both"/>
        <w:rPr>
          <w:rFonts w:ascii="Arial" w:hAnsi="Arial" w:cs="Arial"/>
          <w:sz w:val="20"/>
          <w:szCs w:val="20"/>
        </w:rPr>
      </w:pPr>
      <w:r w:rsidRPr="00B32EA1">
        <w:rPr>
          <w:rFonts w:ascii="Arial" w:hAnsi="Arial" w:cs="Arial"/>
          <w:color w:val="5B9BD5" w:themeColor="accent1"/>
          <w:sz w:val="20"/>
          <w:szCs w:val="20"/>
        </w:rPr>
        <w:t>SURVEY BENEFICIARIES</w:t>
      </w:r>
      <w:r w:rsidR="00635784" w:rsidRPr="00B32EA1">
        <w:rPr>
          <w:rFonts w:ascii="Arial" w:hAnsi="Arial" w:cs="Arial"/>
          <w:color w:val="5B9BD5" w:themeColor="accent1"/>
          <w:sz w:val="20"/>
          <w:szCs w:val="20"/>
        </w:rPr>
        <w:t xml:space="preserve"> </w:t>
      </w:r>
    </w:p>
    <w:p w14:paraId="7091E5EA" w14:textId="77777777" w:rsidR="00121113" w:rsidRDefault="00447079" w:rsidP="00142D14">
      <w:pPr>
        <w:jc w:val="both"/>
        <w:rPr>
          <w:rFonts w:ascii="Arial" w:hAnsi="Arial" w:cs="Arial"/>
          <w:sz w:val="20"/>
          <w:szCs w:val="20"/>
        </w:rPr>
      </w:pPr>
      <w:r>
        <w:rPr>
          <w:rFonts w:ascii="Arial" w:hAnsi="Arial" w:cs="Arial"/>
          <w:sz w:val="20"/>
          <w:szCs w:val="20"/>
        </w:rPr>
        <w:t xml:space="preserve">The Impact Assessment interviews were conducted with </w:t>
      </w:r>
      <w:r w:rsidR="00340C16">
        <w:rPr>
          <w:rFonts w:ascii="Arial" w:hAnsi="Arial" w:cs="Arial"/>
          <w:sz w:val="20"/>
          <w:szCs w:val="20"/>
        </w:rPr>
        <w:t xml:space="preserve">households who benefitted from the </w:t>
      </w:r>
      <w:r>
        <w:rPr>
          <w:rFonts w:ascii="Arial" w:hAnsi="Arial" w:cs="Arial"/>
          <w:sz w:val="20"/>
          <w:szCs w:val="20"/>
        </w:rPr>
        <w:t xml:space="preserve">CFR II project </w:t>
      </w:r>
      <w:r w:rsidR="002C19FA">
        <w:rPr>
          <w:rFonts w:ascii="Arial" w:hAnsi="Arial" w:cs="Arial"/>
          <w:sz w:val="20"/>
          <w:szCs w:val="20"/>
        </w:rPr>
        <w:t>from 2011</w:t>
      </w:r>
      <w:r w:rsidR="00D63FC2">
        <w:rPr>
          <w:rFonts w:ascii="Arial" w:hAnsi="Arial" w:cs="Arial"/>
          <w:sz w:val="20"/>
          <w:szCs w:val="20"/>
        </w:rPr>
        <w:t xml:space="preserve"> to 2013.</w:t>
      </w:r>
      <w:r w:rsidR="00877343">
        <w:rPr>
          <w:rFonts w:ascii="Arial" w:hAnsi="Arial" w:cs="Arial"/>
          <w:sz w:val="20"/>
          <w:szCs w:val="20"/>
        </w:rPr>
        <w:t xml:space="preserve"> </w:t>
      </w:r>
      <w:r>
        <w:rPr>
          <w:rFonts w:ascii="Arial" w:hAnsi="Arial" w:cs="Arial"/>
          <w:sz w:val="20"/>
          <w:szCs w:val="20"/>
        </w:rPr>
        <w:t xml:space="preserve">It was necessary to </w:t>
      </w:r>
      <w:r w:rsidR="002C19FA">
        <w:rPr>
          <w:rFonts w:ascii="Arial" w:hAnsi="Arial" w:cs="Arial"/>
          <w:sz w:val="20"/>
          <w:szCs w:val="20"/>
        </w:rPr>
        <w:t xml:space="preserve">ask households </w:t>
      </w:r>
      <w:r w:rsidR="009C1AD3">
        <w:rPr>
          <w:rFonts w:ascii="Arial" w:hAnsi="Arial" w:cs="Arial"/>
          <w:sz w:val="20"/>
          <w:szCs w:val="20"/>
        </w:rPr>
        <w:t xml:space="preserve">at least two or three years after </w:t>
      </w:r>
      <w:r w:rsidR="002C19FA">
        <w:rPr>
          <w:rFonts w:ascii="Arial" w:hAnsi="Arial" w:cs="Arial"/>
          <w:sz w:val="20"/>
          <w:szCs w:val="20"/>
        </w:rPr>
        <w:t>land release</w:t>
      </w:r>
      <w:r w:rsidR="009C1AD3">
        <w:rPr>
          <w:rFonts w:ascii="Arial" w:hAnsi="Arial" w:cs="Arial"/>
          <w:sz w:val="20"/>
          <w:szCs w:val="20"/>
        </w:rPr>
        <w:t xml:space="preserve"> in order to </w:t>
      </w:r>
      <w:r w:rsidR="002C19FA">
        <w:rPr>
          <w:rFonts w:ascii="Arial" w:hAnsi="Arial" w:cs="Arial"/>
          <w:sz w:val="20"/>
          <w:szCs w:val="20"/>
        </w:rPr>
        <w:t>measure the impact of changes</w:t>
      </w:r>
      <w:r w:rsidR="009C1AD3">
        <w:rPr>
          <w:rFonts w:ascii="Arial" w:hAnsi="Arial" w:cs="Arial"/>
          <w:sz w:val="20"/>
          <w:szCs w:val="20"/>
        </w:rPr>
        <w:t xml:space="preserve">. </w:t>
      </w:r>
      <w:r>
        <w:rPr>
          <w:rFonts w:ascii="Arial" w:hAnsi="Arial" w:cs="Arial"/>
          <w:sz w:val="20"/>
          <w:szCs w:val="20"/>
        </w:rPr>
        <w:t xml:space="preserve"> </w:t>
      </w:r>
      <w:r w:rsidR="00D63FC2">
        <w:rPr>
          <w:rFonts w:ascii="Arial" w:hAnsi="Arial" w:cs="Arial"/>
          <w:sz w:val="20"/>
          <w:szCs w:val="20"/>
        </w:rPr>
        <w:t>T</w:t>
      </w:r>
      <w:r w:rsidR="00121113">
        <w:rPr>
          <w:rFonts w:ascii="Arial" w:hAnsi="Arial" w:cs="Arial"/>
          <w:sz w:val="20"/>
          <w:szCs w:val="20"/>
        </w:rPr>
        <w:t>able</w:t>
      </w:r>
      <w:r w:rsidR="002C19FA">
        <w:rPr>
          <w:rFonts w:ascii="Arial" w:hAnsi="Arial" w:cs="Arial"/>
          <w:sz w:val="20"/>
          <w:szCs w:val="20"/>
        </w:rPr>
        <w:t xml:space="preserve"> </w:t>
      </w:r>
      <w:r w:rsidR="00B27B96">
        <w:rPr>
          <w:rFonts w:ascii="Arial" w:hAnsi="Arial" w:cs="Arial"/>
          <w:sz w:val="20"/>
          <w:szCs w:val="20"/>
        </w:rPr>
        <w:t>1 shows</w:t>
      </w:r>
      <w:r w:rsidR="00121113">
        <w:rPr>
          <w:rFonts w:ascii="Arial" w:hAnsi="Arial" w:cs="Arial"/>
          <w:sz w:val="20"/>
          <w:szCs w:val="20"/>
        </w:rPr>
        <w:t xml:space="preserve"> the </w:t>
      </w:r>
      <w:r w:rsidR="00B27B96">
        <w:rPr>
          <w:rFonts w:ascii="Arial" w:hAnsi="Arial" w:cs="Arial"/>
          <w:sz w:val="20"/>
          <w:szCs w:val="20"/>
        </w:rPr>
        <w:t>percentage</w:t>
      </w:r>
      <w:r>
        <w:rPr>
          <w:rFonts w:ascii="Arial" w:hAnsi="Arial" w:cs="Arial"/>
          <w:sz w:val="20"/>
          <w:szCs w:val="20"/>
        </w:rPr>
        <w:t xml:space="preserve"> of household </w:t>
      </w:r>
      <w:r w:rsidR="00B27B96">
        <w:rPr>
          <w:rFonts w:ascii="Arial" w:hAnsi="Arial" w:cs="Arial"/>
          <w:sz w:val="20"/>
          <w:szCs w:val="20"/>
        </w:rPr>
        <w:t>covered in the HH interviews based on the year of land release</w:t>
      </w:r>
      <w:r>
        <w:rPr>
          <w:rFonts w:ascii="Arial" w:hAnsi="Arial" w:cs="Arial"/>
          <w:sz w:val="20"/>
          <w:szCs w:val="20"/>
        </w:rPr>
        <w:t>.</w:t>
      </w:r>
    </w:p>
    <w:p w14:paraId="282E2391" w14:textId="77777777" w:rsidR="00121113" w:rsidRDefault="00B27B96" w:rsidP="00121113">
      <w:pPr>
        <w:rPr>
          <w:rFonts w:ascii="Arial" w:hAnsi="Arial" w:cs="Arial"/>
          <w:b/>
          <w:sz w:val="20"/>
          <w:szCs w:val="20"/>
        </w:rPr>
      </w:pPr>
      <w:r>
        <w:rPr>
          <w:rFonts w:ascii="Arial" w:hAnsi="Arial" w:cs="Arial"/>
          <w:b/>
          <w:sz w:val="20"/>
          <w:szCs w:val="20"/>
        </w:rPr>
        <w:t>Table 1</w:t>
      </w:r>
      <w:r w:rsidR="00D63FC2">
        <w:rPr>
          <w:rFonts w:ascii="Arial" w:hAnsi="Arial" w:cs="Arial"/>
          <w:b/>
          <w:sz w:val="20"/>
          <w:szCs w:val="20"/>
        </w:rPr>
        <w:t xml:space="preserve">: </w:t>
      </w:r>
      <w:r>
        <w:rPr>
          <w:rFonts w:ascii="Arial" w:hAnsi="Arial" w:cs="Arial"/>
          <w:b/>
          <w:sz w:val="20"/>
          <w:szCs w:val="20"/>
        </w:rPr>
        <w:t xml:space="preserve">Interviewed households based on year of land release  </w:t>
      </w:r>
    </w:p>
    <w:tbl>
      <w:tblPr>
        <w:tblStyle w:val="TableGrid"/>
        <w:tblW w:w="0" w:type="auto"/>
        <w:tblLook w:val="04A0" w:firstRow="1" w:lastRow="0" w:firstColumn="1" w:lastColumn="0" w:noHBand="0" w:noVBand="1"/>
      </w:tblPr>
      <w:tblGrid>
        <w:gridCol w:w="2155"/>
        <w:gridCol w:w="1585"/>
        <w:gridCol w:w="1870"/>
        <w:gridCol w:w="1941"/>
      </w:tblGrid>
      <w:tr w:rsidR="00121113" w14:paraId="74F16780" w14:textId="77777777" w:rsidTr="004F42B2">
        <w:tc>
          <w:tcPr>
            <w:tcW w:w="2155" w:type="dxa"/>
            <w:vMerge w:val="restart"/>
          </w:tcPr>
          <w:p w14:paraId="0D173856" w14:textId="77777777" w:rsidR="00121113" w:rsidRPr="00121113" w:rsidRDefault="00121113" w:rsidP="004F42B2">
            <w:pP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Province </w:t>
            </w:r>
          </w:p>
        </w:tc>
        <w:tc>
          <w:tcPr>
            <w:tcW w:w="5396" w:type="dxa"/>
            <w:gridSpan w:val="3"/>
          </w:tcPr>
          <w:p w14:paraId="4ED8F9BB" w14:textId="77777777" w:rsidR="00121113" w:rsidRDefault="00121113" w:rsidP="004F42B2">
            <w:pPr>
              <w:jc w:val="center"/>
              <w:rPr>
                <w:rFonts w:ascii="Arial" w:hAnsi="Arial" w:cs="Arial"/>
                <w:b/>
                <w:sz w:val="20"/>
                <w:szCs w:val="20"/>
              </w:rPr>
            </w:pPr>
            <w:r>
              <w:rPr>
                <w:rFonts w:ascii="Arial" w:hAnsi="Arial" w:cs="Arial"/>
                <w:b/>
                <w:sz w:val="20"/>
                <w:szCs w:val="20"/>
              </w:rPr>
              <w:t>Year of Land clearance</w:t>
            </w:r>
          </w:p>
        </w:tc>
      </w:tr>
      <w:tr w:rsidR="00121113" w14:paraId="61C098CF" w14:textId="77777777" w:rsidTr="004F42B2">
        <w:tc>
          <w:tcPr>
            <w:tcW w:w="2155" w:type="dxa"/>
            <w:vMerge/>
          </w:tcPr>
          <w:p w14:paraId="6C1CA145" w14:textId="77777777" w:rsidR="00121113" w:rsidRDefault="00121113" w:rsidP="004F42B2">
            <w:pPr>
              <w:rPr>
                <w:rFonts w:ascii="Arial" w:hAnsi="Arial" w:cs="Arial"/>
                <w:b/>
                <w:sz w:val="20"/>
                <w:szCs w:val="20"/>
              </w:rPr>
            </w:pPr>
          </w:p>
        </w:tc>
        <w:tc>
          <w:tcPr>
            <w:tcW w:w="1585" w:type="dxa"/>
          </w:tcPr>
          <w:p w14:paraId="2163B301" w14:textId="77777777" w:rsidR="00121113" w:rsidRDefault="00121113" w:rsidP="004F42B2">
            <w:pPr>
              <w:jc w:val="center"/>
              <w:rPr>
                <w:rFonts w:ascii="Arial" w:hAnsi="Arial" w:cs="Arial"/>
                <w:b/>
                <w:sz w:val="20"/>
                <w:szCs w:val="20"/>
              </w:rPr>
            </w:pPr>
            <w:r>
              <w:rPr>
                <w:rFonts w:ascii="Arial" w:hAnsi="Arial" w:cs="Arial"/>
                <w:b/>
                <w:sz w:val="20"/>
                <w:szCs w:val="20"/>
              </w:rPr>
              <w:t>2011</w:t>
            </w:r>
          </w:p>
        </w:tc>
        <w:tc>
          <w:tcPr>
            <w:tcW w:w="1870" w:type="dxa"/>
          </w:tcPr>
          <w:p w14:paraId="08D6E63D" w14:textId="77777777" w:rsidR="00121113" w:rsidRDefault="00121113" w:rsidP="004F42B2">
            <w:pPr>
              <w:jc w:val="center"/>
              <w:rPr>
                <w:rFonts w:ascii="Arial" w:hAnsi="Arial" w:cs="Arial"/>
                <w:b/>
                <w:sz w:val="20"/>
                <w:szCs w:val="20"/>
              </w:rPr>
            </w:pPr>
            <w:r>
              <w:rPr>
                <w:rFonts w:ascii="Arial" w:hAnsi="Arial" w:cs="Arial"/>
                <w:b/>
                <w:sz w:val="20"/>
                <w:szCs w:val="20"/>
              </w:rPr>
              <w:t>2012</w:t>
            </w:r>
          </w:p>
        </w:tc>
        <w:tc>
          <w:tcPr>
            <w:tcW w:w="1941" w:type="dxa"/>
          </w:tcPr>
          <w:p w14:paraId="374B6077" w14:textId="77777777" w:rsidR="00121113" w:rsidRDefault="00121113" w:rsidP="004F42B2">
            <w:pPr>
              <w:jc w:val="center"/>
              <w:rPr>
                <w:rFonts w:ascii="Arial" w:hAnsi="Arial" w:cs="Arial"/>
                <w:b/>
                <w:sz w:val="20"/>
                <w:szCs w:val="20"/>
              </w:rPr>
            </w:pPr>
            <w:r>
              <w:rPr>
                <w:rFonts w:ascii="Arial" w:hAnsi="Arial" w:cs="Arial"/>
                <w:b/>
                <w:sz w:val="20"/>
                <w:szCs w:val="20"/>
              </w:rPr>
              <w:t>2013</w:t>
            </w:r>
          </w:p>
        </w:tc>
      </w:tr>
      <w:tr w:rsidR="00121113" w14:paraId="59DB9A81" w14:textId="77777777" w:rsidTr="004F42B2">
        <w:tc>
          <w:tcPr>
            <w:tcW w:w="2155" w:type="dxa"/>
          </w:tcPr>
          <w:p w14:paraId="34B32666" w14:textId="77777777" w:rsidR="00121113" w:rsidRDefault="00121113" w:rsidP="004F42B2">
            <w:pPr>
              <w:rPr>
                <w:rFonts w:ascii="Arial" w:hAnsi="Arial" w:cs="Arial"/>
                <w:b/>
                <w:sz w:val="20"/>
                <w:szCs w:val="20"/>
              </w:rPr>
            </w:pPr>
            <w:r w:rsidRPr="009665E5">
              <w:rPr>
                <w:rFonts w:ascii="Arial" w:eastAsia="Times New Roman" w:hAnsi="Arial" w:cs="Arial"/>
                <w:color w:val="000000"/>
                <w:sz w:val="20"/>
                <w:szCs w:val="20"/>
                <w:lang w:val="ru-RU" w:eastAsia="ru-RU"/>
              </w:rPr>
              <w:t>Battambang</w:t>
            </w:r>
          </w:p>
        </w:tc>
        <w:tc>
          <w:tcPr>
            <w:tcW w:w="1585" w:type="dxa"/>
          </w:tcPr>
          <w:p w14:paraId="57D4F1CB"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62,9%</w:t>
            </w:r>
          </w:p>
        </w:tc>
        <w:tc>
          <w:tcPr>
            <w:tcW w:w="1870" w:type="dxa"/>
          </w:tcPr>
          <w:p w14:paraId="1F4CD150"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14,1%</w:t>
            </w:r>
          </w:p>
        </w:tc>
        <w:tc>
          <w:tcPr>
            <w:tcW w:w="1941" w:type="dxa"/>
          </w:tcPr>
          <w:p w14:paraId="6106B85C"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23,0%</w:t>
            </w:r>
          </w:p>
        </w:tc>
      </w:tr>
      <w:tr w:rsidR="00121113" w14:paraId="752F4204" w14:textId="77777777" w:rsidTr="004F42B2">
        <w:tc>
          <w:tcPr>
            <w:tcW w:w="2155" w:type="dxa"/>
          </w:tcPr>
          <w:p w14:paraId="58C33515" w14:textId="77777777" w:rsidR="00121113" w:rsidRDefault="00121113" w:rsidP="004F42B2">
            <w:pPr>
              <w:rPr>
                <w:rFonts w:ascii="Arial" w:hAnsi="Arial" w:cs="Arial"/>
                <w:b/>
                <w:sz w:val="20"/>
                <w:szCs w:val="20"/>
              </w:rPr>
            </w:pPr>
            <w:r w:rsidRPr="009665E5">
              <w:rPr>
                <w:rFonts w:ascii="Arial" w:eastAsia="Times New Roman" w:hAnsi="Arial" w:cs="Arial"/>
                <w:color w:val="000000"/>
                <w:sz w:val="20"/>
                <w:szCs w:val="20"/>
                <w:lang w:val="ru-RU" w:eastAsia="ru-RU"/>
              </w:rPr>
              <w:t>Banteay Meanchey</w:t>
            </w:r>
          </w:p>
        </w:tc>
        <w:tc>
          <w:tcPr>
            <w:tcW w:w="1585" w:type="dxa"/>
          </w:tcPr>
          <w:p w14:paraId="53D847E3"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44,2%</w:t>
            </w:r>
          </w:p>
        </w:tc>
        <w:tc>
          <w:tcPr>
            <w:tcW w:w="1870" w:type="dxa"/>
          </w:tcPr>
          <w:p w14:paraId="2B4AA077"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47,3%</w:t>
            </w:r>
          </w:p>
        </w:tc>
        <w:tc>
          <w:tcPr>
            <w:tcW w:w="1941" w:type="dxa"/>
          </w:tcPr>
          <w:p w14:paraId="68FAB644"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8,5%</w:t>
            </w:r>
          </w:p>
        </w:tc>
      </w:tr>
      <w:tr w:rsidR="00121113" w14:paraId="03AE0E4A" w14:textId="77777777" w:rsidTr="004F42B2">
        <w:tc>
          <w:tcPr>
            <w:tcW w:w="2155" w:type="dxa"/>
          </w:tcPr>
          <w:p w14:paraId="31048233" w14:textId="77777777" w:rsidR="00121113" w:rsidRDefault="00121113" w:rsidP="004F42B2">
            <w:pPr>
              <w:rPr>
                <w:rFonts w:ascii="Arial" w:hAnsi="Arial" w:cs="Arial"/>
                <w:b/>
                <w:sz w:val="20"/>
                <w:szCs w:val="20"/>
              </w:rPr>
            </w:pPr>
            <w:r w:rsidRPr="009665E5">
              <w:rPr>
                <w:rFonts w:ascii="Arial" w:eastAsia="Times New Roman" w:hAnsi="Arial" w:cs="Arial"/>
                <w:color w:val="000000"/>
                <w:sz w:val="20"/>
                <w:szCs w:val="20"/>
                <w:lang w:val="ru-RU" w:eastAsia="ru-RU"/>
              </w:rPr>
              <w:t>Pailin</w:t>
            </w:r>
          </w:p>
        </w:tc>
        <w:tc>
          <w:tcPr>
            <w:tcW w:w="1585" w:type="dxa"/>
          </w:tcPr>
          <w:p w14:paraId="1503A3FD"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14,1%</w:t>
            </w:r>
          </w:p>
        </w:tc>
        <w:tc>
          <w:tcPr>
            <w:tcW w:w="1870" w:type="dxa"/>
          </w:tcPr>
          <w:p w14:paraId="47B6E2FF"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11,3%</w:t>
            </w:r>
          </w:p>
        </w:tc>
        <w:tc>
          <w:tcPr>
            <w:tcW w:w="1941" w:type="dxa"/>
          </w:tcPr>
          <w:p w14:paraId="4E2F326B" w14:textId="77777777" w:rsidR="00121113" w:rsidRDefault="00121113"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74,6%</w:t>
            </w:r>
          </w:p>
        </w:tc>
      </w:tr>
      <w:tr w:rsidR="00121113" w14:paraId="60EADE88" w14:textId="77777777" w:rsidTr="004F42B2">
        <w:tc>
          <w:tcPr>
            <w:tcW w:w="2155" w:type="dxa"/>
          </w:tcPr>
          <w:p w14:paraId="4766D113" w14:textId="77777777" w:rsidR="00121113" w:rsidRPr="004B406D" w:rsidRDefault="00121113" w:rsidP="004F42B2">
            <w:pPr>
              <w:rPr>
                <w:rFonts w:ascii="Arial" w:eastAsia="Times New Roman" w:hAnsi="Arial" w:cs="Arial"/>
                <w:b/>
                <w:bCs/>
                <w:color w:val="000000"/>
                <w:sz w:val="20"/>
                <w:szCs w:val="20"/>
                <w:lang w:eastAsia="ru-RU"/>
              </w:rPr>
            </w:pPr>
            <w:r w:rsidRPr="004B406D">
              <w:rPr>
                <w:rFonts w:ascii="Arial" w:eastAsia="Times New Roman" w:hAnsi="Arial" w:cs="Arial"/>
                <w:b/>
                <w:bCs/>
                <w:color w:val="000000"/>
                <w:sz w:val="20"/>
                <w:szCs w:val="20"/>
                <w:lang w:eastAsia="ru-RU"/>
              </w:rPr>
              <w:t>Total</w:t>
            </w:r>
          </w:p>
        </w:tc>
        <w:tc>
          <w:tcPr>
            <w:tcW w:w="1585" w:type="dxa"/>
          </w:tcPr>
          <w:p w14:paraId="4E6F957A" w14:textId="77777777" w:rsidR="00121113" w:rsidRPr="009665E5" w:rsidRDefault="00121113" w:rsidP="004F42B2">
            <w:pPr>
              <w:jc w:val="center"/>
              <w:rPr>
                <w:rFonts w:ascii="Arial" w:eastAsia="Times New Roman" w:hAnsi="Arial" w:cs="Arial"/>
                <w:color w:val="000000"/>
                <w:sz w:val="20"/>
                <w:szCs w:val="20"/>
                <w:lang w:val="ru-RU" w:eastAsia="ru-RU"/>
              </w:rPr>
            </w:pPr>
            <w:r w:rsidRPr="009665E5">
              <w:rPr>
                <w:rFonts w:ascii="Arial" w:eastAsia="Times New Roman" w:hAnsi="Arial" w:cs="Arial"/>
                <w:b/>
                <w:color w:val="000000"/>
                <w:sz w:val="20"/>
                <w:szCs w:val="20"/>
                <w:lang w:val="ru-RU" w:eastAsia="ru-RU"/>
              </w:rPr>
              <w:t>50,9%</w:t>
            </w:r>
          </w:p>
        </w:tc>
        <w:tc>
          <w:tcPr>
            <w:tcW w:w="1870" w:type="dxa"/>
          </w:tcPr>
          <w:p w14:paraId="29C63F6A" w14:textId="77777777" w:rsidR="00121113" w:rsidRDefault="00121113" w:rsidP="004F42B2">
            <w:pPr>
              <w:jc w:val="center"/>
              <w:rPr>
                <w:rFonts w:ascii="Arial" w:hAnsi="Arial" w:cs="Arial"/>
                <w:b/>
                <w:sz w:val="20"/>
                <w:szCs w:val="20"/>
              </w:rPr>
            </w:pPr>
            <w:r w:rsidRPr="009665E5">
              <w:rPr>
                <w:rFonts w:ascii="Arial" w:eastAsia="Times New Roman" w:hAnsi="Arial" w:cs="Arial"/>
                <w:b/>
                <w:color w:val="000000"/>
                <w:sz w:val="20"/>
                <w:szCs w:val="20"/>
                <w:lang w:val="ru-RU" w:eastAsia="ru-RU"/>
              </w:rPr>
              <w:t>22,4%</w:t>
            </w:r>
          </w:p>
        </w:tc>
        <w:tc>
          <w:tcPr>
            <w:tcW w:w="1941" w:type="dxa"/>
          </w:tcPr>
          <w:p w14:paraId="357B9409" w14:textId="77777777" w:rsidR="00121113" w:rsidRDefault="00121113" w:rsidP="004F42B2">
            <w:pPr>
              <w:jc w:val="center"/>
              <w:rPr>
                <w:rFonts w:ascii="Arial" w:hAnsi="Arial" w:cs="Arial"/>
                <w:b/>
                <w:sz w:val="20"/>
                <w:szCs w:val="20"/>
              </w:rPr>
            </w:pPr>
            <w:r w:rsidRPr="009665E5">
              <w:rPr>
                <w:rFonts w:ascii="Arial" w:eastAsia="Times New Roman" w:hAnsi="Arial" w:cs="Arial"/>
                <w:b/>
                <w:color w:val="000000"/>
                <w:sz w:val="20"/>
                <w:szCs w:val="20"/>
                <w:lang w:val="ru-RU" w:eastAsia="ru-RU"/>
              </w:rPr>
              <w:t>26,7%</w:t>
            </w:r>
          </w:p>
        </w:tc>
      </w:tr>
    </w:tbl>
    <w:p w14:paraId="2D67E944" w14:textId="77777777" w:rsidR="00121113" w:rsidRDefault="00121113" w:rsidP="00121113">
      <w:pPr>
        <w:rPr>
          <w:rFonts w:ascii="Arial" w:hAnsi="Arial" w:cs="Arial"/>
          <w:b/>
          <w:sz w:val="20"/>
          <w:szCs w:val="20"/>
        </w:rPr>
      </w:pPr>
    </w:p>
    <w:p w14:paraId="066C91B9" w14:textId="77777777" w:rsidR="00D63FC2" w:rsidRDefault="009601AF" w:rsidP="00121113">
      <w:pPr>
        <w:jc w:val="both"/>
        <w:rPr>
          <w:rFonts w:ascii="Arial" w:hAnsi="Arial" w:cs="Arial"/>
          <w:sz w:val="20"/>
          <w:szCs w:val="20"/>
        </w:rPr>
      </w:pPr>
      <w:r w:rsidRPr="009601AF">
        <w:rPr>
          <w:rFonts w:ascii="Arial" w:hAnsi="Arial" w:cs="Arial"/>
          <w:sz w:val="20"/>
          <w:szCs w:val="20"/>
        </w:rPr>
        <w:t xml:space="preserve">Interview respondents </w:t>
      </w:r>
      <w:r w:rsidR="00B27B96">
        <w:rPr>
          <w:rFonts w:ascii="Arial" w:hAnsi="Arial" w:cs="Arial"/>
          <w:sz w:val="20"/>
          <w:szCs w:val="20"/>
        </w:rPr>
        <w:t>were</w:t>
      </w:r>
      <w:r w:rsidR="00D9363E">
        <w:rPr>
          <w:rFonts w:ascii="Arial" w:hAnsi="Arial" w:cs="Arial"/>
          <w:sz w:val="20"/>
          <w:szCs w:val="20"/>
        </w:rPr>
        <w:t xml:space="preserve"> </w:t>
      </w:r>
      <w:r w:rsidR="00B27B96">
        <w:rPr>
          <w:rFonts w:ascii="Arial" w:hAnsi="Arial" w:cs="Arial"/>
          <w:sz w:val="20"/>
          <w:szCs w:val="20"/>
        </w:rPr>
        <w:t>50.8 percent</w:t>
      </w:r>
      <w:r w:rsidR="00340C16">
        <w:rPr>
          <w:rFonts w:ascii="Arial" w:hAnsi="Arial" w:cs="Arial"/>
          <w:sz w:val="20"/>
          <w:szCs w:val="20"/>
        </w:rPr>
        <w:t xml:space="preserve"> </w:t>
      </w:r>
      <w:r>
        <w:rPr>
          <w:rFonts w:ascii="Arial" w:hAnsi="Arial" w:cs="Arial"/>
          <w:sz w:val="20"/>
          <w:szCs w:val="20"/>
        </w:rPr>
        <w:t xml:space="preserve">male and 49.2 percent female. </w:t>
      </w:r>
      <w:r w:rsidR="009C1AD3">
        <w:rPr>
          <w:rFonts w:ascii="Arial" w:hAnsi="Arial" w:cs="Arial"/>
          <w:sz w:val="20"/>
          <w:szCs w:val="20"/>
        </w:rPr>
        <w:t xml:space="preserve">The </w:t>
      </w:r>
      <w:r w:rsidR="00340C16">
        <w:rPr>
          <w:rFonts w:ascii="Arial" w:hAnsi="Arial" w:cs="Arial"/>
          <w:sz w:val="20"/>
          <w:szCs w:val="20"/>
        </w:rPr>
        <w:t>criteria’s for interviewing households were set as: preferably</w:t>
      </w:r>
      <w:r w:rsidR="009C1AD3">
        <w:rPr>
          <w:rFonts w:ascii="Arial" w:hAnsi="Arial" w:cs="Arial"/>
          <w:sz w:val="20"/>
          <w:szCs w:val="20"/>
        </w:rPr>
        <w:t xml:space="preserve"> head of households and female to achieve </w:t>
      </w:r>
      <w:r w:rsidR="00D63FC2">
        <w:rPr>
          <w:rFonts w:ascii="Arial" w:hAnsi="Arial" w:cs="Arial"/>
          <w:sz w:val="20"/>
          <w:szCs w:val="20"/>
        </w:rPr>
        <w:t xml:space="preserve">gender balanced </w:t>
      </w:r>
      <w:r w:rsidR="00D9363E">
        <w:rPr>
          <w:rFonts w:ascii="Arial" w:hAnsi="Arial" w:cs="Arial"/>
          <w:sz w:val="20"/>
          <w:szCs w:val="20"/>
        </w:rPr>
        <w:t xml:space="preserve">survey. </w:t>
      </w:r>
      <w:r w:rsidR="00D63FC2">
        <w:rPr>
          <w:rFonts w:ascii="Arial" w:hAnsi="Arial" w:cs="Arial"/>
          <w:sz w:val="20"/>
          <w:szCs w:val="20"/>
        </w:rPr>
        <w:t>Table</w:t>
      </w:r>
      <w:r w:rsidR="00B27B96">
        <w:rPr>
          <w:rFonts w:ascii="Arial" w:hAnsi="Arial" w:cs="Arial"/>
          <w:sz w:val="20"/>
          <w:szCs w:val="20"/>
        </w:rPr>
        <w:t xml:space="preserve"> 3</w:t>
      </w:r>
      <w:r w:rsidR="00D63FC2">
        <w:rPr>
          <w:rFonts w:ascii="Arial" w:hAnsi="Arial" w:cs="Arial"/>
          <w:sz w:val="20"/>
          <w:szCs w:val="20"/>
        </w:rPr>
        <w:t xml:space="preserve"> represents the percentage of male and female respondents:  </w:t>
      </w:r>
    </w:p>
    <w:p w14:paraId="0E1F2CA5" w14:textId="77777777" w:rsidR="00D63FC2" w:rsidRDefault="00B27B96" w:rsidP="00D63FC2">
      <w:pPr>
        <w:rPr>
          <w:rFonts w:ascii="Arial" w:hAnsi="Arial" w:cs="Arial"/>
          <w:b/>
          <w:sz w:val="20"/>
          <w:szCs w:val="20"/>
        </w:rPr>
      </w:pPr>
      <w:r>
        <w:rPr>
          <w:rFonts w:ascii="Arial" w:hAnsi="Arial" w:cs="Arial"/>
          <w:b/>
          <w:sz w:val="20"/>
          <w:szCs w:val="20"/>
        </w:rPr>
        <w:t xml:space="preserve">Table 2: </w:t>
      </w:r>
      <w:r w:rsidR="00D63FC2">
        <w:rPr>
          <w:rFonts w:ascii="Arial" w:hAnsi="Arial" w:cs="Arial"/>
          <w:b/>
          <w:sz w:val="20"/>
          <w:szCs w:val="20"/>
        </w:rPr>
        <w:t xml:space="preserve"> </w:t>
      </w:r>
      <w:r>
        <w:rPr>
          <w:rFonts w:ascii="Arial" w:hAnsi="Arial" w:cs="Arial"/>
          <w:b/>
          <w:sz w:val="20"/>
          <w:szCs w:val="20"/>
        </w:rPr>
        <w:t>Gender</w:t>
      </w:r>
    </w:p>
    <w:tbl>
      <w:tblPr>
        <w:tblStyle w:val="TableGrid"/>
        <w:tblW w:w="7394" w:type="dxa"/>
        <w:tblLook w:val="04A0" w:firstRow="1" w:lastRow="0" w:firstColumn="1" w:lastColumn="0" w:noHBand="0" w:noVBand="1"/>
      </w:tblPr>
      <w:tblGrid>
        <w:gridCol w:w="3080"/>
        <w:gridCol w:w="2150"/>
        <w:gridCol w:w="2164"/>
      </w:tblGrid>
      <w:tr w:rsidR="00D63FC2" w14:paraId="2D628800" w14:textId="77777777" w:rsidTr="004F42B2">
        <w:tc>
          <w:tcPr>
            <w:tcW w:w="3080" w:type="dxa"/>
          </w:tcPr>
          <w:p w14:paraId="5D005F86" w14:textId="77777777" w:rsidR="00D63FC2" w:rsidRDefault="00D63FC2" w:rsidP="004F42B2">
            <w:pPr>
              <w:jc w:val="center"/>
              <w:rPr>
                <w:rFonts w:ascii="Arial" w:hAnsi="Arial" w:cs="Arial"/>
                <w:b/>
                <w:sz w:val="20"/>
                <w:szCs w:val="20"/>
              </w:rPr>
            </w:pPr>
            <w:r>
              <w:rPr>
                <w:rFonts w:ascii="Arial" w:hAnsi="Arial" w:cs="Arial"/>
                <w:b/>
                <w:sz w:val="20"/>
                <w:szCs w:val="20"/>
              </w:rPr>
              <w:t>Province</w:t>
            </w:r>
          </w:p>
        </w:tc>
        <w:tc>
          <w:tcPr>
            <w:tcW w:w="2150" w:type="dxa"/>
          </w:tcPr>
          <w:p w14:paraId="725D909C" w14:textId="77777777" w:rsidR="00D63FC2" w:rsidRDefault="00D63FC2" w:rsidP="004F42B2">
            <w:pPr>
              <w:jc w:val="center"/>
              <w:rPr>
                <w:rFonts w:ascii="Arial" w:hAnsi="Arial" w:cs="Arial"/>
                <w:b/>
                <w:sz w:val="20"/>
                <w:szCs w:val="20"/>
              </w:rPr>
            </w:pPr>
            <w:r>
              <w:rPr>
                <w:rFonts w:ascii="Arial" w:hAnsi="Arial" w:cs="Arial"/>
                <w:b/>
                <w:sz w:val="20"/>
                <w:szCs w:val="20"/>
              </w:rPr>
              <w:t>Male</w:t>
            </w:r>
          </w:p>
        </w:tc>
        <w:tc>
          <w:tcPr>
            <w:tcW w:w="2164" w:type="dxa"/>
          </w:tcPr>
          <w:p w14:paraId="0A81B752" w14:textId="77777777" w:rsidR="00D63FC2" w:rsidRDefault="00D63FC2" w:rsidP="004F42B2">
            <w:pPr>
              <w:jc w:val="center"/>
              <w:rPr>
                <w:rFonts w:ascii="Arial" w:hAnsi="Arial" w:cs="Arial"/>
                <w:b/>
                <w:sz w:val="20"/>
                <w:szCs w:val="20"/>
              </w:rPr>
            </w:pPr>
            <w:r>
              <w:rPr>
                <w:rFonts w:ascii="Arial" w:hAnsi="Arial" w:cs="Arial"/>
                <w:b/>
                <w:sz w:val="20"/>
                <w:szCs w:val="20"/>
              </w:rPr>
              <w:t xml:space="preserve">Female </w:t>
            </w:r>
          </w:p>
        </w:tc>
      </w:tr>
      <w:tr w:rsidR="00D63FC2" w14:paraId="468C85B4" w14:textId="77777777" w:rsidTr="004F42B2">
        <w:tc>
          <w:tcPr>
            <w:tcW w:w="3080" w:type="dxa"/>
          </w:tcPr>
          <w:p w14:paraId="38083F38" w14:textId="77777777" w:rsidR="00D63FC2" w:rsidRPr="007D7852" w:rsidRDefault="00D63FC2" w:rsidP="004F42B2">
            <w:pPr>
              <w:jc w:val="center"/>
              <w:rPr>
                <w:rFonts w:ascii="Arial" w:hAnsi="Arial" w:cs="Arial"/>
                <w:bCs/>
                <w:sz w:val="20"/>
                <w:szCs w:val="20"/>
              </w:rPr>
            </w:pPr>
            <w:r>
              <w:rPr>
                <w:rFonts w:ascii="Arial" w:hAnsi="Arial" w:cs="Arial"/>
                <w:bCs/>
                <w:sz w:val="20"/>
                <w:szCs w:val="20"/>
              </w:rPr>
              <w:t>B</w:t>
            </w:r>
            <w:r w:rsidRPr="007D7852">
              <w:rPr>
                <w:rFonts w:ascii="Arial" w:hAnsi="Arial" w:cs="Arial"/>
                <w:bCs/>
                <w:sz w:val="20"/>
                <w:szCs w:val="20"/>
              </w:rPr>
              <w:t>attambang</w:t>
            </w:r>
          </w:p>
        </w:tc>
        <w:tc>
          <w:tcPr>
            <w:tcW w:w="2150" w:type="dxa"/>
          </w:tcPr>
          <w:p w14:paraId="2F6E0B4E" w14:textId="77777777" w:rsidR="00D63FC2" w:rsidRDefault="00D63FC2"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44,5%</w:t>
            </w:r>
          </w:p>
        </w:tc>
        <w:tc>
          <w:tcPr>
            <w:tcW w:w="2164" w:type="dxa"/>
          </w:tcPr>
          <w:p w14:paraId="2BB47F83" w14:textId="77777777" w:rsidR="00D63FC2" w:rsidRDefault="00D63FC2"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55,5%</w:t>
            </w:r>
          </w:p>
        </w:tc>
      </w:tr>
      <w:tr w:rsidR="00D63FC2" w14:paraId="164A48BD" w14:textId="77777777" w:rsidTr="004F42B2">
        <w:tc>
          <w:tcPr>
            <w:tcW w:w="3080" w:type="dxa"/>
          </w:tcPr>
          <w:p w14:paraId="17F21E50" w14:textId="77777777" w:rsidR="00D63FC2" w:rsidRPr="007D7852" w:rsidRDefault="00D63FC2" w:rsidP="004F42B2">
            <w:pPr>
              <w:jc w:val="center"/>
              <w:rPr>
                <w:rFonts w:ascii="Arial" w:hAnsi="Arial" w:cs="Arial"/>
                <w:bCs/>
                <w:sz w:val="20"/>
                <w:szCs w:val="20"/>
              </w:rPr>
            </w:pPr>
            <w:proofErr w:type="spellStart"/>
            <w:r w:rsidRPr="007D7852">
              <w:rPr>
                <w:rFonts w:ascii="Arial" w:hAnsi="Arial" w:cs="Arial"/>
                <w:bCs/>
                <w:sz w:val="20"/>
                <w:szCs w:val="20"/>
              </w:rPr>
              <w:t>Bantey</w:t>
            </w:r>
            <w:proofErr w:type="spellEnd"/>
            <w:r w:rsidRPr="007D7852">
              <w:rPr>
                <w:rFonts w:ascii="Arial" w:hAnsi="Arial" w:cs="Arial"/>
                <w:bCs/>
                <w:sz w:val="20"/>
                <w:szCs w:val="20"/>
              </w:rPr>
              <w:t xml:space="preserve"> Meanchey</w:t>
            </w:r>
          </w:p>
        </w:tc>
        <w:tc>
          <w:tcPr>
            <w:tcW w:w="2150" w:type="dxa"/>
          </w:tcPr>
          <w:p w14:paraId="3E81A753" w14:textId="77777777" w:rsidR="00D63FC2" w:rsidRDefault="00D63FC2"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55,5%</w:t>
            </w:r>
          </w:p>
        </w:tc>
        <w:tc>
          <w:tcPr>
            <w:tcW w:w="2164" w:type="dxa"/>
          </w:tcPr>
          <w:p w14:paraId="0EFCE0D7" w14:textId="77777777" w:rsidR="00D63FC2" w:rsidRDefault="00D63FC2"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44,5%</w:t>
            </w:r>
          </w:p>
        </w:tc>
      </w:tr>
      <w:tr w:rsidR="00D63FC2" w14:paraId="70A4FE51" w14:textId="77777777" w:rsidTr="004F42B2">
        <w:tc>
          <w:tcPr>
            <w:tcW w:w="3080" w:type="dxa"/>
          </w:tcPr>
          <w:p w14:paraId="3AD529B7" w14:textId="77777777" w:rsidR="00D63FC2" w:rsidRPr="007D7852" w:rsidRDefault="00D63FC2" w:rsidP="004F42B2">
            <w:pPr>
              <w:jc w:val="center"/>
              <w:rPr>
                <w:rFonts w:ascii="Arial" w:hAnsi="Arial" w:cs="Arial"/>
                <w:bCs/>
                <w:sz w:val="20"/>
                <w:szCs w:val="20"/>
              </w:rPr>
            </w:pPr>
            <w:r>
              <w:rPr>
                <w:rFonts w:ascii="Arial" w:hAnsi="Arial" w:cs="Arial"/>
                <w:bCs/>
                <w:sz w:val="20"/>
                <w:szCs w:val="20"/>
              </w:rPr>
              <w:t>P</w:t>
            </w:r>
            <w:r w:rsidRPr="007D7852">
              <w:rPr>
                <w:rFonts w:ascii="Arial" w:hAnsi="Arial" w:cs="Arial"/>
                <w:bCs/>
                <w:sz w:val="20"/>
                <w:szCs w:val="20"/>
              </w:rPr>
              <w:t>ailin</w:t>
            </w:r>
          </w:p>
        </w:tc>
        <w:tc>
          <w:tcPr>
            <w:tcW w:w="2150" w:type="dxa"/>
          </w:tcPr>
          <w:p w14:paraId="1EAE2E05" w14:textId="77777777" w:rsidR="00D63FC2" w:rsidRDefault="00D63FC2"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67,6%</w:t>
            </w:r>
          </w:p>
        </w:tc>
        <w:tc>
          <w:tcPr>
            <w:tcW w:w="2164" w:type="dxa"/>
          </w:tcPr>
          <w:p w14:paraId="1B2835CF" w14:textId="77777777" w:rsidR="00D63FC2" w:rsidRDefault="00D63FC2" w:rsidP="004F42B2">
            <w:pPr>
              <w:jc w:val="center"/>
              <w:rPr>
                <w:rFonts w:ascii="Arial" w:hAnsi="Arial" w:cs="Arial"/>
                <w:b/>
                <w:sz w:val="20"/>
                <w:szCs w:val="20"/>
              </w:rPr>
            </w:pPr>
            <w:r w:rsidRPr="009665E5">
              <w:rPr>
                <w:rFonts w:ascii="Arial" w:eastAsia="Times New Roman" w:hAnsi="Arial" w:cs="Arial"/>
                <w:color w:val="000000"/>
                <w:sz w:val="20"/>
                <w:szCs w:val="20"/>
                <w:lang w:val="ru-RU" w:eastAsia="ru-RU"/>
              </w:rPr>
              <w:t>32,4%</w:t>
            </w:r>
          </w:p>
        </w:tc>
      </w:tr>
      <w:tr w:rsidR="00D63FC2" w14:paraId="568CE8F6" w14:textId="77777777" w:rsidTr="004F42B2">
        <w:tc>
          <w:tcPr>
            <w:tcW w:w="3080" w:type="dxa"/>
          </w:tcPr>
          <w:p w14:paraId="04BD6B81" w14:textId="77777777" w:rsidR="00D63FC2" w:rsidRPr="007D7852" w:rsidRDefault="00D63FC2" w:rsidP="004F42B2">
            <w:pPr>
              <w:jc w:val="center"/>
              <w:rPr>
                <w:rFonts w:ascii="Arial" w:hAnsi="Arial" w:cs="Arial"/>
                <w:b/>
                <w:sz w:val="20"/>
                <w:szCs w:val="20"/>
              </w:rPr>
            </w:pPr>
            <w:r w:rsidRPr="007D7852">
              <w:rPr>
                <w:rFonts w:ascii="Arial" w:hAnsi="Arial" w:cs="Arial"/>
                <w:b/>
                <w:sz w:val="20"/>
                <w:szCs w:val="20"/>
              </w:rPr>
              <w:t>Total</w:t>
            </w:r>
          </w:p>
        </w:tc>
        <w:tc>
          <w:tcPr>
            <w:tcW w:w="2150" w:type="dxa"/>
          </w:tcPr>
          <w:p w14:paraId="71D1F3ED" w14:textId="77777777" w:rsidR="00D63FC2" w:rsidRPr="009665E5" w:rsidRDefault="00D63FC2" w:rsidP="004F42B2">
            <w:pPr>
              <w:jc w:val="center"/>
              <w:rPr>
                <w:rFonts w:ascii="Arial" w:eastAsia="Times New Roman" w:hAnsi="Arial" w:cs="Arial"/>
                <w:color w:val="000000"/>
                <w:sz w:val="20"/>
                <w:szCs w:val="20"/>
                <w:lang w:val="ru-RU" w:eastAsia="ru-RU"/>
              </w:rPr>
            </w:pPr>
            <w:r w:rsidRPr="009665E5">
              <w:rPr>
                <w:rFonts w:ascii="Arial" w:eastAsia="Times New Roman" w:hAnsi="Arial" w:cs="Arial"/>
                <w:b/>
                <w:color w:val="000000"/>
                <w:sz w:val="20"/>
                <w:szCs w:val="20"/>
                <w:lang w:val="ru-RU" w:eastAsia="ru-RU"/>
              </w:rPr>
              <w:t>50,8%</w:t>
            </w:r>
          </w:p>
        </w:tc>
        <w:tc>
          <w:tcPr>
            <w:tcW w:w="2164" w:type="dxa"/>
          </w:tcPr>
          <w:p w14:paraId="1E87B08E" w14:textId="77777777" w:rsidR="00D63FC2" w:rsidRDefault="00D63FC2" w:rsidP="004F42B2">
            <w:pPr>
              <w:jc w:val="center"/>
              <w:rPr>
                <w:rFonts w:ascii="Arial" w:hAnsi="Arial" w:cs="Arial"/>
                <w:b/>
                <w:sz w:val="20"/>
                <w:szCs w:val="20"/>
              </w:rPr>
            </w:pPr>
            <w:r w:rsidRPr="009665E5">
              <w:rPr>
                <w:rFonts w:ascii="Arial" w:eastAsia="Times New Roman" w:hAnsi="Arial" w:cs="Arial"/>
                <w:b/>
                <w:color w:val="000000"/>
                <w:sz w:val="20"/>
                <w:szCs w:val="20"/>
                <w:lang w:val="ru-RU" w:eastAsia="ru-RU"/>
              </w:rPr>
              <w:t>49,2%</w:t>
            </w:r>
          </w:p>
        </w:tc>
      </w:tr>
    </w:tbl>
    <w:p w14:paraId="76D21A1A" w14:textId="77777777" w:rsidR="00D63FC2" w:rsidRDefault="00D63FC2" w:rsidP="00142D14">
      <w:pPr>
        <w:jc w:val="both"/>
        <w:rPr>
          <w:rFonts w:ascii="Arial" w:hAnsi="Arial" w:cs="Arial"/>
          <w:sz w:val="20"/>
          <w:szCs w:val="20"/>
        </w:rPr>
      </w:pPr>
    </w:p>
    <w:p w14:paraId="7540577F" w14:textId="77777777" w:rsidR="00C72819" w:rsidRDefault="003F7BCB" w:rsidP="00C72819">
      <w:pPr>
        <w:jc w:val="both"/>
        <w:rPr>
          <w:rFonts w:ascii="Arial" w:hAnsi="Arial" w:cs="Arial"/>
          <w:sz w:val="20"/>
          <w:szCs w:val="20"/>
        </w:rPr>
      </w:pPr>
      <w:r>
        <w:rPr>
          <w:rFonts w:ascii="Arial" w:hAnsi="Arial" w:cs="Arial"/>
          <w:sz w:val="20"/>
          <w:szCs w:val="20"/>
        </w:rPr>
        <w:t>In Cambodia,</w:t>
      </w:r>
      <w:r w:rsidR="009C1AD3">
        <w:rPr>
          <w:rFonts w:ascii="Arial" w:hAnsi="Arial" w:cs="Arial"/>
          <w:sz w:val="20"/>
          <w:szCs w:val="20"/>
        </w:rPr>
        <w:t xml:space="preserve"> </w:t>
      </w:r>
      <w:r w:rsidR="005744D1" w:rsidRPr="005744D1">
        <w:rPr>
          <w:rFonts w:ascii="Arial" w:hAnsi="Arial" w:cs="Arial"/>
          <w:sz w:val="20"/>
          <w:szCs w:val="20"/>
        </w:rPr>
        <w:t xml:space="preserve">ID Poor </w:t>
      </w:r>
      <w:r w:rsidR="008B1A95">
        <w:rPr>
          <w:rFonts w:ascii="Arial" w:hAnsi="Arial" w:cs="Arial"/>
          <w:sz w:val="20"/>
          <w:szCs w:val="20"/>
        </w:rPr>
        <w:t>C</w:t>
      </w:r>
      <w:r w:rsidR="005744D1">
        <w:rPr>
          <w:rFonts w:ascii="Arial" w:hAnsi="Arial" w:cs="Arial"/>
          <w:sz w:val="20"/>
          <w:szCs w:val="20"/>
        </w:rPr>
        <w:t>ard is issued by the Ministry of Planning</w:t>
      </w:r>
      <w:r w:rsidR="003B79FE">
        <w:rPr>
          <w:rFonts w:ascii="Arial" w:hAnsi="Arial" w:cs="Arial"/>
          <w:sz w:val="20"/>
          <w:szCs w:val="20"/>
        </w:rPr>
        <w:t>.  T</w:t>
      </w:r>
      <w:r w:rsidR="005744D1">
        <w:rPr>
          <w:rFonts w:ascii="Arial" w:hAnsi="Arial" w:cs="Arial"/>
          <w:sz w:val="20"/>
          <w:szCs w:val="20"/>
        </w:rPr>
        <w:t xml:space="preserve">he </w:t>
      </w:r>
      <w:r w:rsidR="009C1AD3">
        <w:rPr>
          <w:rFonts w:ascii="Arial" w:hAnsi="Arial" w:cs="Arial"/>
          <w:sz w:val="20"/>
          <w:szCs w:val="20"/>
        </w:rPr>
        <w:t>programme regularly updates</w:t>
      </w:r>
      <w:r w:rsidR="005744D1">
        <w:rPr>
          <w:rFonts w:ascii="Arial" w:hAnsi="Arial" w:cs="Arial"/>
          <w:sz w:val="20"/>
          <w:szCs w:val="20"/>
        </w:rPr>
        <w:t xml:space="preserve"> information </w:t>
      </w:r>
      <w:r w:rsidR="003B79FE">
        <w:rPr>
          <w:rFonts w:ascii="Arial" w:hAnsi="Arial" w:cs="Arial"/>
          <w:sz w:val="20"/>
          <w:szCs w:val="20"/>
        </w:rPr>
        <w:t xml:space="preserve">(every three years) </w:t>
      </w:r>
      <w:r w:rsidR="005744D1">
        <w:rPr>
          <w:rFonts w:ascii="Arial" w:hAnsi="Arial" w:cs="Arial"/>
          <w:sz w:val="20"/>
          <w:szCs w:val="20"/>
        </w:rPr>
        <w:t xml:space="preserve">on poor </w:t>
      </w:r>
      <w:r w:rsidR="003B79FE">
        <w:rPr>
          <w:rFonts w:ascii="Arial" w:hAnsi="Arial" w:cs="Arial"/>
          <w:sz w:val="20"/>
          <w:szCs w:val="20"/>
        </w:rPr>
        <w:t xml:space="preserve">and most vulnerable </w:t>
      </w:r>
      <w:r w:rsidR="005744D1">
        <w:rPr>
          <w:rFonts w:ascii="Arial" w:hAnsi="Arial" w:cs="Arial"/>
          <w:sz w:val="20"/>
          <w:szCs w:val="20"/>
        </w:rPr>
        <w:t xml:space="preserve">households across the country.  The objective </w:t>
      </w:r>
      <w:r w:rsidR="009C1AD3">
        <w:rPr>
          <w:rFonts w:ascii="Arial" w:hAnsi="Arial" w:cs="Arial"/>
          <w:sz w:val="20"/>
          <w:szCs w:val="20"/>
        </w:rPr>
        <w:t xml:space="preserve">of </w:t>
      </w:r>
      <w:r w:rsidR="005744D1">
        <w:rPr>
          <w:rFonts w:ascii="Arial" w:hAnsi="Arial" w:cs="Arial"/>
          <w:sz w:val="20"/>
          <w:szCs w:val="20"/>
        </w:rPr>
        <w:t>programme is to provide government and non-governmental agencies updated information about the number of poor households</w:t>
      </w:r>
      <w:r w:rsidR="008B1A95">
        <w:rPr>
          <w:rFonts w:ascii="Arial" w:hAnsi="Arial" w:cs="Arial"/>
          <w:sz w:val="20"/>
          <w:szCs w:val="20"/>
        </w:rPr>
        <w:t xml:space="preserve"> in the country</w:t>
      </w:r>
      <w:r w:rsidR="005744D1">
        <w:rPr>
          <w:rFonts w:ascii="Arial" w:hAnsi="Arial" w:cs="Arial"/>
          <w:sz w:val="20"/>
          <w:szCs w:val="20"/>
        </w:rPr>
        <w:t xml:space="preserve">. The identification </w:t>
      </w:r>
      <w:r w:rsidR="003B79FE">
        <w:rPr>
          <w:rFonts w:ascii="Arial" w:hAnsi="Arial" w:cs="Arial"/>
          <w:sz w:val="20"/>
          <w:szCs w:val="20"/>
        </w:rPr>
        <w:t>of poor househol</w:t>
      </w:r>
      <w:r w:rsidR="008B1A95">
        <w:rPr>
          <w:rFonts w:ascii="Arial" w:hAnsi="Arial" w:cs="Arial"/>
          <w:sz w:val="20"/>
          <w:szCs w:val="20"/>
        </w:rPr>
        <w:t xml:space="preserve">ds is based on </w:t>
      </w:r>
      <w:r w:rsidR="00D9363E">
        <w:rPr>
          <w:rFonts w:ascii="Arial" w:hAnsi="Arial" w:cs="Arial"/>
          <w:sz w:val="20"/>
          <w:szCs w:val="20"/>
        </w:rPr>
        <w:t xml:space="preserve">the </w:t>
      </w:r>
      <w:r w:rsidR="003B79FE">
        <w:rPr>
          <w:rFonts w:ascii="Arial" w:hAnsi="Arial" w:cs="Arial"/>
          <w:sz w:val="20"/>
          <w:szCs w:val="20"/>
        </w:rPr>
        <w:t xml:space="preserve">income, assets, </w:t>
      </w:r>
      <w:r w:rsidR="008B1A95">
        <w:rPr>
          <w:rFonts w:ascii="Arial" w:hAnsi="Arial" w:cs="Arial"/>
          <w:sz w:val="20"/>
          <w:szCs w:val="20"/>
        </w:rPr>
        <w:t xml:space="preserve">land </w:t>
      </w:r>
      <w:r w:rsidR="009C1AD3">
        <w:rPr>
          <w:rFonts w:ascii="Arial" w:hAnsi="Arial" w:cs="Arial"/>
          <w:sz w:val="20"/>
          <w:szCs w:val="20"/>
        </w:rPr>
        <w:t xml:space="preserve">size and </w:t>
      </w:r>
      <w:r w:rsidR="008B1A95">
        <w:rPr>
          <w:rFonts w:ascii="Arial" w:hAnsi="Arial" w:cs="Arial"/>
          <w:sz w:val="20"/>
          <w:szCs w:val="20"/>
        </w:rPr>
        <w:t>ownership, farming, livestock</w:t>
      </w:r>
      <w:r w:rsidR="003B79FE">
        <w:rPr>
          <w:rFonts w:ascii="Arial" w:hAnsi="Arial" w:cs="Arial"/>
          <w:sz w:val="20"/>
          <w:szCs w:val="20"/>
        </w:rPr>
        <w:t>, and other aspects measuring socio-economic status</w:t>
      </w:r>
      <w:r w:rsidR="008B1A95" w:rsidRPr="008B1A95">
        <w:rPr>
          <w:rFonts w:ascii="Arial" w:hAnsi="Arial" w:cs="Arial"/>
          <w:sz w:val="20"/>
          <w:szCs w:val="20"/>
        </w:rPr>
        <w:t xml:space="preserve"> </w:t>
      </w:r>
      <w:r w:rsidR="008B1A95">
        <w:rPr>
          <w:rFonts w:ascii="Arial" w:hAnsi="Arial" w:cs="Arial"/>
          <w:sz w:val="20"/>
          <w:szCs w:val="20"/>
        </w:rPr>
        <w:t>of households</w:t>
      </w:r>
      <w:r w:rsidR="003B79FE">
        <w:rPr>
          <w:rFonts w:ascii="Arial" w:hAnsi="Arial" w:cs="Arial"/>
          <w:sz w:val="20"/>
          <w:szCs w:val="20"/>
        </w:rPr>
        <w:t xml:space="preserve">. The ID Poor Card is issued with </w:t>
      </w:r>
      <w:r w:rsidR="008B1A95">
        <w:rPr>
          <w:rFonts w:ascii="Arial" w:hAnsi="Arial" w:cs="Arial"/>
          <w:sz w:val="20"/>
          <w:szCs w:val="20"/>
        </w:rPr>
        <w:t xml:space="preserve">the </w:t>
      </w:r>
      <w:r w:rsidR="003B79FE">
        <w:rPr>
          <w:rFonts w:ascii="Arial" w:hAnsi="Arial" w:cs="Arial"/>
          <w:sz w:val="20"/>
          <w:szCs w:val="20"/>
        </w:rPr>
        <w:t>unique number t</w:t>
      </w:r>
      <w:r w:rsidR="00D63FC2">
        <w:rPr>
          <w:rFonts w:ascii="Arial" w:hAnsi="Arial" w:cs="Arial"/>
          <w:sz w:val="20"/>
          <w:szCs w:val="20"/>
        </w:rPr>
        <w:t xml:space="preserve">o identified poor households.  </w:t>
      </w:r>
      <w:r w:rsidR="009C1AD3">
        <w:rPr>
          <w:rFonts w:ascii="Arial" w:hAnsi="Arial" w:cs="Arial"/>
          <w:sz w:val="20"/>
          <w:szCs w:val="20"/>
        </w:rPr>
        <w:t>T</w:t>
      </w:r>
      <w:r w:rsidR="00D63FC2">
        <w:rPr>
          <w:rFonts w:ascii="Arial" w:hAnsi="Arial" w:cs="Arial"/>
          <w:sz w:val="20"/>
          <w:szCs w:val="20"/>
        </w:rPr>
        <w:t>able</w:t>
      </w:r>
      <w:r w:rsidR="00B27B96">
        <w:rPr>
          <w:rFonts w:ascii="Arial" w:hAnsi="Arial" w:cs="Arial"/>
          <w:sz w:val="20"/>
          <w:szCs w:val="20"/>
        </w:rPr>
        <w:t xml:space="preserve"> 3</w:t>
      </w:r>
      <w:r w:rsidR="009C1AD3">
        <w:rPr>
          <w:rFonts w:ascii="Arial" w:hAnsi="Arial" w:cs="Arial"/>
          <w:sz w:val="20"/>
          <w:szCs w:val="20"/>
        </w:rPr>
        <w:t xml:space="preserve"> illustrates</w:t>
      </w:r>
      <w:r w:rsidR="003B79FE">
        <w:rPr>
          <w:rFonts w:ascii="Arial" w:hAnsi="Arial" w:cs="Arial"/>
          <w:sz w:val="20"/>
          <w:szCs w:val="20"/>
        </w:rPr>
        <w:t xml:space="preserve"> </w:t>
      </w:r>
      <w:r w:rsidR="00E52AFE">
        <w:rPr>
          <w:rFonts w:ascii="Arial" w:hAnsi="Arial" w:cs="Arial"/>
          <w:sz w:val="20"/>
          <w:szCs w:val="20"/>
        </w:rPr>
        <w:t xml:space="preserve">that out of </w:t>
      </w:r>
      <w:r w:rsidR="00C72819">
        <w:rPr>
          <w:rFonts w:ascii="Arial" w:hAnsi="Arial" w:cs="Arial"/>
          <w:sz w:val="20"/>
          <w:szCs w:val="20"/>
        </w:rPr>
        <w:t>491 households</w:t>
      </w:r>
      <w:r w:rsidR="00DD38CD">
        <w:rPr>
          <w:rFonts w:ascii="Arial" w:hAnsi="Arial" w:cs="Arial"/>
          <w:sz w:val="20"/>
          <w:szCs w:val="20"/>
        </w:rPr>
        <w:t xml:space="preserve">, </w:t>
      </w:r>
      <w:r w:rsidR="00D63FC2">
        <w:rPr>
          <w:rFonts w:ascii="Arial" w:hAnsi="Arial" w:cs="Arial"/>
          <w:sz w:val="20"/>
          <w:szCs w:val="20"/>
        </w:rPr>
        <w:t>nearly 37</w:t>
      </w:r>
      <w:r w:rsidR="00DD38CD">
        <w:rPr>
          <w:rFonts w:ascii="Arial" w:hAnsi="Arial" w:cs="Arial"/>
          <w:sz w:val="20"/>
          <w:szCs w:val="20"/>
        </w:rPr>
        <w:t xml:space="preserve"> percent have </w:t>
      </w:r>
      <w:r w:rsidR="00E52AFE">
        <w:rPr>
          <w:rFonts w:ascii="Arial" w:hAnsi="Arial" w:cs="Arial"/>
          <w:sz w:val="20"/>
          <w:szCs w:val="20"/>
        </w:rPr>
        <w:t xml:space="preserve">an </w:t>
      </w:r>
      <w:r w:rsidR="009C1AD3">
        <w:rPr>
          <w:rFonts w:ascii="Arial" w:hAnsi="Arial" w:cs="Arial"/>
          <w:sz w:val="20"/>
          <w:szCs w:val="20"/>
        </w:rPr>
        <w:t>ID Poor Card</w:t>
      </w:r>
      <w:r w:rsidR="00BF5CD2">
        <w:rPr>
          <w:rFonts w:ascii="Arial" w:hAnsi="Arial" w:cs="Arial"/>
          <w:sz w:val="20"/>
          <w:szCs w:val="20"/>
        </w:rPr>
        <w:t xml:space="preserve"> (</w:t>
      </w:r>
      <w:r w:rsidR="00864980">
        <w:rPr>
          <w:rFonts w:ascii="Arial" w:hAnsi="Arial" w:cs="Arial"/>
          <w:sz w:val="20"/>
          <w:szCs w:val="20"/>
        </w:rPr>
        <w:t>in</w:t>
      </w:r>
      <w:r w:rsidR="00DD38CD">
        <w:rPr>
          <w:rFonts w:ascii="Arial" w:hAnsi="Arial" w:cs="Arial"/>
          <w:sz w:val="20"/>
          <w:szCs w:val="20"/>
        </w:rPr>
        <w:t xml:space="preserve"> Battambang 120 out of 281, in </w:t>
      </w:r>
      <w:proofErr w:type="spellStart"/>
      <w:r w:rsidR="00DD38CD">
        <w:rPr>
          <w:rFonts w:ascii="Arial" w:hAnsi="Arial" w:cs="Arial"/>
          <w:sz w:val="20"/>
          <w:szCs w:val="20"/>
        </w:rPr>
        <w:t>Bantey</w:t>
      </w:r>
      <w:proofErr w:type="spellEnd"/>
      <w:r w:rsidR="00DD38CD">
        <w:rPr>
          <w:rFonts w:ascii="Arial" w:hAnsi="Arial" w:cs="Arial"/>
          <w:sz w:val="20"/>
          <w:szCs w:val="20"/>
        </w:rPr>
        <w:t xml:space="preserve"> Meanchey 34 out of 128, in Pailin 22 out of 71</w:t>
      </w:r>
      <w:r w:rsidR="00BF5CD2">
        <w:rPr>
          <w:rFonts w:ascii="Arial" w:hAnsi="Arial" w:cs="Arial"/>
          <w:sz w:val="20"/>
          <w:szCs w:val="20"/>
        </w:rPr>
        <w:t xml:space="preserve"> households)</w:t>
      </w:r>
      <w:r w:rsidR="00DD38CD">
        <w:rPr>
          <w:rFonts w:ascii="Arial" w:hAnsi="Arial" w:cs="Arial"/>
          <w:sz w:val="20"/>
          <w:szCs w:val="20"/>
        </w:rPr>
        <w:t>.</w:t>
      </w:r>
    </w:p>
    <w:p w14:paraId="40698D4F" w14:textId="77777777" w:rsidR="00D63FC2" w:rsidRPr="00480E55" w:rsidRDefault="00864980" w:rsidP="00D63FC2">
      <w:pPr>
        <w:pStyle w:val="MediumGrid21"/>
        <w:rPr>
          <w:rFonts w:ascii="Arial" w:hAnsi="Arial" w:cs="Arial"/>
          <w:b/>
          <w:bCs/>
          <w:sz w:val="20"/>
          <w:szCs w:val="20"/>
        </w:rPr>
      </w:pPr>
      <w:r>
        <w:rPr>
          <w:rFonts w:ascii="Arial" w:hAnsi="Arial" w:cs="Arial"/>
          <w:b/>
          <w:bCs/>
          <w:sz w:val="20"/>
          <w:szCs w:val="20"/>
        </w:rPr>
        <w:t>Table 3:</w:t>
      </w:r>
      <w:r w:rsidR="00480E55" w:rsidRPr="00480E55">
        <w:rPr>
          <w:rFonts w:ascii="Arial" w:hAnsi="Arial" w:cs="Arial"/>
          <w:b/>
          <w:bCs/>
          <w:sz w:val="20"/>
          <w:szCs w:val="20"/>
        </w:rPr>
        <w:t xml:space="preserve"> </w:t>
      </w:r>
      <w:r w:rsidR="00D63FC2" w:rsidRPr="00480E55">
        <w:rPr>
          <w:rFonts w:ascii="Arial" w:hAnsi="Arial" w:cs="Arial"/>
          <w:b/>
          <w:bCs/>
          <w:sz w:val="20"/>
          <w:szCs w:val="20"/>
        </w:rPr>
        <w:t>Households</w:t>
      </w:r>
      <w:r w:rsidR="00D9363E">
        <w:rPr>
          <w:rFonts w:ascii="Arial" w:hAnsi="Arial" w:cs="Arial"/>
          <w:b/>
          <w:bCs/>
          <w:sz w:val="20"/>
          <w:szCs w:val="20"/>
        </w:rPr>
        <w:t xml:space="preserve"> with</w:t>
      </w:r>
      <w:r w:rsidR="00D63FC2" w:rsidRPr="00480E55">
        <w:rPr>
          <w:rFonts w:ascii="Arial" w:hAnsi="Arial" w:cs="Arial"/>
          <w:b/>
          <w:bCs/>
          <w:sz w:val="20"/>
          <w:szCs w:val="20"/>
        </w:rPr>
        <w:t xml:space="preserve"> </w:t>
      </w:r>
      <w:r w:rsidR="00D9363E" w:rsidRPr="00480E55">
        <w:rPr>
          <w:rFonts w:ascii="Arial" w:hAnsi="Arial" w:cs="Arial"/>
          <w:b/>
          <w:bCs/>
          <w:sz w:val="20"/>
          <w:szCs w:val="20"/>
        </w:rPr>
        <w:t>ID Poor Card</w:t>
      </w:r>
    </w:p>
    <w:p w14:paraId="2C5EF860" w14:textId="77777777" w:rsidR="00D63FC2" w:rsidRPr="00D63FC2" w:rsidRDefault="00D63FC2" w:rsidP="00D63FC2">
      <w:pPr>
        <w:pStyle w:val="MediumGrid21"/>
        <w:rPr>
          <w:rFonts w:ascii="Arial" w:hAnsi="Arial" w:cs="Arial"/>
          <w:b/>
          <w:bCs/>
          <w:sz w:val="20"/>
          <w:szCs w:val="20"/>
        </w:rPr>
      </w:pPr>
    </w:p>
    <w:tbl>
      <w:tblPr>
        <w:tblStyle w:val="TableGrid"/>
        <w:tblW w:w="0" w:type="auto"/>
        <w:tblLook w:val="04A0" w:firstRow="1" w:lastRow="0" w:firstColumn="1" w:lastColumn="0" w:noHBand="0" w:noVBand="1"/>
      </w:tblPr>
      <w:tblGrid>
        <w:gridCol w:w="2230"/>
        <w:gridCol w:w="2112"/>
        <w:gridCol w:w="2094"/>
        <w:gridCol w:w="1518"/>
      </w:tblGrid>
      <w:tr w:rsidR="00D63FC2" w:rsidRPr="00D63FC2" w14:paraId="3B834AE8" w14:textId="77777777" w:rsidTr="00D63FC2">
        <w:tc>
          <w:tcPr>
            <w:tcW w:w="2230" w:type="dxa"/>
          </w:tcPr>
          <w:p w14:paraId="526B4B33" w14:textId="77777777" w:rsidR="00D63FC2" w:rsidRPr="00D63FC2" w:rsidRDefault="00D63FC2" w:rsidP="004F42B2">
            <w:pPr>
              <w:pStyle w:val="MediumGrid21"/>
              <w:rPr>
                <w:rFonts w:ascii="Arial" w:hAnsi="Arial" w:cs="Arial"/>
                <w:b/>
                <w:bCs/>
                <w:sz w:val="20"/>
                <w:szCs w:val="20"/>
              </w:rPr>
            </w:pPr>
            <w:r w:rsidRPr="00D63FC2">
              <w:rPr>
                <w:rFonts w:ascii="Arial" w:hAnsi="Arial" w:cs="Arial"/>
                <w:b/>
                <w:bCs/>
                <w:color w:val="000000"/>
                <w:sz w:val="20"/>
                <w:szCs w:val="20"/>
                <w:lang w:val="ru-RU"/>
              </w:rPr>
              <w:t>Province</w:t>
            </w:r>
          </w:p>
        </w:tc>
        <w:tc>
          <w:tcPr>
            <w:tcW w:w="2112" w:type="dxa"/>
          </w:tcPr>
          <w:p w14:paraId="7930B293" w14:textId="77777777" w:rsidR="00D63FC2" w:rsidRPr="00D63FC2" w:rsidRDefault="00D63FC2" w:rsidP="004F42B2">
            <w:pPr>
              <w:pStyle w:val="MediumGrid21"/>
              <w:jc w:val="center"/>
              <w:rPr>
                <w:rFonts w:ascii="Arial" w:hAnsi="Arial" w:cs="Arial"/>
                <w:b/>
                <w:bCs/>
                <w:sz w:val="20"/>
                <w:szCs w:val="20"/>
              </w:rPr>
            </w:pPr>
            <w:r w:rsidRPr="00D63FC2">
              <w:rPr>
                <w:rFonts w:ascii="Arial" w:hAnsi="Arial" w:cs="Arial"/>
                <w:b/>
                <w:bCs/>
                <w:color w:val="000000"/>
                <w:sz w:val="20"/>
                <w:szCs w:val="20"/>
              </w:rPr>
              <w:t>Yes, ID Poor Card (seen)</w:t>
            </w:r>
          </w:p>
        </w:tc>
        <w:tc>
          <w:tcPr>
            <w:tcW w:w="2094" w:type="dxa"/>
          </w:tcPr>
          <w:p w14:paraId="5C3FA371" w14:textId="77777777" w:rsidR="00D63FC2" w:rsidRPr="00D63FC2" w:rsidRDefault="00D63FC2" w:rsidP="004F42B2">
            <w:pPr>
              <w:pStyle w:val="MediumGrid21"/>
              <w:jc w:val="center"/>
              <w:rPr>
                <w:rFonts w:ascii="Arial" w:hAnsi="Arial" w:cs="Arial"/>
                <w:b/>
                <w:bCs/>
                <w:color w:val="000000"/>
                <w:sz w:val="20"/>
                <w:szCs w:val="20"/>
              </w:rPr>
            </w:pPr>
            <w:r w:rsidRPr="00D63FC2">
              <w:rPr>
                <w:rFonts w:ascii="Arial" w:hAnsi="Arial" w:cs="Arial"/>
                <w:b/>
                <w:bCs/>
                <w:color w:val="000000"/>
                <w:sz w:val="20"/>
                <w:szCs w:val="20"/>
              </w:rPr>
              <w:t xml:space="preserve">Yes, ID Poor Card </w:t>
            </w:r>
          </w:p>
          <w:p w14:paraId="106E1193" w14:textId="77777777" w:rsidR="00D63FC2" w:rsidRPr="00D63FC2" w:rsidRDefault="00D63FC2" w:rsidP="004F42B2">
            <w:pPr>
              <w:pStyle w:val="MediumGrid21"/>
              <w:jc w:val="center"/>
              <w:rPr>
                <w:rFonts w:ascii="Arial" w:hAnsi="Arial" w:cs="Arial"/>
                <w:b/>
                <w:bCs/>
                <w:sz w:val="20"/>
                <w:szCs w:val="20"/>
              </w:rPr>
            </w:pPr>
            <w:r w:rsidRPr="00D63FC2">
              <w:rPr>
                <w:rFonts w:ascii="Arial" w:hAnsi="Arial" w:cs="Arial"/>
                <w:b/>
                <w:bCs/>
                <w:color w:val="000000"/>
                <w:sz w:val="20"/>
                <w:szCs w:val="20"/>
              </w:rPr>
              <w:t>(not seen)</w:t>
            </w:r>
          </w:p>
        </w:tc>
        <w:tc>
          <w:tcPr>
            <w:tcW w:w="1518" w:type="dxa"/>
          </w:tcPr>
          <w:p w14:paraId="69A500FA" w14:textId="77777777" w:rsidR="00D82108" w:rsidRDefault="00D82108" w:rsidP="004F42B2">
            <w:pPr>
              <w:pStyle w:val="MediumGrid21"/>
              <w:jc w:val="center"/>
              <w:rPr>
                <w:rFonts w:ascii="Arial" w:hAnsi="Arial" w:cs="Arial"/>
                <w:b/>
                <w:bCs/>
                <w:color w:val="000000"/>
                <w:sz w:val="20"/>
                <w:szCs w:val="20"/>
              </w:rPr>
            </w:pPr>
            <w:r>
              <w:rPr>
                <w:rFonts w:ascii="Arial" w:hAnsi="Arial" w:cs="Arial"/>
                <w:b/>
                <w:bCs/>
                <w:color w:val="000000"/>
                <w:sz w:val="20"/>
                <w:szCs w:val="20"/>
                <w:lang w:val="ru-RU"/>
              </w:rPr>
              <w:t>N</w:t>
            </w:r>
            <w:r>
              <w:rPr>
                <w:rFonts w:ascii="Arial" w:hAnsi="Arial" w:cs="Arial"/>
                <w:b/>
                <w:bCs/>
                <w:color w:val="000000"/>
                <w:sz w:val="20"/>
                <w:szCs w:val="20"/>
              </w:rPr>
              <w:t xml:space="preserve">O </w:t>
            </w:r>
          </w:p>
          <w:p w14:paraId="7A236915" w14:textId="77777777" w:rsidR="00D63FC2" w:rsidRPr="00D82108" w:rsidRDefault="00D82108" w:rsidP="004F42B2">
            <w:pPr>
              <w:pStyle w:val="MediumGrid21"/>
              <w:jc w:val="center"/>
              <w:rPr>
                <w:rFonts w:ascii="Arial" w:hAnsi="Arial" w:cs="Arial"/>
                <w:b/>
                <w:bCs/>
                <w:color w:val="000000"/>
                <w:sz w:val="20"/>
                <w:szCs w:val="20"/>
              </w:rPr>
            </w:pPr>
            <w:r>
              <w:rPr>
                <w:rFonts w:ascii="Arial" w:hAnsi="Arial" w:cs="Arial"/>
                <w:b/>
                <w:bCs/>
                <w:color w:val="000000"/>
                <w:sz w:val="20"/>
                <w:szCs w:val="20"/>
              </w:rPr>
              <w:t>ID Poor Card</w:t>
            </w:r>
          </w:p>
        </w:tc>
      </w:tr>
      <w:tr w:rsidR="00D63FC2" w:rsidRPr="00D63FC2" w14:paraId="1B08EB1B" w14:textId="77777777" w:rsidTr="004F42B2">
        <w:tc>
          <w:tcPr>
            <w:tcW w:w="2230" w:type="dxa"/>
          </w:tcPr>
          <w:p w14:paraId="36DD7EEC" w14:textId="77777777" w:rsidR="00D63FC2" w:rsidRPr="00D63FC2" w:rsidRDefault="00D63FC2" w:rsidP="004F42B2">
            <w:pPr>
              <w:pStyle w:val="MediumGrid21"/>
              <w:rPr>
                <w:rFonts w:ascii="Arial" w:hAnsi="Arial" w:cs="Arial"/>
                <w:b/>
                <w:bCs/>
                <w:sz w:val="20"/>
                <w:szCs w:val="20"/>
              </w:rPr>
            </w:pPr>
            <w:r w:rsidRPr="00D63FC2">
              <w:rPr>
                <w:rFonts w:ascii="Arial" w:hAnsi="Arial" w:cs="Arial"/>
                <w:color w:val="000000"/>
                <w:sz w:val="20"/>
                <w:szCs w:val="20"/>
                <w:lang w:val="ru-RU"/>
              </w:rPr>
              <w:t>Battambang</w:t>
            </w:r>
          </w:p>
        </w:tc>
        <w:tc>
          <w:tcPr>
            <w:tcW w:w="2112" w:type="dxa"/>
            <w:shd w:val="clear" w:color="auto" w:fill="FFFFFF"/>
            <w:vAlign w:val="center"/>
          </w:tcPr>
          <w:p w14:paraId="6A5AF900"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16,8%</w:t>
            </w:r>
          </w:p>
        </w:tc>
        <w:tc>
          <w:tcPr>
            <w:tcW w:w="2094" w:type="dxa"/>
            <w:shd w:val="clear" w:color="auto" w:fill="FFFFFF"/>
            <w:vAlign w:val="center"/>
          </w:tcPr>
          <w:p w14:paraId="3F0F69F7"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25,8%</w:t>
            </w:r>
          </w:p>
        </w:tc>
        <w:tc>
          <w:tcPr>
            <w:tcW w:w="1518" w:type="dxa"/>
            <w:shd w:val="clear" w:color="auto" w:fill="FFFFFF"/>
            <w:vAlign w:val="center"/>
          </w:tcPr>
          <w:p w14:paraId="4D60F0F6"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57,4%</w:t>
            </w:r>
          </w:p>
        </w:tc>
      </w:tr>
      <w:tr w:rsidR="00D63FC2" w:rsidRPr="00D63FC2" w14:paraId="3E308435" w14:textId="77777777" w:rsidTr="004F42B2">
        <w:tc>
          <w:tcPr>
            <w:tcW w:w="2230" w:type="dxa"/>
          </w:tcPr>
          <w:p w14:paraId="40302733" w14:textId="77777777" w:rsidR="00D63FC2" w:rsidRPr="00D63FC2" w:rsidRDefault="00D63FC2" w:rsidP="004F42B2">
            <w:pPr>
              <w:pStyle w:val="MediumGrid21"/>
              <w:rPr>
                <w:rFonts w:ascii="Arial" w:hAnsi="Arial" w:cs="Arial"/>
                <w:b/>
                <w:bCs/>
                <w:sz w:val="20"/>
                <w:szCs w:val="20"/>
              </w:rPr>
            </w:pPr>
            <w:r w:rsidRPr="00D63FC2">
              <w:rPr>
                <w:rFonts w:ascii="Arial" w:hAnsi="Arial" w:cs="Arial"/>
                <w:color w:val="000000"/>
                <w:sz w:val="20"/>
                <w:szCs w:val="20"/>
                <w:lang w:val="ru-RU"/>
              </w:rPr>
              <w:t>Banteay Meanchey</w:t>
            </w:r>
          </w:p>
        </w:tc>
        <w:tc>
          <w:tcPr>
            <w:tcW w:w="2112" w:type="dxa"/>
            <w:shd w:val="clear" w:color="auto" w:fill="FFFFFF"/>
            <w:vAlign w:val="center"/>
          </w:tcPr>
          <w:p w14:paraId="125CB8CE"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6,2%</w:t>
            </w:r>
          </w:p>
        </w:tc>
        <w:tc>
          <w:tcPr>
            <w:tcW w:w="2094" w:type="dxa"/>
            <w:shd w:val="clear" w:color="auto" w:fill="FFFFFF"/>
            <w:vAlign w:val="center"/>
          </w:tcPr>
          <w:p w14:paraId="0A2A722F"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20,2%</w:t>
            </w:r>
          </w:p>
        </w:tc>
        <w:tc>
          <w:tcPr>
            <w:tcW w:w="1518" w:type="dxa"/>
            <w:shd w:val="clear" w:color="auto" w:fill="FFFFFF"/>
            <w:vAlign w:val="center"/>
          </w:tcPr>
          <w:p w14:paraId="196B2328"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73,6%</w:t>
            </w:r>
          </w:p>
        </w:tc>
      </w:tr>
      <w:tr w:rsidR="00D63FC2" w:rsidRPr="00D63FC2" w14:paraId="07A782E6" w14:textId="77777777" w:rsidTr="004F42B2">
        <w:tc>
          <w:tcPr>
            <w:tcW w:w="2230" w:type="dxa"/>
          </w:tcPr>
          <w:p w14:paraId="664CB473" w14:textId="77777777" w:rsidR="00D63FC2" w:rsidRPr="00D63FC2" w:rsidRDefault="00D63FC2" w:rsidP="004F42B2">
            <w:pPr>
              <w:pStyle w:val="MediumGrid21"/>
              <w:rPr>
                <w:rFonts w:ascii="Arial" w:hAnsi="Arial" w:cs="Arial"/>
                <w:b/>
                <w:bCs/>
                <w:sz w:val="20"/>
                <w:szCs w:val="20"/>
              </w:rPr>
            </w:pPr>
            <w:r w:rsidRPr="00D63FC2">
              <w:rPr>
                <w:rFonts w:ascii="Arial" w:hAnsi="Arial" w:cs="Arial"/>
                <w:color w:val="000000"/>
                <w:sz w:val="20"/>
                <w:szCs w:val="20"/>
                <w:lang w:val="ru-RU"/>
              </w:rPr>
              <w:t>Pailin</w:t>
            </w:r>
          </w:p>
        </w:tc>
        <w:tc>
          <w:tcPr>
            <w:tcW w:w="2112" w:type="dxa"/>
            <w:shd w:val="clear" w:color="auto" w:fill="FFFFFF"/>
            <w:vAlign w:val="center"/>
          </w:tcPr>
          <w:p w14:paraId="27B39FC2"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8,5%</w:t>
            </w:r>
          </w:p>
        </w:tc>
        <w:tc>
          <w:tcPr>
            <w:tcW w:w="2094" w:type="dxa"/>
            <w:shd w:val="clear" w:color="auto" w:fill="FFFFFF"/>
            <w:vAlign w:val="center"/>
          </w:tcPr>
          <w:p w14:paraId="3104923F"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22,5%</w:t>
            </w:r>
          </w:p>
        </w:tc>
        <w:tc>
          <w:tcPr>
            <w:tcW w:w="1518" w:type="dxa"/>
            <w:shd w:val="clear" w:color="auto" w:fill="FFFFFF"/>
            <w:vAlign w:val="center"/>
          </w:tcPr>
          <w:p w14:paraId="176B3A47" w14:textId="77777777" w:rsidR="00D63FC2" w:rsidRPr="00D63FC2" w:rsidRDefault="00D63FC2" w:rsidP="004F42B2">
            <w:pPr>
              <w:autoSpaceDE w:val="0"/>
              <w:autoSpaceDN w:val="0"/>
              <w:adjustRightInd w:val="0"/>
              <w:spacing w:line="320" w:lineRule="atLeast"/>
              <w:ind w:left="60" w:right="60"/>
              <w:jc w:val="right"/>
              <w:rPr>
                <w:rFonts w:ascii="Arial" w:hAnsi="Arial" w:cs="Arial"/>
                <w:color w:val="000000"/>
                <w:sz w:val="20"/>
                <w:szCs w:val="20"/>
                <w:lang w:val="ru-RU"/>
              </w:rPr>
            </w:pPr>
            <w:r w:rsidRPr="00D63FC2">
              <w:rPr>
                <w:rFonts w:ascii="Arial" w:hAnsi="Arial" w:cs="Arial"/>
                <w:color w:val="000000"/>
                <w:sz w:val="20"/>
                <w:szCs w:val="20"/>
                <w:lang w:val="ru-RU"/>
              </w:rPr>
              <w:t>69,0%</w:t>
            </w:r>
          </w:p>
        </w:tc>
      </w:tr>
      <w:tr w:rsidR="00D63FC2" w:rsidRPr="00D63FC2" w14:paraId="2F2A77E3" w14:textId="77777777" w:rsidTr="004F42B2">
        <w:tc>
          <w:tcPr>
            <w:tcW w:w="2230" w:type="dxa"/>
          </w:tcPr>
          <w:p w14:paraId="40556182" w14:textId="77777777" w:rsidR="00D63FC2" w:rsidRPr="00D63FC2" w:rsidRDefault="00D63FC2" w:rsidP="004F42B2">
            <w:pPr>
              <w:pStyle w:val="MediumGrid21"/>
              <w:rPr>
                <w:rFonts w:ascii="Arial" w:hAnsi="Arial" w:cs="Arial"/>
                <w:color w:val="000000"/>
                <w:sz w:val="20"/>
                <w:szCs w:val="20"/>
              </w:rPr>
            </w:pPr>
            <w:r w:rsidRPr="00D63FC2">
              <w:rPr>
                <w:rFonts w:ascii="Arial" w:hAnsi="Arial" w:cs="Arial"/>
                <w:color w:val="000000"/>
                <w:sz w:val="20"/>
                <w:szCs w:val="20"/>
              </w:rPr>
              <w:t>Total</w:t>
            </w:r>
          </w:p>
        </w:tc>
        <w:tc>
          <w:tcPr>
            <w:tcW w:w="2112" w:type="dxa"/>
            <w:shd w:val="clear" w:color="auto" w:fill="FFFFFF"/>
            <w:vAlign w:val="center"/>
          </w:tcPr>
          <w:p w14:paraId="268A9BA9" w14:textId="77777777" w:rsidR="00D63FC2" w:rsidRPr="00D63FC2" w:rsidRDefault="00D63FC2" w:rsidP="004F42B2">
            <w:pPr>
              <w:autoSpaceDE w:val="0"/>
              <w:autoSpaceDN w:val="0"/>
              <w:adjustRightInd w:val="0"/>
              <w:spacing w:line="320" w:lineRule="atLeast"/>
              <w:ind w:left="60" w:right="60"/>
              <w:jc w:val="right"/>
              <w:rPr>
                <w:rFonts w:ascii="Arial" w:hAnsi="Arial" w:cs="Arial"/>
                <w:b/>
                <w:color w:val="000000"/>
                <w:sz w:val="20"/>
                <w:szCs w:val="20"/>
                <w:lang w:val="ru-RU"/>
              </w:rPr>
            </w:pPr>
            <w:r w:rsidRPr="00D63FC2">
              <w:rPr>
                <w:rFonts w:ascii="Arial" w:hAnsi="Arial" w:cs="Arial"/>
                <w:b/>
                <w:color w:val="000000"/>
                <w:sz w:val="20"/>
                <w:szCs w:val="20"/>
                <w:lang w:val="ru-RU"/>
              </w:rPr>
              <w:t>12,8%</w:t>
            </w:r>
          </w:p>
        </w:tc>
        <w:tc>
          <w:tcPr>
            <w:tcW w:w="2094" w:type="dxa"/>
            <w:shd w:val="clear" w:color="auto" w:fill="FFFFFF"/>
            <w:vAlign w:val="center"/>
          </w:tcPr>
          <w:p w14:paraId="2E82574C" w14:textId="77777777" w:rsidR="00D63FC2" w:rsidRPr="00D63FC2" w:rsidRDefault="00D63FC2" w:rsidP="004F42B2">
            <w:pPr>
              <w:autoSpaceDE w:val="0"/>
              <w:autoSpaceDN w:val="0"/>
              <w:adjustRightInd w:val="0"/>
              <w:spacing w:line="320" w:lineRule="atLeast"/>
              <w:ind w:left="60" w:right="60"/>
              <w:jc w:val="right"/>
              <w:rPr>
                <w:rFonts w:ascii="Arial" w:hAnsi="Arial" w:cs="Arial"/>
                <w:b/>
                <w:color w:val="000000"/>
                <w:sz w:val="20"/>
                <w:szCs w:val="20"/>
                <w:lang w:val="ru-RU"/>
              </w:rPr>
            </w:pPr>
            <w:r w:rsidRPr="00D63FC2">
              <w:rPr>
                <w:rFonts w:ascii="Arial" w:hAnsi="Arial" w:cs="Arial"/>
                <w:b/>
                <w:color w:val="000000"/>
                <w:sz w:val="20"/>
                <w:szCs w:val="20"/>
                <w:lang w:val="ru-RU"/>
              </w:rPr>
              <w:t>23,8%</w:t>
            </w:r>
          </w:p>
        </w:tc>
        <w:tc>
          <w:tcPr>
            <w:tcW w:w="1518" w:type="dxa"/>
            <w:shd w:val="clear" w:color="auto" w:fill="FFFFFF"/>
            <w:vAlign w:val="center"/>
          </w:tcPr>
          <w:p w14:paraId="595BBB3A" w14:textId="77777777" w:rsidR="00D63FC2" w:rsidRPr="00D63FC2" w:rsidRDefault="00D63FC2" w:rsidP="004F42B2">
            <w:pPr>
              <w:autoSpaceDE w:val="0"/>
              <w:autoSpaceDN w:val="0"/>
              <w:adjustRightInd w:val="0"/>
              <w:spacing w:line="320" w:lineRule="atLeast"/>
              <w:ind w:left="60" w:right="60"/>
              <w:jc w:val="right"/>
              <w:rPr>
                <w:rFonts w:ascii="Arial" w:hAnsi="Arial" w:cs="Arial"/>
                <w:b/>
                <w:color w:val="000000"/>
                <w:sz w:val="20"/>
                <w:szCs w:val="20"/>
                <w:lang w:val="ru-RU"/>
              </w:rPr>
            </w:pPr>
            <w:r w:rsidRPr="00D63FC2">
              <w:rPr>
                <w:rFonts w:ascii="Arial" w:hAnsi="Arial" w:cs="Arial"/>
                <w:b/>
                <w:color w:val="000000"/>
                <w:sz w:val="20"/>
                <w:szCs w:val="20"/>
                <w:lang w:val="ru-RU"/>
              </w:rPr>
              <w:t>63,3%</w:t>
            </w:r>
          </w:p>
        </w:tc>
      </w:tr>
    </w:tbl>
    <w:p w14:paraId="0B4614D0" w14:textId="77777777" w:rsidR="009C1AD3" w:rsidRDefault="009C1AD3" w:rsidP="00D63FC2">
      <w:pPr>
        <w:pStyle w:val="MediumGrid21"/>
        <w:rPr>
          <w:rFonts w:ascii="Arial" w:hAnsi="Arial" w:cs="Arial"/>
          <w:b/>
          <w:bCs/>
          <w:sz w:val="20"/>
          <w:szCs w:val="20"/>
        </w:rPr>
      </w:pPr>
    </w:p>
    <w:p w14:paraId="1A991EC5" w14:textId="77777777" w:rsidR="00F13B1D" w:rsidRDefault="00F13B1D" w:rsidP="00F13B1D">
      <w:pPr>
        <w:pStyle w:val="MediumGrid21"/>
        <w:rPr>
          <w:rFonts w:ascii="Arial" w:hAnsi="Arial" w:cs="Arial"/>
          <w:color w:val="5B9BD5" w:themeColor="accent1"/>
          <w:sz w:val="20"/>
          <w:szCs w:val="20"/>
        </w:rPr>
      </w:pPr>
    </w:p>
    <w:p w14:paraId="7D3C5BB9" w14:textId="79308828" w:rsidR="00CC50DA" w:rsidRDefault="00CC50DA" w:rsidP="00CC50DA">
      <w:pPr>
        <w:widowControl w:val="0"/>
        <w:autoSpaceDE w:val="0"/>
        <w:autoSpaceDN w:val="0"/>
        <w:adjustRightInd w:val="0"/>
        <w:spacing w:after="0" w:line="240" w:lineRule="auto"/>
        <w:jc w:val="both"/>
        <w:rPr>
          <w:rFonts w:eastAsiaTheme="minorEastAsia" w:cs="Times"/>
        </w:rPr>
      </w:pPr>
      <w:r>
        <w:rPr>
          <w:rFonts w:eastAsiaTheme="minorEastAsia" w:cs="Times"/>
        </w:rPr>
        <w:t xml:space="preserve">The </w:t>
      </w:r>
      <w:proofErr w:type="spellStart"/>
      <w:r>
        <w:rPr>
          <w:rFonts w:eastAsiaTheme="minorEastAsia" w:cs="Times"/>
        </w:rPr>
        <w:t>CfR</w:t>
      </w:r>
      <w:proofErr w:type="spellEnd"/>
      <w:r>
        <w:rPr>
          <w:rFonts w:eastAsiaTheme="minorEastAsia" w:cs="Times"/>
        </w:rPr>
        <w:t xml:space="preserve">  Mid-Term Review’s (MTRs) assertion that the project was relevant because it gave beneficiaries </w:t>
      </w:r>
      <w:r>
        <w:rPr>
          <w:rFonts w:eastAsiaTheme="minorEastAsia" w:cs="Times"/>
        </w:rPr>
        <w:lastRenderedPageBreak/>
        <w:t xml:space="preserve">the ability to make use of previously unused or partially used land is not quite as straightforward as suggested (in part due to the numbers using suspect land as mentioned above), but the Final Evaluation and this Household Impact Study confirm that clearance </w:t>
      </w:r>
      <w:r w:rsidRPr="00752735">
        <w:rPr>
          <w:rFonts w:eastAsiaTheme="minorEastAsia" w:cs="Times"/>
          <w:i/>
        </w:rPr>
        <w:t>‘was vital in raising the family income’</w:t>
      </w:r>
      <w:r>
        <w:rPr>
          <w:rFonts w:eastAsiaTheme="minorEastAsia" w:cs="Times"/>
        </w:rPr>
        <w:t xml:space="preserve">, although not in most cases above subsistence as asserted by the MTR, bearing in mind that roughly only one third of the beneficiaries identified by the Household study were ID poor, and the vast majority were using some or all of the land cleared under </w:t>
      </w:r>
      <w:proofErr w:type="spellStart"/>
      <w:r>
        <w:rPr>
          <w:rFonts w:eastAsiaTheme="minorEastAsia" w:cs="Times"/>
        </w:rPr>
        <w:t>CfR</w:t>
      </w:r>
      <w:proofErr w:type="spellEnd"/>
      <w:r>
        <w:rPr>
          <w:rFonts w:eastAsiaTheme="minorEastAsia" w:cs="Times"/>
        </w:rPr>
        <w:t xml:space="preserve"> II, again a function of the informal private sector, and self-help village demining. </w:t>
      </w:r>
    </w:p>
    <w:p w14:paraId="0F97C484" w14:textId="77777777" w:rsidR="00CC50DA" w:rsidRDefault="00CC50DA" w:rsidP="00CC50DA">
      <w:pPr>
        <w:widowControl w:val="0"/>
        <w:autoSpaceDE w:val="0"/>
        <w:autoSpaceDN w:val="0"/>
        <w:adjustRightInd w:val="0"/>
        <w:spacing w:after="0" w:line="240" w:lineRule="auto"/>
        <w:jc w:val="both"/>
        <w:rPr>
          <w:rFonts w:eastAsiaTheme="minorEastAsia" w:cs="Times"/>
        </w:rPr>
      </w:pPr>
    </w:p>
    <w:p w14:paraId="4C5ABC9E" w14:textId="77777777" w:rsidR="00CC50DA" w:rsidRPr="00E93985" w:rsidRDefault="00CC50DA" w:rsidP="00CC50DA">
      <w:pPr>
        <w:widowControl w:val="0"/>
        <w:autoSpaceDE w:val="0"/>
        <w:autoSpaceDN w:val="0"/>
        <w:adjustRightInd w:val="0"/>
        <w:spacing w:after="0" w:line="240" w:lineRule="auto"/>
        <w:jc w:val="both"/>
        <w:rPr>
          <w:rFonts w:eastAsiaTheme="minorEastAsia" w:cs="Times"/>
        </w:rPr>
      </w:pPr>
      <w:r>
        <w:rPr>
          <w:rFonts w:eastAsiaTheme="minorEastAsia" w:cs="Times"/>
          <w:b/>
        </w:rPr>
        <w:t>T</w:t>
      </w:r>
      <w:r w:rsidRPr="00E93985">
        <w:rPr>
          <w:rFonts w:eastAsiaTheme="minorEastAsia" w:cs="Times"/>
          <w:b/>
        </w:rPr>
        <w:t>he relevance of focusing a land release mine action project on the poor, on attempting to make it ‘pro-poor’ is questionable since the evidence revealed by both this evaluation and the UNDP household study is that almost by definition the real ‘poor’ are landless, or have only very small subsistence plots, and with only one possible exception</w:t>
      </w:r>
      <w:r w:rsidRPr="00E93985">
        <w:rPr>
          <w:rStyle w:val="FootnoteReference"/>
          <w:rFonts w:eastAsiaTheme="minorEastAsia" w:cs="Times"/>
          <w:b/>
        </w:rPr>
        <w:footnoteReference w:id="1"/>
      </w:r>
      <w:r w:rsidRPr="00E93985">
        <w:rPr>
          <w:rFonts w:eastAsiaTheme="minorEastAsia" w:cs="Times"/>
          <w:b/>
        </w:rPr>
        <w:t xml:space="preserve"> at no time did any evidence occur to suggest that land release was ‘for the poor’</w:t>
      </w:r>
      <w:r>
        <w:rPr>
          <w:rStyle w:val="FootnoteReference"/>
          <w:rFonts w:eastAsiaTheme="minorEastAsia" w:cs="Times"/>
          <w:b/>
        </w:rPr>
        <w:footnoteReference w:id="2"/>
      </w:r>
      <w:r w:rsidRPr="00E93985">
        <w:rPr>
          <w:rFonts w:eastAsiaTheme="minorEastAsia" w:cs="Times"/>
          <w:b/>
        </w:rPr>
        <w:t>.</w:t>
      </w:r>
      <w:r>
        <w:rPr>
          <w:rFonts w:eastAsiaTheme="minorEastAsia" w:cs="Times"/>
          <w:b/>
        </w:rPr>
        <w:t xml:space="preserve"> </w:t>
      </w:r>
      <w:r>
        <w:rPr>
          <w:rFonts w:eastAsiaTheme="minorEastAsia" w:cs="Times"/>
        </w:rPr>
        <w:t>In fact to the contrary, most beneficiaries were seen to be either ‘middle class’ or ‘rich’, findings that have also been observed by other recent donor evaluations</w:t>
      </w:r>
      <w:r>
        <w:rPr>
          <w:rStyle w:val="FootnoteReference"/>
          <w:rFonts w:eastAsiaTheme="minorEastAsia" w:cs="Times"/>
        </w:rPr>
        <w:footnoteReference w:id="3"/>
      </w:r>
      <w:r>
        <w:rPr>
          <w:rFonts w:eastAsiaTheme="minorEastAsia" w:cs="Times"/>
        </w:rPr>
        <w:t xml:space="preserve">. This does not make </w:t>
      </w:r>
      <w:proofErr w:type="spellStart"/>
      <w:r>
        <w:rPr>
          <w:rFonts w:eastAsiaTheme="minorEastAsia" w:cs="Times"/>
        </w:rPr>
        <w:t>CfR</w:t>
      </w:r>
      <w:proofErr w:type="spellEnd"/>
      <w:r>
        <w:rPr>
          <w:rFonts w:eastAsiaTheme="minorEastAsia" w:cs="Times"/>
        </w:rPr>
        <w:t xml:space="preserve"> II any less relevant, but rather suggests </w:t>
      </w:r>
      <w:r w:rsidRPr="008A4FED">
        <w:rPr>
          <w:rFonts w:eastAsiaTheme="minorEastAsia" w:cs="Times"/>
          <w:b/>
        </w:rPr>
        <w:t>the conceptual assumptions underpinning the project’s central output is unrealistic, and not relevant given the actual conditions existing in mine-affected villages.</w:t>
      </w:r>
      <w:r>
        <w:rPr>
          <w:rFonts w:eastAsiaTheme="minorEastAsia" w:cs="Times"/>
        </w:rPr>
        <w:t xml:space="preserve"> </w:t>
      </w:r>
      <w:proofErr w:type="spellStart"/>
      <w:r>
        <w:rPr>
          <w:rFonts w:eastAsiaTheme="minorEastAsia" w:cs="Times"/>
        </w:rPr>
        <w:t>CfR</w:t>
      </w:r>
      <w:proofErr w:type="spellEnd"/>
      <w:r>
        <w:rPr>
          <w:rFonts w:eastAsiaTheme="minorEastAsia" w:cs="Times"/>
        </w:rPr>
        <w:t xml:space="preserve"> II, and no mine action in Cambodia, exists as a form of land / income re-distribution to the poor (who would likely either not to use sell their land anyway once cleared as they lack the capital to exploit it in an economically efficient way</w:t>
      </w:r>
      <w:r>
        <w:rPr>
          <w:rStyle w:val="FootnoteReference"/>
          <w:rFonts w:eastAsiaTheme="minorEastAsia" w:cs="Times"/>
        </w:rPr>
        <w:footnoteReference w:id="4"/>
      </w:r>
      <w:r>
        <w:rPr>
          <w:rFonts w:eastAsiaTheme="minorEastAsia" w:cs="Times"/>
        </w:rPr>
        <w:t xml:space="preserve">), and high levels of retention of land by </w:t>
      </w:r>
      <w:proofErr w:type="spellStart"/>
      <w:r>
        <w:rPr>
          <w:rFonts w:eastAsiaTheme="minorEastAsia" w:cs="Times"/>
        </w:rPr>
        <w:t>CfR</w:t>
      </w:r>
      <w:proofErr w:type="spellEnd"/>
      <w:r>
        <w:rPr>
          <w:rFonts w:eastAsiaTheme="minorEastAsia" w:cs="Times"/>
        </w:rPr>
        <w:t xml:space="preserve"> II beneficiaries shows they have the capital to benefit from </w:t>
      </w:r>
      <w:proofErr w:type="gramStart"/>
      <w:r>
        <w:rPr>
          <w:rFonts w:eastAsiaTheme="minorEastAsia" w:cs="Times"/>
        </w:rPr>
        <w:t>clearance .</w:t>
      </w:r>
      <w:proofErr w:type="gramEnd"/>
      <w:r>
        <w:rPr>
          <w:rFonts w:eastAsiaTheme="minorEastAsia" w:cs="Times"/>
        </w:rPr>
        <w:t xml:space="preserve"> This would require some form of agreed land distribution mechanism, which with the exception of the SLC procedure</w:t>
      </w:r>
      <w:r>
        <w:rPr>
          <w:rStyle w:val="FootnoteReference"/>
          <w:rFonts w:eastAsiaTheme="minorEastAsia" w:cs="Times"/>
        </w:rPr>
        <w:footnoteReference w:id="5"/>
      </w:r>
      <w:r>
        <w:rPr>
          <w:rFonts w:eastAsiaTheme="minorEastAsia" w:cs="Times"/>
        </w:rPr>
        <w:t>, that is rarely enacted</w:t>
      </w:r>
      <w:r>
        <w:rPr>
          <w:rStyle w:val="FootnoteReference"/>
          <w:rFonts w:eastAsiaTheme="minorEastAsia" w:cs="Times"/>
        </w:rPr>
        <w:footnoteReference w:id="6"/>
      </w:r>
      <w:r>
        <w:rPr>
          <w:rFonts w:eastAsiaTheme="minorEastAsia" w:cs="Times"/>
        </w:rPr>
        <w:t xml:space="preserve">. This also implies that there is free land, not being used because of its contaminated state. </w:t>
      </w:r>
      <w:r w:rsidRPr="008A4FED">
        <w:rPr>
          <w:rFonts w:eastAsiaTheme="minorEastAsia" w:cs="Times"/>
          <w:b/>
        </w:rPr>
        <w:lastRenderedPageBreak/>
        <w:t>Neither of these conditions exist in reality, and as has been seen the need to claim, clear and cultivate land to gain title is a motive for risk-taking informal clearance at village level.</w:t>
      </w:r>
      <w:r>
        <w:rPr>
          <w:rFonts w:eastAsiaTheme="minorEastAsia" w:cs="Times"/>
        </w:rPr>
        <w:t xml:space="preserve"> Furthermore, as discussed below in the effectiveness section, the bottom-up prioritization and planning, especially the task selection processes within the commune and village, are driven more by technical considerations</w:t>
      </w:r>
      <w:r>
        <w:rPr>
          <w:rStyle w:val="FootnoteReference"/>
          <w:rFonts w:eastAsiaTheme="minorEastAsia" w:cs="Times"/>
        </w:rPr>
        <w:footnoteReference w:id="7"/>
      </w:r>
      <w:r>
        <w:rPr>
          <w:rFonts w:eastAsiaTheme="minorEastAsia" w:cs="Times"/>
        </w:rPr>
        <w:t xml:space="preserve"> than any reference to social situation of the beneficiaries</w:t>
      </w:r>
    </w:p>
    <w:p w14:paraId="7F3E2FAC" w14:textId="77777777" w:rsidR="00F13B1D" w:rsidRDefault="00F13B1D" w:rsidP="00F13B1D">
      <w:pPr>
        <w:pStyle w:val="MediumGrid21"/>
        <w:rPr>
          <w:rFonts w:ascii="Arial" w:hAnsi="Arial" w:cs="Arial"/>
          <w:color w:val="5B9BD5" w:themeColor="accent1"/>
          <w:sz w:val="20"/>
          <w:szCs w:val="20"/>
        </w:rPr>
      </w:pPr>
    </w:p>
    <w:p w14:paraId="0FB7DDF6" w14:textId="77777777" w:rsidR="00B014D2" w:rsidRDefault="00F13B1D" w:rsidP="00F13B1D">
      <w:pPr>
        <w:pStyle w:val="MediumGrid21"/>
        <w:rPr>
          <w:rFonts w:ascii="Arial" w:hAnsi="Arial" w:cs="Arial"/>
          <w:color w:val="5B9BD5" w:themeColor="accent1"/>
          <w:sz w:val="20"/>
          <w:szCs w:val="20"/>
        </w:rPr>
      </w:pPr>
      <w:r>
        <w:rPr>
          <w:rFonts w:ascii="Arial" w:hAnsi="Arial" w:cs="Arial"/>
          <w:color w:val="5B9BD5" w:themeColor="accent1"/>
          <w:sz w:val="20"/>
          <w:szCs w:val="20"/>
        </w:rPr>
        <w:t xml:space="preserve">ONWERSHIP OF </w:t>
      </w:r>
      <w:r w:rsidR="00A53A72">
        <w:rPr>
          <w:rFonts w:ascii="Arial" w:hAnsi="Arial" w:cs="Arial"/>
          <w:color w:val="5B9BD5" w:themeColor="accent1"/>
          <w:sz w:val="20"/>
          <w:szCs w:val="20"/>
        </w:rPr>
        <w:t>RELEASED</w:t>
      </w:r>
      <w:r>
        <w:rPr>
          <w:rFonts w:ascii="Arial" w:hAnsi="Arial" w:cs="Arial"/>
          <w:color w:val="5B9BD5" w:themeColor="accent1"/>
          <w:sz w:val="20"/>
          <w:szCs w:val="20"/>
        </w:rPr>
        <w:t xml:space="preserve"> LAND</w:t>
      </w:r>
    </w:p>
    <w:p w14:paraId="1BCADF3E" w14:textId="77777777" w:rsidR="00F13B1D" w:rsidRPr="00F13B1D" w:rsidRDefault="00F13B1D" w:rsidP="00F13B1D">
      <w:pPr>
        <w:pStyle w:val="MediumGrid21"/>
        <w:rPr>
          <w:rFonts w:ascii="Arial" w:hAnsi="Arial" w:cs="Arial"/>
          <w:b/>
          <w:bCs/>
          <w:sz w:val="20"/>
          <w:szCs w:val="20"/>
        </w:rPr>
      </w:pPr>
    </w:p>
    <w:p w14:paraId="50E2FBD4" w14:textId="77777777" w:rsidR="00480E55" w:rsidRPr="00CD4CE0" w:rsidRDefault="00864980" w:rsidP="00142D14">
      <w:pPr>
        <w:jc w:val="both"/>
        <w:rPr>
          <w:rFonts w:ascii="Arial" w:hAnsi="Arial" w:cs="Arial"/>
          <w:sz w:val="20"/>
          <w:szCs w:val="20"/>
        </w:rPr>
      </w:pPr>
      <w:r>
        <w:rPr>
          <w:rFonts w:ascii="Arial" w:hAnsi="Arial" w:cs="Arial"/>
          <w:sz w:val="20"/>
          <w:szCs w:val="20"/>
        </w:rPr>
        <w:t>Figure 1</w:t>
      </w:r>
      <w:r w:rsidR="009C1AD3">
        <w:rPr>
          <w:rFonts w:ascii="Arial" w:hAnsi="Arial" w:cs="Arial"/>
          <w:sz w:val="20"/>
          <w:szCs w:val="20"/>
        </w:rPr>
        <w:t xml:space="preserve"> shows that o</w:t>
      </w:r>
      <w:r w:rsidR="00B32086" w:rsidRPr="00CD4CE0">
        <w:rPr>
          <w:rFonts w:ascii="Arial" w:hAnsi="Arial" w:cs="Arial"/>
          <w:sz w:val="20"/>
          <w:szCs w:val="20"/>
        </w:rPr>
        <w:t>ut of 491 interviewed households, nearly 98 perce</w:t>
      </w:r>
      <w:r>
        <w:rPr>
          <w:rFonts w:ascii="Arial" w:hAnsi="Arial" w:cs="Arial"/>
          <w:sz w:val="20"/>
          <w:szCs w:val="20"/>
        </w:rPr>
        <w:t>nt</w:t>
      </w:r>
      <w:r w:rsidR="00B32086" w:rsidRPr="00CD4CE0">
        <w:rPr>
          <w:rFonts w:ascii="Arial" w:hAnsi="Arial" w:cs="Arial"/>
          <w:sz w:val="20"/>
          <w:szCs w:val="20"/>
        </w:rPr>
        <w:t xml:space="preserve"> owned released land. </w:t>
      </w:r>
      <w:r w:rsidR="00CD4CE0" w:rsidRPr="00CD4CE0">
        <w:rPr>
          <w:rFonts w:ascii="Arial" w:hAnsi="Arial" w:cs="Arial"/>
          <w:sz w:val="20"/>
          <w:szCs w:val="20"/>
        </w:rPr>
        <w:t>For households</w:t>
      </w:r>
      <w:r w:rsidR="00CD4CE0">
        <w:rPr>
          <w:rFonts w:ascii="Arial" w:hAnsi="Arial" w:cs="Arial"/>
          <w:sz w:val="20"/>
          <w:szCs w:val="20"/>
        </w:rPr>
        <w:t xml:space="preserve"> (nearly 2 percent) </w:t>
      </w:r>
      <w:r w:rsidR="00CD4CE0" w:rsidRPr="00CD4CE0">
        <w:rPr>
          <w:rFonts w:ascii="Arial" w:hAnsi="Arial" w:cs="Arial"/>
          <w:sz w:val="20"/>
          <w:szCs w:val="20"/>
        </w:rPr>
        <w:t>who</w:t>
      </w:r>
      <w:r w:rsidR="00CD4CE0">
        <w:rPr>
          <w:rFonts w:ascii="Arial" w:hAnsi="Arial" w:cs="Arial"/>
          <w:sz w:val="20"/>
          <w:szCs w:val="20"/>
        </w:rPr>
        <w:t xml:space="preserve"> did not </w:t>
      </w:r>
      <w:r w:rsidR="00B014D2">
        <w:rPr>
          <w:rFonts w:ascii="Arial" w:hAnsi="Arial" w:cs="Arial"/>
          <w:sz w:val="20"/>
          <w:szCs w:val="20"/>
        </w:rPr>
        <w:t>own released</w:t>
      </w:r>
      <w:r w:rsidR="00CD4CE0">
        <w:rPr>
          <w:rFonts w:ascii="Arial" w:hAnsi="Arial" w:cs="Arial"/>
          <w:sz w:val="20"/>
          <w:szCs w:val="20"/>
        </w:rPr>
        <w:t xml:space="preserve"> </w:t>
      </w:r>
      <w:r w:rsidR="00CD4CE0" w:rsidRPr="00CD4CE0">
        <w:rPr>
          <w:rFonts w:ascii="Arial" w:hAnsi="Arial" w:cs="Arial"/>
          <w:sz w:val="20"/>
          <w:szCs w:val="20"/>
        </w:rPr>
        <w:t>land the reason</w:t>
      </w:r>
      <w:r w:rsidR="0063252C">
        <w:rPr>
          <w:rFonts w:ascii="Arial" w:hAnsi="Arial" w:cs="Arial"/>
          <w:sz w:val="20"/>
          <w:szCs w:val="20"/>
        </w:rPr>
        <w:t xml:space="preserve"> was reported as selling out </w:t>
      </w:r>
      <w:r w:rsidR="00CD4CE0" w:rsidRPr="00CD4CE0">
        <w:rPr>
          <w:rFonts w:ascii="Arial" w:hAnsi="Arial" w:cs="Arial"/>
          <w:sz w:val="20"/>
          <w:szCs w:val="20"/>
        </w:rPr>
        <w:t>land to repay loan.</w:t>
      </w:r>
    </w:p>
    <w:p w14:paraId="2EE3D799" w14:textId="77777777" w:rsidR="007B0F67" w:rsidRDefault="00864980" w:rsidP="009C1AD3">
      <w:pPr>
        <w:rPr>
          <w:rFonts w:ascii="Arial" w:hAnsi="Arial" w:cs="Arial"/>
          <w:b/>
          <w:sz w:val="20"/>
          <w:szCs w:val="20"/>
        </w:rPr>
      </w:pPr>
      <w:r>
        <w:rPr>
          <w:rFonts w:ascii="Arial" w:hAnsi="Arial" w:cs="Arial"/>
          <w:b/>
          <w:sz w:val="20"/>
          <w:szCs w:val="20"/>
        </w:rPr>
        <w:t xml:space="preserve">Figure 1: </w:t>
      </w:r>
      <w:r w:rsidR="009C1AD3">
        <w:rPr>
          <w:rFonts w:ascii="Arial" w:hAnsi="Arial" w:cs="Arial"/>
          <w:b/>
          <w:sz w:val="20"/>
          <w:szCs w:val="20"/>
        </w:rPr>
        <w:t xml:space="preserve"> </w:t>
      </w:r>
      <w:r w:rsidR="009C1AD3" w:rsidRPr="008317AB">
        <w:rPr>
          <w:rFonts w:ascii="Arial" w:hAnsi="Arial" w:cs="Arial"/>
          <w:b/>
          <w:sz w:val="20"/>
          <w:szCs w:val="20"/>
        </w:rPr>
        <w:t>Do you still own cleared land</w:t>
      </w:r>
      <w:r w:rsidR="009C1AD3">
        <w:rPr>
          <w:rFonts w:ascii="Arial" w:hAnsi="Arial" w:cs="Arial"/>
          <w:b/>
          <w:sz w:val="20"/>
          <w:szCs w:val="20"/>
        </w:rPr>
        <w:t>?</w:t>
      </w:r>
    </w:p>
    <w:p w14:paraId="75D2CB6A" w14:textId="77777777" w:rsidR="007B0F67" w:rsidRDefault="007B0F67" w:rsidP="007B0F67">
      <w:r>
        <w:rPr>
          <w:noProof/>
          <w:lang w:val="en-GB" w:eastAsia="en-GB" w:bidi="ar-SA"/>
        </w:rPr>
        <w:drawing>
          <wp:inline distT="0" distB="0" distL="0" distR="0" wp14:anchorId="6E63795D" wp14:editId="7933CCB5">
            <wp:extent cx="3475990" cy="1535502"/>
            <wp:effectExtent l="0" t="0" r="1016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D2A29C" w14:textId="77777777" w:rsidR="009C1AD3" w:rsidRDefault="009C1AD3" w:rsidP="00142D14">
      <w:pPr>
        <w:jc w:val="both"/>
        <w:rPr>
          <w:rFonts w:ascii="Arial" w:hAnsi="Arial" w:cs="Arial"/>
          <w:color w:val="5B9BD5" w:themeColor="accent1"/>
          <w:sz w:val="20"/>
          <w:szCs w:val="20"/>
        </w:rPr>
      </w:pPr>
    </w:p>
    <w:p w14:paraId="55B51350" w14:textId="77777777" w:rsidR="005C6D23" w:rsidRPr="00F13B1D" w:rsidRDefault="005C6D23" w:rsidP="005C6D23">
      <w:pPr>
        <w:rPr>
          <w:bCs/>
          <w:color w:val="5B9BD5" w:themeColor="accent1"/>
        </w:rPr>
      </w:pPr>
      <w:r w:rsidRPr="00F13B1D">
        <w:rPr>
          <w:bCs/>
          <w:color w:val="5B9BD5" w:themeColor="accent1"/>
        </w:rPr>
        <w:t xml:space="preserve">BENEFITS OF MINE CLEARANCE FOR HOUSHEOLDS AND COMMUNITY </w:t>
      </w:r>
    </w:p>
    <w:p w14:paraId="1EB2B955" w14:textId="77777777" w:rsidR="005C6D23" w:rsidRDefault="005C6D23" w:rsidP="005C6D23">
      <w:pPr>
        <w:jc w:val="both"/>
        <w:rPr>
          <w:rFonts w:ascii="Arial" w:hAnsi="Arial" w:cs="Arial"/>
          <w:bCs/>
          <w:sz w:val="20"/>
          <w:szCs w:val="20"/>
        </w:rPr>
      </w:pPr>
      <w:r w:rsidRPr="008153F9">
        <w:rPr>
          <w:rFonts w:ascii="Arial" w:hAnsi="Arial" w:cs="Arial"/>
          <w:bCs/>
          <w:sz w:val="20"/>
          <w:szCs w:val="20"/>
        </w:rPr>
        <w:t>The major effect of mine clearanc</w:t>
      </w:r>
      <w:r w:rsidR="0063252C">
        <w:rPr>
          <w:rFonts w:ascii="Arial" w:hAnsi="Arial" w:cs="Arial"/>
          <w:bCs/>
          <w:sz w:val="20"/>
          <w:szCs w:val="20"/>
        </w:rPr>
        <w:t>e at the household level has been reported</w:t>
      </w:r>
      <w:r w:rsidRPr="008153F9">
        <w:rPr>
          <w:rFonts w:ascii="Arial" w:hAnsi="Arial" w:cs="Arial"/>
          <w:bCs/>
          <w:sz w:val="20"/>
          <w:szCs w:val="20"/>
        </w:rPr>
        <w:t xml:space="preserve"> as safety. </w:t>
      </w:r>
      <w:r>
        <w:rPr>
          <w:rFonts w:ascii="Arial" w:hAnsi="Arial" w:cs="Arial"/>
          <w:bCs/>
          <w:sz w:val="20"/>
          <w:szCs w:val="20"/>
        </w:rPr>
        <w:t xml:space="preserve">However, safe farming (85.2 percent) is the most valued outcome </w:t>
      </w:r>
      <w:r w:rsidR="0063252C">
        <w:rPr>
          <w:rFonts w:ascii="Arial" w:hAnsi="Arial" w:cs="Arial"/>
          <w:bCs/>
          <w:sz w:val="20"/>
          <w:szCs w:val="20"/>
        </w:rPr>
        <w:t xml:space="preserve">as majority of households use released land for farming. </w:t>
      </w:r>
    </w:p>
    <w:p w14:paraId="6DE8A91D" w14:textId="7B81C0D8" w:rsidR="00E332D6" w:rsidRDefault="0063252C" w:rsidP="005C6D23">
      <w:pPr>
        <w:rPr>
          <w:rFonts w:ascii="Arial" w:hAnsi="Arial" w:cs="Arial"/>
          <w:bCs/>
          <w:sz w:val="20"/>
          <w:szCs w:val="20"/>
        </w:rPr>
      </w:pPr>
      <w:r w:rsidRPr="0063252C">
        <w:rPr>
          <w:rFonts w:ascii="Arial" w:hAnsi="Arial" w:cs="Arial"/>
          <w:b/>
          <w:bCs/>
          <w:sz w:val="20"/>
          <w:szCs w:val="20"/>
        </w:rPr>
        <w:t>Figure 2</w:t>
      </w:r>
      <w:r>
        <w:rPr>
          <w:rFonts w:ascii="Arial" w:hAnsi="Arial" w:cs="Arial"/>
          <w:b/>
          <w:bCs/>
          <w:sz w:val="20"/>
          <w:szCs w:val="20"/>
        </w:rPr>
        <w:t>:</w:t>
      </w:r>
      <w:r w:rsidR="005C6D23">
        <w:rPr>
          <w:rFonts w:ascii="Arial" w:hAnsi="Arial" w:cs="Arial"/>
          <w:bCs/>
          <w:sz w:val="20"/>
          <w:szCs w:val="20"/>
        </w:rPr>
        <w:t xml:space="preserve"> </w:t>
      </w:r>
      <w:r w:rsidR="005C6D23" w:rsidRPr="008153F9">
        <w:rPr>
          <w:rFonts w:ascii="Arial" w:hAnsi="Arial" w:cs="Arial"/>
          <w:bCs/>
          <w:sz w:val="20"/>
          <w:szCs w:val="20"/>
        </w:rPr>
        <w:t xml:space="preserve">Benefits of mine clearance </w:t>
      </w:r>
      <w:r w:rsidR="005C6D23" w:rsidRPr="008153F9">
        <w:rPr>
          <w:rFonts w:ascii="Arial" w:hAnsi="Arial" w:cs="Arial"/>
          <w:bCs/>
          <w:sz w:val="20"/>
          <w:szCs w:val="20"/>
          <w:u w:val="single"/>
        </w:rPr>
        <w:t>FOR HOUSEHOLDS</w:t>
      </w:r>
      <w:r w:rsidR="005C6D23" w:rsidRPr="008153F9">
        <w:rPr>
          <w:rFonts w:ascii="Arial" w:hAnsi="Arial" w:cs="Arial"/>
          <w:bCs/>
          <w:sz w:val="20"/>
          <w:szCs w:val="20"/>
        </w:rPr>
        <w:t xml:space="preserve"> </w:t>
      </w:r>
    </w:p>
    <w:p w14:paraId="296DFF34" w14:textId="1B575027" w:rsidR="00E332D6" w:rsidRDefault="00E332D6" w:rsidP="00E332D6">
      <w:pPr>
        <w:pStyle w:val="BodyText"/>
        <w:spacing w:after="0"/>
        <w:jc w:val="both"/>
        <w:rPr>
          <w:rFonts w:asciiTheme="minorHAnsi" w:hAnsiTheme="minorHAnsi" w:cs="Calibri"/>
          <w:b/>
          <w:sz w:val="22"/>
          <w:szCs w:val="22"/>
        </w:rPr>
      </w:pPr>
      <w:r>
        <w:rPr>
          <w:rFonts w:asciiTheme="minorHAnsi" w:hAnsiTheme="minorHAnsi" w:cs="Calibri"/>
          <w:sz w:val="22"/>
          <w:szCs w:val="22"/>
        </w:rPr>
        <w:t xml:space="preserve">Field work undertaken in the course of the </w:t>
      </w:r>
      <w:proofErr w:type="spellStart"/>
      <w:r>
        <w:rPr>
          <w:rFonts w:asciiTheme="minorHAnsi" w:hAnsiTheme="minorHAnsi" w:cs="Calibri"/>
          <w:sz w:val="22"/>
          <w:szCs w:val="22"/>
        </w:rPr>
        <w:t>CfR</w:t>
      </w:r>
      <w:proofErr w:type="spellEnd"/>
      <w:r>
        <w:rPr>
          <w:rFonts w:asciiTheme="minorHAnsi" w:hAnsiTheme="minorHAnsi" w:cs="Calibri"/>
          <w:sz w:val="22"/>
          <w:szCs w:val="22"/>
        </w:rPr>
        <w:t xml:space="preserve"> II Final evaluation revealed that in all three provinces the impact of both mines and mine action (land release) were perceived to be equally concerned with human security and well-being as well as ‘livelihoods and development’. </w:t>
      </w:r>
      <w:r w:rsidRPr="00FA6FDD">
        <w:rPr>
          <w:rFonts w:asciiTheme="minorHAnsi" w:hAnsiTheme="minorHAnsi" w:cs="Calibri"/>
          <w:b/>
          <w:sz w:val="22"/>
          <w:szCs w:val="22"/>
        </w:rPr>
        <w:t xml:space="preserve">To talk of </w:t>
      </w:r>
      <w:r>
        <w:rPr>
          <w:rFonts w:asciiTheme="minorHAnsi" w:hAnsiTheme="minorHAnsi" w:cs="Calibri"/>
          <w:b/>
          <w:sz w:val="22"/>
          <w:szCs w:val="22"/>
        </w:rPr>
        <w:t>‘</w:t>
      </w:r>
      <w:r w:rsidRPr="00FA6FDD">
        <w:rPr>
          <w:rFonts w:asciiTheme="minorHAnsi" w:hAnsiTheme="minorHAnsi" w:cs="Calibri"/>
          <w:b/>
          <w:sz w:val="22"/>
          <w:szCs w:val="22"/>
        </w:rPr>
        <w:t>mine action for development</w:t>
      </w:r>
      <w:r>
        <w:rPr>
          <w:rFonts w:asciiTheme="minorHAnsi" w:hAnsiTheme="minorHAnsi" w:cs="Calibri"/>
          <w:b/>
          <w:sz w:val="22"/>
          <w:szCs w:val="22"/>
        </w:rPr>
        <w:t>’</w:t>
      </w:r>
      <w:r w:rsidRPr="00FA6FDD">
        <w:rPr>
          <w:rFonts w:asciiTheme="minorHAnsi" w:hAnsiTheme="minorHAnsi" w:cs="Calibri"/>
          <w:b/>
          <w:sz w:val="22"/>
          <w:szCs w:val="22"/>
        </w:rPr>
        <w:t xml:space="preserve">, as if this was isolated and entirely different to humanitarian mine action (for security </w:t>
      </w:r>
      <w:r w:rsidRPr="00FA6FDD">
        <w:rPr>
          <w:rFonts w:asciiTheme="minorHAnsi" w:hAnsiTheme="minorHAnsi" w:cs="Calibri"/>
          <w:b/>
          <w:sz w:val="22"/>
          <w:szCs w:val="22"/>
        </w:rPr>
        <w:lastRenderedPageBreak/>
        <w:t>and individual well-being and peace of mine – freedom from fear),</w:t>
      </w:r>
      <w:r>
        <w:rPr>
          <w:rFonts w:asciiTheme="minorHAnsi" w:hAnsiTheme="minorHAnsi" w:cs="Calibri"/>
          <w:b/>
          <w:sz w:val="22"/>
          <w:szCs w:val="22"/>
        </w:rPr>
        <w:t xml:space="preserve"> would make absolutely no sense to anyone in the 12 </w:t>
      </w:r>
      <w:proofErr w:type="spellStart"/>
      <w:r>
        <w:rPr>
          <w:rFonts w:asciiTheme="minorHAnsi" w:hAnsiTheme="minorHAnsi" w:cs="Calibri"/>
          <w:b/>
          <w:sz w:val="22"/>
          <w:szCs w:val="22"/>
        </w:rPr>
        <w:t>CfR</w:t>
      </w:r>
      <w:proofErr w:type="spellEnd"/>
      <w:r>
        <w:rPr>
          <w:rFonts w:asciiTheme="minorHAnsi" w:hAnsiTheme="minorHAnsi" w:cs="Calibri"/>
          <w:b/>
          <w:sz w:val="22"/>
          <w:szCs w:val="22"/>
        </w:rPr>
        <w:t xml:space="preserve"> II villages surveyed in the course of the final evaluation. These findings fit perfectly with the outcomes of this Household Impact survey. </w:t>
      </w:r>
      <w:r w:rsidRPr="00C753A0">
        <w:rPr>
          <w:rFonts w:asciiTheme="minorHAnsi" w:hAnsiTheme="minorHAnsi" w:cs="Calibri"/>
          <w:sz w:val="22"/>
          <w:szCs w:val="22"/>
        </w:rPr>
        <w:t>In fact, even responses</w:t>
      </w:r>
      <w:r>
        <w:rPr>
          <w:rFonts w:asciiTheme="minorHAnsi" w:hAnsiTheme="minorHAnsi" w:cs="Calibri"/>
          <w:sz w:val="22"/>
          <w:szCs w:val="22"/>
        </w:rPr>
        <w:t xml:space="preserve"> received during field work on the Final Evaluation that were</w:t>
      </w:r>
      <w:r w:rsidRPr="00C753A0">
        <w:rPr>
          <w:rFonts w:asciiTheme="minorHAnsi" w:hAnsiTheme="minorHAnsi" w:cs="Calibri"/>
          <w:sz w:val="22"/>
          <w:szCs w:val="22"/>
        </w:rPr>
        <w:t xml:space="preserve"> classed as ‘livelihoods and development’ (as revealed in Annex 3</w:t>
      </w:r>
      <w:r>
        <w:rPr>
          <w:rFonts w:asciiTheme="minorHAnsi" w:hAnsiTheme="minorHAnsi" w:cs="Calibri"/>
          <w:sz w:val="22"/>
          <w:szCs w:val="22"/>
        </w:rPr>
        <w:t xml:space="preserve"> of the final evaluation</w:t>
      </w:r>
      <w:r w:rsidRPr="00C753A0">
        <w:rPr>
          <w:rFonts w:asciiTheme="minorHAnsi" w:hAnsiTheme="minorHAnsi" w:cs="Calibri"/>
          <w:sz w:val="22"/>
          <w:szCs w:val="22"/>
        </w:rPr>
        <w:t>), really also contained a human security / safety aspect, since a</w:t>
      </w:r>
      <w:r>
        <w:rPr>
          <w:rFonts w:asciiTheme="minorHAnsi" w:hAnsiTheme="minorHAnsi" w:cs="Calibri"/>
          <w:sz w:val="22"/>
          <w:szCs w:val="22"/>
        </w:rPr>
        <w:t>s noted in the results of this household impact</w:t>
      </w:r>
      <w:r w:rsidRPr="00C753A0">
        <w:rPr>
          <w:rFonts w:asciiTheme="minorHAnsi" w:hAnsiTheme="minorHAnsi" w:cs="Calibri"/>
          <w:sz w:val="22"/>
          <w:szCs w:val="22"/>
        </w:rPr>
        <w:t xml:space="preserve"> study, people often referred to </w:t>
      </w:r>
      <w:r w:rsidRPr="00C753A0">
        <w:rPr>
          <w:rFonts w:asciiTheme="minorHAnsi" w:hAnsiTheme="minorHAnsi" w:cs="Calibri"/>
          <w:i/>
          <w:sz w:val="22"/>
          <w:szCs w:val="22"/>
        </w:rPr>
        <w:t xml:space="preserve">more safe </w:t>
      </w:r>
      <w:r w:rsidRPr="0067649F">
        <w:rPr>
          <w:rFonts w:asciiTheme="minorHAnsi" w:hAnsiTheme="minorHAnsi" w:cs="Calibri"/>
          <w:sz w:val="22"/>
          <w:szCs w:val="22"/>
        </w:rPr>
        <w:t>land (not merely more land)</w:t>
      </w:r>
      <w:r w:rsidRPr="00E332D6">
        <w:rPr>
          <w:rFonts w:asciiTheme="minorHAnsi" w:hAnsiTheme="minorHAnsi" w:cs="Calibri"/>
          <w:sz w:val="22"/>
          <w:szCs w:val="22"/>
        </w:rPr>
        <w:t>.</w:t>
      </w:r>
      <w:r>
        <w:rPr>
          <w:rFonts w:asciiTheme="minorHAnsi" w:hAnsiTheme="minorHAnsi" w:cs="Calibri"/>
          <w:sz w:val="22"/>
          <w:szCs w:val="22"/>
        </w:rPr>
        <w:t xml:space="preserve"> In the</w:t>
      </w:r>
      <w:r w:rsidRPr="00C753A0">
        <w:rPr>
          <w:rFonts w:asciiTheme="minorHAnsi" w:hAnsiTheme="minorHAnsi" w:cs="Calibri"/>
          <w:sz w:val="22"/>
          <w:szCs w:val="22"/>
        </w:rPr>
        <w:t xml:space="preserve"> results</w:t>
      </w:r>
      <w:r>
        <w:rPr>
          <w:rFonts w:asciiTheme="minorHAnsi" w:hAnsiTheme="minorHAnsi" w:cs="Calibri"/>
          <w:sz w:val="22"/>
          <w:szCs w:val="22"/>
        </w:rPr>
        <w:t xml:space="preserve"> of the Final Evaluation this w</w:t>
      </w:r>
      <w:r w:rsidRPr="00C753A0">
        <w:rPr>
          <w:rFonts w:asciiTheme="minorHAnsi" w:hAnsiTheme="minorHAnsi" w:cs="Calibri"/>
          <w:sz w:val="22"/>
          <w:szCs w:val="22"/>
        </w:rPr>
        <w:t>as recorded as a livelihoods impact response, but also clearly relates to security too. N</w:t>
      </w:r>
      <w:r>
        <w:rPr>
          <w:rFonts w:asciiTheme="minorHAnsi" w:hAnsiTheme="minorHAnsi" w:cs="Calibri"/>
          <w:sz w:val="22"/>
          <w:szCs w:val="22"/>
        </w:rPr>
        <w:t>ot only is this in line with this</w:t>
      </w:r>
      <w:r w:rsidRPr="00C753A0">
        <w:rPr>
          <w:rFonts w:asciiTheme="minorHAnsi" w:hAnsiTheme="minorHAnsi" w:cs="Calibri"/>
          <w:sz w:val="22"/>
          <w:szCs w:val="22"/>
        </w:rPr>
        <w:t xml:space="preserve"> HH Impact Study, but also with the UNDP I</w:t>
      </w:r>
      <w:r>
        <w:rPr>
          <w:rFonts w:asciiTheme="minorHAnsi" w:hAnsiTheme="minorHAnsi" w:cs="Calibri"/>
          <w:sz w:val="22"/>
          <w:szCs w:val="22"/>
        </w:rPr>
        <w:t xml:space="preserve">ndependent </w:t>
      </w:r>
      <w:r w:rsidRPr="00C753A0">
        <w:rPr>
          <w:rFonts w:asciiTheme="minorHAnsi" w:hAnsiTheme="minorHAnsi" w:cs="Calibri"/>
          <w:sz w:val="22"/>
          <w:szCs w:val="22"/>
        </w:rPr>
        <w:t>E</w:t>
      </w:r>
      <w:r>
        <w:rPr>
          <w:rFonts w:asciiTheme="minorHAnsi" w:hAnsiTheme="minorHAnsi" w:cs="Calibri"/>
          <w:sz w:val="22"/>
          <w:szCs w:val="22"/>
        </w:rPr>
        <w:t xml:space="preserve">valuation </w:t>
      </w:r>
      <w:r w:rsidRPr="00C753A0">
        <w:rPr>
          <w:rFonts w:asciiTheme="minorHAnsi" w:hAnsiTheme="minorHAnsi" w:cs="Calibri"/>
          <w:sz w:val="22"/>
          <w:szCs w:val="22"/>
        </w:rPr>
        <w:t>O</w:t>
      </w:r>
      <w:r>
        <w:rPr>
          <w:rFonts w:asciiTheme="minorHAnsi" w:hAnsiTheme="minorHAnsi" w:cs="Calibri"/>
          <w:sz w:val="22"/>
          <w:szCs w:val="22"/>
        </w:rPr>
        <w:t>ffice</w:t>
      </w:r>
      <w:r w:rsidRPr="00C753A0">
        <w:rPr>
          <w:rFonts w:asciiTheme="minorHAnsi" w:hAnsiTheme="minorHAnsi" w:cs="Calibri"/>
          <w:sz w:val="22"/>
          <w:szCs w:val="22"/>
        </w:rPr>
        <w:t xml:space="preserve"> 2015 study on the impact of mine action supported by the organization globally, cited above.</w:t>
      </w:r>
      <w:r>
        <w:rPr>
          <w:rFonts w:asciiTheme="minorHAnsi" w:hAnsiTheme="minorHAnsi" w:cs="Calibri"/>
          <w:b/>
          <w:sz w:val="22"/>
          <w:szCs w:val="22"/>
        </w:rPr>
        <w:t xml:space="preserve"> Together these results show comprehensively that the single most important outcome and impact is related to enhanced safety and security of communities threatened by landmines hazards.</w:t>
      </w:r>
    </w:p>
    <w:p w14:paraId="11ACB37A" w14:textId="77777777" w:rsidR="00E332D6" w:rsidRPr="008153F9" w:rsidRDefault="00E332D6" w:rsidP="005C6D23">
      <w:pPr>
        <w:rPr>
          <w:rFonts w:ascii="Arial" w:hAnsi="Arial" w:cs="Arial"/>
          <w:bCs/>
          <w:sz w:val="20"/>
          <w:szCs w:val="20"/>
          <w:lang w:val="ru-RU"/>
        </w:rPr>
      </w:pPr>
    </w:p>
    <w:p w14:paraId="51F0F6EA" w14:textId="77777777" w:rsidR="005C6D23" w:rsidRPr="0063252C" w:rsidRDefault="005C6D23" w:rsidP="005C6D23">
      <w:pPr>
        <w:rPr>
          <w:noProof/>
          <w:lang w:eastAsia="ru-RU"/>
        </w:rPr>
      </w:pPr>
      <w:r>
        <w:rPr>
          <w:noProof/>
          <w:lang w:val="en-GB" w:eastAsia="en-GB" w:bidi="ar-SA"/>
        </w:rPr>
        <w:drawing>
          <wp:inline distT="0" distB="0" distL="0" distR="0" wp14:anchorId="5341398F" wp14:editId="0849FBE5">
            <wp:extent cx="4942564" cy="2561921"/>
            <wp:effectExtent l="19050" t="0" r="10436"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3D4CBF" w14:textId="77777777" w:rsidR="00CE793B" w:rsidRDefault="00CE793B" w:rsidP="005C6D23">
      <w:pPr>
        <w:rPr>
          <w:rFonts w:ascii="Arial" w:hAnsi="Arial" w:cs="Arial"/>
          <w:bCs/>
          <w:sz w:val="20"/>
          <w:szCs w:val="20"/>
        </w:rPr>
      </w:pPr>
    </w:p>
    <w:p w14:paraId="5EB5F7C7" w14:textId="77777777" w:rsidR="00CE793B" w:rsidRDefault="005C6D23" w:rsidP="005C6D23">
      <w:pPr>
        <w:rPr>
          <w:rFonts w:ascii="Arial" w:hAnsi="Arial" w:cs="Arial"/>
          <w:bCs/>
          <w:sz w:val="20"/>
          <w:szCs w:val="20"/>
        </w:rPr>
      </w:pPr>
      <w:r>
        <w:rPr>
          <w:rFonts w:ascii="Arial" w:hAnsi="Arial" w:cs="Arial"/>
          <w:bCs/>
          <w:sz w:val="20"/>
          <w:szCs w:val="20"/>
        </w:rPr>
        <w:t xml:space="preserve">The major </w:t>
      </w:r>
      <w:r w:rsidRPr="008153F9">
        <w:rPr>
          <w:rFonts w:ascii="Arial" w:hAnsi="Arial" w:cs="Arial"/>
          <w:bCs/>
          <w:sz w:val="20"/>
          <w:szCs w:val="20"/>
        </w:rPr>
        <w:t>impact on the community</w:t>
      </w:r>
      <w:r w:rsidR="0063252C">
        <w:rPr>
          <w:rFonts w:ascii="Arial" w:hAnsi="Arial" w:cs="Arial"/>
          <w:bCs/>
          <w:sz w:val="20"/>
          <w:szCs w:val="20"/>
        </w:rPr>
        <w:t xml:space="preserve"> has been reported as</w:t>
      </w:r>
      <w:r w:rsidR="00B40807">
        <w:rPr>
          <w:rFonts w:ascii="Arial" w:hAnsi="Arial" w:cs="Arial"/>
          <w:bCs/>
          <w:sz w:val="20"/>
          <w:szCs w:val="20"/>
        </w:rPr>
        <w:t xml:space="preserve"> increased</w:t>
      </w:r>
      <w:r>
        <w:rPr>
          <w:rFonts w:ascii="Arial" w:hAnsi="Arial" w:cs="Arial"/>
          <w:bCs/>
          <w:sz w:val="20"/>
          <w:szCs w:val="20"/>
        </w:rPr>
        <w:t xml:space="preserve"> </w:t>
      </w:r>
      <w:r w:rsidRPr="008153F9">
        <w:rPr>
          <w:rFonts w:ascii="Arial" w:hAnsi="Arial" w:cs="Arial"/>
          <w:bCs/>
          <w:sz w:val="20"/>
          <w:szCs w:val="20"/>
        </w:rPr>
        <w:t>confidence</w:t>
      </w:r>
      <w:r w:rsidR="00B40807">
        <w:rPr>
          <w:rFonts w:ascii="Arial" w:hAnsi="Arial" w:cs="Arial"/>
          <w:bCs/>
          <w:sz w:val="20"/>
          <w:szCs w:val="20"/>
        </w:rPr>
        <w:t xml:space="preserve"> </w:t>
      </w:r>
      <w:r w:rsidR="0063252C">
        <w:rPr>
          <w:rFonts w:ascii="Arial" w:hAnsi="Arial" w:cs="Arial"/>
          <w:bCs/>
          <w:sz w:val="20"/>
          <w:szCs w:val="20"/>
        </w:rPr>
        <w:t xml:space="preserve">for </w:t>
      </w:r>
      <w:r w:rsidR="0063252C" w:rsidRPr="008153F9">
        <w:rPr>
          <w:rFonts w:ascii="Arial" w:hAnsi="Arial" w:cs="Arial"/>
          <w:bCs/>
          <w:sz w:val="20"/>
          <w:szCs w:val="20"/>
        </w:rPr>
        <w:t>investing</w:t>
      </w:r>
      <w:r w:rsidRPr="008153F9">
        <w:rPr>
          <w:rFonts w:ascii="Arial" w:hAnsi="Arial" w:cs="Arial"/>
          <w:bCs/>
          <w:sz w:val="20"/>
          <w:szCs w:val="20"/>
        </w:rPr>
        <w:t xml:space="preserve"> in land </w:t>
      </w:r>
      <w:r>
        <w:rPr>
          <w:rFonts w:ascii="Arial" w:hAnsi="Arial" w:cs="Arial"/>
          <w:bCs/>
          <w:sz w:val="20"/>
          <w:szCs w:val="20"/>
        </w:rPr>
        <w:t xml:space="preserve">(55 percent). This is in line with </w:t>
      </w:r>
      <w:r w:rsidR="0063252C">
        <w:rPr>
          <w:rFonts w:ascii="Arial" w:hAnsi="Arial" w:cs="Arial"/>
          <w:bCs/>
          <w:sz w:val="20"/>
          <w:szCs w:val="20"/>
        </w:rPr>
        <w:t>DFID (</w:t>
      </w:r>
      <w:r>
        <w:rPr>
          <w:rFonts w:ascii="Arial" w:hAnsi="Arial" w:cs="Arial"/>
          <w:bCs/>
          <w:sz w:val="20"/>
          <w:szCs w:val="20"/>
        </w:rPr>
        <w:t>Department for International Development</w:t>
      </w:r>
      <w:r w:rsidR="0063252C">
        <w:rPr>
          <w:rFonts w:ascii="Arial" w:hAnsi="Arial" w:cs="Arial"/>
          <w:bCs/>
          <w:sz w:val="20"/>
          <w:szCs w:val="20"/>
        </w:rPr>
        <w:t>) which has defined</w:t>
      </w:r>
      <w:r>
        <w:rPr>
          <w:rFonts w:ascii="Arial" w:hAnsi="Arial" w:cs="Arial"/>
          <w:bCs/>
          <w:sz w:val="20"/>
          <w:szCs w:val="20"/>
        </w:rPr>
        <w:t xml:space="preserve"> impacts of mine clearance on the local economy</w:t>
      </w:r>
      <w:r w:rsidR="0063252C">
        <w:rPr>
          <w:rFonts w:ascii="Arial" w:hAnsi="Arial" w:cs="Arial"/>
          <w:bCs/>
          <w:sz w:val="20"/>
          <w:szCs w:val="20"/>
        </w:rPr>
        <w:t xml:space="preserve"> as: </w:t>
      </w:r>
      <w:r w:rsidRPr="00C30812">
        <w:rPr>
          <w:rFonts w:ascii="Arial" w:hAnsi="Arial" w:cs="Arial"/>
          <w:bCs/>
          <w:sz w:val="20"/>
          <w:szCs w:val="20"/>
        </w:rPr>
        <w:t xml:space="preserve">where clearance of specific sites will bring the greatest benefit to the local economy, as indicated by market development and investment in </w:t>
      </w:r>
      <w:r>
        <w:rPr>
          <w:rFonts w:ascii="Arial" w:hAnsi="Arial" w:cs="Arial"/>
          <w:bCs/>
          <w:sz w:val="20"/>
          <w:szCs w:val="20"/>
        </w:rPr>
        <w:t>land and infrastructure</w:t>
      </w:r>
      <w:r w:rsidRPr="00C30812">
        <w:rPr>
          <w:rFonts w:ascii="Arial" w:hAnsi="Arial" w:cs="Arial"/>
          <w:bCs/>
          <w:sz w:val="20"/>
          <w:szCs w:val="20"/>
        </w:rPr>
        <w:t xml:space="preserve">. </w:t>
      </w:r>
      <w:r w:rsidR="0063252C">
        <w:rPr>
          <w:rFonts w:ascii="Arial" w:hAnsi="Arial" w:cs="Arial"/>
          <w:bCs/>
          <w:sz w:val="20"/>
          <w:szCs w:val="20"/>
        </w:rPr>
        <w:t xml:space="preserve">Other major impact recorded as </w:t>
      </w:r>
      <w:r w:rsidR="00B40807">
        <w:rPr>
          <w:rFonts w:ascii="Arial" w:hAnsi="Arial" w:cs="Arial"/>
          <w:bCs/>
          <w:sz w:val="20"/>
          <w:szCs w:val="20"/>
        </w:rPr>
        <w:t>raising more animals</w:t>
      </w:r>
      <w:r w:rsidR="0063252C">
        <w:rPr>
          <w:rFonts w:ascii="Arial" w:hAnsi="Arial" w:cs="Arial"/>
          <w:bCs/>
          <w:sz w:val="20"/>
          <w:szCs w:val="20"/>
        </w:rPr>
        <w:t xml:space="preserve"> (45.7%)</w:t>
      </w:r>
      <w:r w:rsidR="00B40807">
        <w:rPr>
          <w:rFonts w:ascii="Arial" w:hAnsi="Arial" w:cs="Arial"/>
          <w:bCs/>
          <w:sz w:val="20"/>
          <w:szCs w:val="20"/>
        </w:rPr>
        <w:t xml:space="preserve">. </w:t>
      </w:r>
    </w:p>
    <w:p w14:paraId="05EF7692" w14:textId="77777777" w:rsidR="005C6D23" w:rsidRDefault="00A53A72" w:rsidP="005C6D23">
      <w:pPr>
        <w:rPr>
          <w:rFonts w:ascii="Arial" w:hAnsi="Arial" w:cs="Arial"/>
          <w:bCs/>
          <w:sz w:val="20"/>
          <w:szCs w:val="20"/>
        </w:rPr>
      </w:pPr>
      <w:r>
        <w:rPr>
          <w:rFonts w:ascii="Arial" w:hAnsi="Arial" w:cs="Arial"/>
          <w:bCs/>
          <w:sz w:val="20"/>
          <w:szCs w:val="20"/>
        </w:rPr>
        <w:t>Other 10.1 percent</w:t>
      </w:r>
      <w:r w:rsidR="00B40807">
        <w:rPr>
          <w:rFonts w:ascii="Arial" w:hAnsi="Arial" w:cs="Arial"/>
          <w:bCs/>
          <w:sz w:val="20"/>
          <w:szCs w:val="20"/>
        </w:rPr>
        <w:t xml:space="preserve"> stated benefits such as:</w:t>
      </w:r>
      <w:r w:rsidR="00F03280">
        <w:rPr>
          <w:rFonts w:ascii="Arial" w:hAnsi="Arial" w:cs="Arial"/>
          <w:bCs/>
          <w:sz w:val="20"/>
          <w:szCs w:val="20"/>
        </w:rPr>
        <w:t xml:space="preserve"> </w:t>
      </w:r>
      <w:r w:rsidR="008D744C">
        <w:rPr>
          <w:rFonts w:ascii="Arial" w:hAnsi="Arial" w:cs="Arial"/>
          <w:bCs/>
          <w:sz w:val="20"/>
          <w:szCs w:val="20"/>
        </w:rPr>
        <w:t xml:space="preserve">(1) </w:t>
      </w:r>
      <w:r w:rsidR="00F03280">
        <w:rPr>
          <w:rFonts w:ascii="Arial" w:hAnsi="Arial" w:cs="Arial"/>
          <w:bCs/>
          <w:sz w:val="20"/>
          <w:szCs w:val="20"/>
        </w:rPr>
        <w:t xml:space="preserve">people can farm more than before; </w:t>
      </w:r>
      <w:r w:rsidR="008D744C">
        <w:rPr>
          <w:rFonts w:ascii="Arial" w:hAnsi="Arial" w:cs="Arial"/>
          <w:bCs/>
          <w:sz w:val="20"/>
          <w:szCs w:val="20"/>
        </w:rPr>
        <w:t xml:space="preserve">(2) </w:t>
      </w:r>
      <w:r w:rsidR="00F03280">
        <w:rPr>
          <w:rFonts w:ascii="Arial" w:hAnsi="Arial" w:cs="Arial"/>
          <w:bCs/>
          <w:sz w:val="20"/>
          <w:szCs w:val="20"/>
        </w:rPr>
        <w:t xml:space="preserve">improved and easy farming; </w:t>
      </w:r>
      <w:r w:rsidR="008D744C">
        <w:rPr>
          <w:rFonts w:ascii="Arial" w:hAnsi="Arial" w:cs="Arial"/>
          <w:bCs/>
          <w:sz w:val="20"/>
          <w:szCs w:val="20"/>
        </w:rPr>
        <w:t xml:space="preserve">(3) </w:t>
      </w:r>
      <w:r w:rsidR="00F03280">
        <w:rPr>
          <w:rFonts w:ascii="Arial" w:hAnsi="Arial" w:cs="Arial"/>
          <w:bCs/>
          <w:sz w:val="20"/>
          <w:szCs w:val="20"/>
        </w:rPr>
        <w:t xml:space="preserve">feeling happy that the lands are mine free and </w:t>
      </w:r>
      <w:r w:rsidR="008D744C">
        <w:rPr>
          <w:rFonts w:ascii="Arial" w:hAnsi="Arial" w:cs="Arial"/>
          <w:bCs/>
          <w:sz w:val="20"/>
          <w:szCs w:val="20"/>
        </w:rPr>
        <w:t xml:space="preserve">(4) </w:t>
      </w:r>
      <w:r w:rsidR="00F03280">
        <w:rPr>
          <w:rFonts w:ascii="Arial" w:hAnsi="Arial" w:cs="Arial"/>
          <w:bCs/>
          <w:sz w:val="20"/>
          <w:szCs w:val="20"/>
        </w:rPr>
        <w:t xml:space="preserve">feeling safer. </w:t>
      </w:r>
    </w:p>
    <w:p w14:paraId="4EA47A62" w14:textId="77777777" w:rsidR="0063252C" w:rsidRPr="0063252C" w:rsidRDefault="0063252C" w:rsidP="005C6D23">
      <w:pPr>
        <w:rPr>
          <w:rFonts w:ascii="Arial" w:hAnsi="Arial" w:cs="Arial"/>
          <w:bCs/>
          <w:sz w:val="20"/>
          <w:szCs w:val="20"/>
        </w:rPr>
      </w:pPr>
      <w:r>
        <w:rPr>
          <w:rFonts w:ascii="Arial" w:hAnsi="Arial" w:cs="Arial"/>
          <w:b/>
          <w:bCs/>
          <w:sz w:val="20"/>
          <w:szCs w:val="20"/>
        </w:rPr>
        <w:t>Figure 3:</w:t>
      </w:r>
      <w:r>
        <w:rPr>
          <w:rFonts w:ascii="Arial" w:hAnsi="Arial" w:cs="Arial"/>
          <w:bCs/>
          <w:sz w:val="20"/>
          <w:szCs w:val="20"/>
        </w:rPr>
        <w:t xml:space="preserve"> </w:t>
      </w:r>
      <w:r w:rsidRPr="008153F9">
        <w:rPr>
          <w:rFonts w:ascii="Arial" w:hAnsi="Arial" w:cs="Arial"/>
          <w:bCs/>
          <w:sz w:val="20"/>
          <w:szCs w:val="20"/>
        </w:rPr>
        <w:t xml:space="preserve">Benefits of mine clearance </w:t>
      </w:r>
      <w:r w:rsidRPr="008153F9">
        <w:rPr>
          <w:rFonts w:ascii="Arial" w:hAnsi="Arial" w:cs="Arial"/>
          <w:bCs/>
          <w:sz w:val="20"/>
          <w:szCs w:val="20"/>
          <w:u w:val="single"/>
        </w:rPr>
        <w:t xml:space="preserve">FOR </w:t>
      </w:r>
      <w:r>
        <w:rPr>
          <w:rFonts w:ascii="Arial" w:hAnsi="Arial" w:cs="Arial"/>
          <w:bCs/>
          <w:sz w:val="20"/>
          <w:szCs w:val="20"/>
          <w:u w:val="single"/>
        </w:rPr>
        <w:t>COMMUNITY</w:t>
      </w:r>
    </w:p>
    <w:p w14:paraId="16F7D60C" w14:textId="77777777" w:rsidR="005C6D23" w:rsidRPr="007A1DE4" w:rsidRDefault="005C6D23" w:rsidP="00F071BE">
      <w:r>
        <w:rPr>
          <w:noProof/>
          <w:lang w:val="en-GB" w:eastAsia="en-GB" w:bidi="ar-SA"/>
        </w:rPr>
        <w:lastRenderedPageBreak/>
        <w:drawing>
          <wp:inline distT="0" distB="0" distL="0" distR="0" wp14:anchorId="1951249C" wp14:editId="58F632C9">
            <wp:extent cx="4131531" cy="1637969"/>
            <wp:effectExtent l="19050" t="0" r="21369" b="331"/>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146BD6" w14:textId="749C8B64" w:rsidR="00E332D6" w:rsidRDefault="00E332D6" w:rsidP="00F071BE">
      <w:pPr>
        <w:rPr>
          <w:rFonts w:ascii="Arial" w:hAnsi="Arial" w:cs="Arial"/>
          <w:color w:val="5B9BD5" w:themeColor="accent1"/>
          <w:sz w:val="20"/>
          <w:szCs w:val="20"/>
        </w:rPr>
      </w:pPr>
      <w:r>
        <w:rPr>
          <w:rFonts w:ascii="Arial" w:hAnsi="Arial" w:cs="Arial"/>
          <w:color w:val="5B9BD5" w:themeColor="accent1"/>
          <w:sz w:val="20"/>
          <w:szCs w:val="20"/>
        </w:rPr>
        <w:t>As above, an enhanced sense of security and confidence in the land, which as this study reveals translates into greatly increased land values, naturally feeds into great confidence in investing in the land.</w:t>
      </w:r>
    </w:p>
    <w:p w14:paraId="4D79FA4F" w14:textId="77777777" w:rsidR="00E332D6" w:rsidRDefault="00E332D6" w:rsidP="00F071BE">
      <w:pPr>
        <w:rPr>
          <w:rFonts w:ascii="Arial" w:hAnsi="Arial" w:cs="Arial"/>
          <w:color w:val="5B9BD5" w:themeColor="accent1"/>
          <w:sz w:val="20"/>
          <w:szCs w:val="20"/>
        </w:rPr>
      </w:pPr>
    </w:p>
    <w:p w14:paraId="3CDB5909" w14:textId="77777777" w:rsidR="00905E49" w:rsidRPr="00F071BE" w:rsidRDefault="00DF0D50" w:rsidP="00F071BE">
      <w:pPr>
        <w:rPr>
          <w:rFonts w:ascii="Arial" w:hAnsi="Arial" w:cs="Arial"/>
          <w:sz w:val="20"/>
          <w:szCs w:val="20"/>
        </w:rPr>
      </w:pPr>
      <w:r w:rsidRPr="00BF5CD2">
        <w:rPr>
          <w:rFonts w:ascii="Arial" w:hAnsi="Arial" w:cs="Arial"/>
          <w:color w:val="5B9BD5" w:themeColor="accent1"/>
          <w:sz w:val="20"/>
          <w:szCs w:val="20"/>
        </w:rPr>
        <w:t xml:space="preserve">LAND </w:t>
      </w:r>
      <w:r w:rsidR="00C72819" w:rsidRPr="00BF5CD2">
        <w:rPr>
          <w:rFonts w:ascii="Arial" w:hAnsi="Arial" w:cs="Arial"/>
          <w:color w:val="5B9BD5" w:themeColor="accent1"/>
          <w:sz w:val="20"/>
          <w:szCs w:val="20"/>
        </w:rPr>
        <w:t>RIGHTS</w:t>
      </w:r>
      <w:r w:rsidR="00F13B1D">
        <w:rPr>
          <w:rFonts w:ascii="Arial" w:hAnsi="Arial" w:cs="Arial"/>
          <w:color w:val="5B9BD5" w:themeColor="accent1"/>
          <w:sz w:val="20"/>
          <w:szCs w:val="20"/>
        </w:rPr>
        <w:t xml:space="preserve"> </w:t>
      </w:r>
      <w:r w:rsidR="00C72819" w:rsidRPr="00BF5CD2">
        <w:rPr>
          <w:rFonts w:ascii="Arial" w:hAnsi="Arial" w:cs="Arial"/>
          <w:color w:val="5B9BD5" w:themeColor="accent1"/>
          <w:sz w:val="20"/>
          <w:szCs w:val="20"/>
        </w:rPr>
        <w:t xml:space="preserve"> </w:t>
      </w:r>
    </w:p>
    <w:p w14:paraId="45F37D78" w14:textId="77777777" w:rsidR="00B014D2" w:rsidRDefault="00C72819" w:rsidP="00C72819">
      <w:pPr>
        <w:jc w:val="both"/>
        <w:rPr>
          <w:rFonts w:ascii="Arial" w:hAnsi="Arial" w:cs="Arial"/>
          <w:sz w:val="20"/>
          <w:szCs w:val="20"/>
        </w:rPr>
      </w:pPr>
      <w:r w:rsidRPr="004C6941">
        <w:rPr>
          <w:rFonts w:ascii="Arial" w:hAnsi="Arial" w:cs="Arial"/>
          <w:sz w:val="20"/>
          <w:szCs w:val="20"/>
        </w:rPr>
        <w:t>In Cambodia, there are two types of land title classification such as</w:t>
      </w:r>
      <w:r w:rsidR="00BF5CD2">
        <w:rPr>
          <w:rFonts w:ascii="Arial" w:hAnsi="Arial" w:cs="Arial"/>
          <w:sz w:val="20"/>
          <w:szCs w:val="20"/>
        </w:rPr>
        <w:t>:</w:t>
      </w:r>
      <w:r w:rsidRPr="004C6941">
        <w:rPr>
          <w:rFonts w:ascii="Arial" w:hAnsi="Arial" w:cs="Arial"/>
          <w:sz w:val="20"/>
          <w:szCs w:val="20"/>
        </w:rPr>
        <w:t xml:space="preserve"> Hard </w:t>
      </w:r>
      <w:r>
        <w:rPr>
          <w:rFonts w:ascii="Arial" w:hAnsi="Arial" w:cs="Arial"/>
          <w:sz w:val="20"/>
          <w:szCs w:val="20"/>
        </w:rPr>
        <w:t xml:space="preserve">Titles </w:t>
      </w:r>
      <w:r w:rsidRPr="004C6941">
        <w:rPr>
          <w:rFonts w:ascii="Arial" w:hAnsi="Arial" w:cs="Arial"/>
          <w:sz w:val="20"/>
          <w:szCs w:val="20"/>
        </w:rPr>
        <w:t>and Soft Titles. Hard titles are the strongest form of ownership and duly recognized at a national level by the cadastral office and</w:t>
      </w:r>
      <w:r>
        <w:rPr>
          <w:rFonts w:ascii="Arial" w:hAnsi="Arial" w:cs="Arial"/>
          <w:sz w:val="20"/>
          <w:szCs w:val="20"/>
        </w:rPr>
        <w:t xml:space="preserve"> the</w:t>
      </w:r>
      <w:r w:rsidR="00B014D2">
        <w:rPr>
          <w:rFonts w:ascii="Arial" w:hAnsi="Arial" w:cs="Arial"/>
          <w:sz w:val="20"/>
          <w:szCs w:val="20"/>
        </w:rPr>
        <w:t xml:space="preserve"> Ministry of L</w:t>
      </w:r>
      <w:r w:rsidRPr="004C6941">
        <w:rPr>
          <w:rFonts w:ascii="Arial" w:hAnsi="Arial" w:cs="Arial"/>
          <w:sz w:val="20"/>
          <w:szCs w:val="20"/>
        </w:rPr>
        <w:t xml:space="preserve">and Management. The hard title is issued by the Land Management and Planning office. Soft titles are provided by </w:t>
      </w:r>
      <w:r>
        <w:rPr>
          <w:rFonts w:ascii="Arial" w:hAnsi="Arial" w:cs="Arial"/>
          <w:sz w:val="20"/>
          <w:szCs w:val="20"/>
        </w:rPr>
        <w:t xml:space="preserve">the </w:t>
      </w:r>
      <w:r w:rsidRPr="004C6941">
        <w:rPr>
          <w:rFonts w:ascii="Arial" w:hAnsi="Arial" w:cs="Arial"/>
          <w:sz w:val="20"/>
          <w:szCs w:val="20"/>
        </w:rPr>
        <w:t xml:space="preserve">District Office or Local </w:t>
      </w:r>
      <w:proofErr w:type="spellStart"/>
      <w:r w:rsidRPr="004C6941">
        <w:rPr>
          <w:rFonts w:ascii="Arial" w:hAnsi="Arial" w:cs="Arial"/>
          <w:sz w:val="20"/>
          <w:szCs w:val="20"/>
        </w:rPr>
        <w:t>Sangkat</w:t>
      </w:r>
      <w:proofErr w:type="spellEnd"/>
      <w:r w:rsidRPr="004C6941">
        <w:rPr>
          <w:rFonts w:ascii="Arial" w:hAnsi="Arial" w:cs="Arial"/>
          <w:sz w:val="20"/>
          <w:szCs w:val="20"/>
        </w:rPr>
        <w:t xml:space="preserve"> and are not registered at a national level but still considered as a possessory status. However, </w:t>
      </w:r>
      <w:r>
        <w:rPr>
          <w:rFonts w:ascii="Arial" w:hAnsi="Arial" w:cs="Arial"/>
          <w:sz w:val="20"/>
          <w:szCs w:val="20"/>
        </w:rPr>
        <w:t xml:space="preserve">in practice </w:t>
      </w:r>
      <w:r w:rsidRPr="004C6941">
        <w:rPr>
          <w:rFonts w:ascii="Arial" w:hAnsi="Arial" w:cs="Arial"/>
          <w:sz w:val="20"/>
          <w:szCs w:val="20"/>
        </w:rPr>
        <w:t>majority</w:t>
      </w:r>
      <w:r w:rsidR="00B014D2">
        <w:rPr>
          <w:rFonts w:ascii="Arial" w:hAnsi="Arial" w:cs="Arial"/>
          <w:sz w:val="20"/>
          <w:szCs w:val="20"/>
        </w:rPr>
        <w:t xml:space="preserve"> of</w:t>
      </w:r>
      <w:r w:rsidRPr="004C6941">
        <w:rPr>
          <w:rFonts w:ascii="Arial" w:hAnsi="Arial" w:cs="Arial"/>
          <w:sz w:val="20"/>
          <w:szCs w:val="20"/>
        </w:rPr>
        <w:t xml:space="preserve"> property transactions occur with soft titles to avoid ownership transfer fees and taxes. </w:t>
      </w:r>
    </w:p>
    <w:p w14:paraId="29213E36" w14:textId="77777777" w:rsidR="007A1DE4" w:rsidRPr="00B014D2" w:rsidRDefault="007A1DE4" w:rsidP="007A1DE4">
      <w:pPr>
        <w:jc w:val="both"/>
        <w:rPr>
          <w:rFonts w:ascii="Arial" w:hAnsi="Arial" w:cs="Arial"/>
          <w:sz w:val="20"/>
          <w:szCs w:val="20"/>
          <w:u w:val="single"/>
        </w:rPr>
      </w:pPr>
      <w:r w:rsidRPr="00B014D2">
        <w:rPr>
          <w:rFonts w:ascii="Arial" w:hAnsi="Arial" w:cs="Arial"/>
          <w:sz w:val="20"/>
          <w:szCs w:val="20"/>
          <w:u w:val="single"/>
        </w:rPr>
        <w:t>Soft Title</w:t>
      </w:r>
    </w:p>
    <w:p w14:paraId="7B5C5A61" w14:textId="77777777" w:rsidR="007A1DE4" w:rsidRDefault="007A1DE4" w:rsidP="007A1DE4">
      <w:pPr>
        <w:jc w:val="both"/>
        <w:rPr>
          <w:rFonts w:ascii="Arial" w:hAnsi="Arial" w:cs="Arial"/>
          <w:sz w:val="20"/>
          <w:szCs w:val="20"/>
        </w:rPr>
      </w:pPr>
      <w:r>
        <w:rPr>
          <w:rFonts w:ascii="Arial" w:hAnsi="Arial" w:cs="Arial"/>
          <w:sz w:val="20"/>
          <w:szCs w:val="20"/>
        </w:rPr>
        <w:t xml:space="preserve">The household information shows that majority of households (49 percent) hold Soft Titles, in most of the cases issued by the Local </w:t>
      </w:r>
      <w:proofErr w:type="spellStart"/>
      <w:r>
        <w:rPr>
          <w:rFonts w:ascii="Arial" w:hAnsi="Arial" w:cs="Arial"/>
          <w:sz w:val="20"/>
          <w:szCs w:val="20"/>
        </w:rPr>
        <w:t>Sangkats</w:t>
      </w:r>
      <w:proofErr w:type="spellEnd"/>
      <w:r>
        <w:rPr>
          <w:rFonts w:ascii="Arial" w:hAnsi="Arial" w:cs="Arial"/>
          <w:sz w:val="20"/>
          <w:szCs w:val="20"/>
        </w:rPr>
        <w:t>. And 51 percent reported that do not have soft titles</w:t>
      </w:r>
      <w:r w:rsidR="00CE793B">
        <w:rPr>
          <w:rFonts w:ascii="Arial" w:hAnsi="Arial" w:cs="Arial"/>
          <w:sz w:val="20"/>
          <w:szCs w:val="20"/>
        </w:rPr>
        <w:t>, major reasons were recorded as</w:t>
      </w:r>
      <w:r>
        <w:rPr>
          <w:rFonts w:ascii="Arial" w:hAnsi="Arial" w:cs="Arial"/>
          <w:sz w:val="20"/>
          <w:szCs w:val="20"/>
        </w:rPr>
        <w:t xml:space="preserve">: </w:t>
      </w:r>
      <w:r w:rsidR="00CE793B">
        <w:rPr>
          <w:rFonts w:ascii="Arial" w:hAnsi="Arial" w:cs="Arial"/>
          <w:sz w:val="20"/>
          <w:szCs w:val="20"/>
        </w:rPr>
        <w:t xml:space="preserve">(1) </w:t>
      </w:r>
      <w:r>
        <w:rPr>
          <w:rFonts w:ascii="Arial" w:hAnsi="Arial" w:cs="Arial"/>
          <w:sz w:val="20"/>
          <w:szCs w:val="20"/>
        </w:rPr>
        <w:t>do not know t</w:t>
      </w:r>
      <w:r w:rsidR="00CE793B">
        <w:rPr>
          <w:rFonts w:ascii="Arial" w:hAnsi="Arial" w:cs="Arial"/>
          <w:sz w:val="20"/>
          <w:szCs w:val="20"/>
        </w:rPr>
        <w:t>he process of getting it; (2)</w:t>
      </w:r>
      <w:r>
        <w:rPr>
          <w:rFonts w:ascii="Arial" w:hAnsi="Arial" w:cs="Arial"/>
          <w:sz w:val="20"/>
          <w:szCs w:val="20"/>
        </w:rPr>
        <w:t xml:space="preserve"> do not</w:t>
      </w:r>
      <w:r w:rsidR="00CE793B">
        <w:rPr>
          <w:rFonts w:ascii="Arial" w:hAnsi="Arial" w:cs="Arial"/>
          <w:sz w:val="20"/>
          <w:szCs w:val="20"/>
        </w:rPr>
        <w:t xml:space="preserve"> need soft title;</w:t>
      </w:r>
      <w:r>
        <w:rPr>
          <w:rFonts w:ascii="Arial" w:hAnsi="Arial" w:cs="Arial"/>
          <w:sz w:val="20"/>
          <w:szCs w:val="20"/>
        </w:rPr>
        <w:t xml:space="preserve"> </w:t>
      </w:r>
      <w:r w:rsidR="00CE793B">
        <w:rPr>
          <w:rFonts w:ascii="Arial" w:hAnsi="Arial" w:cs="Arial"/>
          <w:sz w:val="20"/>
          <w:szCs w:val="20"/>
        </w:rPr>
        <w:t xml:space="preserve">(3) </w:t>
      </w:r>
      <w:r>
        <w:rPr>
          <w:rFonts w:ascii="Arial" w:hAnsi="Arial" w:cs="Arial"/>
          <w:sz w:val="20"/>
          <w:szCs w:val="20"/>
        </w:rPr>
        <w:t>appli</w:t>
      </w:r>
      <w:r w:rsidR="00CE793B">
        <w:rPr>
          <w:rFonts w:ascii="Arial" w:hAnsi="Arial" w:cs="Arial"/>
          <w:sz w:val="20"/>
          <w:szCs w:val="20"/>
        </w:rPr>
        <w:t>ed and it’s under process</w:t>
      </w:r>
      <w:r>
        <w:rPr>
          <w:rFonts w:ascii="Arial" w:hAnsi="Arial" w:cs="Arial"/>
          <w:sz w:val="20"/>
          <w:szCs w:val="20"/>
        </w:rPr>
        <w:t xml:space="preserve">.  </w:t>
      </w:r>
    </w:p>
    <w:p w14:paraId="2104475B" w14:textId="77777777" w:rsidR="007A1DE4" w:rsidRPr="0055624C" w:rsidRDefault="007A1DE4" w:rsidP="007A1DE4">
      <w:pPr>
        <w:pStyle w:val="MediumGrid21"/>
        <w:jc w:val="both"/>
        <w:rPr>
          <w:rFonts w:ascii="Arial" w:hAnsi="Arial" w:cs="Arial"/>
          <w:sz w:val="20"/>
          <w:szCs w:val="20"/>
          <w:u w:val="single"/>
        </w:rPr>
      </w:pPr>
      <w:r w:rsidRPr="0055624C">
        <w:rPr>
          <w:rFonts w:ascii="Arial" w:hAnsi="Arial" w:cs="Arial"/>
          <w:sz w:val="20"/>
          <w:szCs w:val="20"/>
          <w:u w:val="single"/>
        </w:rPr>
        <w:t>Hard Titles</w:t>
      </w:r>
    </w:p>
    <w:p w14:paraId="3C323B4F" w14:textId="77777777" w:rsidR="007A1DE4" w:rsidRPr="009066E8" w:rsidRDefault="007A1DE4" w:rsidP="007A1DE4">
      <w:pPr>
        <w:pStyle w:val="MediumGrid21"/>
        <w:jc w:val="both"/>
        <w:rPr>
          <w:rFonts w:ascii="Arial" w:hAnsi="Arial" w:cs="Arial"/>
          <w:sz w:val="20"/>
          <w:szCs w:val="20"/>
        </w:rPr>
      </w:pPr>
    </w:p>
    <w:p w14:paraId="6E1A29F3" w14:textId="77777777" w:rsidR="007A1DE4" w:rsidRDefault="007A1DE4" w:rsidP="007A1DE4">
      <w:pPr>
        <w:pStyle w:val="MediumGrid21"/>
        <w:jc w:val="both"/>
        <w:rPr>
          <w:rFonts w:ascii="Arial" w:hAnsi="Arial" w:cs="Arial"/>
          <w:sz w:val="20"/>
          <w:szCs w:val="20"/>
        </w:rPr>
      </w:pPr>
      <w:r w:rsidRPr="009066E8">
        <w:rPr>
          <w:rFonts w:ascii="Arial" w:hAnsi="Arial" w:cs="Arial"/>
          <w:sz w:val="20"/>
          <w:szCs w:val="20"/>
        </w:rPr>
        <w:t xml:space="preserve">The information below illustrates that 44.2 percent of households are having a Hard Title. Interestingly, Battambang have highest number of households with hard titles (69.4 percent).   Mainly, (98.6 percent) Hard Titles are issued by the Provincial Governor. Those households who did not have hard titles reported reasons such as: </w:t>
      </w:r>
      <w:r w:rsidR="00CE793B">
        <w:rPr>
          <w:rFonts w:ascii="Arial" w:hAnsi="Arial" w:cs="Arial"/>
          <w:sz w:val="20"/>
          <w:szCs w:val="20"/>
        </w:rPr>
        <w:t xml:space="preserve">(1) </w:t>
      </w:r>
      <w:r w:rsidRPr="009066E8">
        <w:rPr>
          <w:rFonts w:ascii="Arial" w:hAnsi="Arial" w:cs="Arial"/>
          <w:sz w:val="20"/>
          <w:szCs w:val="20"/>
        </w:rPr>
        <w:t>applied under the p</w:t>
      </w:r>
      <w:r w:rsidR="00CE793B">
        <w:rPr>
          <w:rFonts w:ascii="Arial" w:hAnsi="Arial" w:cs="Arial"/>
          <w:sz w:val="20"/>
          <w:szCs w:val="20"/>
        </w:rPr>
        <w:t>rocess;</w:t>
      </w:r>
      <w:r w:rsidRPr="009066E8">
        <w:rPr>
          <w:rFonts w:ascii="Arial" w:hAnsi="Arial" w:cs="Arial"/>
          <w:sz w:val="20"/>
          <w:szCs w:val="20"/>
        </w:rPr>
        <w:t xml:space="preserve"> </w:t>
      </w:r>
      <w:r w:rsidR="00CE793B">
        <w:rPr>
          <w:rFonts w:ascii="Arial" w:hAnsi="Arial" w:cs="Arial"/>
          <w:sz w:val="20"/>
          <w:szCs w:val="20"/>
        </w:rPr>
        <w:t xml:space="preserve">(2) </w:t>
      </w:r>
      <w:r w:rsidRPr="009066E8">
        <w:rPr>
          <w:rFonts w:ascii="Arial" w:hAnsi="Arial" w:cs="Arial"/>
          <w:sz w:val="20"/>
          <w:szCs w:val="20"/>
        </w:rPr>
        <w:t>don’t know the process of get</w:t>
      </w:r>
      <w:r w:rsidR="00CE793B">
        <w:rPr>
          <w:rFonts w:ascii="Arial" w:hAnsi="Arial" w:cs="Arial"/>
          <w:sz w:val="20"/>
          <w:szCs w:val="20"/>
        </w:rPr>
        <w:t>ting a hard title;</w:t>
      </w:r>
      <w:r w:rsidRPr="009066E8">
        <w:rPr>
          <w:rFonts w:ascii="Arial" w:hAnsi="Arial" w:cs="Arial"/>
          <w:sz w:val="20"/>
          <w:szCs w:val="20"/>
        </w:rPr>
        <w:t xml:space="preserve"> </w:t>
      </w:r>
      <w:r w:rsidR="00CE793B">
        <w:rPr>
          <w:rFonts w:ascii="Arial" w:hAnsi="Arial" w:cs="Arial"/>
          <w:sz w:val="20"/>
          <w:szCs w:val="20"/>
        </w:rPr>
        <w:t xml:space="preserve">(3) </w:t>
      </w:r>
      <w:r w:rsidRPr="009066E8">
        <w:rPr>
          <w:rFonts w:ascii="Arial" w:hAnsi="Arial" w:cs="Arial"/>
          <w:sz w:val="20"/>
          <w:szCs w:val="20"/>
        </w:rPr>
        <w:t>too expensive</w:t>
      </w:r>
      <w:r w:rsidR="00CE793B">
        <w:rPr>
          <w:rFonts w:ascii="Arial" w:hAnsi="Arial" w:cs="Arial"/>
          <w:sz w:val="20"/>
          <w:szCs w:val="20"/>
        </w:rPr>
        <w:t>; (4)</w:t>
      </w:r>
      <w:r w:rsidRPr="009066E8">
        <w:rPr>
          <w:rFonts w:ascii="Arial" w:hAnsi="Arial" w:cs="Arial"/>
          <w:sz w:val="20"/>
          <w:szCs w:val="20"/>
        </w:rPr>
        <w:t xml:space="preserve"> cannot afford it</w:t>
      </w:r>
      <w:r w:rsidR="00CE793B">
        <w:rPr>
          <w:rFonts w:ascii="Arial" w:hAnsi="Arial" w:cs="Arial"/>
          <w:sz w:val="20"/>
          <w:szCs w:val="20"/>
        </w:rPr>
        <w:t>; and (5) do not need it</w:t>
      </w:r>
      <w:r w:rsidRPr="009066E8">
        <w:rPr>
          <w:rFonts w:ascii="Arial" w:hAnsi="Arial" w:cs="Arial"/>
          <w:sz w:val="20"/>
          <w:szCs w:val="20"/>
        </w:rPr>
        <w:t xml:space="preserve">. </w:t>
      </w:r>
    </w:p>
    <w:p w14:paraId="7CC850D3" w14:textId="77777777" w:rsidR="00CE793B" w:rsidRDefault="00CE793B" w:rsidP="007A1DE4">
      <w:pPr>
        <w:pStyle w:val="MediumGrid21"/>
        <w:jc w:val="both"/>
        <w:rPr>
          <w:rFonts w:ascii="Arial" w:hAnsi="Arial" w:cs="Arial"/>
          <w:sz w:val="20"/>
          <w:szCs w:val="20"/>
        </w:rPr>
      </w:pPr>
    </w:p>
    <w:p w14:paraId="2BD1B11B" w14:textId="77777777" w:rsidR="00CE793B" w:rsidRPr="00CE793B" w:rsidRDefault="00CE793B" w:rsidP="007A1DE4">
      <w:pPr>
        <w:pStyle w:val="MediumGrid21"/>
        <w:jc w:val="both"/>
        <w:rPr>
          <w:rFonts w:ascii="Arial" w:hAnsi="Arial" w:cs="Arial"/>
          <w:sz w:val="20"/>
          <w:szCs w:val="20"/>
        </w:rPr>
      </w:pPr>
      <w:r w:rsidRPr="00CE793B">
        <w:rPr>
          <w:rFonts w:ascii="Arial" w:hAnsi="Arial" w:cs="Arial"/>
          <w:b/>
          <w:sz w:val="20"/>
          <w:szCs w:val="20"/>
        </w:rPr>
        <w:t xml:space="preserve">Figure 4: </w:t>
      </w:r>
      <w:r>
        <w:rPr>
          <w:rFonts w:ascii="Arial" w:hAnsi="Arial" w:cs="Arial"/>
          <w:sz w:val="20"/>
          <w:szCs w:val="20"/>
        </w:rPr>
        <w:t xml:space="preserve">Percentage of household having </w:t>
      </w:r>
      <w:r w:rsidR="00417944">
        <w:rPr>
          <w:rFonts w:ascii="Arial" w:hAnsi="Arial" w:cs="Arial"/>
          <w:sz w:val="20"/>
          <w:szCs w:val="20"/>
          <w:u w:val="single"/>
        </w:rPr>
        <w:t>HARD AND SOFT TITLES</w:t>
      </w:r>
    </w:p>
    <w:p w14:paraId="2684156D" w14:textId="77777777" w:rsidR="007A1DE4" w:rsidRDefault="00F03280" w:rsidP="007A1DE4">
      <w:pPr>
        <w:spacing w:before="100" w:beforeAutospacing="1" w:after="100" w:afterAutospacing="1" w:line="240" w:lineRule="auto"/>
      </w:pPr>
      <w:r>
        <w:rPr>
          <w:noProof/>
          <w:lang w:val="en-GB" w:eastAsia="en-GB" w:bidi="ar-SA"/>
        </w:rPr>
        <w:drawing>
          <wp:inline distT="0" distB="0" distL="0" distR="0" wp14:anchorId="7807391C" wp14:editId="4826DD2F">
            <wp:extent cx="5308324" cy="1932167"/>
            <wp:effectExtent l="19050" t="0" r="2567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36CE6A" w14:textId="77777777" w:rsidR="007A1DE4" w:rsidRDefault="007A1DE4" w:rsidP="007A1DE4">
      <w:pPr>
        <w:spacing w:before="100" w:beforeAutospacing="1" w:after="100" w:afterAutospacing="1" w:line="240" w:lineRule="auto"/>
        <w:rPr>
          <w:rFonts w:ascii="Arial" w:hAnsi="Arial" w:cs="Arial"/>
          <w:sz w:val="20"/>
          <w:szCs w:val="20"/>
          <w:u w:val="single"/>
        </w:rPr>
      </w:pPr>
      <w:r>
        <w:rPr>
          <w:rFonts w:ascii="Arial" w:hAnsi="Arial" w:cs="Arial"/>
          <w:sz w:val="20"/>
          <w:szCs w:val="20"/>
          <w:u w:val="single"/>
        </w:rPr>
        <w:lastRenderedPageBreak/>
        <w:t>Households without</w:t>
      </w:r>
      <w:r w:rsidRPr="007A1DE4">
        <w:rPr>
          <w:rFonts w:ascii="Arial" w:hAnsi="Arial" w:cs="Arial"/>
          <w:sz w:val="20"/>
          <w:szCs w:val="20"/>
          <w:u w:val="single"/>
        </w:rPr>
        <w:t xml:space="preserve"> Land </w:t>
      </w:r>
      <w:r w:rsidR="00CE793B">
        <w:rPr>
          <w:rFonts w:ascii="Arial" w:hAnsi="Arial" w:cs="Arial"/>
          <w:sz w:val="20"/>
          <w:szCs w:val="20"/>
          <w:u w:val="single"/>
        </w:rPr>
        <w:t>Titles</w:t>
      </w:r>
    </w:p>
    <w:p w14:paraId="35998DDA" w14:textId="77777777" w:rsidR="007A1DE4" w:rsidRDefault="00CE793B" w:rsidP="007A1DE4">
      <w:pPr>
        <w:spacing w:before="100" w:beforeAutospacing="1" w:after="100" w:afterAutospacing="1" w:line="240" w:lineRule="auto"/>
        <w:rPr>
          <w:rFonts w:ascii="Arial" w:hAnsi="Arial" w:cs="Arial"/>
          <w:sz w:val="20"/>
          <w:szCs w:val="20"/>
        </w:rPr>
      </w:pPr>
      <w:r w:rsidRPr="00417944">
        <w:rPr>
          <w:rFonts w:ascii="Arial" w:hAnsi="Arial" w:cs="Arial"/>
          <w:sz w:val="20"/>
          <w:szCs w:val="20"/>
        </w:rPr>
        <w:t xml:space="preserve">Figure 5 </w:t>
      </w:r>
      <w:r w:rsidR="003F269B" w:rsidRPr="00417944">
        <w:rPr>
          <w:rFonts w:ascii="Arial" w:hAnsi="Arial" w:cs="Arial"/>
          <w:sz w:val="20"/>
          <w:szCs w:val="20"/>
        </w:rPr>
        <w:t>illustrates</w:t>
      </w:r>
      <w:r w:rsidR="007A1DE4" w:rsidRPr="00417944">
        <w:rPr>
          <w:rFonts w:ascii="Arial" w:hAnsi="Arial" w:cs="Arial"/>
          <w:sz w:val="20"/>
          <w:szCs w:val="20"/>
        </w:rPr>
        <w:t xml:space="preserve"> that 80.8 percent of households hold </w:t>
      </w:r>
      <w:r w:rsidR="003F269B" w:rsidRPr="00417944">
        <w:rPr>
          <w:rFonts w:ascii="Arial" w:hAnsi="Arial" w:cs="Arial"/>
          <w:sz w:val="20"/>
          <w:szCs w:val="20"/>
        </w:rPr>
        <w:t xml:space="preserve">soft or hard titles. </w:t>
      </w:r>
      <w:r w:rsidR="007A1DE4" w:rsidRPr="00417944">
        <w:rPr>
          <w:rFonts w:ascii="Arial" w:hAnsi="Arial" w:cs="Arial"/>
          <w:sz w:val="20"/>
          <w:szCs w:val="20"/>
        </w:rPr>
        <w:t>How</w:t>
      </w:r>
      <w:r w:rsidR="00417944" w:rsidRPr="00417944">
        <w:rPr>
          <w:rFonts w:ascii="Arial" w:hAnsi="Arial" w:cs="Arial"/>
          <w:sz w:val="20"/>
          <w:szCs w:val="20"/>
        </w:rPr>
        <w:t>ever</w:t>
      </w:r>
      <w:r w:rsidR="00417944">
        <w:rPr>
          <w:rFonts w:ascii="Arial" w:hAnsi="Arial" w:cs="Arial"/>
          <w:sz w:val="20"/>
          <w:szCs w:val="20"/>
        </w:rPr>
        <w:t>, 19.2 percent</w:t>
      </w:r>
      <w:r w:rsidR="007A1DE4">
        <w:rPr>
          <w:rFonts w:ascii="Arial" w:hAnsi="Arial" w:cs="Arial"/>
          <w:sz w:val="20"/>
          <w:szCs w:val="20"/>
        </w:rPr>
        <w:t xml:space="preserve"> do not own </w:t>
      </w:r>
      <w:r w:rsidR="00417944">
        <w:rPr>
          <w:rFonts w:ascii="Arial" w:hAnsi="Arial" w:cs="Arial"/>
          <w:sz w:val="20"/>
          <w:szCs w:val="20"/>
        </w:rPr>
        <w:t>any land titles which means they don’t have any</w:t>
      </w:r>
      <w:r w:rsidR="003F269B">
        <w:rPr>
          <w:rFonts w:ascii="Arial" w:hAnsi="Arial" w:cs="Arial"/>
          <w:sz w:val="20"/>
          <w:szCs w:val="20"/>
        </w:rPr>
        <w:t xml:space="preserve"> land ownership certificate</w:t>
      </w:r>
      <w:r w:rsidR="007A1DE4">
        <w:rPr>
          <w:rFonts w:ascii="Arial" w:hAnsi="Arial" w:cs="Arial"/>
          <w:sz w:val="20"/>
          <w:szCs w:val="20"/>
        </w:rPr>
        <w:t xml:space="preserve">. </w:t>
      </w:r>
    </w:p>
    <w:p w14:paraId="5EE3B9C3" w14:textId="77777777" w:rsidR="00CE793B" w:rsidRPr="007A1DE4" w:rsidRDefault="00CE793B" w:rsidP="007A1DE4">
      <w:pPr>
        <w:spacing w:before="100" w:beforeAutospacing="1" w:after="100" w:afterAutospacing="1" w:line="240" w:lineRule="auto"/>
        <w:rPr>
          <w:lang w:val="ru-RU"/>
        </w:rPr>
      </w:pPr>
      <w:r w:rsidRPr="003F269B">
        <w:rPr>
          <w:rFonts w:ascii="Arial" w:hAnsi="Arial" w:cs="Arial"/>
          <w:b/>
          <w:sz w:val="20"/>
          <w:szCs w:val="20"/>
        </w:rPr>
        <w:t>Figure 5:</w:t>
      </w:r>
      <w:r>
        <w:rPr>
          <w:rFonts w:ascii="Arial" w:hAnsi="Arial" w:cs="Arial"/>
          <w:sz w:val="20"/>
          <w:szCs w:val="20"/>
        </w:rPr>
        <w:t xml:space="preserve"> </w:t>
      </w:r>
      <w:r w:rsidR="003F269B">
        <w:rPr>
          <w:rFonts w:ascii="Arial" w:hAnsi="Arial" w:cs="Arial"/>
          <w:sz w:val="20"/>
          <w:szCs w:val="20"/>
        </w:rPr>
        <w:t>Percentage of households with and without land titles</w:t>
      </w:r>
    </w:p>
    <w:p w14:paraId="615A5850" w14:textId="77777777" w:rsidR="00F03280" w:rsidRDefault="007A1DE4" w:rsidP="00C72819">
      <w:pPr>
        <w:jc w:val="both"/>
        <w:rPr>
          <w:rFonts w:ascii="Arial" w:hAnsi="Arial" w:cs="Arial"/>
          <w:sz w:val="20"/>
          <w:szCs w:val="20"/>
          <w:u w:val="single"/>
        </w:rPr>
      </w:pPr>
      <w:r w:rsidRPr="007A1DE4">
        <w:rPr>
          <w:rFonts w:ascii="Arial" w:hAnsi="Arial" w:cs="Arial"/>
          <w:noProof/>
          <w:sz w:val="20"/>
          <w:szCs w:val="20"/>
          <w:u w:val="single"/>
          <w:lang w:val="en-GB" w:eastAsia="en-GB" w:bidi="ar-SA"/>
        </w:rPr>
        <w:drawing>
          <wp:inline distT="0" distB="0" distL="0" distR="0" wp14:anchorId="16003137" wp14:editId="206CB5FE">
            <wp:extent cx="3750693" cy="1578634"/>
            <wp:effectExtent l="19050" t="0" r="21207" b="2516"/>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FAD32C" w14:textId="77777777" w:rsidR="00F03280" w:rsidRDefault="00F03280" w:rsidP="00C72819">
      <w:pPr>
        <w:jc w:val="both"/>
        <w:rPr>
          <w:rFonts w:ascii="Arial" w:hAnsi="Arial" w:cs="Arial"/>
          <w:sz w:val="20"/>
          <w:szCs w:val="20"/>
          <w:u w:val="single"/>
        </w:rPr>
      </w:pPr>
    </w:p>
    <w:p w14:paraId="6E841E37" w14:textId="77777777" w:rsidR="00B014D2" w:rsidRDefault="00417944" w:rsidP="00B014D2">
      <w:pPr>
        <w:jc w:val="both"/>
        <w:rPr>
          <w:rFonts w:ascii="Arial" w:hAnsi="Arial" w:cs="Arial"/>
          <w:sz w:val="20"/>
          <w:szCs w:val="20"/>
        </w:rPr>
      </w:pPr>
      <w:r>
        <w:rPr>
          <w:rFonts w:ascii="Arial" w:hAnsi="Arial" w:cs="Arial"/>
          <w:sz w:val="20"/>
          <w:szCs w:val="20"/>
        </w:rPr>
        <w:t>Figure 6</w:t>
      </w:r>
      <w:r w:rsidR="00B014D2">
        <w:rPr>
          <w:rFonts w:ascii="Arial" w:hAnsi="Arial" w:cs="Arial"/>
          <w:sz w:val="20"/>
          <w:szCs w:val="20"/>
        </w:rPr>
        <w:t xml:space="preserve"> shows that nearly 92.3 percent of </w:t>
      </w:r>
      <w:r w:rsidR="00E03A29">
        <w:rPr>
          <w:rFonts w:ascii="Arial" w:hAnsi="Arial" w:cs="Arial"/>
          <w:sz w:val="20"/>
          <w:szCs w:val="20"/>
        </w:rPr>
        <w:t xml:space="preserve">Soft Titles </w:t>
      </w:r>
      <w:r>
        <w:rPr>
          <w:rFonts w:ascii="Arial" w:hAnsi="Arial" w:cs="Arial"/>
          <w:sz w:val="20"/>
          <w:szCs w:val="20"/>
        </w:rPr>
        <w:t>are j</w:t>
      </w:r>
      <w:r w:rsidR="00E03A29">
        <w:rPr>
          <w:rFonts w:ascii="Arial" w:hAnsi="Arial" w:cs="Arial"/>
          <w:sz w:val="20"/>
          <w:szCs w:val="20"/>
        </w:rPr>
        <w:t>oint title with spouses, while Hard T</w:t>
      </w:r>
      <w:r>
        <w:rPr>
          <w:rFonts w:ascii="Arial" w:hAnsi="Arial" w:cs="Arial"/>
          <w:sz w:val="20"/>
          <w:szCs w:val="20"/>
        </w:rPr>
        <w:t xml:space="preserve">itles </w:t>
      </w:r>
      <w:r w:rsidR="00E03A29">
        <w:rPr>
          <w:rFonts w:ascii="Arial" w:hAnsi="Arial" w:cs="Arial"/>
          <w:sz w:val="20"/>
          <w:szCs w:val="20"/>
        </w:rPr>
        <w:t>are only 58.8 percent.</w:t>
      </w:r>
    </w:p>
    <w:p w14:paraId="5D881F03" w14:textId="77777777" w:rsidR="006870FC" w:rsidRDefault="00417944" w:rsidP="006870FC">
      <w:pPr>
        <w:jc w:val="both"/>
        <w:rPr>
          <w:rFonts w:ascii="Arial" w:hAnsi="Arial" w:cs="Arial"/>
          <w:b/>
          <w:color w:val="1A1A1A"/>
          <w:sz w:val="20"/>
          <w:szCs w:val="20"/>
          <w:shd w:val="clear" w:color="auto" w:fill="FFFFFF"/>
        </w:rPr>
      </w:pPr>
      <w:r w:rsidRPr="006870FC">
        <w:rPr>
          <w:rFonts w:ascii="Arial" w:hAnsi="Arial" w:cs="Arial"/>
          <w:b/>
          <w:sz w:val="20"/>
          <w:szCs w:val="20"/>
        </w:rPr>
        <w:t xml:space="preserve">Figure </w:t>
      </w:r>
      <w:r w:rsidR="00E03A29" w:rsidRPr="006870FC">
        <w:rPr>
          <w:rFonts w:ascii="Arial" w:hAnsi="Arial" w:cs="Arial"/>
          <w:b/>
          <w:sz w:val="20"/>
          <w:szCs w:val="20"/>
        </w:rPr>
        <w:t>6</w:t>
      </w:r>
      <w:r w:rsidR="00E03A29" w:rsidRPr="006870FC">
        <w:rPr>
          <w:rFonts w:ascii="Arial" w:hAnsi="Arial" w:cs="Arial"/>
          <w:sz w:val="20"/>
          <w:szCs w:val="20"/>
        </w:rPr>
        <w:t>:</w:t>
      </w:r>
      <w:r w:rsidR="00B014D2" w:rsidRPr="00317B36">
        <w:rPr>
          <w:rFonts w:ascii="Arial" w:hAnsi="Arial" w:cs="Arial"/>
          <w:sz w:val="20"/>
          <w:szCs w:val="20"/>
        </w:rPr>
        <w:t xml:space="preserve"> Is </w:t>
      </w:r>
      <w:r w:rsidR="00B014D2" w:rsidRPr="00317B36">
        <w:rPr>
          <w:rFonts w:ascii="Arial" w:hAnsi="Arial" w:cs="Arial"/>
          <w:sz w:val="20"/>
          <w:szCs w:val="20"/>
          <w:u w:val="single"/>
        </w:rPr>
        <w:t xml:space="preserve">Soft </w:t>
      </w:r>
      <w:r w:rsidR="00E03A29" w:rsidRPr="00317B36">
        <w:rPr>
          <w:rFonts w:ascii="Arial" w:hAnsi="Arial" w:cs="Arial"/>
          <w:sz w:val="20"/>
          <w:szCs w:val="20"/>
          <w:u w:val="single"/>
        </w:rPr>
        <w:t>Title</w:t>
      </w:r>
      <w:r w:rsidR="00E03A29" w:rsidRPr="00317B36">
        <w:rPr>
          <w:rFonts w:ascii="Arial" w:hAnsi="Arial" w:cs="Arial"/>
          <w:sz w:val="20"/>
          <w:szCs w:val="20"/>
        </w:rPr>
        <w:t xml:space="preserve"> is</w:t>
      </w:r>
      <w:r w:rsidR="00B014D2" w:rsidRPr="00317B36">
        <w:rPr>
          <w:rFonts w:ascii="Arial" w:hAnsi="Arial" w:cs="Arial"/>
          <w:sz w:val="20"/>
          <w:szCs w:val="20"/>
        </w:rPr>
        <w:t xml:space="preserve"> a joint title with your spouse?</w:t>
      </w:r>
      <w:r w:rsidR="00317B36">
        <w:rPr>
          <w:rFonts w:ascii="Arial" w:hAnsi="Arial" w:cs="Arial"/>
          <w:sz w:val="20"/>
          <w:szCs w:val="20"/>
        </w:rPr>
        <w:t xml:space="preserve">  </w:t>
      </w:r>
    </w:p>
    <w:p w14:paraId="4A1A99D2" w14:textId="77777777" w:rsidR="00B014D2" w:rsidRPr="006870FC" w:rsidRDefault="00B014D2" w:rsidP="006870FC">
      <w:pPr>
        <w:jc w:val="both"/>
        <w:rPr>
          <w:rFonts w:ascii="Arial" w:hAnsi="Arial" w:cs="Arial"/>
          <w:b/>
          <w:color w:val="1A1A1A"/>
          <w:sz w:val="20"/>
          <w:szCs w:val="20"/>
          <w:shd w:val="clear" w:color="auto" w:fill="FFFFFF"/>
        </w:rPr>
      </w:pPr>
      <w:r>
        <w:rPr>
          <w:noProof/>
          <w:lang w:val="en-GB" w:eastAsia="en-GB" w:bidi="ar-SA"/>
        </w:rPr>
        <w:drawing>
          <wp:inline distT="0" distB="0" distL="0" distR="0" wp14:anchorId="058E8ECB" wp14:editId="4908BA18">
            <wp:extent cx="2945875" cy="1526650"/>
            <wp:effectExtent l="19050" t="0" r="25925" b="0"/>
            <wp:docPr id="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8BDE0F" w14:textId="77777777" w:rsidR="006870FC" w:rsidRDefault="006870FC" w:rsidP="00C72819">
      <w:pPr>
        <w:jc w:val="both"/>
        <w:rPr>
          <w:rFonts w:ascii="Arial" w:hAnsi="Arial" w:cs="Arial"/>
          <w:b/>
          <w:color w:val="1A1A1A"/>
          <w:sz w:val="20"/>
          <w:szCs w:val="20"/>
          <w:shd w:val="clear" w:color="auto" w:fill="FFFFFF"/>
        </w:rPr>
      </w:pPr>
    </w:p>
    <w:p w14:paraId="05D2DE50" w14:textId="77777777" w:rsidR="0055624C" w:rsidRPr="00E03A29" w:rsidRDefault="006870FC" w:rsidP="00C72819">
      <w:pPr>
        <w:jc w:val="both"/>
        <w:rPr>
          <w:rFonts w:ascii="Arial" w:hAnsi="Arial" w:cs="Arial"/>
          <w:color w:val="1A1A1A"/>
          <w:sz w:val="20"/>
          <w:szCs w:val="20"/>
          <w:shd w:val="clear" w:color="auto" w:fill="FFFFFF"/>
        </w:rPr>
      </w:pPr>
      <w:r w:rsidRPr="006870FC">
        <w:rPr>
          <w:rFonts w:ascii="Arial" w:hAnsi="Arial" w:cs="Arial"/>
          <w:b/>
          <w:color w:val="1A1A1A"/>
          <w:sz w:val="20"/>
          <w:szCs w:val="20"/>
          <w:shd w:val="clear" w:color="auto" w:fill="FFFFFF"/>
        </w:rPr>
        <w:t>Figure 7</w:t>
      </w:r>
      <w:r>
        <w:rPr>
          <w:rFonts w:ascii="Arial" w:hAnsi="Arial" w:cs="Arial"/>
          <w:color w:val="1A1A1A"/>
          <w:sz w:val="20"/>
          <w:szCs w:val="20"/>
          <w:shd w:val="clear" w:color="auto" w:fill="FFFFFF"/>
        </w:rPr>
        <w:t xml:space="preserve">: Is hard title is a joint title with your spouse? </w:t>
      </w:r>
    </w:p>
    <w:p w14:paraId="05A75618" w14:textId="77777777" w:rsidR="00C51E77" w:rsidRDefault="00C51E77" w:rsidP="00C51E77">
      <w:pPr>
        <w:pStyle w:val="MediumGrid21"/>
        <w:rPr>
          <w:rFonts w:cs="Calibri"/>
          <w:b/>
          <w:bCs/>
          <w:sz w:val="20"/>
          <w:szCs w:val="20"/>
        </w:rPr>
      </w:pPr>
      <w:r>
        <w:rPr>
          <w:noProof/>
          <w:lang w:val="en-GB" w:eastAsia="en-GB"/>
        </w:rPr>
        <w:drawing>
          <wp:inline distT="0" distB="0" distL="0" distR="0" wp14:anchorId="6ED7F4F8" wp14:editId="6DDDCE85">
            <wp:extent cx="2946787" cy="1637969"/>
            <wp:effectExtent l="19050" t="0" r="25013" b="331"/>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9E7E94" w14:textId="77777777" w:rsidR="007155BA" w:rsidRDefault="007155BA" w:rsidP="00C72819">
      <w:pPr>
        <w:jc w:val="both"/>
        <w:rPr>
          <w:rFonts w:ascii="Arial" w:hAnsi="Arial" w:cs="Arial"/>
          <w:color w:val="1A1A1A"/>
          <w:sz w:val="20"/>
          <w:szCs w:val="20"/>
          <w:shd w:val="clear" w:color="auto" w:fill="FFFFFF"/>
        </w:rPr>
      </w:pPr>
    </w:p>
    <w:p w14:paraId="7E6AE5E1" w14:textId="77777777" w:rsidR="00C72819" w:rsidRPr="00480E55" w:rsidRDefault="00F13B1D" w:rsidP="00C72819">
      <w:pPr>
        <w:jc w:val="both"/>
        <w:rPr>
          <w:rFonts w:ascii="Arial" w:hAnsi="Arial" w:cs="Arial"/>
          <w:color w:val="5B9BD5" w:themeColor="accent1"/>
          <w:sz w:val="20"/>
          <w:szCs w:val="20"/>
          <w:shd w:val="clear" w:color="auto" w:fill="FFFFFF"/>
        </w:rPr>
      </w:pPr>
      <w:r>
        <w:rPr>
          <w:rFonts w:ascii="Arial" w:hAnsi="Arial" w:cs="Arial"/>
          <w:color w:val="5B9BD5" w:themeColor="accent1"/>
          <w:sz w:val="20"/>
          <w:szCs w:val="20"/>
          <w:shd w:val="clear" w:color="auto" w:fill="FFFFFF"/>
        </w:rPr>
        <w:t xml:space="preserve">LAND </w:t>
      </w:r>
      <w:r w:rsidR="0046746D" w:rsidRPr="00480E55">
        <w:rPr>
          <w:rFonts w:ascii="Arial" w:hAnsi="Arial" w:cs="Arial"/>
          <w:color w:val="5B9BD5" w:themeColor="accent1"/>
          <w:sz w:val="20"/>
          <w:szCs w:val="20"/>
          <w:shd w:val="clear" w:color="auto" w:fill="FFFFFF"/>
        </w:rPr>
        <w:t xml:space="preserve">DISPUTES </w:t>
      </w:r>
    </w:p>
    <w:p w14:paraId="6601DB27" w14:textId="77777777" w:rsidR="007155BA" w:rsidRDefault="006870FC" w:rsidP="00C72819">
      <w:pPr>
        <w:jc w:val="both"/>
        <w:rPr>
          <w:rFonts w:ascii="Arial" w:hAnsi="Arial" w:cs="Arial"/>
          <w:color w:val="1A1A1A"/>
          <w:sz w:val="20"/>
          <w:szCs w:val="20"/>
          <w:shd w:val="clear" w:color="auto" w:fill="FFFFFF"/>
        </w:rPr>
      </w:pPr>
      <w:r>
        <w:rPr>
          <w:rFonts w:ascii="Arial" w:hAnsi="Arial" w:cs="Arial"/>
          <w:color w:val="1A1A1A"/>
          <w:sz w:val="20"/>
          <w:szCs w:val="20"/>
          <w:shd w:val="clear" w:color="auto" w:fill="FFFFFF"/>
        </w:rPr>
        <w:lastRenderedPageBreak/>
        <w:t>Figure 8</w:t>
      </w:r>
      <w:r w:rsidR="007155BA">
        <w:rPr>
          <w:rFonts w:ascii="Arial" w:hAnsi="Arial" w:cs="Arial"/>
          <w:color w:val="1A1A1A"/>
          <w:sz w:val="20"/>
          <w:szCs w:val="20"/>
          <w:shd w:val="clear" w:color="auto" w:fill="FFFFFF"/>
        </w:rPr>
        <w:t xml:space="preserve"> illustrates that land disputes is not an issue in </w:t>
      </w:r>
      <w:r>
        <w:rPr>
          <w:rFonts w:ascii="Arial" w:hAnsi="Arial" w:cs="Arial"/>
          <w:color w:val="1A1A1A"/>
          <w:sz w:val="20"/>
          <w:szCs w:val="20"/>
          <w:shd w:val="clear" w:color="auto" w:fill="FFFFFF"/>
        </w:rPr>
        <w:t xml:space="preserve">the </w:t>
      </w:r>
      <w:r w:rsidR="007155BA">
        <w:rPr>
          <w:rFonts w:ascii="Arial" w:hAnsi="Arial" w:cs="Arial"/>
          <w:color w:val="1A1A1A"/>
          <w:sz w:val="20"/>
          <w:szCs w:val="20"/>
          <w:shd w:val="clear" w:color="auto" w:fill="FFFFFF"/>
        </w:rPr>
        <w:t xml:space="preserve">three provinces. In total, 95.8 percent respondents stated that they have </w:t>
      </w:r>
      <w:r w:rsidR="00C51E77">
        <w:rPr>
          <w:rFonts w:ascii="Arial" w:hAnsi="Arial" w:cs="Arial"/>
          <w:color w:val="1A1A1A"/>
          <w:sz w:val="20"/>
          <w:szCs w:val="20"/>
          <w:shd w:val="clear" w:color="auto" w:fill="FFFFFF"/>
        </w:rPr>
        <w:t>not</w:t>
      </w:r>
      <w:r w:rsidR="007155BA">
        <w:rPr>
          <w:rFonts w:ascii="Arial" w:hAnsi="Arial" w:cs="Arial"/>
          <w:color w:val="1A1A1A"/>
          <w:sz w:val="20"/>
          <w:szCs w:val="20"/>
          <w:shd w:val="clear" w:color="auto" w:fill="FFFFFF"/>
        </w:rPr>
        <w:t xml:space="preserve"> expe</w:t>
      </w:r>
      <w:r w:rsidR="00014E79">
        <w:rPr>
          <w:rFonts w:ascii="Arial" w:hAnsi="Arial" w:cs="Arial"/>
          <w:color w:val="1A1A1A"/>
          <w:sz w:val="20"/>
          <w:szCs w:val="20"/>
          <w:shd w:val="clear" w:color="auto" w:fill="FFFFFF"/>
        </w:rPr>
        <w:t>rienced land disputes,</w:t>
      </w:r>
      <w:r w:rsidR="007155BA">
        <w:rPr>
          <w:rFonts w:ascii="Arial" w:hAnsi="Arial" w:cs="Arial"/>
          <w:color w:val="1A1A1A"/>
          <w:sz w:val="20"/>
          <w:szCs w:val="20"/>
          <w:shd w:val="clear" w:color="auto" w:fill="FFFFFF"/>
        </w:rPr>
        <w:t xml:space="preserve"> grabbing</w:t>
      </w:r>
      <w:r w:rsidR="00014E79">
        <w:rPr>
          <w:rFonts w:ascii="Arial" w:hAnsi="Arial" w:cs="Arial"/>
          <w:color w:val="1A1A1A"/>
          <w:sz w:val="20"/>
          <w:szCs w:val="20"/>
          <w:shd w:val="clear" w:color="auto" w:fill="FFFFFF"/>
        </w:rPr>
        <w:t xml:space="preserve"> or other related problems. Only</w:t>
      </w:r>
      <w:r w:rsidR="007155BA">
        <w:rPr>
          <w:rFonts w:ascii="Arial" w:hAnsi="Arial" w:cs="Arial"/>
          <w:color w:val="1A1A1A"/>
          <w:sz w:val="20"/>
          <w:szCs w:val="20"/>
          <w:shd w:val="clear" w:color="auto" w:fill="FFFFFF"/>
        </w:rPr>
        <w:t xml:space="preserve"> 4.2 percent </w:t>
      </w:r>
      <w:r>
        <w:rPr>
          <w:rFonts w:ascii="Arial" w:hAnsi="Arial" w:cs="Arial"/>
          <w:color w:val="1A1A1A"/>
          <w:sz w:val="20"/>
          <w:szCs w:val="20"/>
          <w:shd w:val="clear" w:color="auto" w:fill="FFFFFF"/>
        </w:rPr>
        <w:t xml:space="preserve">of households </w:t>
      </w:r>
      <w:r w:rsidR="007155BA">
        <w:rPr>
          <w:rFonts w:ascii="Arial" w:hAnsi="Arial" w:cs="Arial"/>
          <w:color w:val="1A1A1A"/>
          <w:sz w:val="20"/>
          <w:szCs w:val="20"/>
          <w:shd w:val="clear" w:color="auto" w:fill="FFFFFF"/>
        </w:rPr>
        <w:t>mentioned</w:t>
      </w:r>
      <w:r w:rsidR="00014E79">
        <w:rPr>
          <w:rFonts w:ascii="Arial" w:hAnsi="Arial" w:cs="Arial"/>
          <w:color w:val="1A1A1A"/>
          <w:sz w:val="20"/>
          <w:szCs w:val="20"/>
          <w:shd w:val="clear" w:color="auto" w:fill="FFFFFF"/>
        </w:rPr>
        <w:t xml:space="preserve"> that </w:t>
      </w:r>
      <w:r>
        <w:rPr>
          <w:rFonts w:ascii="Arial" w:hAnsi="Arial" w:cs="Arial"/>
          <w:color w:val="1A1A1A"/>
          <w:sz w:val="20"/>
          <w:szCs w:val="20"/>
          <w:shd w:val="clear" w:color="auto" w:fill="FFFFFF"/>
        </w:rPr>
        <w:t xml:space="preserve">they </w:t>
      </w:r>
      <w:r w:rsidR="00014E79">
        <w:rPr>
          <w:rFonts w:ascii="Arial" w:hAnsi="Arial" w:cs="Arial"/>
          <w:color w:val="1A1A1A"/>
          <w:sz w:val="20"/>
          <w:szCs w:val="20"/>
          <w:shd w:val="clear" w:color="auto" w:fill="FFFFFF"/>
        </w:rPr>
        <w:t>have experienced disputes</w:t>
      </w:r>
      <w:r w:rsidR="007155BA">
        <w:rPr>
          <w:rFonts w:ascii="Arial" w:hAnsi="Arial" w:cs="Arial"/>
          <w:color w:val="1A1A1A"/>
          <w:sz w:val="20"/>
          <w:szCs w:val="20"/>
          <w:shd w:val="clear" w:color="auto" w:fill="FFFFFF"/>
        </w:rPr>
        <w:t xml:space="preserve"> </w:t>
      </w:r>
      <w:r>
        <w:rPr>
          <w:rFonts w:ascii="Arial" w:hAnsi="Arial" w:cs="Arial"/>
          <w:color w:val="1A1A1A"/>
          <w:sz w:val="20"/>
          <w:szCs w:val="20"/>
          <w:shd w:val="clear" w:color="auto" w:fill="FFFFFF"/>
        </w:rPr>
        <w:t xml:space="preserve">(1) </w:t>
      </w:r>
      <w:r w:rsidR="007155BA">
        <w:rPr>
          <w:rFonts w:ascii="Arial" w:hAnsi="Arial" w:cs="Arial"/>
          <w:color w:val="1A1A1A"/>
          <w:sz w:val="20"/>
          <w:szCs w:val="20"/>
          <w:shd w:val="clear" w:color="auto" w:fill="FFFFFF"/>
        </w:rPr>
        <w:t xml:space="preserve">due to </w:t>
      </w:r>
      <w:r>
        <w:rPr>
          <w:rFonts w:ascii="Arial" w:hAnsi="Arial" w:cs="Arial"/>
          <w:color w:val="1A1A1A"/>
          <w:sz w:val="20"/>
          <w:szCs w:val="20"/>
          <w:shd w:val="clear" w:color="auto" w:fill="FFFFFF"/>
        </w:rPr>
        <w:t>cash of claim with neighbor; (2)</w:t>
      </w:r>
      <w:r w:rsidR="003103CF">
        <w:rPr>
          <w:rFonts w:ascii="Arial" w:hAnsi="Arial" w:cs="Arial"/>
          <w:color w:val="1A1A1A"/>
          <w:sz w:val="20"/>
          <w:szCs w:val="20"/>
          <w:shd w:val="clear" w:color="auto" w:fill="FFFFFF"/>
        </w:rPr>
        <w:t xml:space="preserve"> lack of valid legal documents and </w:t>
      </w:r>
      <w:r>
        <w:rPr>
          <w:rFonts w:ascii="Arial" w:hAnsi="Arial" w:cs="Arial"/>
          <w:color w:val="1A1A1A"/>
          <w:sz w:val="20"/>
          <w:szCs w:val="20"/>
          <w:shd w:val="clear" w:color="auto" w:fill="FFFFFF"/>
        </w:rPr>
        <w:t xml:space="preserve">(3) </w:t>
      </w:r>
      <w:r w:rsidR="003103CF">
        <w:rPr>
          <w:rFonts w:ascii="Arial" w:hAnsi="Arial" w:cs="Arial"/>
          <w:color w:val="1A1A1A"/>
          <w:sz w:val="20"/>
          <w:szCs w:val="20"/>
          <w:shd w:val="clear" w:color="auto" w:fill="FFFFFF"/>
        </w:rPr>
        <w:t xml:space="preserve">cash of claim with </w:t>
      </w:r>
      <w:r>
        <w:rPr>
          <w:rFonts w:ascii="Arial" w:hAnsi="Arial" w:cs="Arial"/>
          <w:color w:val="1A1A1A"/>
          <w:sz w:val="20"/>
          <w:szCs w:val="20"/>
          <w:shd w:val="clear" w:color="auto" w:fill="FFFFFF"/>
        </w:rPr>
        <w:t xml:space="preserve">local </w:t>
      </w:r>
      <w:r w:rsidR="003103CF">
        <w:rPr>
          <w:rFonts w:ascii="Arial" w:hAnsi="Arial" w:cs="Arial"/>
          <w:color w:val="1A1A1A"/>
          <w:sz w:val="20"/>
          <w:szCs w:val="20"/>
          <w:shd w:val="clear" w:color="auto" w:fill="FFFFFF"/>
        </w:rPr>
        <w:t xml:space="preserve">authorities. </w:t>
      </w:r>
    </w:p>
    <w:p w14:paraId="70414F17" w14:textId="77777777" w:rsidR="007155BA" w:rsidRPr="0046746D" w:rsidRDefault="006870FC" w:rsidP="00C72819">
      <w:pPr>
        <w:jc w:val="both"/>
        <w:rPr>
          <w:rFonts w:ascii="Arial" w:hAnsi="Arial" w:cs="Arial"/>
          <w:color w:val="1A1A1A"/>
          <w:sz w:val="20"/>
          <w:szCs w:val="20"/>
          <w:shd w:val="clear" w:color="auto" w:fill="FFFFFF"/>
        </w:rPr>
      </w:pPr>
      <w:r w:rsidRPr="006870FC">
        <w:rPr>
          <w:rFonts w:ascii="Arial" w:hAnsi="Arial" w:cs="Arial"/>
          <w:b/>
          <w:color w:val="1A1A1A"/>
          <w:sz w:val="20"/>
          <w:szCs w:val="20"/>
          <w:shd w:val="clear" w:color="auto" w:fill="FFFFFF"/>
        </w:rPr>
        <w:t>Figure 8</w:t>
      </w:r>
      <w:r w:rsidR="003103CF">
        <w:rPr>
          <w:rFonts w:ascii="Arial" w:hAnsi="Arial" w:cs="Arial"/>
          <w:color w:val="1A1A1A"/>
          <w:sz w:val="20"/>
          <w:szCs w:val="20"/>
          <w:shd w:val="clear" w:color="auto" w:fill="FFFFFF"/>
        </w:rPr>
        <w:t xml:space="preserve"> -</w:t>
      </w:r>
      <w:r w:rsidR="007155BA">
        <w:rPr>
          <w:rFonts w:ascii="Arial" w:hAnsi="Arial" w:cs="Arial"/>
          <w:color w:val="1A1A1A"/>
          <w:sz w:val="20"/>
          <w:szCs w:val="20"/>
          <w:shd w:val="clear" w:color="auto" w:fill="FFFFFF"/>
        </w:rPr>
        <w:t xml:space="preserve"> </w:t>
      </w:r>
      <w:r w:rsidR="003103CF">
        <w:rPr>
          <w:rFonts w:ascii="Arial" w:hAnsi="Arial" w:cs="Arial"/>
          <w:color w:val="1A1A1A"/>
          <w:sz w:val="20"/>
          <w:szCs w:val="20"/>
          <w:shd w:val="clear" w:color="auto" w:fill="FFFFFF"/>
        </w:rPr>
        <w:t xml:space="preserve">Disputes on the </w:t>
      </w:r>
      <w:r>
        <w:rPr>
          <w:rFonts w:ascii="Arial" w:hAnsi="Arial" w:cs="Arial"/>
          <w:color w:val="1A1A1A"/>
          <w:sz w:val="20"/>
          <w:szCs w:val="20"/>
          <w:shd w:val="clear" w:color="auto" w:fill="FFFFFF"/>
        </w:rPr>
        <w:t xml:space="preserve">released land </w:t>
      </w:r>
    </w:p>
    <w:p w14:paraId="14842317" w14:textId="77777777" w:rsidR="00014E79" w:rsidRPr="009B1046" w:rsidRDefault="0046746D" w:rsidP="009B1046">
      <w:pPr>
        <w:rPr>
          <w:rFonts w:cs="Calibri"/>
          <w:sz w:val="20"/>
          <w:szCs w:val="20"/>
        </w:rPr>
      </w:pPr>
      <w:r>
        <w:rPr>
          <w:noProof/>
          <w:lang w:val="en-GB" w:eastAsia="en-GB" w:bidi="ar-SA"/>
        </w:rPr>
        <w:drawing>
          <wp:inline distT="0" distB="0" distL="0" distR="0" wp14:anchorId="7148AB0A" wp14:editId="0BD6A00A">
            <wp:extent cx="6105525" cy="21431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42D50A" w14:textId="4697A32E" w:rsidR="00F13B1D" w:rsidRDefault="00E332D6" w:rsidP="000C483D">
      <w:pPr>
        <w:jc w:val="both"/>
        <w:rPr>
          <w:rFonts w:ascii="Arial" w:hAnsi="Arial" w:cs="Arial"/>
          <w:color w:val="2E74B5" w:themeColor="accent1" w:themeShade="BF"/>
          <w:sz w:val="20"/>
          <w:szCs w:val="20"/>
          <w:shd w:val="clear" w:color="auto" w:fill="FFFFFF"/>
        </w:rPr>
      </w:pPr>
      <w:r>
        <w:rPr>
          <w:rFonts w:ascii="Arial" w:hAnsi="Arial" w:cs="Arial"/>
          <w:color w:val="2E74B5" w:themeColor="accent1" w:themeShade="BF"/>
          <w:sz w:val="20"/>
          <w:szCs w:val="20"/>
          <w:shd w:val="clear" w:color="auto" w:fill="FFFFFF"/>
        </w:rPr>
        <w:t xml:space="preserve">Field work from the </w:t>
      </w:r>
      <w:proofErr w:type="spellStart"/>
      <w:r>
        <w:rPr>
          <w:rFonts w:ascii="Arial" w:hAnsi="Arial" w:cs="Arial"/>
          <w:color w:val="2E74B5" w:themeColor="accent1" w:themeShade="BF"/>
          <w:sz w:val="20"/>
          <w:szCs w:val="20"/>
          <w:shd w:val="clear" w:color="auto" w:fill="FFFFFF"/>
        </w:rPr>
        <w:t>CfR</w:t>
      </w:r>
      <w:proofErr w:type="spellEnd"/>
      <w:r>
        <w:rPr>
          <w:rFonts w:ascii="Arial" w:hAnsi="Arial" w:cs="Arial"/>
          <w:color w:val="2E74B5" w:themeColor="accent1" w:themeShade="BF"/>
          <w:sz w:val="20"/>
          <w:szCs w:val="20"/>
          <w:shd w:val="clear" w:color="auto" w:fill="FFFFFF"/>
        </w:rPr>
        <w:t xml:space="preserve"> II Final Evaluation also revealed similar evidence. However, in one village, Ta </w:t>
      </w:r>
      <w:proofErr w:type="spellStart"/>
      <w:r>
        <w:rPr>
          <w:rFonts w:ascii="Arial" w:hAnsi="Arial" w:cs="Arial"/>
          <w:color w:val="2E74B5" w:themeColor="accent1" w:themeShade="BF"/>
          <w:sz w:val="20"/>
          <w:szCs w:val="20"/>
          <w:shd w:val="clear" w:color="auto" w:fill="FFFFFF"/>
        </w:rPr>
        <w:t>Mang</w:t>
      </w:r>
      <w:proofErr w:type="spellEnd"/>
      <w:r>
        <w:rPr>
          <w:rFonts w:ascii="Arial" w:hAnsi="Arial" w:cs="Arial"/>
          <w:color w:val="2E74B5" w:themeColor="accent1" w:themeShade="BF"/>
          <w:sz w:val="20"/>
          <w:szCs w:val="20"/>
          <w:shd w:val="clear" w:color="auto" w:fill="FFFFFF"/>
        </w:rPr>
        <w:t xml:space="preserve"> in </w:t>
      </w:r>
      <w:proofErr w:type="spellStart"/>
      <w:r>
        <w:rPr>
          <w:rFonts w:ascii="Arial" w:hAnsi="Arial" w:cs="Arial"/>
          <w:color w:val="2E74B5" w:themeColor="accent1" w:themeShade="BF"/>
          <w:sz w:val="20"/>
          <w:szCs w:val="20"/>
          <w:shd w:val="clear" w:color="auto" w:fill="FFFFFF"/>
        </w:rPr>
        <w:t>Kouk</w:t>
      </w:r>
      <w:proofErr w:type="spellEnd"/>
      <w:r>
        <w:rPr>
          <w:rFonts w:ascii="Arial" w:hAnsi="Arial" w:cs="Arial"/>
          <w:color w:val="2E74B5" w:themeColor="accent1" w:themeShade="BF"/>
          <w:sz w:val="20"/>
          <w:szCs w:val="20"/>
          <w:shd w:val="clear" w:color="auto" w:fill="FFFFFF"/>
        </w:rPr>
        <w:t xml:space="preserve"> </w:t>
      </w:r>
      <w:proofErr w:type="spellStart"/>
      <w:r>
        <w:rPr>
          <w:rFonts w:ascii="Arial" w:hAnsi="Arial" w:cs="Arial"/>
          <w:color w:val="2E74B5" w:themeColor="accent1" w:themeShade="BF"/>
          <w:sz w:val="20"/>
          <w:szCs w:val="20"/>
          <w:shd w:val="clear" w:color="auto" w:fill="FFFFFF"/>
        </w:rPr>
        <w:t>Romiet</w:t>
      </w:r>
      <w:proofErr w:type="spellEnd"/>
      <w:r>
        <w:rPr>
          <w:rFonts w:ascii="Arial" w:hAnsi="Arial" w:cs="Arial"/>
          <w:color w:val="2E74B5" w:themeColor="accent1" w:themeShade="BF"/>
          <w:sz w:val="20"/>
          <w:szCs w:val="20"/>
          <w:shd w:val="clear" w:color="auto" w:fill="FFFFFF"/>
        </w:rPr>
        <w:t xml:space="preserve"> commune, </w:t>
      </w:r>
      <w:proofErr w:type="spellStart"/>
      <w:r>
        <w:rPr>
          <w:rFonts w:ascii="Arial" w:hAnsi="Arial" w:cs="Arial"/>
          <w:color w:val="2E74B5" w:themeColor="accent1" w:themeShade="BF"/>
          <w:sz w:val="20"/>
          <w:szCs w:val="20"/>
          <w:shd w:val="clear" w:color="auto" w:fill="FFFFFF"/>
        </w:rPr>
        <w:t>Thmar</w:t>
      </w:r>
      <w:proofErr w:type="spellEnd"/>
      <w:r>
        <w:rPr>
          <w:rFonts w:ascii="Arial" w:hAnsi="Arial" w:cs="Arial"/>
          <w:color w:val="2E74B5" w:themeColor="accent1" w:themeShade="BF"/>
          <w:sz w:val="20"/>
          <w:szCs w:val="20"/>
          <w:shd w:val="clear" w:color="auto" w:fill="FFFFFF"/>
        </w:rPr>
        <w:t xml:space="preserve"> Pouk district, Banteay-</w:t>
      </w:r>
      <w:proofErr w:type="spellStart"/>
      <w:r>
        <w:rPr>
          <w:rFonts w:ascii="Arial" w:hAnsi="Arial" w:cs="Arial"/>
          <w:color w:val="2E74B5" w:themeColor="accent1" w:themeShade="BF"/>
          <w:sz w:val="20"/>
          <w:szCs w:val="20"/>
          <w:shd w:val="clear" w:color="auto" w:fill="FFFFFF"/>
        </w:rPr>
        <w:t>Meanchay</w:t>
      </w:r>
      <w:proofErr w:type="spellEnd"/>
      <w:r>
        <w:rPr>
          <w:rFonts w:ascii="Arial" w:hAnsi="Arial" w:cs="Arial"/>
          <w:color w:val="2E74B5" w:themeColor="accent1" w:themeShade="BF"/>
          <w:sz w:val="20"/>
          <w:szCs w:val="20"/>
          <w:shd w:val="clear" w:color="auto" w:fill="FFFFFF"/>
        </w:rPr>
        <w:t xml:space="preserve"> an economic concession had led to a major land dispute with local villagers. UNDP had prior knowledge of this, and had evidence that it had affected 19 suspected areas that were originally included for release in the 2014 </w:t>
      </w:r>
      <w:r w:rsidR="00762306">
        <w:rPr>
          <w:rFonts w:ascii="Arial" w:hAnsi="Arial" w:cs="Arial"/>
          <w:color w:val="2E74B5" w:themeColor="accent1" w:themeShade="BF"/>
          <w:sz w:val="20"/>
          <w:szCs w:val="20"/>
          <w:shd w:val="clear" w:color="auto" w:fill="FFFFFF"/>
        </w:rPr>
        <w:t xml:space="preserve">work plan, and some of these sites affected the village of </w:t>
      </w:r>
      <w:proofErr w:type="spellStart"/>
      <w:r w:rsidR="00762306">
        <w:rPr>
          <w:rFonts w:ascii="Arial" w:hAnsi="Arial" w:cs="Arial"/>
          <w:color w:val="2E74B5" w:themeColor="accent1" w:themeShade="BF"/>
          <w:sz w:val="20"/>
          <w:szCs w:val="20"/>
          <w:shd w:val="clear" w:color="auto" w:fill="FFFFFF"/>
        </w:rPr>
        <w:t>Prasant</w:t>
      </w:r>
      <w:proofErr w:type="spellEnd"/>
      <w:r w:rsidR="00762306">
        <w:rPr>
          <w:rFonts w:ascii="Arial" w:hAnsi="Arial" w:cs="Arial"/>
          <w:color w:val="2E74B5" w:themeColor="accent1" w:themeShade="BF"/>
          <w:sz w:val="20"/>
          <w:szCs w:val="20"/>
          <w:shd w:val="clear" w:color="auto" w:fill="FFFFFF"/>
        </w:rPr>
        <w:t xml:space="preserve"> </w:t>
      </w:r>
      <w:proofErr w:type="spellStart"/>
      <w:r w:rsidR="00762306">
        <w:rPr>
          <w:rFonts w:ascii="Arial" w:hAnsi="Arial" w:cs="Arial"/>
          <w:color w:val="2E74B5" w:themeColor="accent1" w:themeShade="BF"/>
          <w:sz w:val="20"/>
          <w:szCs w:val="20"/>
          <w:shd w:val="clear" w:color="auto" w:fill="FFFFFF"/>
        </w:rPr>
        <w:t>Tbaeng</w:t>
      </w:r>
      <w:proofErr w:type="spellEnd"/>
      <w:r w:rsidR="00762306">
        <w:rPr>
          <w:rFonts w:ascii="Arial" w:hAnsi="Arial" w:cs="Arial"/>
          <w:color w:val="2E74B5" w:themeColor="accent1" w:themeShade="BF"/>
          <w:sz w:val="20"/>
          <w:szCs w:val="20"/>
          <w:shd w:val="clear" w:color="auto" w:fill="FFFFFF"/>
        </w:rPr>
        <w:t xml:space="preserve"> in Banteay </w:t>
      </w:r>
      <w:proofErr w:type="spellStart"/>
      <w:r w:rsidR="00762306">
        <w:rPr>
          <w:rFonts w:ascii="Arial" w:hAnsi="Arial" w:cs="Arial"/>
          <w:color w:val="2E74B5" w:themeColor="accent1" w:themeShade="BF"/>
          <w:sz w:val="20"/>
          <w:szCs w:val="20"/>
          <w:shd w:val="clear" w:color="auto" w:fill="FFFFFF"/>
        </w:rPr>
        <w:t>Chhmar</w:t>
      </w:r>
      <w:proofErr w:type="spellEnd"/>
      <w:r w:rsidR="00762306">
        <w:rPr>
          <w:rFonts w:ascii="Arial" w:hAnsi="Arial" w:cs="Arial"/>
          <w:color w:val="2E74B5" w:themeColor="accent1" w:themeShade="BF"/>
          <w:sz w:val="20"/>
          <w:szCs w:val="20"/>
          <w:shd w:val="clear" w:color="auto" w:fill="FFFFFF"/>
        </w:rPr>
        <w:t xml:space="preserve"> commune immediately to the north of Ta </w:t>
      </w:r>
      <w:proofErr w:type="spellStart"/>
      <w:r w:rsidR="00762306">
        <w:rPr>
          <w:rFonts w:ascii="Arial" w:hAnsi="Arial" w:cs="Arial"/>
          <w:color w:val="2E74B5" w:themeColor="accent1" w:themeShade="BF"/>
          <w:sz w:val="20"/>
          <w:szCs w:val="20"/>
          <w:shd w:val="clear" w:color="auto" w:fill="FFFFFF"/>
        </w:rPr>
        <w:t>Mang</w:t>
      </w:r>
      <w:proofErr w:type="spellEnd"/>
      <w:r w:rsidR="00762306">
        <w:rPr>
          <w:rFonts w:ascii="Arial" w:hAnsi="Arial" w:cs="Arial"/>
          <w:color w:val="2E74B5" w:themeColor="accent1" w:themeShade="BF"/>
          <w:sz w:val="20"/>
          <w:szCs w:val="20"/>
          <w:shd w:val="clear" w:color="auto" w:fill="FFFFFF"/>
        </w:rPr>
        <w:t xml:space="preserve"> village. Although FGDs were held in the course of the Final Evaluation in both </w:t>
      </w:r>
      <w:proofErr w:type="gramStart"/>
      <w:r w:rsidR="00762306">
        <w:rPr>
          <w:rFonts w:ascii="Arial" w:hAnsi="Arial" w:cs="Arial"/>
          <w:color w:val="2E74B5" w:themeColor="accent1" w:themeShade="BF"/>
          <w:sz w:val="20"/>
          <w:szCs w:val="20"/>
          <w:shd w:val="clear" w:color="auto" w:fill="FFFFFF"/>
        </w:rPr>
        <w:t>village</w:t>
      </w:r>
      <w:proofErr w:type="gramEnd"/>
      <w:r w:rsidR="00762306">
        <w:rPr>
          <w:rFonts w:ascii="Arial" w:hAnsi="Arial" w:cs="Arial"/>
          <w:color w:val="2E74B5" w:themeColor="accent1" w:themeShade="BF"/>
          <w:sz w:val="20"/>
          <w:szCs w:val="20"/>
          <w:shd w:val="clear" w:color="auto" w:fill="FFFFFF"/>
        </w:rPr>
        <w:t xml:space="preserve">, the land dispute was only mentioned in Ta </w:t>
      </w:r>
      <w:proofErr w:type="spellStart"/>
      <w:r w:rsidR="00762306">
        <w:rPr>
          <w:rFonts w:ascii="Arial" w:hAnsi="Arial" w:cs="Arial"/>
          <w:color w:val="2E74B5" w:themeColor="accent1" w:themeShade="BF"/>
          <w:sz w:val="20"/>
          <w:szCs w:val="20"/>
          <w:shd w:val="clear" w:color="auto" w:fill="FFFFFF"/>
        </w:rPr>
        <w:t>Mang</w:t>
      </w:r>
      <w:proofErr w:type="spellEnd"/>
      <w:r w:rsidR="00762306">
        <w:rPr>
          <w:rFonts w:ascii="Arial" w:hAnsi="Arial" w:cs="Arial"/>
          <w:color w:val="2E74B5" w:themeColor="accent1" w:themeShade="BF"/>
          <w:sz w:val="20"/>
          <w:szCs w:val="20"/>
          <w:shd w:val="clear" w:color="auto" w:fill="FFFFFF"/>
        </w:rPr>
        <w:t xml:space="preserve">. UNDP removed the sites from the 2014 work plan, although some suspected areas within the economic concession had been cleared previously under both </w:t>
      </w:r>
      <w:proofErr w:type="spellStart"/>
      <w:r w:rsidR="00762306">
        <w:rPr>
          <w:rFonts w:ascii="Arial" w:hAnsi="Arial" w:cs="Arial"/>
          <w:color w:val="2E74B5" w:themeColor="accent1" w:themeShade="BF"/>
          <w:sz w:val="20"/>
          <w:szCs w:val="20"/>
          <w:shd w:val="clear" w:color="auto" w:fill="FFFFFF"/>
        </w:rPr>
        <w:t>CfR</w:t>
      </w:r>
      <w:proofErr w:type="spellEnd"/>
      <w:r w:rsidR="00762306">
        <w:rPr>
          <w:rFonts w:ascii="Arial" w:hAnsi="Arial" w:cs="Arial"/>
          <w:color w:val="2E74B5" w:themeColor="accent1" w:themeShade="BF"/>
          <w:sz w:val="20"/>
          <w:szCs w:val="20"/>
          <w:shd w:val="clear" w:color="auto" w:fill="FFFFFF"/>
        </w:rPr>
        <w:t xml:space="preserve"> II (by CMAC) and by other operators with donor funding in the area. Some of the economic concession was converted on appeal to social concession land, and handed back to the villagers, and further research is currently being undertaken on this issue (due to be completed by end of December 2015).</w:t>
      </w:r>
    </w:p>
    <w:p w14:paraId="5F10FD5E" w14:textId="49D0CED7" w:rsidR="001B612D" w:rsidRPr="000C483D" w:rsidRDefault="000C483D" w:rsidP="000C483D">
      <w:pPr>
        <w:jc w:val="both"/>
        <w:rPr>
          <w:rFonts w:ascii="Arial" w:hAnsi="Arial" w:cs="Arial"/>
          <w:color w:val="2E74B5" w:themeColor="accent1" w:themeShade="BF"/>
          <w:sz w:val="20"/>
          <w:szCs w:val="20"/>
          <w:shd w:val="clear" w:color="auto" w:fill="FFFFFF"/>
        </w:rPr>
      </w:pPr>
      <w:r>
        <w:rPr>
          <w:rFonts w:ascii="Arial" w:hAnsi="Arial" w:cs="Arial"/>
          <w:color w:val="2E74B5" w:themeColor="accent1" w:themeShade="BF"/>
          <w:sz w:val="20"/>
          <w:szCs w:val="20"/>
          <w:shd w:val="clear" w:color="auto" w:fill="FFFFFF"/>
        </w:rPr>
        <w:t xml:space="preserve">LAND </w:t>
      </w:r>
      <w:r w:rsidR="00F13B1D">
        <w:rPr>
          <w:rFonts w:ascii="Arial" w:hAnsi="Arial" w:cs="Arial"/>
          <w:color w:val="2E74B5" w:themeColor="accent1" w:themeShade="BF"/>
          <w:sz w:val="20"/>
          <w:szCs w:val="20"/>
          <w:shd w:val="clear" w:color="auto" w:fill="FFFFFF"/>
        </w:rPr>
        <w:t xml:space="preserve">SIZE AND </w:t>
      </w:r>
      <w:r w:rsidRPr="009F072E">
        <w:rPr>
          <w:rFonts w:ascii="Arial" w:hAnsi="Arial" w:cs="Arial"/>
          <w:color w:val="2E74B5" w:themeColor="accent1" w:themeShade="BF"/>
          <w:sz w:val="20"/>
          <w:szCs w:val="20"/>
          <w:shd w:val="clear" w:color="auto" w:fill="FFFFFF"/>
        </w:rPr>
        <w:t xml:space="preserve">VALUE BEFORE AND AFTER </w:t>
      </w:r>
      <w:r w:rsidR="00F13B1D">
        <w:rPr>
          <w:rFonts w:ascii="Arial" w:hAnsi="Arial" w:cs="Arial"/>
          <w:color w:val="2E74B5" w:themeColor="accent1" w:themeShade="BF"/>
          <w:sz w:val="20"/>
          <w:szCs w:val="20"/>
          <w:shd w:val="clear" w:color="auto" w:fill="FFFFFF"/>
        </w:rPr>
        <w:t xml:space="preserve">THE </w:t>
      </w:r>
      <w:r w:rsidRPr="009F072E">
        <w:rPr>
          <w:rFonts w:ascii="Arial" w:hAnsi="Arial" w:cs="Arial"/>
          <w:color w:val="2E74B5" w:themeColor="accent1" w:themeShade="BF"/>
          <w:sz w:val="20"/>
          <w:szCs w:val="20"/>
          <w:shd w:val="clear" w:color="auto" w:fill="FFFFFF"/>
        </w:rPr>
        <w:t>CLEARANCE</w:t>
      </w:r>
      <w:r w:rsidR="001B612D">
        <w:rPr>
          <w:rFonts w:ascii="Arial" w:hAnsi="Arial" w:cs="Arial"/>
          <w:sz w:val="20"/>
          <w:szCs w:val="20"/>
          <w:shd w:val="clear" w:color="auto" w:fill="FFFFFF"/>
        </w:rPr>
        <w:t>T</w:t>
      </w:r>
    </w:p>
    <w:p w14:paraId="18905EAD" w14:textId="4FCB45B2" w:rsidR="00DC4152" w:rsidRDefault="001B612D" w:rsidP="00DC4152">
      <w:pPr>
        <w:jc w:val="both"/>
        <w:rPr>
          <w:rFonts w:ascii="Arial" w:hAnsi="Arial" w:cs="Arial"/>
          <w:sz w:val="20"/>
          <w:szCs w:val="20"/>
          <w:shd w:val="clear" w:color="auto" w:fill="FFFFFF"/>
        </w:rPr>
      </w:pPr>
      <w:r>
        <w:rPr>
          <w:rFonts w:ascii="Arial" w:hAnsi="Arial" w:cs="Arial"/>
          <w:sz w:val="20"/>
          <w:szCs w:val="20"/>
          <w:shd w:val="clear" w:color="auto" w:fill="FFFFFF"/>
        </w:rPr>
        <w:t>T</w:t>
      </w:r>
      <w:r w:rsidR="00DC4152">
        <w:rPr>
          <w:rFonts w:ascii="Arial" w:hAnsi="Arial" w:cs="Arial"/>
          <w:sz w:val="20"/>
          <w:szCs w:val="20"/>
          <w:shd w:val="clear" w:color="auto" w:fill="FFFFFF"/>
        </w:rPr>
        <w:t>here w</w:t>
      </w:r>
      <w:r>
        <w:rPr>
          <w:rFonts w:ascii="Arial" w:hAnsi="Arial" w:cs="Arial"/>
          <w:sz w:val="20"/>
          <w:szCs w:val="20"/>
          <w:shd w:val="clear" w:color="auto" w:fill="FFFFFF"/>
        </w:rPr>
        <w:t>as</w:t>
      </w:r>
      <w:r w:rsidR="00DC4152">
        <w:rPr>
          <w:rFonts w:ascii="Arial" w:hAnsi="Arial" w:cs="Arial"/>
          <w:sz w:val="20"/>
          <w:szCs w:val="20"/>
          <w:shd w:val="clear" w:color="auto" w:fill="FFFFFF"/>
        </w:rPr>
        <w:t xml:space="preserve"> no baseline study on the exact size and value of </w:t>
      </w:r>
      <w:r w:rsidR="00590C0D">
        <w:rPr>
          <w:rFonts w:ascii="Arial" w:hAnsi="Arial" w:cs="Arial"/>
          <w:sz w:val="20"/>
          <w:szCs w:val="20"/>
          <w:shd w:val="clear" w:color="auto" w:fill="FFFFFF"/>
        </w:rPr>
        <w:t>household’s</w:t>
      </w:r>
      <w:r w:rsidR="00DC4152">
        <w:rPr>
          <w:rFonts w:ascii="Arial" w:hAnsi="Arial" w:cs="Arial"/>
          <w:sz w:val="20"/>
          <w:szCs w:val="20"/>
          <w:shd w:val="clear" w:color="auto" w:fill="FFFFFF"/>
        </w:rPr>
        <w:t xml:space="preserve"> utilizable land before clearance</w:t>
      </w:r>
      <w:r>
        <w:rPr>
          <w:rFonts w:ascii="Arial" w:hAnsi="Arial" w:cs="Arial"/>
          <w:sz w:val="20"/>
          <w:szCs w:val="20"/>
          <w:shd w:val="clear" w:color="auto" w:fill="FFFFFF"/>
        </w:rPr>
        <w:t>.</w:t>
      </w:r>
      <w:r w:rsidR="00DC4152">
        <w:rPr>
          <w:rFonts w:ascii="Arial" w:hAnsi="Arial" w:cs="Arial"/>
          <w:sz w:val="20"/>
          <w:szCs w:val="20"/>
          <w:shd w:val="clear" w:color="auto" w:fill="FFFFFF"/>
        </w:rPr>
        <w:t xml:space="preserve"> </w:t>
      </w:r>
      <w:r>
        <w:rPr>
          <w:rFonts w:ascii="Arial" w:hAnsi="Arial" w:cs="Arial"/>
          <w:sz w:val="20"/>
          <w:szCs w:val="20"/>
          <w:shd w:val="clear" w:color="auto" w:fill="FFFFFF"/>
        </w:rPr>
        <w:t>H</w:t>
      </w:r>
      <w:r w:rsidR="00DC4152">
        <w:rPr>
          <w:rFonts w:ascii="Arial" w:hAnsi="Arial" w:cs="Arial"/>
          <w:sz w:val="20"/>
          <w:szCs w:val="20"/>
          <w:shd w:val="clear" w:color="auto" w:fill="FFFFFF"/>
        </w:rPr>
        <w:t>owever</w:t>
      </w:r>
      <w:r w:rsidR="00590C0D">
        <w:rPr>
          <w:rFonts w:ascii="Arial" w:hAnsi="Arial" w:cs="Arial"/>
          <w:sz w:val="20"/>
          <w:szCs w:val="20"/>
          <w:shd w:val="clear" w:color="auto" w:fill="FFFFFF"/>
        </w:rPr>
        <w:t>, people</w:t>
      </w:r>
      <w:r w:rsidR="00DC4152">
        <w:rPr>
          <w:rFonts w:ascii="Arial" w:hAnsi="Arial" w:cs="Arial"/>
          <w:sz w:val="20"/>
          <w:szCs w:val="20"/>
          <w:shd w:val="clear" w:color="auto" w:fill="FFFFFF"/>
        </w:rPr>
        <w:t xml:space="preserve"> had fresh memories (from 2011 to 2013) on the</w:t>
      </w:r>
      <w:r w:rsidR="00590C0D">
        <w:rPr>
          <w:rFonts w:ascii="Arial" w:hAnsi="Arial" w:cs="Arial"/>
          <w:sz w:val="20"/>
          <w:szCs w:val="20"/>
          <w:shd w:val="clear" w:color="auto" w:fill="FFFFFF"/>
        </w:rPr>
        <w:t>ir lands size</w:t>
      </w:r>
      <w:r w:rsidR="00DC4152">
        <w:rPr>
          <w:rFonts w:ascii="Arial" w:hAnsi="Arial" w:cs="Arial"/>
          <w:sz w:val="20"/>
          <w:szCs w:val="20"/>
          <w:shd w:val="clear" w:color="auto" w:fill="FFFFFF"/>
        </w:rPr>
        <w:t xml:space="preserve"> before</w:t>
      </w:r>
      <w:r w:rsidR="00590C0D">
        <w:rPr>
          <w:rFonts w:ascii="Arial" w:hAnsi="Arial" w:cs="Arial"/>
          <w:sz w:val="20"/>
          <w:szCs w:val="20"/>
          <w:shd w:val="clear" w:color="auto" w:fill="FFFFFF"/>
        </w:rPr>
        <w:t xml:space="preserve"> the</w:t>
      </w:r>
      <w:r w:rsidR="00DC4152">
        <w:rPr>
          <w:rFonts w:ascii="Arial" w:hAnsi="Arial" w:cs="Arial"/>
          <w:sz w:val="20"/>
          <w:szCs w:val="20"/>
          <w:shd w:val="clear" w:color="auto" w:fill="FFFFFF"/>
        </w:rPr>
        <w:t xml:space="preserve"> </w:t>
      </w:r>
      <w:r w:rsidR="00590C0D">
        <w:rPr>
          <w:rFonts w:ascii="Arial" w:hAnsi="Arial" w:cs="Arial"/>
          <w:sz w:val="20"/>
          <w:szCs w:val="20"/>
          <w:shd w:val="clear" w:color="auto" w:fill="FFFFFF"/>
        </w:rPr>
        <w:t>land release</w:t>
      </w:r>
      <w:r w:rsidR="00DC4152">
        <w:rPr>
          <w:rFonts w:ascii="Arial" w:hAnsi="Arial" w:cs="Arial"/>
          <w:sz w:val="20"/>
          <w:szCs w:val="20"/>
          <w:shd w:val="clear" w:color="auto" w:fill="FFFFFF"/>
        </w:rPr>
        <w:t xml:space="preserve">. </w:t>
      </w:r>
      <w:r w:rsidR="00590C0D">
        <w:rPr>
          <w:rFonts w:ascii="Arial" w:hAnsi="Arial" w:cs="Arial"/>
          <w:sz w:val="20"/>
          <w:szCs w:val="20"/>
          <w:shd w:val="clear" w:color="auto" w:fill="FFFFFF"/>
        </w:rPr>
        <w:t>Farmers stated that</w:t>
      </w:r>
      <w:r w:rsidR="00DC4152">
        <w:rPr>
          <w:rFonts w:ascii="Arial" w:hAnsi="Arial" w:cs="Arial"/>
          <w:sz w:val="20"/>
          <w:szCs w:val="20"/>
          <w:shd w:val="clear" w:color="auto" w:fill="FFFFFF"/>
        </w:rPr>
        <w:t xml:space="preserve"> the v</w:t>
      </w:r>
      <w:r w:rsidR="00590C0D">
        <w:rPr>
          <w:rFonts w:ascii="Arial" w:hAnsi="Arial" w:cs="Arial"/>
          <w:sz w:val="20"/>
          <w:szCs w:val="20"/>
          <w:shd w:val="clear" w:color="auto" w:fill="FFFFFF"/>
        </w:rPr>
        <w:t>alue of their land is higher due to</w:t>
      </w:r>
      <w:r w:rsidR="00DC4152">
        <w:rPr>
          <w:rFonts w:ascii="Arial" w:hAnsi="Arial" w:cs="Arial"/>
          <w:sz w:val="20"/>
          <w:szCs w:val="20"/>
          <w:shd w:val="clear" w:color="auto" w:fill="FFFFFF"/>
        </w:rPr>
        <w:t xml:space="preserve"> </w:t>
      </w:r>
      <w:r w:rsidR="00590C0D">
        <w:rPr>
          <w:rFonts w:ascii="Arial" w:hAnsi="Arial" w:cs="Arial"/>
          <w:sz w:val="20"/>
          <w:szCs w:val="20"/>
          <w:shd w:val="clear" w:color="auto" w:fill="FFFFFF"/>
        </w:rPr>
        <w:t xml:space="preserve">increased productivity as they can use their entire land, thanks to clearance. </w:t>
      </w:r>
      <w:r w:rsidR="00DC4152">
        <w:rPr>
          <w:rFonts w:ascii="Arial" w:hAnsi="Arial" w:cs="Arial"/>
          <w:sz w:val="20"/>
          <w:szCs w:val="20"/>
          <w:shd w:val="clear" w:color="auto" w:fill="FFFFFF"/>
        </w:rPr>
        <w:t>Hence, clearance enabled households to utilize their</w:t>
      </w:r>
      <w:r>
        <w:rPr>
          <w:rFonts w:ascii="Arial" w:hAnsi="Arial" w:cs="Arial"/>
          <w:sz w:val="20"/>
          <w:szCs w:val="20"/>
          <w:shd w:val="clear" w:color="auto" w:fill="FFFFFF"/>
        </w:rPr>
        <w:t xml:space="preserve"> </w:t>
      </w:r>
      <w:r w:rsidR="00DC4152">
        <w:rPr>
          <w:rFonts w:ascii="Arial" w:hAnsi="Arial" w:cs="Arial"/>
          <w:sz w:val="20"/>
          <w:szCs w:val="20"/>
          <w:shd w:val="clear" w:color="auto" w:fill="FFFFFF"/>
        </w:rPr>
        <w:t>land in its full p</w:t>
      </w:r>
      <w:r w:rsidR="00590C0D">
        <w:rPr>
          <w:rFonts w:ascii="Arial" w:hAnsi="Arial" w:cs="Arial"/>
          <w:sz w:val="20"/>
          <w:szCs w:val="20"/>
          <w:shd w:val="clear" w:color="auto" w:fill="FFFFFF"/>
        </w:rPr>
        <w:t xml:space="preserve">otential, subsequently increasing </w:t>
      </w:r>
      <w:r w:rsidR="00DC4152">
        <w:rPr>
          <w:rFonts w:ascii="Arial" w:hAnsi="Arial" w:cs="Arial"/>
          <w:sz w:val="20"/>
          <w:szCs w:val="20"/>
          <w:shd w:val="clear" w:color="auto" w:fill="FFFFFF"/>
        </w:rPr>
        <w:t xml:space="preserve">agricultural </w:t>
      </w:r>
      <w:proofErr w:type="gramStart"/>
      <w:r w:rsidR="00DC4152">
        <w:rPr>
          <w:rFonts w:ascii="Arial" w:hAnsi="Arial" w:cs="Arial"/>
          <w:sz w:val="20"/>
          <w:szCs w:val="20"/>
          <w:shd w:val="clear" w:color="auto" w:fill="FFFFFF"/>
        </w:rPr>
        <w:t>productivity</w:t>
      </w:r>
      <w:r>
        <w:rPr>
          <w:rFonts w:ascii="Arial" w:hAnsi="Arial" w:cs="Arial"/>
          <w:sz w:val="20"/>
          <w:szCs w:val="20"/>
          <w:shd w:val="clear" w:color="auto" w:fill="FFFFFF"/>
        </w:rPr>
        <w:t>,</w:t>
      </w:r>
      <w:r w:rsidR="00DC4152">
        <w:rPr>
          <w:rFonts w:ascii="Arial" w:hAnsi="Arial" w:cs="Arial"/>
          <w:sz w:val="20"/>
          <w:szCs w:val="20"/>
          <w:shd w:val="clear" w:color="auto" w:fill="FFFFFF"/>
        </w:rPr>
        <w:t xml:space="preserve"> </w:t>
      </w:r>
      <w:r>
        <w:rPr>
          <w:rFonts w:ascii="Arial" w:hAnsi="Arial" w:cs="Arial"/>
          <w:sz w:val="20"/>
          <w:szCs w:val="20"/>
          <w:shd w:val="clear" w:color="auto" w:fill="FFFFFF"/>
        </w:rPr>
        <w:t>that</w:t>
      </w:r>
      <w:proofErr w:type="gramEnd"/>
      <w:r>
        <w:rPr>
          <w:rFonts w:ascii="Arial" w:hAnsi="Arial" w:cs="Arial"/>
          <w:sz w:val="20"/>
          <w:szCs w:val="20"/>
          <w:shd w:val="clear" w:color="auto" w:fill="FFFFFF"/>
        </w:rPr>
        <w:t xml:space="preserve"> in turn </w:t>
      </w:r>
      <w:r w:rsidR="00590C0D">
        <w:rPr>
          <w:rFonts w:ascii="Arial" w:hAnsi="Arial" w:cs="Arial"/>
          <w:sz w:val="20"/>
          <w:szCs w:val="20"/>
          <w:shd w:val="clear" w:color="auto" w:fill="FFFFFF"/>
        </w:rPr>
        <w:t xml:space="preserve">affected value of their lands. </w:t>
      </w:r>
    </w:p>
    <w:p w14:paraId="758CCD37" w14:textId="77777777" w:rsidR="00590C0D" w:rsidRPr="006870FC" w:rsidRDefault="00590C0D" w:rsidP="00590C0D">
      <w:pPr>
        <w:rPr>
          <w:rFonts w:ascii="Arial" w:hAnsi="Arial" w:cs="Arial"/>
          <w:color w:val="FF0000"/>
          <w:sz w:val="20"/>
          <w:szCs w:val="20"/>
        </w:rPr>
      </w:pPr>
      <w:r>
        <w:rPr>
          <w:rFonts w:ascii="Arial" w:hAnsi="Arial" w:cs="Arial"/>
          <w:b/>
          <w:bCs/>
          <w:sz w:val="20"/>
          <w:szCs w:val="20"/>
        </w:rPr>
        <w:t>Table 4</w:t>
      </w:r>
      <w:r w:rsidRPr="006870FC">
        <w:rPr>
          <w:rFonts w:ascii="Arial" w:hAnsi="Arial" w:cs="Arial"/>
          <w:b/>
          <w:bCs/>
          <w:sz w:val="20"/>
          <w:szCs w:val="20"/>
        </w:rPr>
        <w:t xml:space="preserve">: </w:t>
      </w:r>
      <w:r w:rsidRPr="006870FC">
        <w:rPr>
          <w:rFonts w:ascii="Arial" w:hAnsi="Arial" w:cs="Arial"/>
          <w:bCs/>
          <w:sz w:val="20"/>
          <w:szCs w:val="20"/>
        </w:rPr>
        <w:t>Size of land before and after clearance</w:t>
      </w:r>
      <w:r w:rsidRPr="006870FC">
        <w:rPr>
          <w:rFonts w:ascii="Arial" w:hAnsi="Arial" w:cs="Arial"/>
          <w:b/>
          <w:bCs/>
          <w:sz w:val="20"/>
          <w:szCs w:val="20"/>
        </w:rPr>
        <w:t xml:space="preserve"> </w:t>
      </w:r>
      <w:r w:rsidRPr="006870FC">
        <w:rPr>
          <w:rFonts w:ascii="Arial" w:hAnsi="Arial" w:cs="Arial"/>
          <w:color w:val="FF0000"/>
          <w:sz w:val="20"/>
          <w:szCs w:val="20"/>
        </w:rPr>
        <w:t xml:space="preserve"> </w:t>
      </w:r>
    </w:p>
    <w:tbl>
      <w:tblPr>
        <w:tblW w:w="8649" w:type="dxa"/>
        <w:tblInd w:w="-5" w:type="dxa"/>
        <w:tblLook w:val="04A0" w:firstRow="1" w:lastRow="0" w:firstColumn="1" w:lastColumn="0" w:noHBand="0" w:noVBand="1"/>
      </w:tblPr>
      <w:tblGrid>
        <w:gridCol w:w="4253"/>
        <w:gridCol w:w="1276"/>
        <w:gridCol w:w="1060"/>
        <w:gridCol w:w="1000"/>
        <w:gridCol w:w="1060"/>
      </w:tblGrid>
      <w:tr w:rsidR="00590C0D" w:rsidRPr="00011EAE" w14:paraId="26B9859E" w14:textId="77777777" w:rsidTr="00696331">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5A9A3ED" w14:textId="77777777" w:rsidR="00590C0D" w:rsidRPr="00011EAE" w:rsidRDefault="00590C0D" w:rsidP="00696331">
            <w:pPr>
              <w:spacing w:after="0" w:line="240" w:lineRule="auto"/>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 </w:t>
            </w:r>
          </w:p>
        </w:tc>
        <w:tc>
          <w:tcPr>
            <w:tcW w:w="4396"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8029922"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eastAsia="ru-RU"/>
              </w:rPr>
              <w:t>p</w:t>
            </w:r>
            <w:r w:rsidRPr="00011EAE">
              <w:rPr>
                <w:rFonts w:ascii="Arial" w:eastAsia="Times New Roman" w:hAnsi="Arial" w:cs="Arial"/>
                <w:color w:val="000000"/>
                <w:sz w:val="18"/>
                <w:szCs w:val="18"/>
                <w:lang w:val="ru-RU" w:eastAsia="ru-RU"/>
              </w:rPr>
              <w:t>rovince</w:t>
            </w:r>
          </w:p>
        </w:tc>
      </w:tr>
      <w:tr w:rsidR="00590C0D" w:rsidRPr="00011EAE" w14:paraId="4FD3929F" w14:textId="77777777" w:rsidTr="00696331">
        <w:trPr>
          <w:trHeight w:val="495"/>
        </w:trPr>
        <w:tc>
          <w:tcPr>
            <w:tcW w:w="42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7D730" w14:textId="77777777" w:rsidR="00590C0D" w:rsidRPr="00011EAE" w:rsidRDefault="00590C0D" w:rsidP="00696331">
            <w:pPr>
              <w:spacing w:after="0" w:line="240" w:lineRule="auto"/>
              <w:rPr>
                <w:rFonts w:ascii="Arial" w:eastAsia="Times New Roman" w:hAnsi="Arial" w:cs="Arial"/>
                <w:color w:val="000000"/>
                <w:sz w:val="18"/>
                <w:szCs w:val="18"/>
                <w:lang w:val="ru-RU" w:eastAsia="ru-RU"/>
              </w:rPr>
            </w:pP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7D172FA4"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Battambang</w:t>
            </w:r>
          </w:p>
        </w:tc>
        <w:tc>
          <w:tcPr>
            <w:tcW w:w="1060" w:type="dxa"/>
            <w:tcBorders>
              <w:top w:val="nil"/>
              <w:left w:val="nil"/>
              <w:bottom w:val="single" w:sz="4" w:space="0" w:color="auto"/>
              <w:right w:val="single" w:sz="4" w:space="0" w:color="auto"/>
            </w:tcBorders>
            <w:shd w:val="clear" w:color="auto" w:fill="D9D9D9" w:themeFill="background1" w:themeFillShade="D9"/>
            <w:vAlign w:val="bottom"/>
            <w:hideMark/>
          </w:tcPr>
          <w:p w14:paraId="7D8B934C"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Banteay Meanchey</w:t>
            </w:r>
          </w:p>
        </w:tc>
        <w:tc>
          <w:tcPr>
            <w:tcW w:w="1000" w:type="dxa"/>
            <w:tcBorders>
              <w:top w:val="nil"/>
              <w:left w:val="nil"/>
              <w:bottom w:val="single" w:sz="4" w:space="0" w:color="auto"/>
              <w:right w:val="single" w:sz="4" w:space="0" w:color="auto"/>
            </w:tcBorders>
            <w:shd w:val="clear" w:color="auto" w:fill="D9D9D9" w:themeFill="background1" w:themeFillShade="D9"/>
            <w:vAlign w:val="bottom"/>
            <w:hideMark/>
          </w:tcPr>
          <w:p w14:paraId="6E9EBA06"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Pailin</w:t>
            </w:r>
          </w:p>
        </w:tc>
        <w:tc>
          <w:tcPr>
            <w:tcW w:w="1060" w:type="dxa"/>
            <w:tcBorders>
              <w:top w:val="nil"/>
              <w:left w:val="nil"/>
              <w:bottom w:val="single" w:sz="4" w:space="0" w:color="auto"/>
              <w:right w:val="single" w:sz="4" w:space="0" w:color="auto"/>
            </w:tcBorders>
            <w:shd w:val="clear" w:color="auto" w:fill="D9D9D9" w:themeFill="background1" w:themeFillShade="D9"/>
            <w:vAlign w:val="bottom"/>
            <w:hideMark/>
          </w:tcPr>
          <w:p w14:paraId="5A537C47"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Total all provinces</w:t>
            </w:r>
          </w:p>
        </w:tc>
      </w:tr>
      <w:tr w:rsidR="00590C0D" w:rsidRPr="00011EAE" w14:paraId="60A42808" w14:textId="77777777" w:rsidTr="00696331">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02ACCE02" w14:textId="77777777" w:rsidR="00590C0D" w:rsidRPr="00011EAE" w:rsidRDefault="00590C0D" w:rsidP="00696331">
            <w:pPr>
              <w:spacing w:after="0" w:line="240" w:lineRule="auto"/>
              <w:rPr>
                <w:rFonts w:ascii="Arial" w:eastAsia="Times New Roman" w:hAnsi="Arial" w:cs="Arial"/>
                <w:color w:val="000000"/>
                <w:sz w:val="18"/>
                <w:szCs w:val="18"/>
                <w:lang w:val="ru-RU" w:eastAsia="ru-RU"/>
              </w:rPr>
            </w:pP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3A67D9F3"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Mean</w:t>
            </w:r>
          </w:p>
        </w:tc>
        <w:tc>
          <w:tcPr>
            <w:tcW w:w="1060" w:type="dxa"/>
            <w:tcBorders>
              <w:top w:val="nil"/>
              <w:left w:val="nil"/>
              <w:bottom w:val="single" w:sz="4" w:space="0" w:color="auto"/>
              <w:right w:val="single" w:sz="4" w:space="0" w:color="auto"/>
            </w:tcBorders>
            <w:shd w:val="clear" w:color="auto" w:fill="D9D9D9" w:themeFill="background1" w:themeFillShade="D9"/>
            <w:vAlign w:val="bottom"/>
            <w:hideMark/>
          </w:tcPr>
          <w:p w14:paraId="3D211419"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Mean</w:t>
            </w:r>
          </w:p>
        </w:tc>
        <w:tc>
          <w:tcPr>
            <w:tcW w:w="1000" w:type="dxa"/>
            <w:tcBorders>
              <w:top w:val="nil"/>
              <w:left w:val="nil"/>
              <w:bottom w:val="single" w:sz="4" w:space="0" w:color="auto"/>
              <w:right w:val="single" w:sz="4" w:space="0" w:color="auto"/>
            </w:tcBorders>
            <w:shd w:val="clear" w:color="auto" w:fill="D9D9D9" w:themeFill="background1" w:themeFillShade="D9"/>
            <w:vAlign w:val="bottom"/>
            <w:hideMark/>
          </w:tcPr>
          <w:p w14:paraId="390CE53D"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Mean</w:t>
            </w:r>
          </w:p>
        </w:tc>
        <w:tc>
          <w:tcPr>
            <w:tcW w:w="1060" w:type="dxa"/>
            <w:tcBorders>
              <w:top w:val="nil"/>
              <w:left w:val="nil"/>
              <w:bottom w:val="single" w:sz="4" w:space="0" w:color="auto"/>
              <w:right w:val="single" w:sz="4" w:space="0" w:color="auto"/>
            </w:tcBorders>
            <w:shd w:val="clear" w:color="auto" w:fill="D9D9D9" w:themeFill="background1" w:themeFillShade="D9"/>
            <w:vAlign w:val="bottom"/>
            <w:hideMark/>
          </w:tcPr>
          <w:p w14:paraId="3EC32D0D" w14:textId="77777777" w:rsidR="00590C0D" w:rsidRPr="00011EAE" w:rsidRDefault="00590C0D" w:rsidP="00696331">
            <w:pPr>
              <w:spacing w:after="0" w:line="240" w:lineRule="auto"/>
              <w:jc w:val="center"/>
              <w:rPr>
                <w:rFonts w:ascii="Arial" w:eastAsia="Times New Roman" w:hAnsi="Arial" w:cs="Arial"/>
                <w:color w:val="000000"/>
                <w:sz w:val="18"/>
                <w:szCs w:val="18"/>
                <w:lang w:val="ru-RU" w:eastAsia="ru-RU"/>
              </w:rPr>
            </w:pPr>
            <w:r w:rsidRPr="00011EAE">
              <w:rPr>
                <w:rFonts w:ascii="Arial" w:eastAsia="Times New Roman" w:hAnsi="Arial" w:cs="Arial"/>
                <w:color w:val="000000"/>
                <w:sz w:val="18"/>
                <w:szCs w:val="18"/>
                <w:lang w:val="ru-RU" w:eastAsia="ru-RU"/>
              </w:rPr>
              <w:t>Mean</w:t>
            </w:r>
          </w:p>
        </w:tc>
      </w:tr>
      <w:tr w:rsidR="00590C0D" w:rsidRPr="00011EAE" w14:paraId="0A22E24D" w14:textId="77777777" w:rsidTr="00696331">
        <w:trPr>
          <w:trHeight w:val="239"/>
        </w:trPr>
        <w:tc>
          <w:tcPr>
            <w:tcW w:w="4253" w:type="dxa"/>
            <w:tcBorders>
              <w:top w:val="nil"/>
              <w:left w:val="single" w:sz="4" w:space="0" w:color="auto"/>
              <w:bottom w:val="single" w:sz="4" w:space="0" w:color="auto"/>
              <w:right w:val="single" w:sz="4" w:space="0" w:color="auto"/>
            </w:tcBorders>
            <w:shd w:val="clear" w:color="auto" w:fill="auto"/>
            <w:hideMark/>
          </w:tcPr>
          <w:p w14:paraId="14A0B2B8" w14:textId="77777777" w:rsidR="00590C0D" w:rsidRPr="00011EAE" w:rsidRDefault="00590C0D" w:rsidP="00696331">
            <w:pPr>
              <w:spacing w:after="0" w:line="240" w:lineRule="auto"/>
              <w:rPr>
                <w:rFonts w:ascii="Arial" w:eastAsia="Times New Roman" w:hAnsi="Arial" w:cs="Arial"/>
                <w:color w:val="000000"/>
                <w:sz w:val="18"/>
                <w:szCs w:val="18"/>
                <w:lang w:eastAsia="ru-RU"/>
              </w:rPr>
            </w:pPr>
            <w:r w:rsidRPr="00011EAE">
              <w:rPr>
                <w:rFonts w:ascii="Arial" w:eastAsia="Times New Roman" w:hAnsi="Arial" w:cs="Arial"/>
                <w:color w:val="000000"/>
                <w:sz w:val="18"/>
                <w:szCs w:val="18"/>
                <w:lang w:eastAsia="ru-RU"/>
              </w:rPr>
              <w:t xml:space="preserve">Size of </w:t>
            </w:r>
            <w:r w:rsidRPr="006870FC">
              <w:rPr>
                <w:rFonts w:ascii="Arial" w:eastAsia="Times New Roman" w:hAnsi="Arial" w:cs="Arial"/>
                <w:color w:val="000000"/>
                <w:sz w:val="18"/>
                <w:szCs w:val="18"/>
                <w:u w:val="single"/>
                <w:lang w:eastAsia="ru-RU"/>
              </w:rPr>
              <w:t>residential</w:t>
            </w:r>
            <w:r w:rsidRPr="00011EAE">
              <w:rPr>
                <w:rFonts w:ascii="Arial" w:eastAsia="Times New Roman" w:hAnsi="Arial" w:cs="Arial"/>
                <w:color w:val="000000"/>
                <w:sz w:val="18"/>
                <w:szCs w:val="18"/>
                <w:lang w:eastAsia="ru-RU"/>
              </w:rPr>
              <w:t xml:space="preserve"> usable land </w:t>
            </w:r>
            <w:r w:rsidRPr="006870FC">
              <w:rPr>
                <w:rFonts w:ascii="Arial" w:eastAsia="Times New Roman" w:hAnsi="Arial" w:cs="Arial"/>
                <w:color w:val="000000"/>
                <w:sz w:val="18"/>
                <w:szCs w:val="18"/>
                <w:u w:val="single"/>
                <w:lang w:eastAsia="ru-RU"/>
              </w:rPr>
              <w:t>before</w:t>
            </w:r>
            <w:r w:rsidRPr="00011EAE">
              <w:rPr>
                <w:rFonts w:ascii="Arial" w:eastAsia="Times New Roman" w:hAnsi="Arial" w:cs="Arial"/>
                <w:color w:val="000000"/>
                <w:sz w:val="18"/>
                <w:szCs w:val="18"/>
                <w:lang w:eastAsia="ru-RU"/>
              </w:rPr>
              <w:t xml:space="preserve"> clearance</w:t>
            </w:r>
          </w:p>
        </w:tc>
        <w:tc>
          <w:tcPr>
            <w:tcW w:w="1276" w:type="dxa"/>
            <w:tcBorders>
              <w:top w:val="nil"/>
              <w:left w:val="nil"/>
              <w:bottom w:val="single" w:sz="4" w:space="0" w:color="auto"/>
              <w:right w:val="single" w:sz="4" w:space="0" w:color="auto"/>
            </w:tcBorders>
            <w:shd w:val="clear" w:color="auto" w:fill="auto"/>
            <w:noWrap/>
            <w:vAlign w:val="center"/>
            <w:hideMark/>
          </w:tcPr>
          <w:p w14:paraId="73F50153"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0,3</w:t>
            </w:r>
          </w:p>
        </w:tc>
        <w:tc>
          <w:tcPr>
            <w:tcW w:w="1060" w:type="dxa"/>
            <w:tcBorders>
              <w:top w:val="nil"/>
              <w:left w:val="nil"/>
              <w:bottom w:val="single" w:sz="4" w:space="0" w:color="auto"/>
              <w:right w:val="single" w:sz="4" w:space="0" w:color="auto"/>
            </w:tcBorders>
            <w:shd w:val="clear" w:color="auto" w:fill="auto"/>
            <w:noWrap/>
            <w:vAlign w:val="center"/>
            <w:hideMark/>
          </w:tcPr>
          <w:p w14:paraId="1940CE1B"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0,1</w:t>
            </w:r>
          </w:p>
        </w:tc>
        <w:tc>
          <w:tcPr>
            <w:tcW w:w="1000" w:type="dxa"/>
            <w:tcBorders>
              <w:top w:val="nil"/>
              <w:left w:val="nil"/>
              <w:bottom w:val="single" w:sz="4" w:space="0" w:color="auto"/>
              <w:right w:val="single" w:sz="4" w:space="0" w:color="auto"/>
            </w:tcBorders>
            <w:shd w:val="clear" w:color="auto" w:fill="auto"/>
            <w:noWrap/>
            <w:vAlign w:val="center"/>
            <w:hideMark/>
          </w:tcPr>
          <w:p w14:paraId="662FAC83"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0,2</w:t>
            </w:r>
          </w:p>
        </w:tc>
        <w:tc>
          <w:tcPr>
            <w:tcW w:w="1060" w:type="dxa"/>
            <w:tcBorders>
              <w:top w:val="nil"/>
              <w:left w:val="nil"/>
              <w:bottom w:val="single" w:sz="4" w:space="0" w:color="auto"/>
              <w:right w:val="single" w:sz="4" w:space="0" w:color="auto"/>
            </w:tcBorders>
            <w:shd w:val="clear" w:color="auto" w:fill="auto"/>
            <w:noWrap/>
            <w:vAlign w:val="center"/>
            <w:hideMark/>
          </w:tcPr>
          <w:p w14:paraId="4DF9FB1A"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0,2</w:t>
            </w:r>
          </w:p>
        </w:tc>
      </w:tr>
      <w:tr w:rsidR="00590C0D" w:rsidRPr="00011EAE" w14:paraId="1918D4DE" w14:textId="77777777" w:rsidTr="00696331">
        <w:trPr>
          <w:trHeight w:val="217"/>
        </w:trPr>
        <w:tc>
          <w:tcPr>
            <w:tcW w:w="4253" w:type="dxa"/>
            <w:tcBorders>
              <w:top w:val="nil"/>
              <w:left w:val="single" w:sz="4" w:space="0" w:color="auto"/>
              <w:bottom w:val="single" w:sz="4" w:space="0" w:color="auto"/>
              <w:right w:val="single" w:sz="4" w:space="0" w:color="auto"/>
            </w:tcBorders>
            <w:shd w:val="clear" w:color="auto" w:fill="auto"/>
            <w:hideMark/>
          </w:tcPr>
          <w:p w14:paraId="77504CE1" w14:textId="77777777" w:rsidR="00590C0D" w:rsidRPr="00011EAE" w:rsidRDefault="00590C0D" w:rsidP="00696331">
            <w:pPr>
              <w:spacing w:after="0" w:line="240" w:lineRule="auto"/>
              <w:rPr>
                <w:rFonts w:ascii="Arial" w:eastAsia="Times New Roman" w:hAnsi="Arial" w:cs="Arial"/>
                <w:color w:val="000000"/>
                <w:sz w:val="18"/>
                <w:szCs w:val="18"/>
                <w:lang w:eastAsia="ru-RU"/>
              </w:rPr>
            </w:pPr>
            <w:r w:rsidRPr="00011EAE">
              <w:rPr>
                <w:rFonts w:ascii="Arial" w:eastAsia="Times New Roman" w:hAnsi="Arial" w:cs="Arial"/>
                <w:color w:val="000000"/>
                <w:sz w:val="18"/>
                <w:szCs w:val="18"/>
                <w:lang w:eastAsia="ru-RU"/>
              </w:rPr>
              <w:t>Size of r</w:t>
            </w:r>
            <w:r w:rsidRPr="006870FC">
              <w:rPr>
                <w:rFonts w:ascii="Arial" w:eastAsia="Times New Roman" w:hAnsi="Arial" w:cs="Arial"/>
                <w:color w:val="000000"/>
                <w:sz w:val="18"/>
                <w:szCs w:val="18"/>
                <w:u w:val="single"/>
                <w:lang w:eastAsia="ru-RU"/>
              </w:rPr>
              <w:t>esidential</w:t>
            </w:r>
            <w:r w:rsidRPr="00011EAE">
              <w:rPr>
                <w:rFonts w:ascii="Arial" w:eastAsia="Times New Roman" w:hAnsi="Arial" w:cs="Arial"/>
                <w:color w:val="000000"/>
                <w:sz w:val="18"/>
                <w:szCs w:val="18"/>
                <w:lang w:eastAsia="ru-RU"/>
              </w:rPr>
              <w:t xml:space="preserve"> usable land </w:t>
            </w:r>
            <w:r w:rsidRPr="006870FC">
              <w:rPr>
                <w:rFonts w:ascii="Arial" w:eastAsia="Times New Roman" w:hAnsi="Arial" w:cs="Arial"/>
                <w:color w:val="000000"/>
                <w:sz w:val="18"/>
                <w:szCs w:val="18"/>
                <w:u w:val="single"/>
                <w:lang w:eastAsia="ru-RU"/>
              </w:rPr>
              <w:t>after</w:t>
            </w:r>
            <w:r w:rsidRPr="00011EAE">
              <w:rPr>
                <w:rFonts w:ascii="Arial" w:eastAsia="Times New Roman" w:hAnsi="Arial" w:cs="Arial"/>
                <w:color w:val="000000"/>
                <w:sz w:val="18"/>
                <w:szCs w:val="18"/>
                <w:lang w:eastAsia="ru-RU"/>
              </w:rPr>
              <w:t xml:space="preserve"> clearance</w:t>
            </w:r>
          </w:p>
        </w:tc>
        <w:tc>
          <w:tcPr>
            <w:tcW w:w="1276" w:type="dxa"/>
            <w:tcBorders>
              <w:top w:val="nil"/>
              <w:left w:val="nil"/>
              <w:bottom w:val="single" w:sz="4" w:space="0" w:color="auto"/>
              <w:right w:val="single" w:sz="4" w:space="0" w:color="auto"/>
            </w:tcBorders>
            <w:shd w:val="clear" w:color="auto" w:fill="auto"/>
            <w:noWrap/>
            <w:vAlign w:val="center"/>
            <w:hideMark/>
          </w:tcPr>
          <w:p w14:paraId="5EA25AAF"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0,4</w:t>
            </w:r>
          </w:p>
        </w:tc>
        <w:tc>
          <w:tcPr>
            <w:tcW w:w="1060" w:type="dxa"/>
            <w:tcBorders>
              <w:top w:val="nil"/>
              <w:left w:val="nil"/>
              <w:bottom w:val="single" w:sz="4" w:space="0" w:color="auto"/>
              <w:right w:val="single" w:sz="4" w:space="0" w:color="auto"/>
            </w:tcBorders>
            <w:shd w:val="clear" w:color="auto" w:fill="auto"/>
            <w:noWrap/>
            <w:vAlign w:val="center"/>
            <w:hideMark/>
          </w:tcPr>
          <w:p w14:paraId="157DCAA9"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0,3</w:t>
            </w:r>
          </w:p>
        </w:tc>
        <w:tc>
          <w:tcPr>
            <w:tcW w:w="1000" w:type="dxa"/>
            <w:tcBorders>
              <w:top w:val="nil"/>
              <w:left w:val="nil"/>
              <w:bottom w:val="single" w:sz="4" w:space="0" w:color="auto"/>
              <w:right w:val="single" w:sz="4" w:space="0" w:color="auto"/>
            </w:tcBorders>
            <w:shd w:val="clear" w:color="auto" w:fill="auto"/>
            <w:noWrap/>
            <w:vAlign w:val="center"/>
            <w:hideMark/>
          </w:tcPr>
          <w:p w14:paraId="15D47C21"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0,2</w:t>
            </w:r>
          </w:p>
        </w:tc>
        <w:tc>
          <w:tcPr>
            <w:tcW w:w="1060" w:type="dxa"/>
            <w:tcBorders>
              <w:top w:val="nil"/>
              <w:left w:val="nil"/>
              <w:bottom w:val="single" w:sz="4" w:space="0" w:color="auto"/>
              <w:right w:val="single" w:sz="4" w:space="0" w:color="auto"/>
            </w:tcBorders>
            <w:shd w:val="clear" w:color="auto" w:fill="auto"/>
            <w:noWrap/>
            <w:vAlign w:val="center"/>
            <w:hideMark/>
          </w:tcPr>
          <w:p w14:paraId="13AAC373"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0,3</w:t>
            </w:r>
          </w:p>
        </w:tc>
      </w:tr>
      <w:tr w:rsidR="00590C0D" w:rsidRPr="00011EAE" w14:paraId="4CE692B6" w14:textId="77777777" w:rsidTr="00696331">
        <w:trPr>
          <w:trHeight w:val="275"/>
        </w:trPr>
        <w:tc>
          <w:tcPr>
            <w:tcW w:w="4253" w:type="dxa"/>
            <w:tcBorders>
              <w:top w:val="nil"/>
              <w:left w:val="single" w:sz="4" w:space="0" w:color="auto"/>
              <w:bottom w:val="single" w:sz="4" w:space="0" w:color="auto"/>
              <w:right w:val="single" w:sz="4" w:space="0" w:color="auto"/>
            </w:tcBorders>
            <w:shd w:val="clear" w:color="auto" w:fill="auto"/>
            <w:hideMark/>
          </w:tcPr>
          <w:p w14:paraId="68AB0410" w14:textId="77777777" w:rsidR="00590C0D" w:rsidRPr="00011EAE" w:rsidRDefault="00590C0D" w:rsidP="00696331">
            <w:pPr>
              <w:spacing w:after="0" w:line="240" w:lineRule="auto"/>
              <w:rPr>
                <w:rFonts w:ascii="Arial" w:eastAsia="Times New Roman" w:hAnsi="Arial" w:cs="Arial"/>
                <w:color w:val="000000"/>
                <w:sz w:val="18"/>
                <w:szCs w:val="18"/>
                <w:lang w:eastAsia="ru-RU"/>
              </w:rPr>
            </w:pPr>
            <w:r w:rsidRPr="00011EAE">
              <w:rPr>
                <w:rFonts w:ascii="Arial" w:eastAsia="Times New Roman" w:hAnsi="Arial" w:cs="Arial"/>
                <w:color w:val="000000"/>
                <w:sz w:val="18"/>
                <w:szCs w:val="18"/>
                <w:lang w:eastAsia="ru-RU"/>
              </w:rPr>
              <w:t xml:space="preserve">Size of </w:t>
            </w:r>
            <w:r w:rsidRPr="006870FC">
              <w:rPr>
                <w:rFonts w:ascii="Arial" w:eastAsia="Times New Roman" w:hAnsi="Arial" w:cs="Arial"/>
                <w:color w:val="000000"/>
                <w:sz w:val="18"/>
                <w:szCs w:val="18"/>
                <w:u w:val="single"/>
                <w:lang w:eastAsia="ru-RU"/>
              </w:rPr>
              <w:t>agricultural</w:t>
            </w:r>
            <w:r w:rsidRPr="00011EAE">
              <w:rPr>
                <w:rFonts w:ascii="Arial" w:eastAsia="Times New Roman" w:hAnsi="Arial" w:cs="Arial"/>
                <w:color w:val="000000"/>
                <w:sz w:val="18"/>
                <w:szCs w:val="18"/>
                <w:lang w:eastAsia="ru-RU"/>
              </w:rPr>
              <w:t xml:space="preserve"> land </w:t>
            </w:r>
            <w:r w:rsidRPr="006870FC">
              <w:rPr>
                <w:rFonts w:ascii="Arial" w:eastAsia="Times New Roman" w:hAnsi="Arial" w:cs="Arial"/>
                <w:color w:val="000000"/>
                <w:sz w:val="18"/>
                <w:szCs w:val="18"/>
                <w:u w:val="single"/>
                <w:lang w:eastAsia="ru-RU"/>
              </w:rPr>
              <w:t>before</w:t>
            </w:r>
            <w:r w:rsidRPr="00011EAE">
              <w:rPr>
                <w:rFonts w:ascii="Arial" w:eastAsia="Times New Roman" w:hAnsi="Arial" w:cs="Arial"/>
                <w:color w:val="000000"/>
                <w:sz w:val="18"/>
                <w:szCs w:val="18"/>
                <w:lang w:eastAsia="ru-RU"/>
              </w:rPr>
              <w:t xml:space="preserve"> clearance</w:t>
            </w:r>
          </w:p>
        </w:tc>
        <w:tc>
          <w:tcPr>
            <w:tcW w:w="1276" w:type="dxa"/>
            <w:tcBorders>
              <w:top w:val="nil"/>
              <w:left w:val="nil"/>
              <w:bottom w:val="single" w:sz="4" w:space="0" w:color="auto"/>
              <w:right w:val="single" w:sz="4" w:space="0" w:color="auto"/>
            </w:tcBorders>
            <w:shd w:val="clear" w:color="auto" w:fill="auto"/>
            <w:noWrap/>
            <w:vAlign w:val="center"/>
            <w:hideMark/>
          </w:tcPr>
          <w:p w14:paraId="03C7DB98"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1,4</w:t>
            </w:r>
          </w:p>
        </w:tc>
        <w:tc>
          <w:tcPr>
            <w:tcW w:w="1060" w:type="dxa"/>
            <w:tcBorders>
              <w:top w:val="nil"/>
              <w:left w:val="nil"/>
              <w:bottom w:val="single" w:sz="4" w:space="0" w:color="auto"/>
              <w:right w:val="single" w:sz="4" w:space="0" w:color="auto"/>
            </w:tcBorders>
            <w:shd w:val="clear" w:color="auto" w:fill="auto"/>
            <w:noWrap/>
            <w:vAlign w:val="center"/>
            <w:hideMark/>
          </w:tcPr>
          <w:p w14:paraId="253FFA69"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1,1</w:t>
            </w:r>
          </w:p>
        </w:tc>
        <w:tc>
          <w:tcPr>
            <w:tcW w:w="1000" w:type="dxa"/>
            <w:tcBorders>
              <w:top w:val="nil"/>
              <w:left w:val="nil"/>
              <w:bottom w:val="single" w:sz="4" w:space="0" w:color="auto"/>
              <w:right w:val="single" w:sz="4" w:space="0" w:color="auto"/>
            </w:tcBorders>
            <w:shd w:val="clear" w:color="auto" w:fill="auto"/>
            <w:noWrap/>
            <w:vAlign w:val="center"/>
            <w:hideMark/>
          </w:tcPr>
          <w:p w14:paraId="22765DB8"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1,7</w:t>
            </w:r>
          </w:p>
        </w:tc>
        <w:tc>
          <w:tcPr>
            <w:tcW w:w="1060" w:type="dxa"/>
            <w:tcBorders>
              <w:top w:val="nil"/>
              <w:left w:val="nil"/>
              <w:bottom w:val="single" w:sz="4" w:space="0" w:color="auto"/>
              <w:right w:val="single" w:sz="4" w:space="0" w:color="auto"/>
            </w:tcBorders>
            <w:shd w:val="clear" w:color="auto" w:fill="auto"/>
            <w:noWrap/>
            <w:vAlign w:val="center"/>
            <w:hideMark/>
          </w:tcPr>
          <w:p w14:paraId="31F631F0"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1,3</w:t>
            </w:r>
          </w:p>
        </w:tc>
      </w:tr>
      <w:tr w:rsidR="00590C0D" w:rsidRPr="00011EAE" w14:paraId="116A3980" w14:textId="77777777" w:rsidTr="00696331">
        <w:trPr>
          <w:trHeight w:val="278"/>
        </w:trPr>
        <w:tc>
          <w:tcPr>
            <w:tcW w:w="4253" w:type="dxa"/>
            <w:tcBorders>
              <w:top w:val="nil"/>
              <w:left w:val="single" w:sz="4" w:space="0" w:color="auto"/>
              <w:bottom w:val="single" w:sz="4" w:space="0" w:color="auto"/>
              <w:right w:val="single" w:sz="4" w:space="0" w:color="auto"/>
            </w:tcBorders>
            <w:shd w:val="clear" w:color="auto" w:fill="auto"/>
            <w:hideMark/>
          </w:tcPr>
          <w:p w14:paraId="449737BE" w14:textId="77777777" w:rsidR="00590C0D" w:rsidRPr="00011EAE" w:rsidRDefault="00590C0D" w:rsidP="00696331">
            <w:pPr>
              <w:spacing w:after="0" w:line="240" w:lineRule="auto"/>
              <w:rPr>
                <w:rFonts w:ascii="Arial" w:eastAsia="Times New Roman" w:hAnsi="Arial" w:cs="Arial"/>
                <w:color w:val="000000"/>
                <w:sz w:val="18"/>
                <w:szCs w:val="18"/>
                <w:lang w:eastAsia="ru-RU"/>
              </w:rPr>
            </w:pPr>
            <w:r w:rsidRPr="00011EAE">
              <w:rPr>
                <w:rFonts w:ascii="Arial" w:eastAsia="Times New Roman" w:hAnsi="Arial" w:cs="Arial"/>
                <w:color w:val="000000"/>
                <w:sz w:val="18"/>
                <w:szCs w:val="18"/>
                <w:lang w:eastAsia="ru-RU"/>
              </w:rPr>
              <w:lastRenderedPageBreak/>
              <w:t xml:space="preserve">Size of </w:t>
            </w:r>
            <w:r w:rsidRPr="006870FC">
              <w:rPr>
                <w:rFonts w:ascii="Arial" w:eastAsia="Times New Roman" w:hAnsi="Arial" w:cs="Arial"/>
                <w:color w:val="000000"/>
                <w:sz w:val="18"/>
                <w:szCs w:val="18"/>
                <w:u w:val="single"/>
                <w:lang w:eastAsia="ru-RU"/>
              </w:rPr>
              <w:t>agricultural</w:t>
            </w:r>
            <w:r w:rsidRPr="00011EAE">
              <w:rPr>
                <w:rFonts w:ascii="Arial" w:eastAsia="Times New Roman" w:hAnsi="Arial" w:cs="Arial"/>
                <w:color w:val="000000"/>
                <w:sz w:val="18"/>
                <w:szCs w:val="18"/>
                <w:lang w:eastAsia="ru-RU"/>
              </w:rPr>
              <w:t xml:space="preserve"> land </w:t>
            </w:r>
            <w:r w:rsidRPr="006870FC">
              <w:rPr>
                <w:rFonts w:ascii="Arial" w:eastAsia="Times New Roman" w:hAnsi="Arial" w:cs="Arial"/>
                <w:color w:val="000000"/>
                <w:sz w:val="18"/>
                <w:szCs w:val="18"/>
                <w:u w:val="single"/>
                <w:lang w:eastAsia="ru-RU"/>
              </w:rPr>
              <w:t>after</w:t>
            </w:r>
            <w:r w:rsidRPr="00011EAE">
              <w:rPr>
                <w:rFonts w:ascii="Arial" w:eastAsia="Times New Roman" w:hAnsi="Arial" w:cs="Arial"/>
                <w:color w:val="000000"/>
                <w:sz w:val="18"/>
                <w:szCs w:val="18"/>
                <w:lang w:eastAsia="ru-RU"/>
              </w:rPr>
              <w:t xml:space="preserve"> clearance</w:t>
            </w:r>
          </w:p>
        </w:tc>
        <w:tc>
          <w:tcPr>
            <w:tcW w:w="1276" w:type="dxa"/>
            <w:tcBorders>
              <w:top w:val="nil"/>
              <w:left w:val="nil"/>
              <w:bottom w:val="single" w:sz="4" w:space="0" w:color="auto"/>
              <w:right w:val="single" w:sz="4" w:space="0" w:color="auto"/>
            </w:tcBorders>
            <w:shd w:val="clear" w:color="auto" w:fill="auto"/>
            <w:noWrap/>
            <w:vAlign w:val="center"/>
            <w:hideMark/>
          </w:tcPr>
          <w:p w14:paraId="784255E0"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2,6</w:t>
            </w:r>
          </w:p>
        </w:tc>
        <w:tc>
          <w:tcPr>
            <w:tcW w:w="1060" w:type="dxa"/>
            <w:tcBorders>
              <w:top w:val="nil"/>
              <w:left w:val="nil"/>
              <w:bottom w:val="single" w:sz="4" w:space="0" w:color="auto"/>
              <w:right w:val="single" w:sz="4" w:space="0" w:color="auto"/>
            </w:tcBorders>
            <w:shd w:val="clear" w:color="auto" w:fill="auto"/>
            <w:noWrap/>
            <w:vAlign w:val="center"/>
            <w:hideMark/>
          </w:tcPr>
          <w:p w14:paraId="23E57B1F"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3,3</w:t>
            </w:r>
          </w:p>
        </w:tc>
        <w:tc>
          <w:tcPr>
            <w:tcW w:w="1000" w:type="dxa"/>
            <w:tcBorders>
              <w:top w:val="nil"/>
              <w:left w:val="nil"/>
              <w:bottom w:val="single" w:sz="4" w:space="0" w:color="auto"/>
              <w:right w:val="single" w:sz="4" w:space="0" w:color="auto"/>
            </w:tcBorders>
            <w:shd w:val="clear" w:color="auto" w:fill="auto"/>
            <w:noWrap/>
            <w:vAlign w:val="center"/>
            <w:hideMark/>
          </w:tcPr>
          <w:p w14:paraId="35B11AC5"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2,6</w:t>
            </w:r>
          </w:p>
        </w:tc>
        <w:tc>
          <w:tcPr>
            <w:tcW w:w="1060" w:type="dxa"/>
            <w:tcBorders>
              <w:top w:val="nil"/>
              <w:left w:val="nil"/>
              <w:bottom w:val="single" w:sz="4" w:space="0" w:color="auto"/>
              <w:right w:val="single" w:sz="4" w:space="0" w:color="auto"/>
            </w:tcBorders>
            <w:shd w:val="clear" w:color="auto" w:fill="auto"/>
            <w:noWrap/>
            <w:vAlign w:val="center"/>
            <w:hideMark/>
          </w:tcPr>
          <w:p w14:paraId="665CCE7B" w14:textId="77777777" w:rsidR="00590C0D" w:rsidRDefault="00590C0D" w:rsidP="00696331">
            <w:pPr>
              <w:jc w:val="center"/>
              <w:rPr>
                <w:rFonts w:ascii="Arial" w:hAnsi="Arial" w:cs="Arial"/>
                <w:color w:val="000000"/>
                <w:sz w:val="18"/>
                <w:szCs w:val="18"/>
              </w:rPr>
            </w:pPr>
            <w:r>
              <w:rPr>
                <w:rFonts w:ascii="Arial" w:hAnsi="Arial" w:cs="Arial"/>
                <w:color w:val="000000"/>
                <w:sz w:val="18"/>
                <w:szCs w:val="18"/>
              </w:rPr>
              <w:t>2,8</w:t>
            </w:r>
          </w:p>
        </w:tc>
      </w:tr>
    </w:tbl>
    <w:p w14:paraId="332C9DCC" w14:textId="77777777" w:rsidR="00590C0D" w:rsidRDefault="00590C0D" w:rsidP="00DC4152">
      <w:pPr>
        <w:jc w:val="both"/>
        <w:rPr>
          <w:rFonts w:ascii="Arial" w:hAnsi="Arial" w:cs="Arial"/>
          <w:sz w:val="20"/>
          <w:szCs w:val="20"/>
          <w:shd w:val="clear" w:color="auto" w:fill="FFFFFF"/>
        </w:rPr>
      </w:pPr>
    </w:p>
    <w:p w14:paraId="0B5A7EF1" w14:textId="77777777" w:rsidR="001B612D" w:rsidRDefault="001B612D" w:rsidP="001B612D">
      <w:pPr>
        <w:jc w:val="both"/>
        <w:rPr>
          <w:rFonts w:ascii="Arial" w:hAnsi="Arial" w:cs="Arial"/>
          <w:sz w:val="20"/>
          <w:szCs w:val="20"/>
          <w:shd w:val="clear" w:color="auto" w:fill="FFFFFF"/>
        </w:rPr>
      </w:pPr>
      <w:r>
        <w:rPr>
          <w:rFonts w:ascii="Arial" w:hAnsi="Arial" w:cs="Arial"/>
          <w:sz w:val="20"/>
          <w:szCs w:val="20"/>
          <w:shd w:val="clear" w:color="auto" w:fill="FFFFFF"/>
        </w:rPr>
        <w:t xml:space="preserve">It is noticeable that in two provinces the size of residential land increased, and in all provinces the size of agricultural land increased after land release, represented here as clearance. These results are likely to be the result of actual clearance, as usually where land has been cancelled (through NTS) or released (through TS) there would be little discernible difference in land area being used (since even suspect land is often used, as documented above). The fact that formal clearance by </w:t>
      </w:r>
      <w:proofErr w:type="spellStart"/>
      <w:r>
        <w:rPr>
          <w:rFonts w:ascii="Arial" w:hAnsi="Arial" w:cs="Arial"/>
          <w:sz w:val="20"/>
          <w:szCs w:val="20"/>
          <w:shd w:val="clear" w:color="auto" w:fill="FFFFFF"/>
        </w:rPr>
        <w:t>CfR</w:t>
      </w:r>
      <w:proofErr w:type="spellEnd"/>
      <w:r>
        <w:rPr>
          <w:rFonts w:ascii="Arial" w:hAnsi="Arial" w:cs="Arial"/>
          <w:sz w:val="20"/>
          <w:szCs w:val="20"/>
          <w:shd w:val="clear" w:color="auto" w:fill="FFFFFF"/>
        </w:rPr>
        <w:t xml:space="preserve"> II has resulted in such an increase in agricultural land is highly significant, and illustrates that although the informal private sector may have opened up sufficient land for subsistence, clearance by the formal sector has made a substantial further contribution. The informal sector, that includes self-help demining by farmers themselves, as well as the work of paid private contractors, may avoid high-risk minefields and many examples were found in the course of the field-work for the final evaluation where the informal sector had cleared part, but not all of a farmer’s land. Evidence from field work in the final evaluation suggested that part-clearance of a farmer’s contaminated land, in order to give ‘enough land’ to subsist on, was quite common, and would explain why formal clearance can add value, and release still more land, increasing the land area available. There were other examples however where villagers either through self-clearance or by paying the private sector, established large plots on hazardous areas as a means of staking a claim to the land (it had to be under cultivation and occupied in order to establish such a claim during the 1998-2001 window before the passing of the Land Law.) </w:t>
      </w:r>
      <w:r w:rsidRPr="006828D0">
        <w:rPr>
          <w:rFonts w:ascii="Arial" w:hAnsi="Arial" w:cs="Arial"/>
          <w:b/>
          <w:sz w:val="20"/>
          <w:szCs w:val="20"/>
          <w:shd w:val="clear" w:color="auto" w:fill="FFFFFF"/>
        </w:rPr>
        <w:t>These findings are highly significant though, and illustrate that although farmers have both self-cleared, and used the private informal mine action sector to access land, and continue to farm land they consider hazardous (often with evidence of mines turning up, especially during ploughing), the formal mine action sector does contribute and have impact in terms of increasing the availability of safe land for farming.</w:t>
      </w:r>
      <w:r>
        <w:rPr>
          <w:rFonts w:ascii="Arial" w:hAnsi="Arial" w:cs="Arial"/>
          <w:b/>
          <w:sz w:val="20"/>
          <w:szCs w:val="20"/>
          <w:shd w:val="clear" w:color="auto" w:fill="FFFFFF"/>
        </w:rPr>
        <w:t xml:space="preserve"> </w:t>
      </w:r>
      <w:r>
        <w:rPr>
          <w:rFonts w:ascii="Arial" w:hAnsi="Arial" w:cs="Arial"/>
          <w:sz w:val="20"/>
          <w:szCs w:val="20"/>
          <w:shd w:val="clear" w:color="auto" w:fill="FFFFFF"/>
        </w:rPr>
        <w:t>In other cases, evidence from the field work on the final evaluation suggested that villagers using suspect land, cultivated in ways designed to limit the risks, and that once clearance by the formal sector had taken place they were confident to cultivate the land differently, especially with regards to the use of power ploughs and tractors. In turn these changes greatly enhanced efficiency and productivity of farming undertaken on the land. Therefore, even in instances like these where there is no increase in the area of land available for agriculture, the way in which it is being farmed may be far more efficient, directly enhancing livelihoods and community development.</w:t>
      </w:r>
    </w:p>
    <w:p w14:paraId="55467745" w14:textId="77777777" w:rsidR="001B612D" w:rsidRDefault="001B612D" w:rsidP="00C72819">
      <w:pPr>
        <w:jc w:val="both"/>
        <w:rPr>
          <w:rFonts w:ascii="Arial" w:hAnsi="Arial" w:cs="Arial"/>
          <w:sz w:val="20"/>
          <w:szCs w:val="20"/>
          <w:shd w:val="clear" w:color="auto" w:fill="FFFFFF"/>
        </w:rPr>
      </w:pPr>
    </w:p>
    <w:p w14:paraId="61847D04" w14:textId="4BAD262E" w:rsidR="001B612D" w:rsidRDefault="00590C0D" w:rsidP="00C72819">
      <w:pPr>
        <w:jc w:val="both"/>
        <w:rPr>
          <w:rFonts w:ascii="Arial" w:hAnsi="Arial" w:cs="Arial"/>
          <w:sz w:val="20"/>
          <w:szCs w:val="20"/>
          <w:shd w:val="clear" w:color="auto" w:fill="FFFFFF"/>
        </w:rPr>
      </w:pPr>
      <w:r>
        <w:rPr>
          <w:rFonts w:ascii="Arial" w:hAnsi="Arial" w:cs="Arial"/>
          <w:sz w:val="20"/>
          <w:szCs w:val="20"/>
          <w:shd w:val="clear" w:color="auto" w:fill="FFFFFF"/>
        </w:rPr>
        <w:t>Collected information</w:t>
      </w:r>
      <w:r w:rsidR="00DC4152">
        <w:rPr>
          <w:rFonts w:ascii="Arial" w:hAnsi="Arial" w:cs="Arial"/>
          <w:sz w:val="20"/>
          <w:szCs w:val="20"/>
          <w:shd w:val="clear" w:color="auto" w:fill="FFFFFF"/>
        </w:rPr>
        <w:t xml:space="preserve"> </w:t>
      </w:r>
      <w:r w:rsidR="00B876DB">
        <w:rPr>
          <w:rFonts w:ascii="Arial" w:hAnsi="Arial" w:cs="Arial"/>
          <w:sz w:val="20"/>
          <w:szCs w:val="20"/>
          <w:shd w:val="clear" w:color="auto" w:fill="FFFFFF"/>
        </w:rPr>
        <w:t>illustrates</w:t>
      </w:r>
      <w:r>
        <w:rPr>
          <w:rFonts w:ascii="Arial" w:hAnsi="Arial" w:cs="Arial"/>
          <w:sz w:val="20"/>
          <w:szCs w:val="20"/>
          <w:shd w:val="clear" w:color="auto" w:fill="FFFFFF"/>
        </w:rPr>
        <w:t xml:space="preserve"> </w:t>
      </w:r>
      <w:r w:rsidR="001A6CCD">
        <w:rPr>
          <w:rFonts w:ascii="Arial" w:hAnsi="Arial" w:cs="Arial"/>
          <w:sz w:val="20"/>
          <w:szCs w:val="20"/>
          <w:shd w:val="clear" w:color="auto" w:fill="FFFFFF"/>
        </w:rPr>
        <w:t xml:space="preserve">significant </w:t>
      </w:r>
      <w:r w:rsidR="00B876DB">
        <w:rPr>
          <w:rFonts w:ascii="Arial" w:hAnsi="Arial" w:cs="Arial"/>
          <w:sz w:val="20"/>
          <w:szCs w:val="20"/>
          <w:shd w:val="clear" w:color="auto" w:fill="FFFFFF"/>
        </w:rPr>
        <w:t xml:space="preserve">increase </w:t>
      </w:r>
      <w:r w:rsidR="001A6CCD">
        <w:rPr>
          <w:rFonts w:ascii="Arial" w:hAnsi="Arial" w:cs="Arial"/>
          <w:sz w:val="20"/>
          <w:szCs w:val="20"/>
          <w:shd w:val="clear" w:color="auto" w:fill="FFFFFF"/>
        </w:rPr>
        <w:t xml:space="preserve">on the value of land after the release of safe lands. This also shows the link between size </w:t>
      </w:r>
      <w:r w:rsidR="00FD5AE1">
        <w:rPr>
          <w:rFonts w:ascii="Arial" w:hAnsi="Arial" w:cs="Arial"/>
          <w:sz w:val="20"/>
          <w:szCs w:val="20"/>
          <w:shd w:val="clear" w:color="auto" w:fill="FFFFFF"/>
        </w:rPr>
        <w:t>and value</w:t>
      </w:r>
      <w:r w:rsidR="00B876DB">
        <w:rPr>
          <w:rFonts w:ascii="Arial" w:hAnsi="Arial" w:cs="Arial"/>
          <w:sz w:val="20"/>
          <w:szCs w:val="20"/>
          <w:shd w:val="clear" w:color="auto" w:fill="FFFFFF"/>
        </w:rPr>
        <w:t xml:space="preserve"> </w:t>
      </w:r>
      <w:r w:rsidR="001A6CCD">
        <w:rPr>
          <w:rFonts w:ascii="Arial" w:hAnsi="Arial" w:cs="Arial"/>
          <w:sz w:val="20"/>
          <w:szCs w:val="20"/>
          <w:shd w:val="clear" w:color="auto" w:fill="FFFFFF"/>
        </w:rPr>
        <w:t xml:space="preserve">of released land </w:t>
      </w:r>
      <w:r w:rsidR="00FD5AE1">
        <w:rPr>
          <w:rFonts w:ascii="Arial" w:hAnsi="Arial" w:cs="Arial"/>
          <w:sz w:val="20"/>
          <w:szCs w:val="20"/>
          <w:shd w:val="clear" w:color="auto" w:fill="FFFFFF"/>
        </w:rPr>
        <w:t>– bigger</w:t>
      </w:r>
      <w:r w:rsidR="00B876DB">
        <w:rPr>
          <w:rFonts w:ascii="Arial" w:hAnsi="Arial" w:cs="Arial"/>
          <w:sz w:val="20"/>
          <w:szCs w:val="20"/>
          <w:shd w:val="clear" w:color="auto" w:fill="FFFFFF"/>
        </w:rPr>
        <w:t xml:space="preserve"> portions of land clearance resulted in higher value</w:t>
      </w:r>
      <w:r w:rsidR="00FD5AE1">
        <w:rPr>
          <w:rFonts w:ascii="Arial" w:hAnsi="Arial" w:cs="Arial"/>
          <w:sz w:val="20"/>
          <w:szCs w:val="20"/>
          <w:shd w:val="clear" w:color="auto" w:fill="FFFFFF"/>
        </w:rPr>
        <w:t xml:space="preserve"> of residential and </w:t>
      </w:r>
      <w:r w:rsidR="00B876DB">
        <w:rPr>
          <w:rFonts w:ascii="Arial" w:hAnsi="Arial" w:cs="Arial"/>
          <w:sz w:val="20"/>
          <w:szCs w:val="20"/>
          <w:shd w:val="clear" w:color="auto" w:fill="FFFFFF"/>
        </w:rPr>
        <w:t>agricultural lands</w:t>
      </w:r>
      <w:r w:rsidR="001A6CCD">
        <w:rPr>
          <w:rFonts w:ascii="Arial" w:hAnsi="Arial" w:cs="Arial"/>
          <w:sz w:val="20"/>
          <w:szCs w:val="20"/>
          <w:shd w:val="clear" w:color="auto" w:fill="FFFFFF"/>
        </w:rPr>
        <w:t xml:space="preserve">. </w:t>
      </w:r>
      <w:r w:rsidR="00FD5AE1">
        <w:rPr>
          <w:rFonts w:ascii="Arial" w:hAnsi="Arial" w:cs="Arial"/>
          <w:sz w:val="20"/>
          <w:szCs w:val="20"/>
          <w:shd w:val="clear" w:color="auto" w:fill="FFFFFF"/>
        </w:rPr>
        <w:t xml:space="preserve"> </w:t>
      </w:r>
      <w:r w:rsidR="00B876DB">
        <w:rPr>
          <w:rFonts w:ascii="Arial" w:hAnsi="Arial" w:cs="Arial"/>
          <w:sz w:val="20"/>
          <w:szCs w:val="20"/>
          <w:shd w:val="clear" w:color="auto" w:fill="FFFFFF"/>
        </w:rPr>
        <w:t xml:space="preserve">Table 4 </w:t>
      </w:r>
      <w:r w:rsidR="00FD5AE1">
        <w:rPr>
          <w:rFonts w:ascii="Arial" w:hAnsi="Arial" w:cs="Arial"/>
          <w:sz w:val="20"/>
          <w:szCs w:val="20"/>
          <w:shd w:val="clear" w:color="auto" w:fill="FFFFFF"/>
        </w:rPr>
        <w:t>&amp; 5 illustrate changes in prices</w:t>
      </w:r>
      <w:r w:rsidR="004712A6">
        <w:rPr>
          <w:rFonts w:ascii="Arial" w:hAnsi="Arial" w:cs="Arial"/>
          <w:sz w:val="20"/>
          <w:szCs w:val="20"/>
          <w:shd w:val="clear" w:color="auto" w:fill="FFFFFF"/>
        </w:rPr>
        <w:t xml:space="preserve"> after </w:t>
      </w:r>
      <w:r w:rsidR="007E519D">
        <w:rPr>
          <w:rFonts w:ascii="Arial" w:hAnsi="Arial" w:cs="Arial"/>
          <w:sz w:val="20"/>
          <w:szCs w:val="20"/>
          <w:shd w:val="clear" w:color="auto" w:fill="FFFFFF"/>
        </w:rPr>
        <w:t xml:space="preserve">project </w:t>
      </w:r>
      <w:r w:rsidR="004712A6">
        <w:rPr>
          <w:rFonts w:ascii="Arial" w:hAnsi="Arial" w:cs="Arial"/>
          <w:sz w:val="20"/>
          <w:szCs w:val="20"/>
          <w:shd w:val="clear" w:color="auto" w:fill="FFFFFF"/>
        </w:rPr>
        <w:t>intervention, in each province.</w:t>
      </w:r>
      <w:r w:rsidR="00FD5AE1">
        <w:rPr>
          <w:rFonts w:ascii="Arial" w:hAnsi="Arial" w:cs="Arial"/>
          <w:sz w:val="20"/>
          <w:szCs w:val="20"/>
          <w:shd w:val="clear" w:color="auto" w:fill="FFFFFF"/>
        </w:rPr>
        <w:t xml:space="preserve"> </w:t>
      </w:r>
    </w:p>
    <w:p w14:paraId="28DB4D37" w14:textId="77777777" w:rsidR="00E4065A" w:rsidRDefault="00E4065A" w:rsidP="00C72819">
      <w:pPr>
        <w:jc w:val="both"/>
        <w:rPr>
          <w:rFonts w:ascii="Arial" w:hAnsi="Arial" w:cs="Arial"/>
          <w:sz w:val="20"/>
          <w:szCs w:val="20"/>
          <w:shd w:val="clear" w:color="auto" w:fill="FFFFFF"/>
        </w:rPr>
      </w:pPr>
    </w:p>
    <w:p w14:paraId="002E00F0" w14:textId="77777777" w:rsidR="0025750E" w:rsidRPr="00327355" w:rsidRDefault="00FD5AE1" w:rsidP="00C72819">
      <w:pPr>
        <w:jc w:val="both"/>
        <w:rPr>
          <w:rFonts w:ascii="Arial" w:hAnsi="Arial" w:cs="Arial"/>
          <w:sz w:val="20"/>
          <w:szCs w:val="20"/>
          <w:shd w:val="clear" w:color="auto" w:fill="FFFFFF"/>
        </w:rPr>
      </w:pPr>
      <w:r>
        <w:rPr>
          <w:rFonts w:ascii="Arial" w:hAnsi="Arial" w:cs="Arial"/>
          <w:b/>
          <w:sz w:val="20"/>
          <w:szCs w:val="20"/>
          <w:shd w:val="clear" w:color="auto" w:fill="FFFFFF"/>
        </w:rPr>
        <w:t>Table 5</w:t>
      </w:r>
      <w:r w:rsidRPr="00FD5AE1">
        <w:rPr>
          <w:rFonts w:ascii="Arial" w:hAnsi="Arial" w:cs="Arial"/>
          <w:b/>
          <w:sz w:val="20"/>
          <w:szCs w:val="20"/>
          <w:shd w:val="clear" w:color="auto" w:fill="FFFFFF"/>
        </w:rPr>
        <w:t>:</w:t>
      </w:r>
      <w:r>
        <w:rPr>
          <w:rFonts w:ascii="Arial" w:hAnsi="Arial" w:cs="Arial"/>
          <w:sz w:val="20"/>
          <w:szCs w:val="20"/>
          <w:shd w:val="clear" w:color="auto" w:fill="FFFFFF"/>
        </w:rPr>
        <w:t xml:space="preserve"> </w:t>
      </w:r>
      <w:r w:rsidR="00B5475A">
        <w:rPr>
          <w:rFonts w:ascii="Arial" w:hAnsi="Arial" w:cs="Arial"/>
          <w:sz w:val="20"/>
          <w:szCs w:val="20"/>
          <w:shd w:val="clear" w:color="auto" w:fill="FFFFFF"/>
        </w:rPr>
        <w:t>The v</w:t>
      </w:r>
      <w:r w:rsidR="0025750E" w:rsidRPr="00327355">
        <w:rPr>
          <w:rFonts w:ascii="Arial" w:hAnsi="Arial" w:cs="Arial"/>
          <w:sz w:val="20"/>
          <w:szCs w:val="20"/>
          <w:shd w:val="clear" w:color="auto" w:fill="FFFFFF"/>
        </w:rPr>
        <w:t xml:space="preserve">alue of </w:t>
      </w:r>
      <w:r w:rsidR="0025750E" w:rsidRPr="00327355">
        <w:rPr>
          <w:rFonts w:ascii="Arial" w:hAnsi="Arial" w:cs="Arial"/>
          <w:sz w:val="20"/>
          <w:szCs w:val="20"/>
          <w:u w:val="single"/>
          <w:shd w:val="clear" w:color="auto" w:fill="FFFFFF"/>
        </w:rPr>
        <w:t>Residential Land</w:t>
      </w:r>
      <w:r w:rsidR="0025750E" w:rsidRPr="00327355">
        <w:rPr>
          <w:rFonts w:ascii="Arial" w:hAnsi="Arial" w:cs="Arial"/>
          <w:sz w:val="20"/>
          <w:szCs w:val="20"/>
          <w:shd w:val="clear" w:color="auto" w:fill="FFFFFF"/>
        </w:rPr>
        <w:t xml:space="preserve"> before and after clearance </w:t>
      </w:r>
    </w:p>
    <w:tbl>
      <w:tblPr>
        <w:tblStyle w:val="TableGrid"/>
        <w:tblW w:w="7650" w:type="dxa"/>
        <w:tblLook w:val="04A0" w:firstRow="1" w:lastRow="0" w:firstColumn="1" w:lastColumn="0" w:noHBand="0" w:noVBand="1"/>
      </w:tblPr>
      <w:tblGrid>
        <w:gridCol w:w="2520"/>
        <w:gridCol w:w="1980"/>
        <w:gridCol w:w="1710"/>
        <w:gridCol w:w="1440"/>
      </w:tblGrid>
      <w:tr w:rsidR="0025750E" w:rsidRPr="00327355" w14:paraId="1860AC4D" w14:textId="77777777" w:rsidTr="00E105ED">
        <w:trPr>
          <w:trHeight w:val="800"/>
        </w:trPr>
        <w:tc>
          <w:tcPr>
            <w:tcW w:w="2520" w:type="dxa"/>
            <w:tcBorders>
              <w:top w:val="single" w:sz="4" w:space="0" w:color="auto"/>
            </w:tcBorders>
            <w:shd w:val="clear" w:color="auto" w:fill="D0CECE" w:themeFill="background2" w:themeFillShade="E6"/>
          </w:tcPr>
          <w:p w14:paraId="7FE6B560" w14:textId="77777777" w:rsidR="0025750E" w:rsidRPr="00327355" w:rsidRDefault="0025750E" w:rsidP="009B301A">
            <w:pPr>
              <w:jc w:val="center"/>
              <w:rPr>
                <w:rFonts w:ascii="Arial" w:eastAsia="Times New Roman" w:hAnsi="Arial" w:cs="Arial"/>
                <w:sz w:val="20"/>
                <w:szCs w:val="20"/>
                <w:lang w:eastAsia="ru-RU"/>
              </w:rPr>
            </w:pPr>
            <w:r w:rsidRPr="00327355">
              <w:rPr>
                <w:rFonts w:ascii="Arial" w:eastAsia="Times New Roman" w:hAnsi="Arial" w:cs="Arial"/>
                <w:sz w:val="20"/>
                <w:szCs w:val="20"/>
                <w:lang w:eastAsia="ru-RU"/>
              </w:rPr>
              <w:t xml:space="preserve">Province </w:t>
            </w:r>
          </w:p>
        </w:tc>
        <w:tc>
          <w:tcPr>
            <w:tcW w:w="1980" w:type="dxa"/>
            <w:tcBorders>
              <w:top w:val="single" w:sz="4" w:space="0" w:color="auto"/>
            </w:tcBorders>
            <w:shd w:val="clear" w:color="auto" w:fill="D0CECE" w:themeFill="background2" w:themeFillShade="E6"/>
          </w:tcPr>
          <w:p w14:paraId="50C91AF0" w14:textId="77777777" w:rsidR="0025750E" w:rsidRPr="00327355" w:rsidRDefault="0025750E" w:rsidP="009B301A">
            <w:pPr>
              <w:jc w:val="center"/>
              <w:rPr>
                <w:rFonts w:ascii="Arial" w:eastAsia="Times New Roman" w:hAnsi="Arial" w:cs="Arial"/>
                <w:sz w:val="20"/>
                <w:szCs w:val="20"/>
                <w:lang w:eastAsia="ru-RU"/>
              </w:rPr>
            </w:pPr>
            <w:r w:rsidRPr="00327355">
              <w:rPr>
                <w:rFonts w:ascii="Arial" w:eastAsia="Times New Roman" w:hAnsi="Arial" w:cs="Arial"/>
                <w:sz w:val="20"/>
                <w:szCs w:val="20"/>
                <w:lang w:eastAsia="ru-RU"/>
              </w:rPr>
              <w:t xml:space="preserve">Price </w:t>
            </w:r>
            <w:r w:rsidR="004F42B2" w:rsidRPr="00327355">
              <w:rPr>
                <w:rFonts w:ascii="Arial" w:eastAsia="Times New Roman" w:hAnsi="Arial" w:cs="Arial"/>
                <w:sz w:val="20"/>
                <w:szCs w:val="20"/>
                <w:lang w:eastAsia="ru-RU"/>
              </w:rPr>
              <w:t>(</w:t>
            </w:r>
            <w:r w:rsidRPr="00327355">
              <w:rPr>
                <w:rFonts w:ascii="Arial" w:eastAsia="Times New Roman" w:hAnsi="Arial" w:cs="Arial"/>
                <w:sz w:val="20"/>
                <w:szCs w:val="20"/>
                <w:lang w:eastAsia="ru-RU"/>
              </w:rPr>
              <w:t>before</w:t>
            </w:r>
            <w:r w:rsidR="004F42B2" w:rsidRPr="00327355">
              <w:rPr>
                <w:rFonts w:ascii="Arial" w:eastAsia="Times New Roman" w:hAnsi="Arial" w:cs="Arial"/>
                <w:sz w:val="20"/>
                <w:szCs w:val="20"/>
                <w:lang w:eastAsia="ru-RU"/>
              </w:rPr>
              <w:t>)</w:t>
            </w:r>
            <w:r w:rsidRPr="00327355">
              <w:rPr>
                <w:rFonts w:ascii="Arial" w:eastAsia="Times New Roman" w:hAnsi="Arial" w:cs="Arial"/>
                <w:sz w:val="20"/>
                <w:szCs w:val="20"/>
                <w:lang w:eastAsia="ru-RU"/>
              </w:rPr>
              <w:t xml:space="preserve"> clearance </w:t>
            </w:r>
          </w:p>
          <w:p w14:paraId="4E1B432D" w14:textId="77777777" w:rsidR="0025750E" w:rsidRPr="00327355" w:rsidRDefault="0025750E" w:rsidP="009B301A">
            <w:pPr>
              <w:jc w:val="center"/>
              <w:rPr>
                <w:rFonts w:ascii="Arial" w:hAnsi="Arial" w:cs="Arial"/>
                <w:sz w:val="20"/>
                <w:szCs w:val="20"/>
              </w:rPr>
            </w:pPr>
            <w:r w:rsidRPr="00327355">
              <w:rPr>
                <w:rFonts w:ascii="Arial" w:eastAsia="Times New Roman" w:hAnsi="Arial" w:cs="Arial"/>
                <w:sz w:val="20"/>
                <w:szCs w:val="20"/>
                <w:lang w:eastAsia="ru-RU"/>
              </w:rPr>
              <w:t>(per ha) - USD</w:t>
            </w:r>
          </w:p>
        </w:tc>
        <w:tc>
          <w:tcPr>
            <w:tcW w:w="1710" w:type="dxa"/>
            <w:tcBorders>
              <w:top w:val="single" w:sz="4" w:space="0" w:color="auto"/>
            </w:tcBorders>
            <w:shd w:val="clear" w:color="auto" w:fill="D0CECE" w:themeFill="background2" w:themeFillShade="E6"/>
          </w:tcPr>
          <w:p w14:paraId="06ECF4F6" w14:textId="77777777" w:rsidR="0025750E" w:rsidRPr="00327355" w:rsidRDefault="0025750E" w:rsidP="009B301A">
            <w:pPr>
              <w:rPr>
                <w:rFonts w:ascii="Arial" w:eastAsia="Times New Roman" w:hAnsi="Arial" w:cs="Arial"/>
                <w:sz w:val="20"/>
                <w:szCs w:val="20"/>
                <w:lang w:eastAsia="ru-RU"/>
              </w:rPr>
            </w:pPr>
            <w:r w:rsidRPr="00327355">
              <w:rPr>
                <w:rFonts w:ascii="Arial" w:eastAsia="Times New Roman" w:hAnsi="Arial" w:cs="Arial"/>
                <w:sz w:val="20"/>
                <w:szCs w:val="20"/>
                <w:lang w:eastAsia="ru-RU"/>
              </w:rPr>
              <w:t xml:space="preserve">Price </w:t>
            </w:r>
            <w:r w:rsidR="004F42B2" w:rsidRPr="00327355">
              <w:rPr>
                <w:rFonts w:ascii="Arial" w:eastAsia="Times New Roman" w:hAnsi="Arial" w:cs="Arial"/>
                <w:sz w:val="20"/>
                <w:szCs w:val="20"/>
                <w:lang w:eastAsia="ru-RU"/>
              </w:rPr>
              <w:t>(</w:t>
            </w:r>
            <w:r w:rsidRPr="00327355">
              <w:rPr>
                <w:rFonts w:ascii="Arial" w:eastAsia="Times New Roman" w:hAnsi="Arial" w:cs="Arial"/>
                <w:sz w:val="20"/>
                <w:szCs w:val="20"/>
                <w:lang w:eastAsia="ru-RU"/>
              </w:rPr>
              <w:t>after</w:t>
            </w:r>
            <w:r w:rsidR="004F42B2" w:rsidRPr="00327355">
              <w:rPr>
                <w:rFonts w:ascii="Arial" w:eastAsia="Times New Roman" w:hAnsi="Arial" w:cs="Arial"/>
                <w:sz w:val="20"/>
                <w:szCs w:val="20"/>
                <w:lang w:eastAsia="ru-RU"/>
              </w:rPr>
              <w:t>)</w:t>
            </w:r>
            <w:r w:rsidRPr="00327355">
              <w:rPr>
                <w:rFonts w:ascii="Arial" w:eastAsia="Times New Roman" w:hAnsi="Arial" w:cs="Arial"/>
                <w:sz w:val="20"/>
                <w:szCs w:val="20"/>
                <w:lang w:eastAsia="ru-RU"/>
              </w:rPr>
              <w:t xml:space="preserve">  clearance </w:t>
            </w:r>
          </w:p>
          <w:p w14:paraId="4B7E2C27" w14:textId="77777777" w:rsidR="0025750E" w:rsidRPr="00327355" w:rsidRDefault="0025750E" w:rsidP="009B301A">
            <w:pPr>
              <w:rPr>
                <w:rFonts w:ascii="Arial" w:hAnsi="Arial" w:cs="Arial"/>
                <w:sz w:val="20"/>
                <w:szCs w:val="20"/>
              </w:rPr>
            </w:pPr>
            <w:r w:rsidRPr="00327355">
              <w:rPr>
                <w:rFonts w:ascii="Arial" w:eastAsia="Times New Roman" w:hAnsi="Arial" w:cs="Arial"/>
                <w:sz w:val="20"/>
                <w:szCs w:val="20"/>
                <w:lang w:eastAsia="ru-RU"/>
              </w:rPr>
              <w:t>(per ha) - USD</w:t>
            </w:r>
          </w:p>
        </w:tc>
        <w:tc>
          <w:tcPr>
            <w:tcW w:w="1440" w:type="dxa"/>
            <w:tcBorders>
              <w:top w:val="single" w:sz="4" w:space="0" w:color="auto"/>
            </w:tcBorders>
            <w:shd w:val="clear" w:color="auto" w:fill="D0CECE" w:themeFill="background2" w:themeFillShade="E6"/>
          </w:tcPr>
          <w:p w14:paraId="4270A324" w14:textId="77777777" w:rsidR="0025750E" w:rsidRPr="00327355" w:rsidRDefault="0025750E" w:rsidP="009B301A">
            <w:pPr>
              <w:rPr>
                <w:rFonts w:ascii="Arial" w:eastAsia="Times New Roman" w:hAnsi="Arial" w:cs="Arial"/>
                <w:sz w:val="20"/>
                <w:szCs w:val="20"/>
                <w:lang w:eastAsia="ru-RU"/>
              </w:rPr>
            </w:pPr>
            <w:r w:rsidRPr="00327355">
              <w:rPr>
                <w:rFonts w:ascii="Arial" w:eastAsia="Times New Roman" w:hAnsi="Arial" w:cs="Arial"/>
                <w:sz w:val="20"/>
                <w:szCs w:val="20"/>
                <w:lang w:eastAsia="ru-RU"/>
              </w:rPr>
              <w:t>Increase</w:t>
            </w:r>
          </w:p>
          <w:p w14:paraId="762F8726" w14:textId="77777777" w:rsidR="0025750E" w:rsidRPr="00327355" w:rsidRDefault="004F42B2" w:rsidP="004F42B2">
            <w:pPr>
              <w:rPr>
                <w:rFonts w:ascii="Arial" w:hAnsi="Arial" w:cs="Arial"/>
                <w:sz w:val="20"/>
                <w:szCs w:val="20"/>
              </w:rPr>
            </w:pPr>
            <w:r w:rsidRPr="00327355">
              <w:rPr>
                <w:rFonts w:ascii="Arial" w:eastAsia="Times New Roman" w:hAnsi="Arial" w:cs="Arial"/>
                <w:sz w:val="20"/>
                <w:szCs w:val="20"/>
                <w:lang w:eastAsia="ru-RU"/>
              </w:rPr>
              <w:t xml:space="preserve"> </w:t>
            </w:r>
            <w:r w:rsidR="0025750E" w:rsidRPr="00327355">
              <w:rPr>
                <w:rFonts w:ascii="Arial" w:eastAsia="Times New Roman" w:hAnsi="Arial" w:cs="Arial"/>
                <w:sz w:val="20"/>
                <w:szCs w:val="20"/>
                <w:lang w:eastAsia="ru-RU"/>
              </w:rPr>
              <w:t xml:space="preserve"> % </w:t>
            </w:r>
          </w:p>
        </w:tc>
      </w:tr>
      <w:tr w:rsidR="0025750E" w:rsidRPr="00327355" w14:paraId="62001FB8" w14:textId="77777777" w:rsidTr="00E105ED">
        <w:trPr>
          <w:trHeight w:val="219"/>
        </w:trPr>
        <w:tc>
          <w:tcPr>
            <w:tcW w:w="2520" w:type="dxa"/>
          </w:tcPr>
          <w:p w14:paraId="4FBEC43D" w14:textId="77777777" w:rsidR="0025750E" w:rsidRPr="00327355" w:rsidRDefault="0025750E" w:rsidP="009B301A">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Battambang</w:t>
            </w:r>
          </w:p>
        </w:tc>
        <w:tc>
          <w:tcPr>
            <w:tcW w:w="1980" w:type="dxa"/>
            <w:shd w:val="clear" w:color="auto" w:fill="auto"/>
            <w:vAlign w:val="center"/>
          </w:tcPr>
          <w:p w14:paraId="647B2FD3"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455</w:t>
            </w:r>
          </w:p>
        </w:tc>
        <w:tc>
          <w:tcPr>
            <w:tcW w:w="1710" w:type="dxa"/>
            <w:shd w:val="clear" w:color="auto" w:fill="auto"/>
            <w:vAlign w:val="center"/>
          </w:tcPr>
          <w:p w14:paraId="64E69F6C"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2837</w:t>
            </w:r>
          </w:p>
        </w:tc>
        <w:tc>
          <w:tcPr>
            <w:tcW w:w="1440" w:type="dxa"/>
          </w:tcPr>
          <w:p w14:paraId="7E7ED00B"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524%</w:t>
            </w:r>
          </w:p>
        </w:tc>
      </w:tr>
      <w:tr w:rsidR="0025750E" w:rsidRPr="00327355" w14:paraId="37D005A8" w14:textId="77777777" w:rsidTr="00E105ED">
        <w:trPr>
          <w:trHeight w:val="64"/>
        </w:trPr>
        <w:tc>
          <w:tcPr>
            <w:tcW w:w="2520" w:type="dxa"/>
          </w:tcPr>
          <w:p w14:paraId="39CDBB13" w14:textId="77777777" w:rsidR="0025750E" w:rsidRPr="00327355" w:rsidRDefault="0025750E" w:rsidP="009B301A">
            <w:pPr>
              <w:jc w:val="right"/>
              <w:rPr>
                <w:rFonts w:ascii="Arial" w:eastAsia="Times New Roman" w:hAnsi="Arial" w:cs="Arial"/>
                <w:sz w:val="20"/>
                <w:szCs w:val="20"/>
                <w:lang w:eastAsia="ru-RU"/>
              </w:rPr>
            </w:pPr>
            <w:proofErr w:type="spellStart"/>
            <w:r w:rsidRPr="00327355">
              <w:rPr>
                <w:rFonts w:ascii="Arial" w:eastAsia="Times New Roman" w:hAnsi="Arial" w:cs="Arial"/>
                <w:sz w:val="20"/>
                <w:szCs w:val="20"/>
                <w:lang w:eastAsia="ru-RU"/>
              </w:rPr>
              <w:t>Bantey</w:t>
            </w:r>
            <w:proofErr w:type="spellEnd"/>
            <w:r w:rsidRPr="00327355">
              <w:rPr>
                <w:rFonts w:ascii="Arial" w:eastAsia="Times New Roman" w:hAnsi="Arial" w:cs="Arial"/>
                <w:sz w:val="20"/>
                <w:szCs w:val="20"/>
                <w:lang w:eastAsia="ru-RU"/>
              </w:rPr>
              <w:t xml:space="preserve"> Meanchey </w:t>
            </w:r>
          </w:p>
        </w:tc>
        <w:tc>
          <w:tcPr>
            <w:tcW w:w="1980" w:type="dxa"/>
            <w:shd w:val="clear" w:color="auto" w:fill="auto"/>
            <w:vAlign w:val="center"/>
          </w:tcPr>
          <w:p w14:paraId="248E8A97"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158</w:t>
            </w:r>
          </w:p>
        </w:tc>
        <w:tc>
          <w:tcPr>
            <w:tcW w:w="1710" w:type="dxa"/>
            <w:shd w:val="clear" w:color="auto" w:fill="auto"/>
            <w:vAlign w:val="center"/>
          </w:tcPr>
          <w:p w14:paraId="0B678FA9" w14:textId="77777777" w:rsidR="0025750E" w:rsidRPr="00327355" w:rsidRDefault="004F42B2" w:rsidP="009B301A">
            <w:pPr>
              <w:jc w:val="right"/>
              <w:rPr>
                <w:rFonts w:ascii="Arial" w:eastAsia="Times New Roman" w:hAnsi="Arial" w:cs="Arial"/>
                <w:sz w:val="20"/>
                <w:szCs w:val="20"/>
                <w:lang w:val="ru-RU" w:eastAsia="ru-RU"/>
              </w:rPr>
            </w:pPr>
            <w:r w:rsidRPr="00327355">
              <w:rPr>
                <w:rFonts w:ascii="Arial" w:eastAsia="Times New Roman" w:hAnsi="Arial" w:cs="Arial"/>
                <w:color w:val="000000"/>
                <w:sz w:val="20"/>
                <w:szCs w:val="20"/>
                <w:lang w:val="ru-RU" w:eastAsia="ru-RU"/>
              </w:rPr>
              <w:t>1524</w:t>
            </w:r>
          </w:p>
        </w:tc>
        <w:tc>
          <w:tcPr>
            <w:tcW w:w="1440" w:type="dxa"/>
          </w:tcPr>
          <w:p w14:paraId="1EFF00D7"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865%</w:t>
            </w:r>
          </w:p>
        </w:tc>
      </w:tr>
      <w:tr w:rsidR="0025750E" w:rsidRPr="00327355" w14:paraId="19236D64" w14:textId="77777777" w:rsidTr="00E105ED">
        <w:trPr>
          <w:trHeight w:val="60"/>
        </w:trPr>
        <w:tc>
          <w:tcPr>
            <w:tcW w:w="2520" w:type="dxa"/>
          </w:tcPr>
          <w:p w14:paraId="4275D7CC"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Pailin</w:t>
            </w:r>
          </w:p>
        </w:tc>
        <w:tc>
          <w:tcPr>
            <w:tcW w:w="1980" w:type="dxa"/>
            <w:shd w:val="clear" w:color="auto" w:fill="auto"/>
            <w:vAlign w:val="center"/>
          </w:tcPr>
          <w:p w14:paraId="3DE477D0"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696</w:t>
            </w:r>
          </w:p>
        </w:tc>
        <w:tc>
          <w:tcPr>
            <w:tcW w:w="1710" w:type="dxa"/>
            <w:shd w:val="clear" w:color="auto" w:fill="auto"/>
            <w:vAlign w:val="center"/>
          </w:tcPr>
          <w:p w14:paraId="00D54414"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3396</w:t>
            </w:r>
          </w:p>
        </w:tc>
        <w:tc>
          <w:tcPr>
            <w:tcW w:w="1440" w:type="dxa"/>
          </w:tcPr>
          <w:p w14:paraId="10A15AC2" w14:textId="77777777" w:rsidR="0025750E" w:rsidRPr="00327355" w:rsidRDefault="004F42B2" w:rsidP="009B301A">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388%</w:t>
            </w:r>
          </w:p>
        </w:tc>
      </w:tr>
    </w:tbl>
    <w:p w14:paraId="7F285B0C" w14:textId="77777777" w:rsidR="004712A6" w:rsidRPr="00327355" w:rsidRDefault="004712A6" w:rsidP="00C72819">
      <w:pPr>
        <w:rPr>
          <w:rFonts w:ascii="Arial" w:hAnsi="Arial" w:cs="Arial"/>
          <w:b/>
          <w:bCs/>
          <w:sz w:val="20"/>
          <w:szCs w:val="20"/>
        </w:rPr>
      </w:pPr>
    </w:p>
    <w:p w14:paraId="4A39C904" w14:textId="77777777" w:rsidR="004F42B2" w:rsidRPr="00327355" w:rsidRDefault="00FD5AE1" w:rsidP="004F42B2">
      <w:pPr>
        <w:jc w:val="both"/>
        <w:rPr>
          <w:rFonts w:ascii="Arial" w:hAnsi="Arial" w:cs="Arial"/>
          <w:sz w:val="20"/>
          <w:szCs w:val="20"/>
          <w:shd w:val="clear" w:color="auto" w:fill="FFFFFF"/>
        </w:rPr>
      </w:pPr>
      <w:r w:rsidRPr="00FD5AE1">
        <w:rPr>
          <w:rFonts w:ascii="Arial" w:hAnsi="Arial" w:cs="Arial"/>
          <w:b/>
          <w:sz w:val="20"/>
          <w:szCs w:val="20"/>
          <w:shd w:val="clear" w:color="auto" w:fill="FFFFFF"/>
        </w:rPr>
        <w:t>Table 6:</w:t>
      </w:r>
      <w:r>
        <w:rPr>
          <w:rFonts w:ascii="Arial" w:hAnsi="Arial" w:cs="Arial"/>
          <w:sz w:val="20"/>
          <w:szCs w:val="20"/>
          <w:shd w:val="clear" w:color="auto" w:fill="FFFFFF"/>
        </w:rPr>
        <w:t xml:space="preserve"> </w:t>
      </w:r>
      <w:r w:rsidR="00B5475A">
        <w:rPr>
          <w:rFonts w:ascii="Arial" w:hAnsi="Arial" w:cs="Arial"/>
          <w:sz w:val="20"/>
          <w:szCs w:val="20"/>
          <w:shd w:val="clear" w:color="auto" w:fill="FFFFFF"/>
        </w:rPr>
        <w:t>The v</w:t>
      </w:r>
      <w:r w:rsidR="004F42B2" w:rsidRPr="00327355">
        <w:rPr>
          <w:rFonts w:ascii="Arial" w:hAnsi="Arial" w:cs="Arial"/>
          <w:sz w:val="20"/>
          <w:szCs w:val="20"/>
          <w:shd w:val="clear" w:color="auto" w:fill="FFFFFF"/>
        </w:rPr>
        <w:t xml:space="preserve">alue of </w:t>
      </w:r>
      <w:r w:rsidR="004F42B2" w:rsidRPr="00327355">
        <w:rPr>
          <w:rFonts w:ascii="Arial" w:hAnsi="Arial" w:cs="Arial"/>
          <w:sz w:val="20"/>
          <w:szCs w:val="20"/>
          <w:u w:val="single"/>
          <w:shd w:val="clear" w:color="auto" w:fill="FFFFFF"/>
        </w:rPr>
        <w:t>Agricultural Land</w:t>
      </w:r>
      <w:r w:rsidR="004F42B2" w:rsidRPr="00327355">
        <w:rPr>
          <w:rFonts w:ascii="Arial" w:hAnsi="Arial" w:cs="Arial"/>
          <w:sz w:val="20"/>
          <w:szCs w:val="20"/>
          <w:shd w:val="clear" w:color="auto" w:fill="FFFFFF"/>
        </w:rPr>
        <w:t xml:space="preserve"> before and after clearance </w:t>
      </w:r>
    </w:p>
    <w:tbl>
      <w:tblPr>
        <w:tblStyle w:val="TableGrid"/>
        <w:tblW w:w="7650" w:type="dxa"/>
        <w:tblLook w:val="04A0" w:firstRow="1" w:lastRow="0" w:firstColumn="1" w:lastColumn="0" w:noHBand="0" w:noVBand="1"/>
      </w:tblPr>
      <w:tblGrid>
        <w:gridCol w:w="2520"/>
        <w:gridCol w:w="1980"/>
        <w:gridCol w:w="1800"/>
        <w:gridCol w:w="1350"/>
      </w:tblGrid>
      <w:tr w:rsidR="004F42B2" w:rsidRPr="00327355" w14:paraId="110FA5E5" w14:textId="77777777" w:rsidTr="00E105ED">
        <w:trPr>
          <w:trHeight w:val="737"/>
        </w:trPr>
        <w:tc>
          <w:tcPr>
            <w:tcW w:w="2520" w:type="dxa"/>
            <w:tcBorders>
              <w:top w:val="single" w:sz="4" w:space="0" w:color="auto"/>
            </w:tcBorders>
            <w:shd w:val="clear" w:color="auto" w:fill="D0CECE" w:themeFill="background2" w:themeFillShade="E6"/>
          </w:tcPr>
          <w:p w14:paraId="25E18508" w14:textId="77777777" w:rsidR="004F42B2" w:rsidRPr="00327355" w:rsidRDefault="004F42B2" w:rsidP="004F42B2">
            <w:pPr>
              <w:jc w:val="center"/>
              <w:rPr>
                <w:rFonts w:ascii="Arial" w:eastAsia="Times New Roman" w:hAnsi="Arial" w:cs="Arial"/>
                <w:sz w:val="20"/>
                <w:szCs w:val="20"/>
                <w:lang w:eastAsia="ru-RU"/>
              </w:rPr>
            </w:pPr>
            <w:r w:rsidRPr="00327355">
              <w:rPr>
                <w:rFonts w:ascii="Arial" w:eastAsia="Times New Roman" w:hAnsi="Arial" w:cs="Arial"/>
                <w:sz w:val="20"/>
                <w:szCs w:val="20"/>
                <w:lang w:eastAsia="ru-RU"/>
              </w:rPr>
              <w:lastRenderedPageBreak/>
              <w:t xml:space="preserve">Province </w:t>
            </w:r>
          </w:p>
        </w:tc>
        <w:tc>
          <w:tcPr>
            <w:tcW w:w="1980" w:type="dxa"/>
            <w:tcBorders>
              <w:top w:val="single" w:sz="4" w:space="0" w:color="auto"/>
            </w:tcBorders>
            <w:shd w:val="clear" w:color="auto" w:fill="D0CECE" w:themeFill="background2" w:themeFillShade="E6"/>
          </w:tcPr>
          <w:p w14:paraId="57B950EE" w14:textId="77777777" w:rsidR="004F42B2" w:rsidRPr="00327355" w:rsidRDefault="004F42B2" w:rsidP="004F42B2">
            <w:pPr>
              <w:jc w:val="center"/>
              <w:rPr>
                <w:rFonts w:ascii="Arial" w:eastAsia="Times New Roman" w:hAnsi="Arial" w:cs="Arial"/>
                <w:sz w:val="20"/>
                <w:szCs w:val="20"/>
                <w:lang w:eastAsia="ru-RU"/>
              </w:rPr>
            </w:pPr>
            <w:r w:rsidRPr="00327355">
              <w:rPr>
                <w:rFonts w:ascii="Arial" w:eastAsia="Times New Roman" w:hAnsi="Arial" w:cs="Arial"/>
                <w:sz w:val="20"/>
                <w:szCs w:val="20"/>
                <w:lang w:eastAsia="ru-RU"/>
              </w:rPr>
              <w:t xml:space="preserve">Price (before) clearance </w:t>
            </w:r>
          </w:p>
          <w:p w14:paraId="7B62B02C" w14:textId="77777777" w:rsidR="004F42B2" w:rsidRPr="00327355" w:rsidRDefault="004F42B2" w:rsidP="004F42B2">
            <w:pPr>
              <w:jc w:val="center"/>
              <w:rPr>
                <w:rFonts w:ascii="Arial" w:hAnsi="Arial" w:cs="Arial"/>
                <w:sz w:val="20"/>
                <w:szCs w:val="20"/>
              </w:rPr>
            </w:pPr>
            <w:r w:rsidRPr="00327355">
              <w:rPr>
                <w:rFonts w:ascii="Arial" w:eastAsia="Times New Roman" w:hAnsi="Arial" w:cs="Arial"/>
                <w:sz w:val="20"/>
                <w:szCs w:val="20"/>
                <w:lang w:eastAsia="ru-RU"/>
              </w:rPr>
              <w:t>(per ha) - USD</w:t>
            </w:r>
          </w:p>
        </w:tc>
        <w:tc>
          <w:tcPr>
            <w:tcW w:w="1800" w:type="dxa"/>
            <w:tcBorders>
              <w:top w:val="single" w:sz="4" w:space="0" w:color="auto"/>
            </w:tcBorders>
            <w:shd w:val="clear" w:color="auto" w:fill="D0CECE" w:themeFill="background2" w:themeFillShade="E6"/>
          </w:tcPr>
          <w:p w14:paraId="140D6F8A" w14:textId="77777777" w:rsidR="004F42B2" w:rsidRPr="00327355" w:rsidRDefault="004F42B2" w:rsidP="004F42B2">
            <w:pPr>
              <w:rPr>
                <w:rFonts w:ascii="Arial" w:eastAsia="Times New Roman" w:hAnsi="Arial" w:cs="Arial"/>
                <w:sz w:val="20"/>
                <w:szCs w:val="20"/>
                <w:lang w:eastAsia="ru-RU"/>
              </w:rPr>
            </w:pPr>
            <w:r w:rsidRPr="00327355">
              <w:rPr>
                <w:rFonts w:ascii="Arial" w:eastAsia="Times New Roman" w:hAnsi="Arial" w:cs="Arial"/>
                <w:sz w:val="20"/>
                <w:szCs w:val="20"/>
                <w:lang w:eastAsia="ru-RU"/>
              </w:rPr>
              <w:t xml:space="preserve">Price (after)  clearance </w:t>
            </w:r>
          </w:p>
          <w:p w14:paraId="627CB5CE" w14:textId="77777777" w:rsidR="004F42B2" w:rsidRPr="00327355" w:rsidRDefault="004F42B2" w:rsidP="004F42B2">
            <w:pPr>
              <w:rPr>
                <w:rFonts w:ascii="Arial" w:hAnsi="Arial" w:cs="Arial"/>
                <w:sz w:val="20"/>
                <w:szCs w:val="20"/>
              </w:rPr>
            </w:pPr>
            <w:r w:rsidRPr="00327355">
              <w:rPr>
                <w:rFonts w:ascii="Arial" w:eastAsia="Times New Roman" w:hAnsi="Arial" w:cs="Arial"/>
                <w:sz w:val="20"/>
                <w:szCs w:val="20"/>
                <w:lang w:eastAsia="ru-RU"/>
              </w:rPr>
              <w:t>(per ha) - USD</w:t>
            </w:r>
          </w:p>
        </w:tc>
        <w:tc>
          <w:tcPr>
            <w:tcW w:w="1350" w:type="dxa"/>
            <w:tcBorders>
              <w:top w:val="single" w:sz="4" w:space="0" w:color="auto"/>
            </w:tcBorders>
            <w:shd w:val="clear" w:color="auto" w:fill="D0CECE" w:themeFill="background2" w:themeFillShade="E6"/>
          </w:tcPr>
          <w:p w14:paraId="65579446" w14:textId="77777777" w:rsidR="004F42B2" w:rsidRPr="00327355" w:rsidRDefault="004F42B2" w:rsidP="004F42B2">
            <w:pPr>
              <w:rPr>
                <w:rFonts w:ascii="Arial" w:eastAsia="Times New Roman" w:hAnsi="Arial" w:cs="Arial"/>
                <w:sz w:val="20"/>
                <w:szCs w:val="20"/>
                <w:lang w:eastAsia="ru-RU"/>
              </w:rPr>
            </w:pPr>
            <w:r w:rsidRPr="00327355">
              <w:rPr>
                <w:rFonts w:ascii="Arial" w:eastAsia="Times New Roman" w:hAnsi="Arial" w:cs="Arial"/>
                <w:sz w:val="20"/>
                <w:szCs w:val="20"/>
                <w:lang w:eastAsia="ru-RU"/>
              </w:rPr>
              <w:t>Increase</w:t>
            </w:r>
          </w:p>
          <w:p w14:paraId="6BE0259B" w14:textId="77777777" w:rsidR="004F42B2" w:rsidRPr="00327355" w:rsidRDefault="004F42B2" w:rsidP="004F42B2">
            <w:pPr>
              <w:rPr>
                <w:rFonts w:ascii="Arial" w:hAnsi="Arial" w:cs="Arial"/>
                <w:sz w:val="20"/>
                <w:szCs w:val="20"/>
              </w:rPr>
            </w:pPr>
            <w:r w:rsidRPr="00327355">
              <w:rPr>
                <w:rFonts w:ascii="Arial" w:eastAsia="Times New Roman" w:hAnsi="Arial" w:cs="Arial"/>
                <w:sz w:val="20"/>
                <w:szCs w:val="20"/>
                <w:lang w:eastAsia="ru-RU"/>
              </w:rPr>
              <w:t xml:space="preserve">  % </w:t>
            </w:r>
          </w:p>
        </w:tc>
      </w:tr>
      <w:tr w:rsidR="004F42B2" w:rsidRPr="00327355" w14:paraId="4AE6574C" w14:textId="77777777" w:rsidTr="00E105ED">
        <w:trPr>
          <w:trHeight w:val="219"/>
        </w:trPr>
        <w:tc>
          <w:tcPr>
            <w:tcW w:w="2520" w:type="dxa"/>
          </w:tcPr>
          <w:p w14:paraId="205BFBF7" w14:textId="77777777" w:rsidR="004F42B2" w:rsidRPr="00327355" w:rsidRDefault="004F42B2" w:rsidP="004F42B2">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Battambang</w:t>
            </w:r>
          </w:p>
        </w:tc>
        <w:tc>
          <w:tcPr>
            <w:tcW w:w="1980" w:type="dxa"/>
            <w:shd w:val="clear" w:color="auto" w:fill="auto"/>
            <w:vAlign w:val="center"/>
          </w:tcPr>
          <w:p w14:paraId="03DDE7EF" w14:textId="77777777" w:rsidR="004F42B2" w:rsidRPr="00327355" w:rsidRDefault="004F42B2" w:rsidP="004F42B2">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446</w:t>
            </w:r>
          </w:p>
        </w:tc>
        <w:tc>
          <w:tcPr>
            <w:tcW w:w="1800" w:type="dxa"/>
            <w:shd w:val="clear" w:color="auto" w:fill="auto"/>
            <w:vAlign w:val="center"/>
          </w:tcPr>
          <w:p w14:paraId="73176DF3" w14:textId="77777777" w:rsidR="004F42B2" w:rsidRPr="00327355" w:rsidRDefault="004F42B2" w:rsidP="004F42B2">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2454</w:t>
            </w:r>
          </w:p>
        </w:tc>
        <w:tc>
          <w:tcPr>
            <w:tcW w:w="1350" w:type="dxa"/>
          </w:tcPr>
          <w:p w14:paraId="64E1F0F8" w14:textId="77777777" w:rsidR="004F42B2" w:rsidRPr="00327355" w:rsidRDefault="00327355" w:rsidP="004F42B2">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450%</w:t>
            </w:r>
          </w:p>
        </w:tc>
      </w:tr>
      <w:tr w:rsidR="004F42B2" w:rsidRPr="00327355" w14:paraId="3E0D6167" w14:textId="77777777" w:rsidTr="00E105ED">
        <w:trPr>
          <w:trHeight w:val="64"/>
        </w:trPr>
        <w:tc>
          <w:tcPr>
            <w:tcW w:w="2520" w:type="dxa"/>
          </w:tcPr>
          <w:p w14:paraId="01AFEC75" w14:textId="77777777" w:rsidR="004F42B2" w:rsidRPr="00327355" w:rsidRDefault="004F42B2" w:rsidP="004F42B2">
            <w:pPr>
              <w:jc w:val="right"/>
              <w:rPr>
                <w:rFonts w:ascii="Arial" w:eastAsia="Times New Roman" w:hAnsi="Arial" w:cs="Arial"/>
                <w:sz w:val="20"/>
                <w:szCs w:val="20"/>
                <w:lang w:eastAsia="ru-RU"/>
              </w:rPr>
            </w:pPr>
            <w:proofErr w:type="spellStart"/>
            <w:r w:rsidRPr="00327355">
              <w:rPr>
                <w:rFonts w:ascii="Arial" w:eastAsia="Times New Roman" w:hAnsi="Arial" w:cs="Arial"/>
                <w:sz w:val="20"/>
                <w:szCs w:val="20"/>
                <w:lang w:eastAsia="ru-RU"/>
              </w:rPr>
              <w:t>Bantey</w:t>
            </w:r>
            <w:proofErr w:type="spellEnd"/>
            <w:r w:rsidRPr="00327355">
              <w:rPr>
                <w:rFonts w:ascii="Arial" w:eastAsia="Times New Roman" w:hAnsi="Arial" w:cs="Arial"/>
                <w:sz w:val="20"/>
                <w:szCs w:val="20"/>
                <w:lang w:eastAsia="ru-RU"/>
              </w:rPr>
              <w:t xml:space="preserve"> Meanchey </w:t>
            </w:r>
          </w:p>
        </w:tc>
        <w:tc>
          <w:tcPr>
            <w:tcW w:w="1980" w:type="dxa"/>
            <w:shd w:val="clear" w:color="auto" w:fill="auto"/>
            <w:vAlign w:val="center"/>
          </w:tcPr>
          <w:p w14:paraId="550F02EB" w14:textId="77777777" w:rsidR="004F42B2" w:rsidRPr="00327355" w:rsidRDefault="004F42B2" w:rsidP="004F42B2">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298</w:t>
            </w:r>
          </w:p>
        </w:tc>
        <w:tc>
          <w:tcPr>
            <w:tcW w:w="1800" w:type="dxa"/>
            <w:shd w:val="clear" w:color="auto" w:fill="auto"/>
            <w:vAlign w:val="center"/>
          </w:tcPr>
          <w:p w14:paraId="3BEFD6FA" w14:textId="77777777" w:rsidR="004F42B2" w:rsidRPr="00327355" w:rsidRDefault="004F42B2" w:rsidP="004F42B2">
            <w:pPr>
              <w:jc w:val="right"/>
              <w:rPr>
                <w:rFonts w:ascii="Arial" w:eastAsia="Times New Roman" w:hAnsi="Arial" w:cs="Arial"/>
                <w:sz w:val="20"/>
                <w:szCs w:val="20"/>
                <w:lang w:val="ru-RU" w:eastAsia="ru-RU"/>
              </w:rPr>
            </w:pPr>
            <w:r w:rsidRPr="00327355">
              <w:rPr>
                <w:rFonts w:ascii="Arial" w:eastAsia="Times New Roman" w:hAnsi="Arial" w:cs="Arial"/>
                <w:color w:val="000000"/>
                <w:sz w:val="20"/>
                <w:szCs w:val="20"/>
                <w:lang w:val="ru-RU" w:eastAsia="ru-RU"/>
              </w:rPr>
              <w:t>1925</w:t>
            </w:r>
          </w:p>
        </w:tc>
        <w:tc>
          <w:tcPr>
            <w:tcW w:w="1350" w:type="dxa"/>
          </w:tcPr>
          <w:p w14:paraId="7B170AFC" w14:textId="77777777" w:rsidR="004F42B2" w:rsidRPr="00327355" w:rsidRDefault="00327355" w:rsidP="004F42B2">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546%</w:t>
            </w:r>
          </w:p>
        </w:tc>
      </w:tr>
      <w:tr w:rsidR="004F42B2" w:rsidRPr="00327355" w14:paraId="2E71D68D" w14:textId="77777777" w:rsidTr="00E105ED">
        <w:trPr>
          <w:trHeight w:val="60"/>
        </w:trPr>
        <w:tc>
          <w:tcPr>
            <w:tcW w:w="2520" w:type="dxa"/>
          </w:tcPr>
          <w:p w14:paraId="225E9000" w14:textId="77777777" w:rsidR="004F42B2" w:rsidRPr="00327355" w:rsidRDefault="004F42B2" w:rsidP="004F42B2">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Pailin</w:t>
            </w:r>
          </w:p>
        </w:tc>
        <w:tc>
          <w:tcPr>
            <w:tcW w:w="1980" w:type="dxa"/>
            <w:shd w:val="clear" w:color="auto" w:fill="auto"/>
            <w:vAlign w:val="center"/>
          </w:tcPr>
          <w:p w14:paraId="20C712D7" w14:textId="77777777" w:rsidR="004F42B2" w:rsidRPr="00327355" w:rsidRDefault="004F42B2" w:rsidP="004F42B2">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597</w:t>
            </w:r>
          </w:p>
        </w:tc>
        <w:tc>
          <w:tcPr>
            <w:tcW w:w="1800" w:type="dxa"/>
            <w:shd w:val="clear" w:color="auto" w:fill="auto"/>
            <w:vAlign w:val="center"/>
          </w:tcPr>
          <w:p w14:paraId="102A767C" w14:textId="77777777" w:rsidR="004F42B2" w:rsidRPr="00327355" w:rsidRDefault="004F42B2" w:rsidP="004F42B2">
            <w:pPr>
              <w:jc w:val="right"/>
              <w:rPr>
                <w:rFonts w:ascii="Arial" w:eastAsia="Times New Roman" w:hAnsi="Arial" w:cs="Arial"/>
                <w:sz w:val="20"/>
                <w:szCs w:val="20"/>
                <w:lang w:eastAsia="ru-RU"/>
              </w:rPr>
            </w:pPr>
            <w:r w:rsidRPr="00327355">
              <w:rPr>
                <w:rFonts w:ascii="Arial" w:eastAsia="Times New Roman" w:hAnsi="Arial" w:cs="Arial"/>
                <w:color w:val="000000"/>
                <w:sz w:val="20"/>
                <w:szCs w:val="20"/>
                <w:lang w:val="ru-RU" w:eastAsia="ru-RU"/>
              </w:rPr>
              <w:t>3244</w:t>
            </w:r>
          </w:p>
        </w:tc>
        <w:tc>
          <w:tcPr>
            <w:tcW w:w="1350" w:type="dxa"/>
          </w:tcPr>
          <w:p w14:paraId="48102540" w14:textId="77777777" w:rsidR="004F42B2" w:rsidRPr="00327355" w:rsidRDefault="00327355" w:rsidP="004F42B2">
            <w:pPr>
              <w:jc w:val="right"/>
              <w:rPr>
                <w:rFonts w:ascii="Arial" w:eastAsia="Times New Roman" w:hAnsi="Arial" w:cs="Arial"/>
                <w:sz w:val="20"/>
                <w:szCs w:val="20"/>
                <w:lang w:eastAsia="ru-RU"/>
              </w:rPr>
            </w:pPr>
            <w:r w:rsidRPr="00327355">
              <w:rPr>
                <w:rFonts w:ascii="Arial" w:eastAsia="Times New Roman" w:hAnsi="Arial" w:cs="Arial"/>
                <w:sz w:val="20"/>
                <w:szCs w:val="20"/>
                <w:lang w:eastAsia="ru-RU"/>
              </w:rPr>
              <w:t>443%</w:t>
            </w:r>
          </w:p>
        </w:tc>
      </w:tr>
    </w:tbl>
    <w:p w14:paraId="6040B1F1" w14:textId="77777777" w:rsidR="00E4065A" w:rsidRDefault="00E4065A" w:rsidP="003255E1">
      <w:pPr>
        <w:jc w:val="both"/>
        <w:rPr>
          <w:rFonts w:ascii="Arial" w:hAnsi="Arial" w:cs="Arial"/>
          <w:color w:val="5B9BD5" w:themeColor="accent1"/>
          <w:sz w:val="20"/>
          <w:szCs w:val="20"/>
          <w:shd w:val="clear" w:color="auto" w:fill="FFFFFF"/>
        </w:rPr>
      </w:pPr>
    </w:p>
    <w:p w14:paraId="2CF758C6" w14:textId="77777777" w:rsidR="009D08BB" w:rsidRDefault="009D08BB" w:rsidP="003255E1">
      <w:pPr>
        <w:jc w:val="both"/>
        <w:rPr>
          <w:rFonts w:ascii="Arial" w:hAnsi="Arial" w:cs="Arial"/>
          <w:color w:val="5B9BD5" w:themeColor="accent1"/>
          <w:sz w:val="20"/>
          <w:szCs w:val="20"/>
          <w:shd w:val="clear" w:color="auto" w:fill="FFFFFF"/>
        </w:rPr>
      </w:pPr>
    </w:p>
    <w:p w14:paraId="28155ED3" w14:textId="77777777" w:rsidR="003255E1" w:rsidRDefault="003255E1" w:rsidP="003255E1">
      <w:pPr>
        <w:jc w:val="both"/>
        <w:rPr>
          <w:rFonts w:ascii="Arial" w:hAnsi="Arial" w:cs="Arial"/>
          <w:color w:val="5B9BD5" w:themeColor="accent1"/>
          <w:sz w:val="20"/>
          <w:szCs w:val="20"/>
          <w:shd w:val="clear" w:color="auto" w:fill="FFFFFF"/>
        </w:rPr>
      </w:pPr>
      <w:r w:rsidRPr="000E7C67">
        <w:rPr>
          <w:rFonts w:ascii="Arial" w:hAnsi="Arial" w:cs="Arial"/>
          <w:color w:val="5B9BD5" w:themeColor="accent1"/>
          <w:sz w:val="20"/>
          <w:szCs w:val="20"/>
          <w:shd w:val="clear" w:color="auto" w:fill="FFFFFF"/>
        </w:rPr>
        <w:t xml:space="preserve">LAND </w:t>
      </w:r>
      <w:r w:rsidR="00877343" w:rsidRPr="000E7C67">
        <w:rPr>
          <w:rFonts w:ascii="Arial" w:hAnsi="Arial" w:cs="Arial"/>
          <w:color w:val="5B9BD5" w:themeColor="accent1"/>
          <w:sz w:val="20"/>
          <w:szCs w:val="20"/>
          <w:shd w:val="clear" w:color="auto" w:fill="FFFFFF"/>
        </w:rPr>
        <w:t>USE</w:t>
      </w:r>
      <w:r w:rsidR="00877343">
        <w:rPr>
          <w:rFonts w:ascii="Arial" w:hAnsi="Arial" w:cs="Arial"/>
          <w:color w:val="5B9BD5" w:themeColor="accent1"/>
          <w:sz w:val="20"/>
          <w:szCs w:val="20"/>
          <w:shd w:val="clear" w:color="auto" w:fill="FFFFFF"/>
        </w:rPr>
        <w:t xml:space="preserve"> </w:t>
      </w:r>
    </w:p>
    <w:p w14:paraId="56E395A6" w14:textId="77777777" w:rsidR="00AE4593" w:rsidRDefault="00FD5AE1" w:rsidP="003255E1">
      <w:pPr>
        <w:jc w:val="both"/>
        <w:rPr>
          <w:rFonts w:ascii="Arial" w:hAnsi="Arial" w:cs="Arial"/>
          <w:sz w:val="20"/>
          <w:szCs w:val="20"/>
          <w:shd w:val="clear" w:color="auto" w:fill="FFFFFF"/>
        </w:rPr>
      </w:pPr>
      <w:r>
        <w:rPr>
          <w:rFonts w:ascii="Arial" w:hAnsi="Arial" w:cs="Arial"/>
          <w:sz w:val="20"/>
          <w:szCs w:val="20"/>
          <w:shd w:val="clear" w:color="auto" w:fill="FFFFFF"/>
        </w:rPr>
        <w:t>Table 7 demonstrates</w:t>
      </w:r>
      <w:r w:rsidR="00AE4593">
        <w:rPr>
          <w:rFonts w:ascii="Arial" w:hAnsi="Arial" w:cs="Arial"/>
          <w:sz w:val="20"/>
          <w:szCs w:val="20"/>
          <w:shd w:val="clear" w:color="auto" w:fill="FFFFFF"/>
        </w:rPr>
        <w:t xml:space="preserve"> that </w:t>
      </w:r>
      <w:r w:rsidR="009B301A">
        <w:rPr>
          <w:rFonts w:ascii="Arial" w:hAnsi="Arial" w:cs="Arial"/>
          <w:sz w:val="20"/>
          <w:szCs w:val="20"/>
          <w:shd w:val="clear" w:color="auto" w:fill="FFFFFF"/>
        </w:rPr>
        <w:t xml:space="preserve">nearly 100% of </w:t>
      </w:r>
      <w:r w:rsidR="006E2D15">
        <w:rPr>
          <w:rFonts w:ascii="Arial" w:hAnsi="Arial" w:cs="Arial"/>
          <w:sz w:val="20"/>
          <w:szCs w:val="20"/>
          <w:shd w:val="clear" w:color="auto" w:fill="FFFFFF"/>
        </w:rPr>
        <w:t xml:space="preserve">households </w:t>
      </w:r>
      <w:r w:rsidR="00E105ED">
        <w:rPr>
          <w:rFonts w:ascii="Arial" w:hAnsi="Arial" w:cs="Arial"/>
          <w:sz w:val="20"/>
          <w:szCs w:val="20"/>
          <w:shd w:val="clear" w:color="auto" w:fill="FFFFFF"/>
        </w:rPr>
        <w:t xml:space="preserve">use </w:t>
      </w:r>
      <w:r w:rsidR="00696331">
        <w:rPr>
          <w:rFonts w:ascii="Arial" w:hAnsi="Arial" w:cs="Arial"/>
          <w:sz w:val="20"/>
          <w:szCs w:val="20"/>
          <w:shd w:val="clear" w:color="auto" w:fill="FFFFFF"/>
        </w:rPr>
        <w:t>released</w:t>
      </w:r>
      <w:r w:rsidR="00E105ED">
        <w:rPr>
          <w:rFonts w:ascii="Arial" w:hAnsi="Arial" w:cs="Arial"/>
          <w:sz w:val="20"/>
          <w:szCs w:val="20"/>
          <w:shd w:val="clear" w:color="auto" w:fill="FFFFFF"/>
        </w:rPr>
        <w:t xml:space="preserve"> land</w:t>
      </w:r>
      <w:r w:rsidR="009B301A">
        <w:rPr>
          <w:rFonts w:ascii="Arial" w:hAnsi="Arial" w:cs="Arial"/>
          <w:sz w:val="20"/>
          <w:szCs w:val="20"/>
          <w:shd w:val="clear" w:color="auto" w:fill="FFFFFF"/>
        </w:rPr>
        <w:t xml:space="preserve"> for agricultural purposes</w:t>
      </w:r>
      <w:r>
        <w:rPr>
          <w:rFonts w:ascii="Arial" w:hAnsi="Arial" w:cs="Arial"/>
          <w:sz w:val="20"/>
          <w:szCs w:val="20"/>
          <w:shd w:val="clear" w:color="auto" w:fill="FFFFFF"/>
        </w:rPr>
        <w:t xml:space="preserve">. Raising livestock reported more in Battambang while people in </w:t>
      </w:r>
      <w:proofErr w:type="spellStart"/>
      <w:r>
        <w:rPr>
          <w:rFonts w:ascii="Arial" w:hAnsi="Arial" w:cs="Arial"/>
          <w:sz w:val="20"/>
          <w:szCs w:val="20"/>
          <w:shd w:val="clear" w:color="auto" w:fill="FFFFFF"/>
        </w:rPr>
        <w:t>Bantey</w:t>
      </w:r>
      <w:proofErr w:type="spellEnd"/>
      <w:r>
        <w:rPr>
          <w:rFonts w:ascii="Arial" w:hAnsi="Arial" w:cs="Arial"/>
          <w:sz w:val="20"/>
          <w:szCs w:val="20"/>
          <w:shd w:val="clear" w:color="auto" w:fill="FFFFFF"/>
        </w:rPr>
        <w:t xml:space="preserve"> Meanchey and Pailin do not practice much raising livestock. </w:t>
      </w:r>
      <w:r w:rsidR="00780AA9">
        <w:rPr>
          <w:rFonts w:ascii="Arial" w:hAnsi="Arial" w:cs="Arial"/>
          <w:sz w:val="20"/>
          <w:szCs w:val="20"/>
          <w:shd w:val="clear" w:color="auto" w:fill="FFFFFF"/>
        </w:rPr>
        <w:t xml:space="preserve">The data below represents both housing and agricultural beneficiaries. </w:t>
      </w:r>
      <w:r w:rsidR="009B301A">
        <w:rPr>
          <w:rFonts w:ascii="Arial" w:hAnsi="Arial" w:cs="Arial"/>
          <w:sz w:val="20"/>
          <w:szCs w:val="20"/>
          <w:shd w:val="clear" w:color="auto" w:fill="FFFFFF"/>
        </w:rPr>
        <w:t xml:space="preserve"> </w:t>
      </w:r>
    </w:p>
    <w:p w14:paraId="73F0E8B4" w14:textId="77777777" w:rsidR="00D97AD5" w:rsidRPr="00FD5AE1" w:rsidRDefault="00FD5AE1" w:rsidP="003255E1">
      <w:pPr>
        <w:jc w:val="both"/>
        <w:rPr>
          <w:rFonts w:ascii="Arial" w:hAnsi="Arial" w:cs="Arial"/>
          <w:b/>
          <w:sz w:val="20"/>
          <w:szCs w:val="20"/>
          <w:shd w:val="clear" w:color="auto" w:fill="FFFFFF"/>
        </w:rPr>
      </w:pPr>
      <w:r w:rsidRPr="00FD5AE1">
        <w:rPr>
          <w:rFonts w:ascii="Arial" w:hAnsi="Arial" w:cs="Arial"/>
          <w:b/>
          <w:sz w:val="20"/>
          <w:szCs w:val="20"/>
          <w:shd w:val="clear" w:color="auto" w:fill="FFFFFF"/>
        </w:rPr>
        <w:t>Table 7: Use of Released Land</w:t>
      </w:r>
    </w:p>
    <w:tbl>
      <w:tblPr>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913"/>
        <w:gridCol w:w="992"/>
        <w:gridCol w:w="1082"/>
        <w:gridCol w:w="991"/>
        <w:gridCol w:w="901"/>
        <w:gridCol w:w="992"/>
      </w:tblGrid>
      <w:tr w:rsidR="00295A83" w:rsidRPr="0037198D" w14:paraId="0E4C0A92" w14:textId="77777777" w:rsidTr="00696331">
        <w:trPr>
          <w:trHeight w:val="347"/>
        </w:trPr>
        <w:tc>
          <w:tcPr>
            <w:tcW w:w="2151" w:type="dxa"/>
            <w:vMerge w:val="restart"/>
            <w:shd w:val="clear" w:color="auto" w:fill="BFBFBF" w:themeFill="background1" w:themeFillShade="BF"/>
            <w:vAlign w:val="center"/>
          </w:tcPr>
          <w:p w14:paraId="7C1C34B4" w14:textId="77777777" w:rsidR="00295A83" w:rsidRPr="004F2B5E" w:rsidRDefault="004F2B5E" w:rsidP="004F2B5E">
            <w:pPr>
              <w:spacing w:after="0" w:line="240" w:lineRule="auto"/>
              <w:jc w:val="center"/>
              <w:rPr>
                <w:rFonts w:ascii="Arial" w:eastAsia="Times New Roman" w:hAnsi="Arial" w:cs="Arial"/>
                <w:b/>
                <w:color w:val="000000"/>
                <w:sz w:val="18"/>
                <w:szCs w:val="18"/>
                <w:lang w:eastAsia="ru-RU"/>
              </w:rPr>
            </w:pPr>
            <w:r w:rsidRPr="004F2B5E">
              <w:rPr>
                <w:rFonts w:ascii="Arial" w:eastAsia="Times New Roman" w:hAnsi="Arial" w:cs="Arial"/>
                <w:b/>
                <w:color w:val="000000"/>
                <w:sz w:val="18"/>
                <w:szCs w:val="18"/>
                <w:lang w:eastAsia="ru-RU"/>
              </w:rPr>
              <w:t>Land Use</w:t>
            </w:r>
          </w:p>
        </w:tc>
        <w:tc>
          <w:tcPr>
            <w:tcW w:w="1905" w:type="dxa"/>
            <w:gridSpan w:val="2"/>
            <w:shd w:val="clear" w:color="auto" w:fill="BFBFBF" w:themeFill="background1" w:themeFillShade="BF"/>
          </w:tcPr>
          <w:p w14:paraId="611ECC35" w14:textId="77777777" w:rsidR="00295A83" w:rsidRPr="00295A83" w:rsidRDefault="00295A83" w:rsidP="009B301A">
            <w:pPr>
              <w:spacing w:after="0" w:line="240" w:lineRule="auto"/>
              <w:jc w:val="center"/>
              <w:rPr>
                <w:rFonts w:ascii="Arial" w:eastAsia="Times New Roman" w:hAnsi="Arial" w:cs="Arial"/>
                <w:b/>
                <w:color w:val="000000"/>
                <w:sz w:val="18"/>
                <w:szCs w:val="18"/>
                <w:lang w:eastAsia="ru-RU"/>
              </w:rPr>
            </w:pPr>
            <w:r w:rsidRPr="00295A83">
              <w:rPr>
                <w:rFonts w:ascii="Arial" w:eastAsia="Times New Roman" w:hAnsi="Arial" w:cs="Arial"/>
                <w:b/>
                <w:color w:val="000000"/>
                <w:sz w:val="18"/>
                <w:szCs w:val="18"/>
                <w:lang w:eastAsia="ru-RU"/>
              </w:rPr>
              <w:t>Battambang</w:t>
            </w:r>
          </w:p>
        </w:tc>
        <w:tc>
          <w:tcPr>
            <w:tcW w:w="2073" w:type="dxa"/>
            <w:gridSpan w:val="2"/>
            <w:shd w:val="clear" w:color="auto" w:fill="BFBFBF" w:themeFill="background1" w:themeFillShade="BF"/>
          </w:tcPr>
          <w:p w14:paraId="758CFFF7" w14:textId="77777777" w:rsidR="00295A83" w:rsidRPr="00295A83" w:rsidRDefault="00295A83" w:rsidP="009B301A">
            <w:pPr>
              <w:spacing w:after="0" w:line="240" w:lineRule="auto"/>
              <w:jc w:val="center"/>
              <w:rPr>
                <w:rFonts w:ascii="Arial" w:eastAsia="Times New Roman" w:hAnsi="Arial" w:cs="Arial"/>
                <w:b/>
                <w:color w:val="000000"/>
                <w:sz w:val="18"/>
                <w:szCs w:val="18"/>
                <w:lang w:val="ru-RU" w:eastAsia="ru-RU"/>
              </w:rPr>
            </w:pPr>
            <w:proofErr w:type="spellStart"/>
            <w:r w:rsidRPr="00295A83">
              <w:rPr>
                <w:rFonts w:ascii="Arial" w:eastAsia="Times New Roman" w:hAnsi="Arial" w:cs="Arial"/>
                <w:b/>
                <w:color w:val="000000"/>
                <w:sz w:val="18"/>
                <w:szCs w:val="18"/>
                <w:lang w:eastAsia="ru-RU"/>
              </w:rPr>
              <w:t>Bantey</w:t>
            </w:r>
            <w:proofErr w:type="spellEnd"/>
            <w:r w:rsidRPr="00295A83">
              <w:rPr>
                <w:rFonts w:ascii="Arial" w:eastAsia="Times New Roman" w:hAnsi="Arial" w:cs="Arial"/>
                <w:b/>
                <w:color w:val="000000"/>
                <w:sz w:val="18"/>
                <w:szCs w:val="18"/>
                <w:lang w:eastAsia="ru-RU"/>
              </w:rPr>
              <w:t xml:space="preserve"> Meanchey</w:t>
            </w:r>
          </w:p>
        </w:tc>
        <w:tc>
          <w:tcPr>
            <w:tcW w:w="1893" w:type="dxa"/>
            <w:gridSpan w:val="2"/>
            <w:shd w:val="clear" w:color="auto" w:fill="BFBFBF" w:themeFill="background1" w:themeFillShade="BF"/>
          </w:tcPr>
          <w:p w14:paraId="3D44AA74" w14:textId="77777777" w:rsidR="00295A83" w:rsidRPr="00295A83" w:rsidRDefault="00295A83" w:rsidP="009B301A">
            <w:pPr>
              <w:spacing w:after="0" w:line="240" w:lineRule="auto"/>
              <w:jc w:val="center"/>
              <w:rPr>
                <w:rFonts w:ascii="Arial" w:eastAsia="Times New Roman" w:hAnsi="Arial" w:cs="Arial"/>
                <w:b/>
                <w:color w:val="000000"/>
                <w:sz w:val="18"/>
                <w:szCs w:val="18"/>
                <w:lang w:eastAsia="ru-RU"/>
              </w:rPr>
            </w:pPr>
            <w:r w:rsidRPr="00295A83">
              <w:rPr>
                <w:rFonts w:ascii="Arial" w:eastAsia="Times New Roman" w:hAnsi="Arial" w:cs="Arial"/>
                <w:b/>
                <w:color w:val="000000"/>
                <w:sz w:val="18"/>
                <w:szCs w:val="18"/>
                <w:lang w:eastAsia="ru-RU"/>
              </w:rPr>
              <w:t>Pailin</w:t>
            </w:r>
          </w:p>
        </w:tc>
      </w:tr>
      <w:tr w:rsidR="00295A83" w:rsidRPr="0037198D" w14:paraId="14E7E919" w14:textId="77777777" w:rsidTr="00696331">
        <w:trPr>
          <w:trHeight w:val="347"/>
        </w:trPr>
        <w:tc>
          <w:tcPr>
            <w:tcW w:w="2151" w:type="dxa"/>
            <w:vMerge/>
            <w:shd w:val="clear" w:color="auto" w:fill="BFBFBF" w:themeFill="background1" w:themeFillShade="BF"/>
            <w:vAlign w:val="center"/>
          </w:tcPr>
          <w:p w14:paraId="163E4222" w14:textId="77777777" w:rsidR="00295A83" w:rsidRPr="0037198D" w:rsidRDefault="00295A83" w:rsidP="009B301A">
            <w:pPr>
              <w:spacing w:after="0" w:line="240" w:lineRule="auto"/>
              <w:rPr>
                <w:rFonts w:ascii="Arial" w:eastAsia="Times New Roman" w:hAnsi="Arial" w:cs="Arial"/>
                <w:color w:val="000000"/>
                <w:sz w:val="18"/>
                <w:szCs w:val="18"/>
                <w:lang w:val="ru-RU" w:eastAsia="ru-RU"/>
              </w:rPr>
            </w:pPr>
          </w:p>
        </w:tc>
        <w:tc>
          <w:tcPr>
            <w:tcW w:w="913" w:type="dxa"/>
            <w:shd w:val="clear" w:color="auto" w:fill="BFBFBF" w:themeFill="background1" w:themeFillShade="BF"/>
          </w:tcPr>
          <w:p w14:paraId="6D7BC394" w14:textId="77777777" w:rsidR="00295A83" w:rsidRPr="00D97AD5" w:rsidRDefault="00295A83" w:rsidP="009B301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Count</w:t>
            </w:r>
          </w:p>
        </w:tc>
        <w:tc>
          <w:tcPr>
            <w:tcW w:w="992" w:type="dxa"/>
            <w:shd w:val="clear" w:color="auto" w:fill="BFBFBF" w:themeFill="background1" w:themeFillShade="BF"/>
            <w:vAlign w:val="bottom"/>
          </w:tcPr>
          <w:p w14:paraId="400AEB91" w14:textId="77777777" w:rsidR="00295A83" w:rsidRPr="00D97AD5" w:rsidRDefault="00295A83" w:rsidP="009B301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p>
        </w:tc>
        <w:tc>
          <w:tcPr>
            <w:tcW w:w="1082" w:type="dxa"/>
            <w:shd w:val="clear" w:color="auto" w:fill="BFBFBF" w:themeFill="background1" w:themeFillShade="BF"/>
          </w:tcPr>
          <w:p w14:paraId="7DFBFB9B" w14:textId="77777777" w:rsidR="00295A83" w:rsidRPr="00D97AD5" w:rsidRDefault="00295A83" w:rsidP="009B301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Count</w:t>
            </w:r>
          </w:p>
        </w:tc>
        <w:tc>
          <w:tcPr>
            <w:tcW w:w="991" w:type="dxa"/>
            <w:shd w:val="clear" w:color="auto" w:fill="BFBFBF" w:themeFill="background1" w:themeFillShade="BF"/>
            <w:vAlign w:val="bottom"/>
          </w:tcPr>
          <w:p w14:paraId="46F052A8" w14:textId="77777777" w:rsidR="00295A83" w:rsidRPr="00D97AD5" w:rsidRDefault="00295A83" w:rsidP="009B301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p>
        </w:tc>
        <w:tc>
          <w:tcPr>
            <w:tcW w:w="901" w:type="dxa"/>
            <w:shd w:val="clear" w:color="auto" w:fill="BFBFBF" w:themeFill="background1" w:themeFillShade="BF"/>
          </w:tcPr>
          <w:p w14:paraId="0C9FDFDC" w14:textId="77777777" w:rsidR="00295A83" w:rsidRPr="00D97AD5" w:rsidRDefault="00295A83" w:rsidP="009B301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Count</w:t>
            </w:r>
          </w:p>
        </w:tc>
        <w:tc>
          <w:tcPr>
            <w:tcW w:w="992" w:type="dxa"/>
            <w:shd w:val="clear" w:color="auto" w:fill="BFBFBF" w:themeFill="background1" w:themeFillShade="BF"/>
            <w:vAlign w:val="bottom"/>
          </w:tcPr>
          <w:p w14:paraId="6C5BB2D1" w14:textId="77777777" w:rsidR="00295A83" w:rsidRPr="00D97AD5" w:rsidRDefault="00295A83" w:rsidP="009B301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p>
        </w:tc>
      </w:tr>
      <w:tr w:rsidR="00295A83" w:rsidRPr="0037198D" w14:paraId="1CA179DC" w14:textId="77777777" w:rsidTr="00696331">
        <w:trPr>
          <w:trHeight w:val="315"/>
        </w:trPr>
        <w:tc>
          <w:tcPr>
            <w:tcW w:w="2151" w:type="dxa"/>
            <w:shd w:val="clear" w:color="auto" w:fill="auto"/>
            <w:hideMark/>
          </w:tcPr>
          <w:p w14:paraId="1FE63096" w14:textId="77777777" w:rsidR="00295A83" w:rsidRPr="0037198D" w:rsidRDefault="00295A83" w:rsidP="009B301A">
            <w:pPr>
              <w:spacing w:after="0" w:line="240" w:lineRule="auto"/>
              <w:rPr>
                <w:rFonts w:ascii="Arial" w:eastAsia="Times New Roman" w:hAnsi="Arial" w:cs="Arial"/>
                <w:color w:val="000000"/>
                <w:sz w:val="18"/>
                <w:szCs w:val="18"/>
                <w:lang w:val="ru-RU" w:eastAsia="ru-RU"/>
              </w:rPr>
            </w:pPr>
            <w:r w:rsidRPr="0037198D">
              <w:rPr>
                <w:rFonts w:ascii="Arial" w:eastAsia="Times New Roman" w:hAnsi="Arial" w:cs="Arial"/>
                <w:color w:val="000000"/>
                <w:sz w:val="18"/>
                <w:szCs w:val="18"/>
                <w:lang w:val="ru-RU" w:eastAsia="ru-RU"/>
              </w:rPr>
              <w:t>growing crops</w:t>
            </w:r>
          </w:p>
        </w:tc>
        <w:tc>
          <w:tcPr>
            <w:tcW w:w="913" w:type="dxa"/>
            <w:vAlign w:val="center"/>
          </w:tcPr>
          <w:p w14:paraId="5CE2AF6D"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205</w:t>
            </w:r>
          </w:p>
        </w:tc>
        <w:tc>
          <w:tcPr>
            <w:tcW w:w="992" w:type="dxa"/>
            <w:shd w:val="clear" w:color="auto" w:fill="auto"/>
            <w:noWrap/>
            <w:vAlign w:val="center"/>
            <w:hideMark/>
          </w:tcPr>
          <w:p w14:paraId="7F70C6A1"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99,5</w:t>
            </w:r>
          </w:p>
        </w:tc>
        <w:tc>
          <w:tcPr>
            <w:tcW w:w="1082" w:type="dxa"/>
            <w:vAlign w:val="center"/>
          </w:tcPr>
          <w:p w14:paraId="24810D1E"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121</w:t>
            </w:r>
          </w:p>
        </w:tc>
        <w:tc>
          <w:tcPr>
            <w:tcW w:w="991" w:type="dxa"/>
            <w:shd w:val="clear" w:color="auto" w:fill="auto"/>
            <w:noWrap/>
            <w:vAlign w:val="center"/>
            <w:hideMark/>
          </w:tcPr>
          <w:p w14:paraId="05E110D8"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99,2</w:t>
            </w:r>
          </w:p>
        </w:tc>
        <w:tc>
          <w:tcPr>
            <w:tcW w:w="901" w:type="dxa"/>
            <w:vAlign w:val="center"/>
          </w:tcPr>
          <w:p w14:paraId="264FD2E3"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54</w:t>
            </w:r>
          </w:p>
        </w:tc>
        <w:tc>
          <w:tcPr>
            <w:tcW w:w="992" w:type="dxa"/>
            <w:shd w:val="clear" w:color="auto" w:fill="auto"/>
            <w:noWrap/>
            <w:vAlign w:val="center"/>
            <w:hideMark/>
          </w:tcPr>
          <w:p w14:paraId="5F5A0C94"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100,0</w:t>
            </w:r>
          </w:p>
        </w:tc>
      </w:tr>
      <w:tr w:rsidR="00295A83" w:rsidRPr="0037198D" w14:paraId="560B50AC" w14:textId="77777777" w:rsidTr="00696331">
        <w:trPr>
          <w:trHeight w:val="300"/>
        </w:trPr>
        <w:tc>
          <w:tcPr>
            <w:tcW w:w="2151" w:type="dxa"/>
            <w:shd w:val="clear" w:color="auto" w:fill="auto"/>
            <w:hideMark/>
          </w:tcPr>
          <w:p w14:paraId="79CCBC91" w14:textId="77777777" w:rsidR="00295A83" w:rsidRPr="0037198D" w:rsidRDefault="00295A83" w:rsidP="009B301A">
            <w:pPr>
              <w:spacing w:after="0" w:line="240" w:lineRule="auto"/>
              <w:rPr>
                <w:rFonts w:ascii="Arial" w:eastAsia="Times New Roman" w:hAnsi="Arial" w:cs="Arial"/>
                <w:color w:val="000000"/>
                <w:sz w:val="18"/>
                <w:szCs w:val="18"/>
                <w:lang w:val="ru-RU" w:eastAsia="ru-RU"/>
              </w:rPr>
            </w:pPr>
            <w:r w:rsidRPr="0037198D">
              <w:rPr>
                <w:rFonts w:ascii="Arial" w:eastAsia="Times New Roman" w:hAnsi="Arial" w:cs="Arial"/>
                <w:color w:val="000000"/>
                <w:sz w:val="18"/>
                <w:szCs w:val="18"/>
                <w:lang w:val="ru-RU" w:eastAsia="ru-RU"/>
              </w:rPr>
              <w:t>raising livestock</w:t>
            </w:r>
          </w:p>
        </w:tc>
        <w:tc>
          <w:tcPr>
            <w:tcW w:w="913" w:type="dxa"/>
            <w:vAlign w:val="center"/>
          </w:tcPr>
          <w:p w14:paraId="3E6B0A1A"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49</w:t>
            </w:r>
          </w:p>
        </w:tc>
        <w:tc>
          <w:tcPr>
            <w:tcW w:w="992" w:type="dxa"/>
            <w:shd w:val="clear" w:color="auto" w:fill="auto"/>
            <w:noWrap/>
            <w:vAlign w:val="center"/>
            <w:hideMark/>
          </w:tcPr>
          <w:p w14:paraId="2B6F5200"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23,8</w:t>
            </w:r>
          </w:p>
        </w:tc>
        <w:tc>
          <w:tcPr>
            <w:tcW w:w="1082" w:type="dxa"/>
            <w:vAlign w:val="center"/>
          </w:tcPr>
          <w:p w14:paraId="68A99992"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4</w:t>
            </w:r>
          </w:p>
        </w:tc>
        <w:tc>
          <w:tcPr>
            <w:tcW w:w="991" w:type="dxa"/>
            <w:shd w:val="clear" w:color="auto" w:fill="auto"/>
            <w:noWrap/>
            <w:vAlign w:val="center"/>
            <w:hideMark/>
          </w:tcPr>
          <w:p w14:paraId="4D75727F"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3,3</w:t>
            </w:r>
          </w:p>
        </w:tc>
        <w:tc>
          <w:tcPr>
            <w:tcW w:w="901" w:type="dxa"/>
            <w:vAlign w:val="center"/>
          </w:tcPr>
          <w:p w14:paraId="2DB640AA"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6</w:t>
            </w:r>
          </w:p>
        </w:tc>
        <w:tc>
          <w:tcPr>
            <w:tcW w:w="992" w:type="dxa"/>
            <w:shd w:val="clear" w:color="auto" w:fill="auto"/>
            <w:noWrap/>
            <w:vAlign w:val="center"/>
            <w:hideMark/>
          </w:tcPr>
          <w:p w14:paraId="43DB7B05"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11,1</w:t>
            </w:r>
          </w:p>
        </w:tc>
      </w:tr>
      <w:tr w:rsidR="00295A83" w:rsidRPr="0037198D" w14:paraId="6045E2DA" w14:textId="77777777" w:rsidTr="00696331">
        <w:trPr>
          <w:trHeight w:val="368"/>
        </w:trPr>
        <w:tc>
          <w:tcPr>
            <w:tcW w:w="2151" w:type="dxa"/>
            <w:shd w:val="clear" w:color="auto" w:fill="auto"/>
            <w:hideMark/>
          </w:tcPr>
          <w:p w14:paraId="0B22B8DE" w14:textId="77777777" w:rsidR="00295A83" w:rsidRPr="0037198D" w:rsidRDefault="00295A83" w:rsidP="009B301A">
            <w:pPr>
              <w:spacing w:after="0" w:line="240" w:lineRule="auto"/>
              <w:rPr>
                <w:rFonts w:ascii="Arial" w:eastAsia="Times New Roman" w:hAnsi="Arial" w:cs="Arial"/>
                <w:color w:val="000000"/>
                <w:sz w:val="18"/>
                <w:szCs w:val="18"/>
                <w:lang w:val="ru-RU" w:eastAsia="ru-RU"/>
              </w:rPr>
            </w:pPr>
            <w:r w:rsidRPr="0037198D">
              <w:rPr>
                <w:rFonts w:ascii="Arial" w:eastAsia="Times New Roman" w:hAnsi="Arial" w:cs="Arial"/>
                <w:color w:val="000000"/>
                <w:sz w:val="18"/>
                <w:szCs w:val="18"/>
                <w:lang w:val="ru-RU" w:eastAsia="ru-RU"/>
              </w:rPr>
              <w:t>renting to other farmers</w:t>
            </w:r>
          </w:p>
        </w:tc>
        <w:tc>
          <w:tcPr>
            <w:tcW w:w="913" w:type="dxa"/>
            <w:vAlign w:val="center"/>
          </w:tcPr>
          <w:p w14:paraId="4E1AE315"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1</w:t>
            </w:r>
          </w:p>
        </w:tc>
        <w:tc>
          <w:tcPr>
            <w:tcW w:w="992" w:type="dxa"/>
            <w:shd w:val="clear" w:color="auto" w:fill="auto"/>
            <w:noWrap/>
            <w:vAlign w:val="center"/>
            <w:hideMark/>
          </w:tcPr>
          <w:p w14:paraId="78866C93"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w:t>
            </w:r>
            <w:r w:rsidRPr="0037198D">
              <w:rPr>
                <w:rFonts w:ascii="Arial" w:eastAsia="Times New Roman" w:hAnsi="Arial" w:cs="Arial"/>
                <w:color w:val="000000"/>
                <w:sz w:val="18"/>
                <w:szCs w:val="18"/>
                <w:lang w:val="ru-RU" w:eastAsia="ru-RU"/>
              </w:rPr>
              <w:t>,5</w:t>
            </w:r>
          </w:p>
        </w:tc>
        <w:tc>
          <w:tcPr>
            <w:tcW w:w="1082" w:type="dxa"/>
            <w:vAlign w:val="center"/>
          </w:tcPr>
          <w:p w14:paraId="58003C56"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0</w:t>
            </w:r>
          </w:p>
        </w:tc>
        <w:tc>
          <w:tcPr>
            <w:tcW w:w="991" w:type="dxa"/>
            <w:shd w:val="clear" w:color="auto" w:fill="auto"/>
            <w:noWrap/>
            <w:vAlign w:val="center"/>
            <w:hideMark/>
          </w:tcPr>
          <w:p w14:paraId="1C178FAD"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0,0</w:t>
            </w:r>
          </w:p>
        </w:tc>
        <w:tc>
          <w:tcPr>
            <w:tcW w:w="901" w:type="dxa"/>
            <w:vAlign w:val="center"/>
          </w:tcPr>
          <w:p w14:paraId="4EEFB0EB"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0</w:t>
            </w:r>
          </w:p>
        </w:tc>
        <w:tc>
          <w:tcPr>
            <w:tcW w:w="992" w:type="dxa"/>
            <w:shd w:val="clear" w:color="auto" w:fill="auto"/>
            <w:noWrap/>
            <w:vAlign w:val="center"/>
            <w:hideMark/>
          </w:tcPr>
          <w:p w14:paraId="5C6315BD"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0,0</w:t>
            </w:r>
          </w:p>
        </w:tc>
      </w:tr>
      <w:tr w:rsidR="00295A83" w:rsidRPr="0037198D" w14:paraId="010D5C1F" w14:textId="77777777" w:rsidTr="00696331">
        <w:trPr>
          <w:trHeight w:val="300"/>
        </w:trPr>
        <w:tc>
          <w:tcPr>
            <w:tcW w:w="2151" w:type="dxa"/>
            <w:shd w:val="clear" w:color="auto" w:fill="auto"/>
            <w:hideMark/>
          </w:tcPr>
          <w:p w14:paraId="741CB450" w14:textId="77777777" w:rsidR="00295A83" w:rsidRPr="0037198D" w:rsidRDefault="00295A83" w:rsidP="009B301A">
            <w:pPr>
              <w:spacing w:after="0" w:line="240" w:lineRule="auto"/>
              <w:rPr>
                <w:rFonts w:ascii="Arial" w:eastAsia="Times New Roman" w:hAnsi="Arial" w:cs="Arial"/>
                <w:color w:val="000000"/>
                <w:sz w:val="18"/>
                <w:szCs w:val="18"/>
                <w:lang w:val="ru-RU" w:eastAsia="ru-RU"/>
              </w:rPr>
            </w:pPr>
            <w:r w:rsidRPr="0037198D">
              <w:rPr>
                <w:rFonts w:ascii="Arial" w:eastAsia="Times New Roman" w:hAnsi="Arial" w:cs="Arial"/>
                <w:color w:val="000000"/>
                <w:sz w:val="18"/>
                <w:szCs w:val="18"/>
                <w:lang w:val="ru-RU" w:eastAsia="ru-RU"/>
              </w:rPr>
              <w:t>other</w:t>
            </w:r>
          </w:p>
        </w:tc>
        <w:tc>
          <w:tcPr>
            <w:tcW w:w="913" w:type="dxa"/>
            <w:vAlign w:val="center"/>
          </w:tcPr>
          <w:p w14:paraId="0C3E4937"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2</w:t>
            </w:r>
          </w:p>
        </w:tc>
        <w:tc>
          <w:tcPr>
            <w:tcW w:w="992" w:type="dxa"/>
            <w:shd w:val="clear" w:color="auto" w:fill="auto"/>
            <w:noWrap/>
            <w:vAlign w:val="center"/>
            <w:hideMark/>
          </w:tcPr>
          <w:p w14:paraId="4C8B890A"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1,0</w:t>
            </w:r>
          </w:p>
        </w:tc>
        <w:tc>
          <w:tcPr>
            <w:tcW w:w="1082" w:type="dxa"/>
            <w:vAlign w:val="center"/>
          </w:tcPr>
          <w:p w14:paraId="2015181B"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1</w:t>
            </w:r>
          </w:p>
        </w:tc>
        <w:tc>
          <w:tcPr>
            <w:tcW w:w="991" w:type="dxa"/>
            <w:shd w:val="clear" w:color="auto" w:fill="auto"/>
            <w:noWrap/>
            <w:vAlign w:val="center"/>
            <w:hideMark/>
          </w:tcPr>
          <w:p w14:paraId="644A849F"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w:t>
            </w:r>
            <w:r w:rsidRPr="0037198D">
              <w:rPr>
                <w:rFonts w:ascii="Arial" w:eastAsia="Times New Roman" w:hAnsi="Arial" w:cs="Arial"/>
                <w:color w:val="000000"/>
                <w:sz w:val="18"/>
                <w:szCs w:val="18"/>
                <w:lang w:val="ru-RU" w:eastAsia="ru-RU"/>
              </w:rPr>
              <w:t>,8</w:t>
            </w:r>
          </w:p>
        </w:tc>
        <w:tc>
          <w:tcPr>
            <w:tcW w:w="901" w:type="dxa"/>
            <w:vAlign w:val="center"/>
          </w:tcPr>
          <w:p w14:paraId="19CEA62D" w14:textId="77777777" w:rsidR="00295A83" w:rsidRPr="00F32E8D" w:rsidRDefault="00295A83" w:rsidP="004F2B5E">
            <w:pPr>
              <w:autoSpaceDE w:val="0"/>
              <w:autoSpaceDN w:val="0"/>
              <w:adjustRightInd w:val="0"/>
              <w:spacing w:after="0" w:line="320" w:lineRule="atLeast"/>
              <w:ind w:left="60" w:right="60"/>
              <w:jc w:val="right"/>
              <w:rPr>
                <w:rFonts w:ascii="Arial" w:hAnsi="Arial" w:cs="Arial"/>
                <w:color w:val="000000"/>
                <w:sz w:val="16"/>
                <w:szCs w:val="16"/>
                <w:lang w:val="ru-RU"/>
              </w:rPr>
            </w:pPr>
            <w:r w:rsidRPr="00F32E8D">
              <w:rPr>
                <w:rFonts w:ascii="Arial" w:hAnsi="Arial" w:cs="Arial"/>
                <w:color w:val="000000"/>
                <w:sz w:val="16"/>
                <w:szCs w:val="16"/>
                <w:lang w:val="ru-RU"/>
              </w:rPr>
              <w:t>0</w:t>
            </w:r>
          </w:p>
        </w:tc>
        <w:tc>
          <w:tcPr>
            <w:tcW w:w="992" w:type="dxa"/>
            <w:shd w:val="clear" w:color="auto" w:fill="auto"/>
            <w:noWrap/>
            <w:vAlign w:val="center"/>
            <w:hideMark/>
          </w:tcPr>
          <w:p w14:paraId="27C9BABB" w14:textId="77777777" w:rsidR="00295A83" w:rsidRPr="004F2B5E" w:rsidRDefault="00295A83" w:rsidP="009B301A">
            <w:pPr>
              <w:spacing w:after="0" w:line="240" w:lineRule="auto"/>
              <w:jc w:val="right"/>
              <w:rPr>
                <w:rFonts w:ascii="Arial" w:eastAsia="Times New Roman" w:hAnsi="Arial" w:cs="Arial"/>
                <w:color w:val="000000"/>
                <w:sz w:val="18"/>
                <w:szCs w:val="18"/>
                <w:lang w:eastAsia="ru-RU"/>
              </w:rPr>
            </w:pPr>
            <w:r w:rsidRPr="0037198D">
              <w:rPr>
                <w:rFonts w:ascii="Arial" w:eastAsia="Times New Roman" w:hAnsi="Arial" w:cs="Arial"/>
                <w:color w:val="000000"/>
                <w:sz w:val="18"/>
                <w:szCs w:val="18"/>
                <w:lang w:val="ru-RU" w:eastAsia="ru-RU"/>
              </w:rPr>
              <w:t>0,0</w:t>
            </w:r>
          </w:p>
        </w:tc>
      </w:tr>
    </w:tbl>
    <w:p w14:paraId="7893CFF9" w14:textId="77777777" w:rsidR="00E105ED" w:rsidRDefault="00E105ED" w:rsidP="00F33DB7">
      <w:pPr>
        <w:autoSpaceDE w:val="0"/>
        <w:autoSpaceDN w:val="0"/>
        <w:adjustRightInd w:val="0"/>
        <w:spacing w:after="0" w:line="240" w:lineRule="auto"/>
        <w:rPr>
          <w:rFonts w:ascii="Arial" w:hAnsi="Arial" w:cs="Arial"/>
          <w:sz w:val="20"/>
          <w:szCs w:val="20"/>
        </w:rPr>
      </w:pPr>
    </w:p>
    <w:p w14:paraId="599E84EF" w14:textId="77777777" w:rsidR="00780AA9" w:rsidRDefault="00F33DB7" w:rsidP="00E105ED">
      <w:pPr>
        <w:autoSpaceDE w:val="0"/>
        <w:autoSpaceDN w:val="0"/>
        <w:adjustRightInd w:val="0"/>
        <w:spacing w:after="0" w:line="240" w:lineRule="auto"/>
        <w:jc w:val="both"/>
        <w:rPr>
          <w:rFonts w:ascii="Arial" w:hAnsi="Arial" w:cs="Arial"/>
          <w:color w:val="1A1A1A"/>
          <w:sz w:val="20"/>
          <w:szCs w:val="20"/>
          <w:shd w:val="clear" w:color="auto" w:fill="FFFFFF"/>
        </w:rPr>
      </w:pPr>
      <w:r w:rsidRPr="00F33DB7">
        <w:rPr>
          <w:rFonts w:ascii="Arial" w:hAnsi="Arial" w:cs="Arial"/>
          <w:sz w:val="20"/>
          <w:szCs w:val="20"/>
        </w:rPr>
        <w:t xml:space="preserve">Rice is the most important agricultural commodity in Cambodia and the staple food of the Cambodian people. </w:t>
      </w:r>
      <w:r w:rsidR="00160273">
        <w:rPr>
          <w:rFonts w:ascii="Arial" w:hAnsi="Arial" w:cs="Arial"/>
          <w:sz w:val="20"/>
          <w:szCs w:val="20"/>
        </w:rPr>
        <w:t xml:space="preserve">Figure 9 and Table 8 show </w:t>
      </w:r>
      <w:r w:rsidR="00780AA9">
        <w:rPr>
          <w:rFonts w:ascii="Arial" w:hAnsi="Arial" w:cs="Arial"/>
          <w:color w:val="1A1A1A"/>
          <w:sz w:val="20"/>
          <w:szCs w:val="20"/>
          <w:shd w:val="clear" w:color="auto" w:fill="FFFFFF"/>
        </w:rPr>
        <w:t xml:space="preserve">that rice cultivation is dominant in </w:t>
      </w:r>
      <w:proofErr w:type="spellStart"/>
      <w:r w:rsidR="00E105ED">
        <w:rPr>
          <w:rFonts w:ascii="Arial" w:hAnsi="Arial" w:cs="Arial"/>
          <w:color w:val="1A1A1A"/>
          <w:sz w:val="20"/>
          <w:szCs w:val="20"/>
          <w:shd w:val="clear" w:color="auto" w:fill="FFFFFF"/>
        </w:rPr>
        <w:t>Bantey</w:t>
      </w:r>
      <w:proofErr w:type="spellEnd"/>
      <w:r w:rsidR="00E105ED">
        <w:rPr>
          <w:rFonts w:ascii="Arial" w:hAnsi="Arial" w:cs="Arial"/>
          <w:color w:val="1A1A1A"/>
          <w:sz w:val="20"/>
          <w:szCs w:val="20"/>
          <w:shd w:val="clear" w:color="auto" w:fill="FFFFFF"/>
        </w:rPr>
        <w:t xml:space="preserve"> Meanchey (71.9 percent) and </w:t>
      </w:r>
      <w:r w:rsidR="00F71BC7">
        <w:rPr>
          <w:rFonts w:ascii="Arial" w:hAnsi="Arial" w:cs="Arial"/>
          <w:color w:val="1A1A1A"/>
          <w:sz w:val="20"/>
          <w:szCs w:val="20"/>
          <w:shd w:val="clear" w:color="auto" w:fill="FFFFFF"/>
        </w:rPr>
        <w:t>Battambang (</w:t>
      </w:r>
      <w:r w:rsidR="00E4065A">
        <w:rPr>
          <w:rFonts w:ascii="Arial" w:hAnsi="Arial" w:cs="Arial"/>
          <w:color w:val="1A1A1A"/>
          <w:sz w:val="20"/>
          <w:szCs w:val="20"/>
          <w:shd w:val="clear" w:color="auto" w:fill="FFFFFF"/>
        </w:rPr>
        <w:t>44.8 percent) while</w:t>
      </w:r>
      <w:r w:rsidR="00940962">
        <w:rPr>
          <w:rFonts w:ascii="Arial" w:hAnsi="Arial" w:cs="Arial"/>
          <w:color w:val="1A1A1A"/>
          <w:sz w:val="20"/>
          <w:szCs w:val="20"/>
          <w:shd w:val="clear" w:color="auto" w:fill="FFFFFF"/>
        </w:rPr>
        <w:t xml:space="preserve"> in</w:t>
      </w:r>
      <w:r w:rsidR="0013324B">
        <w:rPr>
          <w:rFonts w:ascii="Arial" w:hAnsi="Arial" w:cs="Arial"/>
          <w:color w:val="1A1A1A"/>
          <w:sz w:val="20"/>
          <w:szCs w:val="20"/>
          <w:shd w:val="clear" w:color="auto" w:fill="FFFFFF"/>
        </w:rPr>
        <w:t xml:space="preserve"> Pailin, </w:t>
      </w:r>
      <w:r w:rsidR="00E4065A">
        <w:rPr>
          <w:rFonts w:ascii="Arial" w:hAnsi="Arial" w:cs="Arial"/>
          <w:color w:val="1A1A1A"/>
          <w:sz w:val="20"/>
          <w:szCs w:val="20"/>
          <w:shd w:val="clear" w:color="auto" w:fill="FFFFFF"/>
        </w:rPr>
        <w:t xml:space="preserve">people grow more </w:t>
      </w:r>
      <w:r w:rsidR="0013324B">
        <w:rPr>
          <w:rFonts w:ascii="Arial" w:hAnsi="Arial" w:cs="Arial"/>
          <w:color w:val="1A1A1A"/>
          <w:sz w:val="20"/>
          <w:szCs w:val="20"/>
          <w:shd w:val="clear" w:color="auto" w:fill="FFFFFF"/>
        </w:rPr>
        <w:t xml:space="preserve">cassava </w:t>
      </w:r>
      <w:r w:rsidR="00E105ED">
        <w:rPr>
          <w:rFonts w:ascii="Arial" w:hAnsi="Arial" w:cs="Arial"/>
          <w:color w:val="1A1A1A"/>
          <w:sz w:val="20"/>
          <w:szCs w:val="20"/>
          <w:shd w:val="clear" w:color="auto" w:fill="FFFFFF"/>
        </w:rPr>
        <w:t xml:space="preserve">(45.1 percent). </w:t>
      </w:r>
      <w:r w:rsidR="00E4065A">
        <w:rPr>
          <w:rFonts w:ascii="Arial" w:hAnsi="Arial" w:cs="Arial"/>
          <w:color w:val="1A1A1A"/>
          <w:sz w:val="20"/>
          <w:szCs w:val="20"/>
          <w:shd w:val="clear" w:color="auto" w:fill="FFFFFF"/>
        </w:rPr>
        <w:t xml:space="preserve">This could be explained by </w:t>
      </w:r>
      <w:r w:rsidR="00DD0B9A">
        <w:rPr>
          <w:rFonts w:ascii="Arial" w:hAnsi="Arial" w:cs="Arial"/>
          <w:color w:val="1A1A1A"/>
          <w:sz w:val="20"/>
          <w:szCs w:val="20"/>
          <w:shd w:val="clear" w:color="auto" w:fill="FFFFFF"/>
        </w:rPr>
        <w:t xml:space="preserve">close proximity of </w:t>
      </w:r>
      <w:r w:rsidR="00E4065A">
        <w:rPr>
          <w:rFonts w:ascii="Arial" w:hAnsi="Arial" w:cs="Arial"/>
          <w:color w:val="1A1A1A"/>
          <w:sz w:val="20"/>
          <w:szCs w:val="20"/>
          <w:shd w:val="clear" w:color="auto" w:fill="FFFFFF"/>
        </w:rPr>
        <w:t xml:space="preserve">Pailin </w:t>
      </w:r>
      <w:r w:rsidR="00DD0B9A">
        <w:rPr>
          <w:rFonts w:ascii="Arial" w:hAnsi="Arial" w:cs="Arial"/>
          <w:color w:val="1A1A1A"/>
          <w:sz w:val="20"/>
          <w:szCs w:val="20"/>
          <w:shd w:val="clear" w:color="auto" w:fill="FFFFFF"/>
        </w:rPr>
        <w:t xml:space="preserve">to Thai </w:t>
      </w:r>
      <w:r w:rsidR="00E4065A">
        <w:rPr>
          <w:rFonts w:ascii="Arial" w:hAnsi="Arial" w:cs="Arial"/>
          <w:color w:val="1A1A1A"/>
          <w:sz w:val="20"/>
          <w:szCs w:val="20"/>
          <w:shd w:val="clear" w:color="auto" w:fill="FFFFFF"/>
        </w:rPr>
        <w:t>borders</w:t>
      </w:r>
      <w:r w:rsidR="00DD0B9A">
        <w:rPr>
          <w:rFonts w:ascii="Arial" w:hAnsi="Arial" w:cs="Arial"/>
          <w:color w:val="1A1A1A"/>
          <w:sz w:val="20"/>
          <w:szCs w:val="20"/>
          <w:shd w:val="clear" w:color="auto" w:fill="FFFFFF"/>
        </w:rPr>
        <w:t xml:space="preserve">. </w:t>
      </w:r>
      <w:r w:rsidR="00E4065A">
        <w:rPr>
          <w:rFonts w:ascii="Arial" w:hAnsi="Arial" w:cs="Arial"/>
          <w:color w:val="1A1A1A"/>
          <w:sz w:val="20"/>
          <w:szCs w:val="20"/>
          <w:shd w:val="clear" w:color="auto" w:fill="FFFFFF"/>
        </w:rPr>
        <w:t xml:space="preserve"> </w:t>
      </w:r>
      <w:r w:rsidR="00DD0B9A">
        <w:rPr>
          <w:rFonts w:ascii="Arial" w:hAnsi="Arial" w:cs="Arial"/>
          <w:color w:val="1A1A1A"/>
          <w:sz w:val="20"/>
          <w:szCs w:val="20"/>
          <w:shd w:val="clear" w:color="auto" w:fill="FFFFFF"/>
        </w:rPr>
        <w:t xml:space="preserve">Farmers reported that </w:t>
      </w:r>
      <w:r w:rsidR="00E4065A">
        <w:rPr>
          <w:rFonts w:ascii="Arial" w:hAnsi="Arial" w:cs="Arial"/>
          <w:color w:val="1A1A1A"/>
          <w:sz w:val="20"/>
          <w:szCs w:val="20"/>
          <w:shd w:val="clear" w:color="auto" w:fill="FFFFFF"/>
        </w:rPr>
        <w:t>there is high demand for cassava from Thailand</w:t>
      </w:r>
      <w:r w:rsidR="00DD0B9A">
        <w:rPr>
          <w:rFonts w:ascii="Arial" w:hAnsi="Arial" w:cs="Arial"/>
          <w:color w:val="1A1A1A"/>
          <w:sz w:val="20"/>
          <w:szCs w:val="20"/>
          <w:shd w:val="clear" w:color="auto" w:fill="FFFFFF"/>
        </w:rPr>
        <w:t xml:space="preserve"> for the last two years</w:t>
      </w:r>
      <w:r w:rsidR="00696331">
        <w:rPr>
          <w:rFonts w:ascii="Arial" w:hAnsi="Arial" w:cs="Arial"/>
          <w:color w:val="1A1A1A"/>
          <w:sz w:val="20"/>
          <w:szCs w:val="20"/>
          <w:shd w:val="clear" w:color="auto" w:fill="FFFFFF"/>
        </w:rPr>
        <w:t>, therefore</w:t>
      </w:r>
      <w:r w:rsidR="00DD0B9A">
        <w:rPr>
          <w:rFonts w:ascii="Arial" w:hAnsi="Arial" w:cs="Arial"/>
          <w:color w:val="1A1A1A"/>
          <w:sz w:val="20"/>
          <w:szCs w:val="20"/>
          <w:shd w:val="clear" w:color="auto" w:fill="FFFFFF"/>
        </w:rPr>
        <w:t xml:space="preserve"> farmers </w:t>
      </w:r>
      <w:r w:rsidR="00696331">
        <w:rPr>
          <w:rFonts w:ascii="Arial" w:hAnsi="Arial" w:cs="Arial"/>
          <w:color w:val="1A1A1A"/>
          <w:sz w:val="20"/>
          <w:szCs w:val="20"/>
          <w:shd w:val="clear" w:color="auto" w:fill="FFFFFF"/>
        </w:rPr>
        <w:t>cultivating</w:t>
      </w:r>
      <w:r w:rsidR="00DD0B9A">
        <w:rPr>
          <w:rFonts w:ascii="Arial" w:hAnsi="Arial" w:cs="Arial"/>
          <w:color w:val="1A1A1A"/>
          <w:sz w:val="20"/>
          <w:szCs w:val="20"/>
          <w:shd w:val="clear" w:color="auto" w:fill="FFFFFF"/>
        </w:rPr>
        <w:t xml:space="preserve"> more cassava on a seasonal basis</w:t>
      </w:r>
      <w:r w:rsidR="00696331">
        <w:rPr>
          <w:rFonts w:ascii="Arial" w:hAnsi="Arial" w:cs="Arial"/>
          <w:color w:val="1A1A1A"/>
          <w:sz w:val="20"/>
          <w:szCs w:val="20"/>
          <w:shd w:val="clear" w:color="auto" w:fill="FFFFFF"/>
        </w:rPr>
        <w:t xml:space="preserve"> and selling the crop through intermediaries</w:t>
      </w:r>
      <w:r w:rsidR="00DD0B9A">
        <w:rPr>
          <w:rFonts w:ascii="Arial" w:hAnsi="Arial" w:cs="Arial"/>
          <w:color w:val="1A1A1A"/>
          <w:sz w:val="20"/>
          <w:szCs w:val="20"/>
          <w:shd w:val="clear" w:color="auto" w:fill="FFFFFF"/>
        </w:rPr>
        <w:t xml:space="preserve">. </w:t>
      </w:r>
    </w:p>
    <w:p w14:paraId="315EA568" w14:textId="77777777" w:rsidR="00160273" w:rsidRPr="00F33DB7" w:rsidRDefault="00160273" w:rsidP="00E105ED">
      <w:pPr>
        <w:autoSpaceDE w:val="0"/>
        <w:autoSpaceDN w:val="0"/>
        <w:adjustRightInd w:val="0"/>
        <w:spacing w:after="0" w:line="240" w:lineRule="auto"/>
        <w:jc w:val="both"/>
        <w:rPr>
          <w:rFonts w:ascii="Verdana" w:hAnsi="Verdana" w:cs="Verdana"/>
          <w:sz w:val="17"/>
          <w:szCs w:val="17"/>
        </w:rPr>
      </w:pPr>
    </w:p>
    <w:p w14:paraId="16FC65CB" w14:textId="77777777" w:rsidR="00E105ED" w:rsidRDefault="00E4065A" w:rsidP="006B0C4F">
      <w:pPr>
        <w:rPr>
          <w:rFonts w:ascii="Arial" w:hAnsi="Arial" w:cs="Arial"/>
          <w:sz w:val="20"/>
          <w:szCs w:val="20"/>
        </w:rPr>
      </w:pPr>
      <w:r>
        <w:rPr>
          <w:rFonts w:ascii="Arial" w:hAnsi="Arial" w:cs="Arial"/>
          <w:b/>
          <w:sz w:val="20"/>
          <w:szCs w:val="20"/>
        </w:rPr>
        <w:t>Figure 9</w:t>
      </w:r>
      <w:r w:rsidR="00295A83" w:rsidRPr="00E4065A">
        <w:rPr>
          <w:rFonts w:ascii="Arial" w:hAnsi="Arial" w:cs="Arial"/>
          <w:b/>
          <w:sz w:val="20"/>
          <w:szCs w:val="20"/>
        </w:rPr>
        <w:t>:</w:t>
      </w:r>
      <w:r w:rsidR="00295A83">
        <w:rPr>
          <w:rFonts w:ascii="Arial" w:hAnsi="Arial" w:cs="Arial"/>
          <w:sz w:val="20"/>
          <w:szCs w:val="20"/>
        </w:rPr>
        <w:t xml:space="preserve"> Cultivated</w:t>
      </w:r>
      <w:r w:rsidR="00E105ED">
        <w:rPr>
          <w:rFonts w:ascii="Arial" w:hAnsi="Arial" w:cs="Arial"/>
          <w:sz w:val="20"/>
          <w:szCs w:val="20"/>
        </w:rPr>
        <w:t xml:space="preserve"> crops on the released land, in all provinces</w:t>
      </w:r>
      <w:r>
        <w:rPr>
          <w:rFonts w:ascii="Arial" w:hAnsi="Arial" w:cs="Arial"/>
          <w:sz w:val="20"/>
          <w:szCs w:val="20"/>
        </w:rPr>
        <w:t>, for</w:t>
      </w:r>
      <w:r w:rsidR="00E105ED">
        <w:rPr>
          <w:rFonts w:ascii="Arial" w:hAnsi="Arial" w:cs="Arial"/>
          <w:sz w:val="20"/>
          <w:szCs w:val="20"/>
        </w:rPr>
        <w:t xml:space="preserve"> the last 12 months </w:t>
      </w:r>
    </w:p>
    <w:p w14:paraId="6BD9DC82" w14:textId="77777777" w:rsidR="00080367" w:rsidRDefault="00AF4564" w:rsidP="006B0C4F">
      <w:r>
        <w:rPr>
          <w:noProof/>
          <w:lang w:val="en-GB" w:eastAsia="en-GB" w:bidi="ar-SA"/>
        </w:rPr>
        <w:drawing>
          <wp:inline distT="0" distB="0" distL="0" distR="0" wp14:anchorId="43C6476B" wp14:editId="28AEBF05">
            <wp:extent cx="5239661" cy="1407380"/>
            <wp:effectExtent l="19050" t="0" r="18139" b="232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ED572C" w14:textId="77777777" w:rsidR="00AF4564" w:rsidRPr="00160273" w:rsidRDefault="00E4065A" w:rsidP="006B0C4F">
      <w:r w:rsidRPr="00E4065A">
        <w:rPr>
          <w:rFonts w:ascii="Arial" w:hAnsi="Arial" w:cs="Arial"/>
          <w:b/>
          <w:sz w:val="20"/>
          <w:szCs w:val="20"/>
        </w:rPr>
        <w:t>Table 8</w:t>
      </w:r>
      <w:r w:rsidR="00AF4564">
        <w:rPr>
          <w:rFonts w:ascii="Arial" w:hAnsi="Arial" w:cs="Arial"/>
          <w:sz w:val="20"/>
          <w:szCs w:val="20"/>
        </w:rPr>
        <w:t xml:space="preserve">: </w:t>
      </w:r>
      <w:r w:rsidR="00AF4564" w:rsidRPr="009B301A">
        <w:rPr>
          <w:rFonts w:ascii="Arial" w:hAnsi="Arial" w:cs="Arial"/>
          <w:sz w:val="20"/>
          <w:szCs w:val="20"/>
        </w:rPr>
        <w:t xml:space="preserve">Cultivated Crops </w:t>
      </w:r>
      <w:r w:rsidR="00AF4564" w:rsidRPr="00F33DB7">
        <w:rPr>
          <w:rFonts w:ascii="Arial" w:hAnsi="Arial" w:cs="Arial"/>
          <w:sz w:val="20"/>
          <w:szCs w:val="20"/>
        </w:rPr>
        <w:t>on the cleared land</w:t>
      </w:r>
      <w:r w:rsidR="000E0FEC">
        <w:rPr>
          <w:rFonts w:ascii="Arial" w:hAnsi="Arial" w:cs="Arial"/>
          <w:sz w:val="20"/>
          <w:szCs w:val="20"/>
        </w:rPr>
        <w:t>, by province</w:t>
      </w:r>
      <w:r w:rsidR="00AF4564" w:rsidRPr="00F33DB7">
        <w:rPr>
          <w:rFonts w:ascii="Arial" w:hAnsi="Arial" w:cs="Arial"/>
          <w:sz w:val="20"/>
          <w:szCs w:val="20"/>
        </w:rPr>
        <w:t>,</w:t>
      </w:r>
      <w:r w:rsidR="00AF4564">
        <w:rPr>
          <w:rFonts w:ascii="Arial" w:hAnsi="Arial" w:cs="Arial"/>
          <w:sz w:val="20"/>
          <w:szCs w:val="20"/>
        </w:rPr>
        <w:t xml:space="preserve"> for the last 12 months</w:t>
      </w:r>
    </w:p>
    <w:tbl>
      <w:tblPr>
        <w:tblW w:w="6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371"/>
        <w:gridCol w:w="1614"/>
        <w:gridCol w:w="1524"/>
        <w:gridCol w:w="1255"/>
      </w:tblGrid>
      <w:tr w:rsidR="009B301A" w:rsidRPr="00E4065A" w14:paraId="54FFC6B0" w14:textId="77777777" w:rsidTr="00080367">
        <w:trPr>
          <w:cantSplit/>
          <w:trHeight w:val="215"/>
        </w:trPr>
        <w:tc>
          <w:tcPr>
            <w:tcW w:w="1050" w:type="dxa"/>
            <w:shd w:val="clear" w:color="auto" w:fill="FFFFFF"/>
            <w:vAlign w:val="bottom"/>
          </w:tcPr>
          <w:p w14:paraId="6F35F4D8" w14:textId="77777777" w:rsidR="009B301A" w:rsidRPr="00E4065A" w:rsidRDefault="009B301A" w:rsidP="009B301A">
            <w:pPr>
              <w:autoSpaceDE w:val="0"/>
              <w:autoSpaceDN w:val="0"/>
              <w:adjustRightInd w:val="0"/>
              <w:spacing w:after="0" w:line="240" w:lineRule="auto"/>
              <w:rPr>
                <w:rFonts w:ascii="Arial" w:hAnsi="Arial" w:cs="Arial"/>
                <w:b/>
                <w:color w:val="000000"/>
                <w:sz w:val="18"/>
                <w:szCs w:val="18"/>
                <w:lang w:val="ru-RU"/>
              </w:rPr>
            </w:pPr>
          </w:p>
        </w:tc>
        <w:tc>
          <w:tcPr>
            <w:tcW w:w="1371" w:type="dxa"/>
            <w:shd w:val="clear" w:color="auto" w:fill="FFFFFF"/>
            <w:vAlign w:val="bottom"/>
          </w:tcPr>
          <w:p w14:paraId="03FEF5B6" w14:textId="77777777" w:rsidR="009B301A" w:rsidRPr="00E4065A" w:rsidRDefault="009B301A" w:rsidP="009B301A">
            <w:pPr>
              <w:autoSpaceDE w:val="0"/>
              <w:autoSpaceDN w:val="0"/>
              <w:adjustRightInd w:val="0"/>
              <w:spacing w:after="0" w:line="320" w:lineRule="atLeast"/>
              <w:ind w:left="60" w:right="60"/>
              <w:jc w:val="center"/>
              <w:rPr>
                <w:rFonts w:ascii="Arial" w:hAnsi="Arial" w:cs="Arial"/>
                <w:b/>
                <w:color w:val="000000"/>
                <w:sz w:val="18"/>
                <w:szCs w:val="18"/>
                <w:lang w:val="ru-RU"/>
              </w:rPr>
            </w:pPr>
            <w:r w:rsidRPr="00E4065A">
              <w:rPr>
                <w:rFonts w:ascii="Arial" w:hAnsi="Arial" w:cs="Arial"/>
                <w:b/>
                <w:color w:val="000000"/>
                <w:sz w:val="18"/>
                <w:szCs w:val="18"/>
                <w:lang w:val="ru-RU"/>
              </w:rPr>
              <w:t>Battambang</w:t>
            </w:r>
          </w:p>
        </w:tc>
        <w:tc>
          <w:tcPr>
            <w:tcW w:w="1614" w:type="dxa"/>
            <w:shd w:val="clear" w:color="auto" w:fill="FFFFFF"/>
            <w:vAlign w:val="bottom"/>
          </w:tcPr>
          <w:p w14:paraId="672508AD" w14:textId="77777777" w:rsidR="009B301A" w:rsidRPr="00E4065A" w:rsidRDefault="009B301A" w:rsidP="009B301A">
            <w:pPr>
              <w:autoSpaceDE w:val="0"/>
              <w:autoSpaceDN w:val="0"/>
              <w:adjustRightInd w:val="0"/>
              <w:spacing w:after="0" w:line="320" w:lineRule="atLeast"/>
              <w:ind w:left="60" w:right="60"/>
              <w:jc w:val="center"/>
              <w:rPr>
                <w:rFonts w:ascii="Arial" w:hAnsi="Arial" w:cs="Arial"/>
                <w:b/>
                <w:color w:val="000000"/>
                <w:sz w:val="18"/>
                <w:szCs w:val="18"/>
                <w:lang w:val="ru-RU"/>
              </w:rPr>
            </w:pPr>
            <w:r w:rsidRPr="00E4065A">
              <w:rPr>
                <w:rFonts w:ascii="Arial" w:hAnsi="Arial" w:cs="Arial"/>
                <w:b/>
                <w:color w:val="000000"/>
                <w:sz w:val="18"/>
                <w:szCs w:val="18"/>
                <w:lang w:val="ru-RU"/>
              </w:rPr>
              <w:t>Banteay Meanchey</w:t>
            </w:r>
          </w:p>
        </w:tc>
        <w:tc>
          <w:tcPr>
            <w:tcW w:w="1524" w:type="dxa"/>
            <w:shd w:val="clear" w:color="auto" w:fill="FFFFFF"/>
            <w:vAlign w:val="bottom"/>
          </w:tcPr>
          <w:p w14:paraId="12CAD295" w14:textId="77777777" w:rsidR="009B301A" w:rsidRPr="00E4065A" w:rsidRDefault="009B301A" w:rsidP="009B301A">
            <w:pPr>
              <w:autoSpaceDE w:val="0"/>
              <w:autoSpaceDN w:val="0"/>
              <w:adjustRightInd w:val="0"/>
              <w:spacing w:after="0" w:line="320" w:lineRule="atLeast"/>
              <w:ind w:left="60" w:right="60"/>
              <w:jc w:val="center"/>
              <w:rPr>
                <w:rFonts w:ascii="Arial" w:hAnsi="Arial" w:cs="Arial"/>
                <w:b/>
                <w:color w:val="000000"/>
                <w:sz w:val="18"/>
                <w:szCs w:val="18"/>
                <w:lang w:val="ru-RU"/>
              </w:rPr>
            </w:pPr>
            <w:r w:rsidRPr="00E4065A">
              <w:rPr>
                <w:rFonts w:ascii="Arial" w:hAnsi="Arial" w:cs="Arial"/>
                <w:b/>
                <w:color w:val="000000"/>
                <w:sz w:val="18"/>
                <w:szCs w:val="18"/>
                <w:lang w:val="ru-RU"/>
              </w:rPr>
              <w:t>Pailin</w:t>
            </w:r>
          </w:p>
        </w:tc>
        <w:tc>
          <w:tcPr>
            <w:tcW w:w="1255" w:type="dxa"/>
            <w:shd w:val="clear" w:color="auto" w:fill="FFFFFF"/>
            <w:vAlign w:val="bottom"/>
          </w:tcPr>
          <w:p w14:paraId="09FD49AA" w14:textId="77777777" w:rsidR="009B301A" w:rsidRPr="00E4065A" w:rsidRDefault="009B301A" w:rsidP="009B301A">
            <w:pPr>
              <w:autoSpaceDE w:val="0"/>
              <w:autoSpaceDN w:val="0"/>
              <w:adjustRightInd w:val="0"/>
              <w:spacing w:after="0" w:line="320" w:lineRule="atLeast"/>
              <w:ind w:left="60" w:right="60"/>
              <w:jc w:val="center"/>
              <w:rPr>
                <w:rFonts w:ascii="Arial" w:hAnsi="Arial" w:cs="Arial"/>
                <w:b/>
                <w:color w:val="000000"/>
                <w:sz w:val="18"/>
                <w:szCs w:val="18"/>
                <w:lang w:val="ru-RU"/>
              </w:rPr>
            </w:pPr>
            <w:r w:rsidRPr="00E4065A">
              <w:rPr>
                <w:rFonts w:ascii="Arial" w:hAnsi="Arial" w:cs="Arial"/>
                <w:b/>
                <w:color w:val="000000"/>
                <w:sz w:val="18"/>
                <w:szCs w:val="18"/>
                <w:lang w:val="ru-RU"/>
              </w:rPr>
              <w:t>Total all provinces</w:t>
            </w:r>
          </w:p>
        </w:tc>
      </w:tr>
      <w:tr w:rsidR="009B301A" w:rsidRPr="00622991" w14:paraId="06667DDA" w14:textId="77777777" w:rsidTr="00080367">
        <w:trPr>
          <w:cantSplit/>
          <w:trHeight w:val="297"/>
        </w:trPr>
        <w:tc>
          <w:tcPr>
            <w:tcW w:w="1050" w:type="dxa"/>
            <w:shd w:val="clear" w:color="auto" w:fill="FFFFFF"/>
          </w:tcPr>
          <w:p w14:paraId="73763629" w14:textId="77777777" w:rsidR="009B301A" w:rsidRPr="00622991" w:rsidRDefault="009B301A" w:rsidP="009B301A">
            <w:pPr>
              <w:autoSpaceDE w:val="0"/>
              <w:autoSpaceDN w:val="0"/>
              <w:adjustRightInd w:val="0"/>
              <w:spacing w:after="0" w:line="320" w:lineRule="atLeast"/>
              <w:ind w:left="60" w:right="60"/>
              <w:rPr>
                <w:rFonts w:ascii="Arial" w:hAnsi="Arial" w:cs="Arial"/>
                <w:color w:val="000000"/>
                <w:sz w:val="18"/>
                <w:szCs w:val="18"/>
                <w:lang w:val="ru-RU"/>
              </w:rPr>
            </w:pPr>
            <w:r w:rsidRPr="00622991">
              <w:rPr>
                <w:rFonts w:ascii="Arial" w:hAnsi="Arial" w:cs="Arial"/>
                <w:color w:val="000000"/>
                <w:sz w:val="18"/>
                <w:szCs w:val="18"/>
                <w:lang w:val="ru-RU"/>
              </w:rPr>
              <w:t>Rice</w:t>
            </w:r>
          </w:p>
        </w:tc>
        <w:tc>
          <w:tcPr>
            <w:tcW w:w="1371" w:type="dxa"/>
            <w:vMerge w:val="restart"/>
            <w:shd w:val="clear" w:color="auto" w:fill="FFFFFF"/>
            <w:vAlign w:val="center"/>
          </w:tcPr>
          <w:p w14:paraId="1908B623"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44,8%</w:t>
            </w:r>
          </w:p>
          <w:p w14:paraId="7E401E46"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19,9%</w:t>
            </w:r>
          </w:p>
          <w:p w14:paraId="7CD66128"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33,5%</w:t>
            </w:r>
          </w:p>
          <w:p w14:paraId="475A33F1"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lastRenderedPageBreak/>
              <w:t>2,5%</w:t>
            </w:r>
          </w:p>
          <w:p w14:paraId="6A877A7E"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37,0%</w:t>
            </w:r>
          </w:p>
          <w:p w14:paraId="6A731AB9"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26,7%</w:t>
            </w:r>
          </w:p>
        </w:tc>
        <w:tc>
          <w:tcPr>
            <w:tcW w:w="1614" w:type="dxa"/>
            <w:vMerge w:val="restart"/>
            <w:shd w:val="clear" w:color="auto" w:fill="FFFFFF"/>
            <w:vAlign w:val="center"/>
          </w:tcPr>
          <w:p w14:paraId="5CD51B13"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lastRenderedPageBreak/>
              <w:t>71,9%</w:t>
            </w:r>
          </w:p>
          <w:p w14:paraId="767C8902"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55,5%</w:t>
            </w:r>
          </w:p>
          <w:p w14:paraId="22A0FB27"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2,3%</w:t>
            </w:r>
          </w:p>
          <w:p w14:paraId="14CFD087"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lastRenderedPageBreak/>
              <w:t>0,0%</w:t>
            </w:r>
          </w:p>
          <w:p w14:paraId="037F77DB"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8,6%</w:t>
            </w:r>
          </w:p>
          <w:p w14:paraId="4C25B17F"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4,7%</w:t>
            </w:r>
          </w:p>
        </w:tc>
        <w:tc>
          <w:tcPr>
            <w:tcW w:w="1524" w:type="dxa"/>
            <w:vMerge w:val="restart"/>
            <w:shd w:val="clear" w:color="auto" w:fill="FFFFFF"/>
            <w:vAlign w:val="center"/>
          </w:tcPr>
          <w:p w14:paraId="5D174407"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lastRenderedPageBreak/>
              <w:t>19,7%</w:t>
            </w:r>
          </w:p>
          <w:p w14:paraId="6099BA26"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45,1%</w:t>
            </w:r>
          </w:p>
          <w:p w14:paraId="04873C71"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26,8%</w:t>
            </w:r>
          </w:p>
          <w:p w14:paraId="53267F76"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lastRenderedPageBreak/>
              <w:t>2,8%</w:t>
            </w:r>
          </w:p>
          <w:p w14:paraId="06F4A57E"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56,3%</w:t>
            </w:r>
          </w:p>
          <w:p w14:paraId="727D7B28"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42,3%</w:t>
            </w:r>
          </w:p>
        </w:tc>
        <w:tc>
          <w:tcPr>
            <w:tcW w:w="1255" w:type="dxa"/>
            <w:vMerge w:val="restart"/>
            <w:shd w:val="clear" w:color="auto" w:fill="FFFFFF"/>
            <w:vAlign w:val="center"/>
          </w:tcPr>
          <w:p w14:paraId="52EAAA10"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lastRenderedPageBreak/>
              <w:t>48,3%</w:t>
            </w:r>
          </w:p>
          <w:p w14:paraId="0F8AFD75"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33,1%</w:t>
            </w:r>
          </w:p>
          <w:p w14:paraId="622A3C95"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24,2%</w:t>
            </w:r>
          </w:p>
          <w:p w14:paraId="0962FA1F"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lastRenderedPageBreak/>
              <w:t>1,9%</w:t>
            </w:r>
          </w:p>
          <w:p w14:paraId="35223082"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32,3%</w:t>
            </w:r>
          </w:p>
          <w:p w14:paraId="7BABBC5F"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r w:rsidRPr="00622991">
              <w:rPr>
                <w:rFonts w:ascii="Arial" w:hAnsi="Arial" w:cs="Arial"/>
                <w:color w:val="000000"/>
                <w:sz w:val="18"/>
                <w:szCs w:val="18"/>
                <w:lang w:val="ru-RU"/>
              </w:rPr>
              <w:t>23,1%</w:t>
            </w:r>
          </w:p>
        </w:tc>
      </w:tr>
      <w:tr w:rsidR="009B301A" w:rsidRPr="00622991" w14:paraId="5009C19C" w14:textId="77777777" w:rsidTr="00080367">
        <w:trPr>
          <w:cantSplit/>
          <w:trHeight w:val="309"/>
        </w:trPr>
        <w:tc>
          <w:tcPr>
            <w:tcW w:w="1050" w:type="dxa"/>
            <w:shd w:val="clear" w:color="auto" w:fill="FFFFFF"/>
          </w:tcPr>
          <w:p w14:paraId="24F6D90E" w14:textId="77777777" w:rsidR="009B301A" w:rsidRPr="00622991" w:rsidRDefault="009B301A" w:rsidP="009B301A">
            <w:pPr>
              <w:autoSpaceDE w:val="0"/>
              <w:autoSpaceDN w:val="0"/>
              <w:adjustRightInd w:val="0"/>
              <w:spacing w:after="0" w:line="320" w:lineRule="atLeast"/>
              <w:ind w:left="60" w:right="60"/>
              <w:rPr>
                <w:rFonts w:ascii="Arial" w:hAnsi="Arial" w:cs="Arial"/>
                <w:color w:val="000000"/>
                <w:sz w:val="18"/>
                <w:szCs w:val="18"/>
                <w:lang w:val="ru-RU"/>
              </w:rPr>
            </w:pPr>
            <w:r w:rsidRPr="00622991">
              <w:rPr>
                <w:rFonts w:ascii="Arial" w:hAnsi="Arial" w:cs="Arial"/>
                <w:color w:val="000000"/>
                <w:sz w:val="18"/>
                <w:szCs w:val="18"/>
                <w:lang w:val="ru-RU"/>
              </w:rPr>
              <w:t>Cassava</w:t>
            </w:r>
          </w:p>
        </w:tc>
        <w:tc>
          <w:tcPr>
            <w:tcW w:w="1371" w:type="dxa"/>
            <w:vMerge/>
            <w:shd w:val="clear" w:color="auto" w:fill="FFFFFF"/>
            <w:vAlign w:val="center"/>
          </w:tcPr>
          <w:p w14:paraId="2CF1C527"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614" w:type="dxa"/>
            <w:vMerge/>
            <w:shd w:val="clear" w:color="auto" w:fill="FFFFFF"/>
            <w:vAlign w:val="center"/>
          </w:tcPr>
          <w:p w14:paraId="5225458E"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524" w:type="dxa"/>
            <w:vMerge/>
            <w:shd w:val="clear" w:color="auto" w:fill="FFFFFF"/>
            <w:vAlign w:val="center"/>
          </w:tcPr>
          <w:p w14:paraId="7AEA3100"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255" w:type="dxa"/>
            <w:vMerge/>
            <w:shd w:val="clear" w:color="auto" w:fill="FFFFFF"/>
            <w:vAlign w:val="center"/>
          </w:tcPr>
          <w:p w14:paraId="0566B3BB"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r>
      <w:tr w:rsidR="009B301A" w:rsidRPr="00622991" w14:paraId="3CF524F9" w14:textId="77777777" w:rsidTr="00080367">
        <w:trPr>
          <w:cantSplit/>
          <w:trHeight w:val="297"/>
        </w:trPr>
        <w:tc>
          <w:tcPr>
            <w:tcW w:w="1050" w:type="dxa"/>
            <w:shd w:val="clear" w:color="auto" w:fill="FFFFFF"/>
          </w:tcPr>
          <w:p w14:paraId="21554BC0" w14:textId="77777777" w:rsidR="009B301A" w:rsidRPr="00622991" w:rsidRDefault="009B301A" w:rsidP="009B301A">
            <w:pPr>
              <w:autoSpaceDE w:val="0"/>
              <w:autoSpaceDN w:val="0"/>
              <w:adjustRightInd w:val="0"/>
              <w:spacing w:after="0" w:line="320" w:lineRule="atLeast"/>
              <w:ind w:left="60" w:right="60"/>
              <w:rPr>
                <w:rFonts w:ascii="Arial" w:hAnsi="Arial" w:cs="Arial"/>
                <w:color w:val="000000"/>
                <w:sz w:val="18"/>
                <w:szCs w:val="18"/>
                <w:lang w:val="ru-RU"/>
              </w:rPr>
            </w:pPr>
            <w:r w:rsidRPr="00622991">
              <w:rPr>
                <w:rFonts w:ascii="Arial" w:hAnsi="Arial" w:cs="Arial"/>
                <w:color w:val="000000"/>
                <w:sz w:val="18"/>
                <w:szCs w:val="18"/>
                <w:lang w:val="ru-RU"/>
              </w:rPr>
              <w:t>Maize</w:t>
            </w:r>
          </w:p>
        </w:tc>
        <w:tc>
          <w:tcPr>
            <w:tcW w:w="1371" w:type="dxa"/>
            <w:vMerge/>
            <w:shd w:val="clear" w:color="auto" w:fill="FFFFFF"/>
            <w:vAlign w:val="center"/>
          </w:tcPr>
          <w:p w14:paraId="6047C290"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614" w:type="dxa"/>
            <w:vMerge/>
            <w:shd w:val="clear" w:color="auto" w:fill="FFFFFF"/>
            <w:vAlign w:val="center"/>
          </w:tcPr>
          <w:p w14:paraId="3C0008E5"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524" w:type="dxa"/>
            <w:vMerge/>
            <w:shd w:val="clear" w:color="auto" w:fill="FFFFFF"/>
            <w:vAlign w:val="center"/>
          </w:tcPr>
          <w:p w14:paraId="68621952"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255" w:type="dxa"/>
            <w:vMerge/>
            <w:shd w:val="clear" w:color="auto" w:fill="FFFFFF"/>
            <w:vAlign w:val="center"/>
          </w:tcPr>
          <w:p w14:paraId="167260B8"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r>
      <w:tr w:rsidR="009B301A" w:rsidRPr="00622991" w14:paraId="680AE379" w14:textId="77777777" w:rsidTr="00080367">
        <w:trPr>
          <w:cantSplit/>
          <w:trHeight w:val="297"/>
        </w:trPr>
        <w:tc>
          <w:tcPr>
            <w:tcW w:w="1050" w:type="dxa"/>
            <w:shd w:val="clear" w:color="auto" w:fill="FFFFFF"/>
          </w:tcPr>
          <w:p w14:paraId="23982BCA" w14:textId="77777777" w:rsidR="009B301A" w:rsidRPr="00622991" w:rsidRDefault="009B301A" w:rsidP="009B301A">
            <w:pPr>
              <w:autoSpaceDE w:val="0"/>
              <w:autoSpaceDN w:val="0"/>
              <w:adjustRightInd w:val="0"/>
              <w:spacing w:after="0" w:line="320" w:lineRule="atLeast"/>
              <w:ind w:left="60" w:right="60"/>
              <w:rPr>
                <w:rFonts w:ascii="Arial" w:hAnsi="Arial" w:cs="Arial"/>
                <w:color w:val="000000"/>
                <w:sz w:val="18"/>
                <w:szCs w:val="18"/>
                <w:lang w:val="ru-RU"/>
              </w:rPr>
            </w:pPr>
            <w:r w:rsidRPr="00622991">
              <w:rPr>
                <w:rFonts w:ascii="Arial" w:hAnsi="Arial" w:cs="Arial"/>
                <w:color w:val="000000"/>
                <w:sz w:val="18"/>
                <w:szCs w:val="18"/>
                <w:lang w:val="ru-RU"/>
              </w:rPr>
              <w:lastRenderedPageBreak/>
              <w:t>Sesame</w:t>
            </w:r>
          </w:p>
        </w:tc>
        <w:tc>
          <w:tcPr>
            <w:tcW w:w="1371" w:type="dxa"/>
            <w:vMerge/>
            <w:shd w:val="clear" w:color="auto" w:fill="FFFFFF"/>
            <w:vAlign w:val="center"/>
          </w:tcPr>
          <w:p w14:paraId="1FD4BB3A"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614" w:type="dxa"/>
            <w:vMerge/>
            <w:shd w:val="clear" w:color="auto" w:fill="FFFFFF"/>
            <w:vAlign w:val="center"/>
          </w:tcPr>
          <w:p w14:paraId="3F1F678D"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524" w:type="dxa"/>
            <w:vMerge/>
            <w:shd w:val="clear" w:color="auto" w:fill="FFFFFF"/>
            <w:vAlign w:val="center"/>
          </w:tcPr>
          <w:p w14:paraId="32D47101"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255" w:type="dxa"/>
            <w:vMerge/>
            <w:shd w:val="clear" w:color="auto" w:fill="FFFFFF"/>
            <w:vAlign w:val="center"/>
          </w:tcPr>
          <w:p w14:paraId="1AFFF29B"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r>
      <w:tr w:rsidR="009B301A" w:rsidRPr="00622991" w14:paraId="6C4782F8" w14:textId="77777777" w:rsidTr="00080367">
        <w:trPr>
          <w:cantSplit/>
          <w:trHeight w:val="309"/>
        </w:trPr>
        <w:tc>
          <w:tcPr>
            <w:tcW w:w="1050" w:type="dxa"/>
            <w:shd w:val="clear" w:color="auto" w:fill="FFFFFF"/>
          </w:tcPr>
          <w:p w14:paraId="04C57785" w14:textId="77777777" w:rsidR="009B301A" w:rsidRPr="00622991" w:rsidRDefault="009B301A" w:rsidP="009B301A">
            <w:pPr>
              <w:autoSpaceDE w:val="0"/>
              <w:autoSpaceDN w:val="0"/>
              <w:adjustRightInd w:val="0"/>
              <w:spacing w:after="0" w:line="320" w:lineRule="atLeast"/>
              <w:ind w:left="60" w:right="60"/>
              <w:rPr>
                <w:rFonts w:ascii="Arial" w:hAnsi="Arial" w:cs="Arial"/>
                <w:color w:val="000000"/>
                <w:sz w:val="18"/>
                <w:szCs w:val="18"/>
                <w:lang w:val="ru-RU"/>
              </w:rPr>
            </w:pPr>
            <w:r w:rsidRPr="00622991">
              <w:rPr>
                <w:rFonts w:ascii="Arial" w:hAnsi="Arial" w:cs="Arial"/>
                <w:color w:val="000000"/>
                <w:sz w:val="18"/>
                <w:szCs w:val="18"/>
                <w:lang w:val="ru-RU"/>
              </w:rPr>
              <w:lastRenderedPageBreak/>
              <w:t>Fruit tree</w:t>
            </w:r>
          </w:p>
        </w:tc>
        <w:tc>
          <w:tcPr>
            <w:tcW w:w="1371" w:type="dxa"/>
            <w:vMerge/>
            <w:shd w:val="clear" w:color="auto" w:fill="FFFFFF"/>
            <w:vAlign w:val="center"/>
          </w:tcPr>
          <w:p w14:paraId="2686E5A3"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614" w:type="dxa"/>
            <w:vMerge/>
            <w:shd w:val="clear" w:color="auto" w:fill="FFFFFF"/>
            <w:vAlign w:val="center"/>
          </w:tcPr>
          <w:p w14:paraId="20245A29"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524" w:type="dxa"/>
            <w:vMerge/>
            <w:shd w:val="clear" w:color="auto" w:fill="FFFFFF"/>
            <w:vAlign w:val="center"/>
          </w:tcPr>
          <w:p w14:paraId="2DA3965C"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255" w:type="dxa"/>
            <w:vMerge/>
            <w:shd w:val="clear" w:color="auto" w:fill="FFFFFF"/>
            <w:vAlign w:val="center"/>
          </w:tcPr>
          <w:p w14:paraId="77CC1B7D"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r>
      <w:tr w:rsidR="009B301A" w:rsidRPr="00622991" w14:paraId="43C2AC40" w14:textId="77777777" w:rsidTr="00080367">
        <w:trPr>
          <w:cantSplit/>
          <w:trHeight w:val="309"/>
        </w:trPr>
        <w:tc>
          <w:tcPr>
            <w:tcW w:w="1050" w:type="dxa"/>
            <w:shd w:val="clear" w:color="auto" w:fill="FFFFFF"/>
          </w:tcPr>
          <w:p w14:paraId="0E7847FA" w14:textId="77777777" w:rsidR="009B301A" w:rsidRPr="00622991" w:rsidRDefault="009B301A" w:rsidP="009B301A">
            <w:pPr>
              <w:autoSpaceDE w:val="0"/>
              <w:autoSpaceDN w:val="0"/>
              <w:adjustRightInd w:val="0"/>
              <w:spacing w:after="0" w:line="320" w:lineRule="atLeast"/>
              <w:ind w:left="60" w:right="60"/>
              <w:rPr>
                <w:rFonts w:ascii="Arial" w:hAnsi="Arial" w:cs="Arial"/>
                <w:color w:val="000000"/>
                <w:sz w:val="18"/>
                <w:szCs w:val="18"/>
                <w:lang w:val="ru-RU"/>
              </w:rPr>
            </w:pPr>
            <w:r w:rsidRPr="00622991">
              <w:rPr>
                <w:rFonts w:ascii="Arial" w:hAnsi="Arial" w:cs="Arial"/>
                <w:color w:val="000000"/>
                <w:sz w:val="18"/>
                <w:szCs w:val="18"/>
                <w:lang w:val="ru-RU"/>
              </w:rPr>
              <w:t>Other</w:t>
            </w:r>
          </w:p>
        </w:tc>
        <w:tc>
          <w:tcPr>
            <w:tcW w:w="1371" w:type="dxa"/>
            <w:vMerge/>
            <w:shd w:val="clear" w:color="auto" w:fill="FFFFFF"/>
            <w:vAlign w:val="center"/>
          </w:tcPr>
          <w:p w14:paraId="376DFA3E"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614" w:type="dxa"/>
            <w:vMerge/>
            <w:shd w:val="clear" w:color="auto" w:fill="FFFFFF"/>
            <w:vAlign w:val="center"/>
          </w:tcPr>
          <w:p w14:paraId="1125EDC0"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524" w:type="dxa"/>
            <w:vMerge/>
            <w:shd w:val="clear" w:color="auto" w:fill="FFFFFF"/>
            <w:vAlign w:val="center"/>
          </w:tcPr>
          <w:p w14:paraId="771E8E54"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c>
          <w:tcPr>
            <w:tcW w:w="1255" w:type="dxa"/>
            <w:vMerge/>
            <w:shd w:val="clear" w:color="auto" w:fill="FFFFFF"/>
            <w:vAlign w:val="center"/>
          </w:tcPr>
          <w:p w14:paraId="6A471377" w14:textId="77777777" w:rsidR="009B301A" w:rsidRPr="00622991" w:rsidRDefault="009B301A" w:rsidP="009B301A">
            <w:pPr>
              <w:autoSpaceDE w:val="0"/>
              <w:autoSpaceDN w:val="0"/>
              <w:adjustRightInd w:val="0"/>
              <w:spacing w:after="0" w:line="320" w:lineRule="atLeast"/>
              <w:ind w:left="60" w:right="60"/>
              <w:jc w:val="right"/>
              <w:rPr>
                <w:rFonts w:ascii="Arial" w:hAnsi="Arial" w:cs="Arial"/>
                <w:color w:val="000000"/>
                <w:sz w:val="18"/>
                <w:szCs w:val="18"/>
                <w:lang w:val="ru-RU"/>
              </w:rPr>
            </w:pPr>
          </w:p>
        </w:tc>
      </w:tr>
    </w:tbl>
    <w:p w14:paraId="1E56DBEF" w14:textId="77777777" w:rsidR="00F71BC7" w:rsidRDefault="00F71BC7" w:rsidP="00AE4593">
      <w:pPr>
        <w:jc w:val="both"/>
        <w:rPr>
          <w:rFonts w:ascii="Arial" w:hAnsi="Arial" w:cs="Arial"/>
          <w:color w:val="1A1A1A"/>
          <w:sz w:val="20"/>
          <w:szCs w:val="20"/>
          <w:shd w:val="clear" w:color="auto" w:fill="FFFFFF"/>
        </w:rPr>
      </w:pPr>
    </w:p>
    <w:p w14:paraId="05401AA6" w14:textId="77777777" w:rsidR="009D08BB" w:rsidRDefault="009D08BB" w:rsidP="00F71BC7">
      <w:pPr>
        <w:jc w:val="both"/>
        <w:rPr>
          <w:rFonts w:ascii="Arial" w:hAnsi="Arial" w:cs="Arial"/>
          <w:color w:val="5B9BD5" w:themeColor="accent1"/>
          <w:sz w:val="20"/>
          <w:szCs w:val="20"/>
          <w:shd w:val="clear" w:color="auto" w:fill="FFFFFF"/>
        </w:rPr>
      </w:pPr>
    </w:p>
    <w:p w14:paraId="074AF5F9" w14:textId="77777777" w:rsidR="009D08BB" w:rsidRDefault="009D08BB" w:rsidP="00F71BC7">
      <w:pPr>
        <w:jc w:val="both"/>
        <w:rPr>
          <w:rFonts w:ascii="Arial" w:hAnsi="Arial" w:cs="Arial"/>
          <w:color w:val="5B9BD5" w:themeColor="accent1"/>
          <w:sz w:val="20"/>
          <w:szCs w:val="20"/>
          <w:shd w:val="clear" w:color="auto" w:fill="FFFFFF"/>
        </w:rPr>
      </w:pPr>
    </w:p>
    <w:p w14:paraId="61CB169D" w14:textId="77777777" w:rsidR="009D08BB" w:rsidRDefault="009D08BB" w:rsidP="00F71BC7">
      <w:pPr>
        <w:jc w:val="both"/>
        <w:rPr>
          <w:rFonts w:ascii="Arial" w:hAnsi="Arial" w:cs="Arial"/>
          <w:color w:val="5B9BD5" w:themeColor="accent1"/>
          <w:sz w:val="20"/>
          <w:szCs w:val="20"/>
          <w:shd w:val="clear" w:color="auto" w:fill="FFFFFF"/>
        </w:rPr>
      </w:pPr>
    </w:p>
    <w:p w14:paraId="472F77FA" w14:textId="77777777" w:rsidR="00877343" w:rsidRDefault="00877343" w:rsidP="00F71BC7">
      <w:pPr>
        <w:jc w:val="both"/>
        <w:rPr>
          <w:rFonts w:ascii="Arial" w:hAnsi="Arial" w:cs="Arial"/>
          <w:color w:val="5B9BD5" w:themeColor="accent1"/>
          <w:sz w:val="20"/>
          <w:szCs w:val="20"/>
          <w:shd w:val="clear" w:color="auto" w:fill="FFFFFF"/>
        </w:rPr>
      </w:pPr>
      <w:r w:rsidRPr="000E7C67">
        <w:rPr>
          <w:rFonts w:ascii="Arial" w:hAnsi="Arial" w:cs="Arial"/>
          <w:color w:val="5B9BD5" w:themeColor="accent1"/>
          <w:sz w:val="20"/>
          <w:szCs w:val="20"/>
          <w:shd w:val="clear" w:color="auto" w:fill="FFFFFF"/>
        </w:rPr>
        <w:t xml:space="preserve">INCOME GENERATION </w:t>
      </w:r>
    </w:p>
    <w:p w14:paraId="031A7DBA" w14:textId="77777777" w:rsidR="00CA33AA" w:rsidRPr="00F71BC7" w:rsidRDefault="00940962" w:rsidP="00F71BC7">
      <w:pPr>
        <w:jc w:val="both"/>
        <w:rPr>
          <w:rFonts w:ascii="Arial" w:hAnsi="Arial" w:cs="Arial"/>
          <w:color w:val="1A1A1A"/>
          <w:sz w:val="20"/>
          <w:szCs w:val="20"/>
          <w:shd w:val="clear" w:color="auto" w:fill="FFFFFF"/>
        </w:rPr>
      </w:pPr>
      <w:r>
        <w:rPr>
          <w:rFonts w:ascii="Arial" w:hAnsi="Arial" w:cs="Arial"/>
          <w:color w:val="1A1A1A"/>
          <w:sz w:val="20"/>
          <w:szCs w:val="20"/>
          <w:shd w:val="clear" w:color="auto" w:fill="FFFFFF"/>
        </w:rPr>
        <w:t>To estimate income</w:t>
      </w:r>
      <w:r w:rsidR="000E0FEC">
        <w:rPr>
          <w:rFonts w:ascii="Arial" w:hAnsi="Arial" w:cs="Arial"/>
          <w:color w:val="1A1A1A"/>
          <w:sz w:val="20"/>
          <w:szCs w:val="20"/>
          <w:shd w:val="clear" w:color="auto" w:fill="FFFFFF"/>
        </w:rPr>
        <w:t xml:space="preserve"> generation on the </w:t>
      </w:r>
      <w:r w:rsidR="00160273">
        <w:rPr>
          <w:rFonts w:ascii="Arial" w:hAnsi="Arial" w:cs="Arial"/>
          <w:color w:val="1A1A1A"/>
          <w:sz w:val="20"/>
          <w:szCs w:val="20"/>
          <w:shd w:val="clear" w:color="auto" w:fill="FFFFFF"/>
        </w:rPr>
        <w:t>released</w:t>
      </w:r>
      <w:r w:rsidR="000E0FEC">
        <w:rPr>
          <w:rFonts w:ascii="Arial" w:hAnsi="Arial" w:cs="Arial"/>
          <w:color w:val="1A1A1A"/>
          <w:sz w:val="20"/>
          <w:szCs w:val="20"/>
          <w:shd w:val="clear" w:color="auto" w:fill="FFFFFF"/>
        </w:rPr>
        <w:t xml:space="preserve"> land</w:t>
      </w:r>
      <w:r>
        <w:rPr>
          <w:rFonts w:ascii="Arial" w:hAnsi="Arial" w:cs="Arial"/>
          <w:color w:val="1A1A1A"/>
          <w:sz w:val="20"/>
          <w:szCs w:val="20"/>
          <w:shd w:val="clear" w:color="auto" w:fill="FFFFFF"/>
        </w:rPr>
        <w:t xml:space="preserve">, </w:t>
      </w:r>
      <w:r w:rsidR="00160273">
        <w:rPr>
          <w:rFonts w:ascii="Arial" w:hAnsi="Arial" w:cs="Arial"/>
          <w:color w:val="1A1A1A"/>
          <w:sz w:val="20"/>
          <w:szCs w:val="20"/>
          <w:shd w:val="clear" w:color="auto" w:fill="FFFFFF"/>
        </w:rPr>
        <w:t xml:space="preserve">farmers were asked </w:t>
      </w:r>
      <w:r w:rsidR="0058241E">
        <w:rPr>
          <w:rFonts w:ascii="Arial" w:hAnsi="Arial" w:cs="Arial"/>
          <w:color w:val="1A1A1A"/>
          <w:sz w:val="20"/>
          <w:szCs w:val="20"/>
          <w:shd w:val="clear" w:color="auto" w:fill="FFFFFF"/>
        </w:rPr>
        <w:t>the proportion</w:t>
      </w:r>
      <w:r>
        <w:rPr>
          <w:rFonts w:ascii="Arial" w:hAnsi="Arial" w:cs="Arial"/>
          <w:color w:val="1A1A1A"/>
          <w:sz w:val="20"/>
          <w:szCs w:val="20"/>
          <w:shd w:val="clear" w:color="auto" w:fill="FFFFFF"/>
        </w:rPr>
        <w:t xml:space="preserve"> of cultivated crops</w:t>
      </w:r>
      <w:r w:rsidR="000E0FEC">
        <w:rPr>
          <w:rFonts w:ascii="Arial" w:hAnsi="Arial" w:cs="Arial"/>
          <w:color w:val="1A1A1A"/>
          <w:sz w:val="20"/>
          <w:szCs w:val="20"/>
          <w:shd w:val="clear" w:color="auto" w:fill="FFFFFF"/>
        </w:rPr>
        <w:t xml:space="preserve"> </w:t>
      </w:r>
      <w:r w:rsidR="00160273">
        <w:rPr>
          <w:rFonts w:ascii="Arial" w:hAnsi="Arial" w:cs="Arial"/>
          <w:color w:val="1A1A1A"/>
          <w:sz w:val="20"/>
          <w:szCs w:val="20"/>
          <w:shd w:val="clear" w:color="auto" w:fill="FFFFFF"/>
        </w:rPr>
        <w:t xml:space="preserve">for sell and for household consumption. </w:t>
      </w:r>
    </w:p>
    <w:p w14:paraId="2A55FC1F" w14:textId="77777777" w:rsidR="008A5873" w:rsidRDefault="003C255D" w:rsidP="00160273">
      <w:pPr>
        <w:autoSpaceDE w:val="0"/>
        <w:autoSpaceDN w:val="0"/>
        <w:adjustRightInd w:val="0"/>
        <w:spacing w:after="0" w:line="240" w:lineRule="auto"/>
        <w:jc w:val="both"/>
        <w:rPr>
          <w:rFonts w:ascii="Arial" w:hAnsi="Arial" w:cs="Arial"/>
          <w:sz w:val="20"/>
          <w:szCs w:val="20"/>
        </w:rPr>
      </w:pPr>
      <w:r w:rsidRPr="00493447">
        <w:rPr>
          <w:rFonts w:ascii="Arial" w:hAnsi="Arial" w:cs="Arial"/>
          <w:sz w:val="20"/>
          <w:szCs w:val="20"/>
        </w:rPr>
        <w:t xml:space="preserve">Currently cassava is identified as one of the priority export </w:t>
      </w:r>
      <w:r w:rsidR="00160273" w:rsidRPr="00493447">
        <w:rPr>
          <w:rFonts w:ascii="Arial" w:hAnsi="Arial" w:cs="Arial"/>
          <w:sz w:val="20"/>
          <w:szCs w:val="20"/>
        </w:rPr>
        <w:t xml:space="preserve">strategy </w:t>
      </w:r>
      <w:r w:rsidR="00160273">
        <w:rPr>
          <w:rFonts w:ascii="Arial" w:hAnsi="Arial" w:cs="Arial"/>
          <w:sz w:val="20"/>
          <w:szCs w:val="20"/>
        </w:rPr>
        <w:t>by</w:t>
      </w:r>
      <w:r w:rsidRPr="00493447">
        <w:rPr>
          <w:rFonts w:ascii="Arial" w:hAnsi="Arial" w:cs="Arial"/>
          <w:sz w:val="20"/>
          <w:szCs w:val="20"/>
        </w:rPr>
        <w:t xml:space="preserve"> the </w:t>
      </w:r>
      <w:r w:rsidR="00160273">
        <w:rPr>
          <w:rFonts w:ascii="Arial" w:hAnsi="Arial" w:cs="Arial"/>
          <w:sz w:val="20"/>
          <w:szCs w:val="20"/>
        </w:rPr>
        <w:t>MAFF</w:t>
      </w:r>
      <w:r w:rsidR="00160273" w:rsidRPr="00493447">
        <w:rPr>
          <w:rFonts w:ascii="Arial" w:hAnsi="Arial" w:cs="Arial"/>
          <w:sz w:val="20"/>
          <w:szCs w:val="20"/>
        </w:rPr>
        <w:t xml:space="preserve"> </w:t>
      </w:r>
      <w:r w:rsidR="00160273">
        <w:rPr>
          <w:rFonts w:ascii="Arial" w:hAnsi="Arial" w:cs="Arial"/>
          <w:sz w:val="20"/>
          <w:szCs w:val="20"/>
        </w:rPr>
        <w:t>(</w:t>
      </w:r>
      <w:r w:rsidRPr="00493447">
        <w:rPr>
          <w:rFonts w:ascii="Arial" w:hAnsi="Arial" w:cs="Arial"/>
          <w:sz w:val="20"/>
          <w:szCs w:val="20"/>
        </w:rPr>
        <w:t>Ministry of Agriculture, Forestry and Fisheries</w:t>
      </w:r>
      <w:r w:rsidR="00160273">
        <w:rPr>
          <w:rFonts w:ascii="Arial" w:hAnsi="Arial" w:cs="Arial"/>
          <w:sz w:val="20"/>
          <w:szCs w:val="20"/>
        </w:rPr>
        <w:t>)</w:t>
      </w:r>
      <w:r w:rsidRPr="00493447">
        <w:rPr>
          <w:rFonts w:ascii="Arial" w:hAnsi="Arial" w:cs="Arial"/>
          <w:sz w:val="20"/>
          <w:szCs w:val="20"/>
        </w:rPr>
        <w:t>.</w:t>
      </w:r>
      <w:r>
        <w:rPr>
          <w:rFonts w:ascii="Arial" w:hAnsi="Arial" w:cs="Arial"/>
          <w:sz w:val="20"/>
          <w:szCs w:val="20"/>
        </w:rPr>
        <w:t xml:space="preserve"> </w:t>
      </w:r>
      <w:r w:rsidR="00CA33AA" w:rsidRPr="00493447">
        <w:rPr>
          <w:rFonts w:ascii="Arial" w:hAnsi="Arial" w:cs="Arial"/>
          <w:color w:val="1A1A1A"/>
          <w:sz w:val="20"/>
          <w:szCs w:val="20"/>
          <w:shd w:val="clear" w:color="auto" w:fill="FFFFFF"/>
        </w:rPr>
        <w:t>The data indicates that cassava comprises the largest share of crops for s</w:t>
      </w:r>
      <w:r w:rsidR="00160273">
        <w:rPr>
          <w:rFonts w:ascii="Arial" w:hAnsi="Arial" w:cs="Arial"/>
          <w:color w:val="1A1A1A"/>
          <w:sz w:val="20"/>
          <w:szCs w:val="20"/>
          <w:shd w:val="clear" w:color="auto" w:fill="FFFFFF"/>
        </w:rPr>
        <w:t>ell</w:t>
      </w:r>
      <w:r w:rsidR="00CA33AA" w:rsidRPr="00493447">
        <w:rPr>
          <w:rFonts w:ascii="Arial" w:hAnsi="Arial" w:cs="Arial"/>
          <w:color w:val="1A1A1A"/>
          <w:sz w:val="20"/>
          <w:szCs w:val="20"/>
          <w:shd w:val="clear" w:color="auto" w:fill="FFFFFF"/>
        </w:rPr>
        <w:t xml:space="preserve"> in all three provinces.</w:t>
      </w:r>
      <w:r w:rsidR="00493447" w:rsidRPr="00493447">
        <w:rPr>
          <w:rFonts w:ascii="Arial" w:hAnsi="Arial" w:cs="Arial"/>
          <w:color w:val="1A1A1A"/>
          <w:sz w:val="20"/>
          <w:szCs w:val="20"/>
          <w:shd w:val="clear" w:color="auto" w:fill="FFFFFF"/>
        </w:rPr>
        <w:t xml:space="preserve"> </w:t>
      </w:r>
      <w:r w:rsidR="00CA33AA" w:rsidRPr="00493447">
        <w:rPr>
          <w:rFonts w:ascii="Arial" w:hAnsi="Arial" w:cs="Arial"/>
          <w:color w:val="1A1A1A"/>
          <w:sz w:val="20"/>
          <w:szCs w:val="20"/>
          <w:shd w:val="clear" w:color="auto" w:fill="FFFFFF"/>
        </w:rPr>
        <w:t xml:space="preserve"> </w:t>
      </w:r>
      <w:r w:rsidR="00493447" w:rsidRPr="00493447">
        <w:rPr>
          <w:rFonts w:ascii="Arial" w:hAnsi="Arial" w:cs="Arial"/>
          <w:color w:val="1A1A1A"/>
          <w:sz w:val="20"/>
          <w:szCs w:val="20"/>
          <w:shd w:val="clear" w:color="auto" w:fill="FFFFFF"/>
        </w:rPr>
        <w:t>According to the UNDP Need Assessment Report</w:t>
      </w:r>
      <w:r w:rsidR="00493447">
        <w:rPr>
          <w:rFonts w:ascii="Arial" w:hAnsi="Arial" w:cs="Arial"/>
          <w:color w:val="1A1A1A"/>
          <w:sz w:val="20"/>
          <w:szCs w:val="20"/>
          <w:shd w:val="clear" w:color="auto" w:fill="FFFFFF"/>
        </w:rPr>
        <w:t xml:space="preserve"> 2014,</w:t>
      </w:r>
      <w:r w:rsidR="00493447" w:rsidRPr="00493447">
        <w:rPr>
          <w:rFonts w:ascii="Arial" w:hAnsi="Arial" w:cs="Arial"/>
          <w:color w:val="1A1A1A"/>
          <w:sz w:val="20"/>
          <w:szCs w:val="20"/>
          <w:shd w:val="clear" w:color="auto" w:fill="FFFFFF"/>
        </w:rPr>
        <w:t xml:space="preserve"> </w:t>
      </w:r>
      <w:r w:rsidR="00493447">
        <w:rPr>
          <w:rFonts w:ascii="Arial" w:hAnsi="Arial" w:cs="Arial"/>
          <w:sz w:val="20"/>
          <w:szCs w:val="20"/>
        </w:rPr>
        <w:t>t</w:t>
      </w:r>
      <w:r w:rsidR="00493447" w:rsidRPr="00493447">
        <w:rPr>
          <w:rFonts w:ascii="Arial" w:hAnsi="Arial" w:cs="Arial"/>
          <w:sz w:val="20"/>
          <w:szCs w:val="20"/>
        </w:rPr>
        <w:t xml:space="preserve">he total production in the top six provinces (Battambang, Pailin, Kampong Cham, Banteay Meanchey, </w:t>
      </w:r>
      <w:proofErr w:type="spellStart"/>
      <w:r w:rsidR="00493447" w:rsidRPr="00493447">
        <w:rPr>
          <w:rFonts w:ascii="Arial" w:hAnsi="Arial" w:cs="Arial"/>
          <w:sz w:val="20"/>
          <w:szCs w:val="20"/>
        </w:rPr>
        <w:t>Kratie</w:t>
      </w:r>
      <w:proofErr w:type="spellEnd"/>
      <w:r w:rsidR="00493447" w:rsidRPr="00493447">
        <w:rPr>
          <w:rFonts w:ascii="Arial" w:hAnsi="Arial" w:cs="Arial"/>
          <w:sz w:val="20"/>
          <w:szCs w:val="20"/>
        </w:rPr>
        <w:t xml:space="preserve"> and Kampong Thom) represents about 76% of the total national production. Market opportunities in China, Vietnam and Thailand are major driving forces for these changes. </w:t>
      </w:r>
      <w:r w:rsidR="00080367">
        <w:rPr>
          <w:rFonts w:ascii="Arial" w:hAnsi="Arial" w:cs="Arial"/>
          <w:sz w:val="20"/>
          <w:szCs w:val="20"/>
        </w:rPr>
        <w:t xml:space="preserve">Tables 10; 11 and 13 represent crops for sell in each province, income has been calculated per </w:t>
      </w:r>
      <w:proofErr w:type="gramStart"/>
      <w:r w:rsidR="00080367">
        <w:rPr>
          <w:rFonts w:ascii="Arial" w:hAnsi="Arial" w:cs="Arial"/>
          <w:sz w:val="20"/>
          <w:szCs w:val="20"/>
        </w:rPr>
        <w:t>household ,</w:t>
      </w:r>
      <w:proofErr w:type="gramEnd"/>
      <w:r w:rsidR="00080367">
        <w:rPr>
          <w:rFonts w:ascii="Arial" w:hAnsi="Arial" w:cs="Arial"/>
          <w:sz w:val="20"/>
          <w:szCs w:val="20"/>
        </w:rPr>
        <w:t xml:space="preserve"> per month based on total yield and price per kg. </w:t>
      </w:r>
    </w:p>
    <w:p w14:paraId="3FB609E8" w14:textId="77777777" w:rsidR="003F4AAB" w:rsidRDefault="003F4AAB" w:rsidP="005B666C">
      <w:pPr>
        <w:jc w:val="both"/>
        <w:rPr>
          <w:rFonts w:ascii="Arial" w:hAnsi="Arial" w:cs="Arial"/>
          <w:sz w:val="20"/>
          <w:szCs w:val="20"/>
        </w:rPr>
      </w:pPr>
    </w:p>
    <w:p w14:paraId="45A6CF30" w14:textId="77777777" w:rsidR="005B666C" w:rsidRPr="005B666C" w:rsidRDefault="005B666C" w:rsidP="005B666C">
      <w:pPr>
        <w:jc w:val="both"/>
        <w:rPr>
          <w:rFonts w:ascii="Arial" w:hAnsi="Arial" w:cs="Arial"/>
          <w:color w:val="1A1A1A"/>
          <w:sz w:val="20"/>
          <w:szCs w:val="20"/>
          <w:shd w:val="clear" w:color="auto" w:fill="FFFFFF"/>
        </w:rPr>
      </w:pPr>
      <w:r>
        <w:rPr>
          <w:rFonts w:ascii="Arial" w:hAnsi="Arial" w:cs="Arial"/>
          <w:color w:val="1A1A1A"/>
          <w:sz w:val="20"/>
          <w:szCs w:val="20"/>
          <w:shd w:val="clear" w:color="auto" w:fill="FFFFFF"/>
        </w:rPr>
        <w:t>In Battambang, the estimated average household income from agricultural production on the released land is 3,141 USD per year, which corresponds to</w:t>
      </w:r>
      <w:r w:rsidRPr="004C6941">
        <w:rPr>
          <w:rFonts w:ascii="Arial" w:hAnsi="Arial" w:cs="Arial"/>
          <w:color w:val="1A1A1A"/>
          <w:sz w:val="20"/>
          <w:szCs w:val="20"/>
          <w:shd w:val="clear" w:color="auto" w:fill="FFFFFF"/>
        </w:rPr>
        <w:t xml:space="preserve"> </w:t>
      </w:r>
      <w:r>
        <w:rPr>
          <w:rFonts w:ascii="Arial" w:hAnsi="Arial" w:cs="Arial"/>
          <w:color w:val="1A1A1A"/>
          <w:sz w:val="20"/>
          <w:szCs w:val="20"/>
          <w:shd w:val="clear" w:color="auto" w:fill="FFFFFF"/>
        </w:rPr>
        <w:t>261.75 USD per household, per month.</w:t>
      </w:r>
    </w:p>
    <w:p w14:paraId="2B675056" w14:textId="77777777" w:rsidR="00D46925" w:rsidRPr="00D823CE" w:rsidRDefault="00160273" w:rsidP="00D823CE">
      <w:pPr>
        <w:rPr>
          <w:rFonts w:ascii="Arial" w:hAnsi="Arial" w:cs="Arial"/>
          <w:sz w:val="20"/>
          <w:szCs w:val="20"/>
          <w:u w:val="single"/>
        </w:rPr>
      </w:pPr>
      <w:r>
        <w:rPr>
          <w:rFonts w:ascii="Arial" w:hAnsi="Arial" w:cs="Arial"/>
          <w:b/>
          <w:color w:val="1A1A1A"/>
          <w:sz w:val="20"/>
          <w:szCs w:val="20"/>
          <w:shd w:val="clear" w:color="auto" w:fill="FFFFFF"/>
        </w:rPr>
        <w:t>Table 10</w:t>
      </w:r>
      <w:r w:rsidR="00F71BC7" w:rsidRPr="00642A0A">
        <w:rPr>
          <w:rFonts w:ascii="Arial" w:hAnsi="Arial" w:cs="Arial"/>
          <w:b/>
          <w:color w:val="1A1A1A"/>
          <w:sz w:val="20"/>
          <w:szCs w:val="20"/>
          <w:shd w:val="clear" w:color="auto" w:fill="FFFFFF"/>
        </w:rPr>
        <w:t>:</w:t>
      </w:r>
      <w:r w:rsidR="00F71BC7">
        <w:rPr>
          <w:rFonts w:ascii="Arial" w:hAnsi="Arial" w:cs="Arial"/>
          <w:color w:val="1A1A1A"/>
          <w:sz w:val="20"/>
          <w:szCs w:val="20"/>
          <w:shd w:val="clear" w:color="auto" w:fill="FFFFFF"/>
        </w:rPr>
        <w:t xml:space="preserve"> </w:t>
      </w:r>
      <w:r w:rsidR="008A5873">
        <w:rPr>
          <w:rFonts w:ascii="Arial" w:hAnsi="Arial" w:cs="Arial"/>
          <w:color w:val="1A1A1A"/>
          <w:sz w:val="20"/>
          <w:szCs w:val="20"/>
          <w:shd w:val="clear" w:color="auto" w:fill="FFFFFF"/>
        </w:rPr>
        <w:t xml:space="preserve"> </w:t>
      </w:r>
      <w:r w:rsidR="003D478C" w:rsidRPr="00642A0A">
        <w:rPr>
          <w:rFonts w:ascii="Arial" w:hAnsi="Arial" w:cs="Arial"/>
          <w:color w:val="1A1A1A"/>
          <w:sz w:val="20"/>
          <w:szCs w:val="20"/>
          <w:shd w:val="clear" w:color="auto" w:fill="FFFFFF"/>
        </w:rPr>
        <w:t>Battambang</w:t>
      </w:r>
      <w:r w:rsidR="000D39B0" w:rsidRPr="00642A0A">
        <w:rPr>
          <w:rFonts w:ascii="Arial" w:hAnsi="Arial" w:cs="Arial"/>
          <w:color w:val="1A1A1A"/>
          <w:sz w:val="20"/>
          <w:szCs w:val="20"/>
          <w:u w:val="single"/>
          <w:shd w:val="clear" w:color="auto" w:fill="FFFFFF"/>
        </w:rPr>
        <w:t xml:space="preserve"> </w:t>
      </w:r>
      <w:r w:rsidR="00775938">
        <w:rPr>
          <w:rFonts w:ascii="Arial" w:hAnsi="Arial" w:cs="Arial"/>
          <w:color w:val="1A1A1A"/>
          <w:sz w:val="20"/>
          <w:szCs w:val="20"/>
          <w:shd w:val="clear" w:color="auto" w:fill="FFFFFF"/>
        </w:rPr>
        <w:t xml:space="preserve">– cultivated crops </w:t>
      </w:r>
      <w:r w:rsidR="005B666C">
        <w:rPr>
          <w:rFonts w:ascii="Arial" w:hAnsi="Arial" w:cs="Arial"/>
          <w:color w:val="1A1A1A"/>
          <w:sz w:val="20"/>
          <w:szCs w:val="20"/>
          <w:shd w:val="clear" w:color="auto" w:fill="FFFFFF"/>
        </w:rPr>
        <w:t>for sell</w:t>
      </w:r>
      <w:r>
        <w:rPr>
          <w:rFonts w:ascii="Arial" w:hAnsi="Arial" w:cs="Arial"/>
          <w:color w:val="1A1A1A"/>
          <w:sz w:val="20"/>
          <w:szCs w:val="20"/>
          <w:shd w:val="clear" w:color="auto" w:fill="FFFFFF"/>
        </w:rPr>
        <w:t>, for the last 12 months</w:t>
      </w:r>
    </w:p>
    <w:tbl>
      <w:tblPr>
        <w:tblStyle w:val="TableGrid"/>
        <w:tblW w:w="0" w:type="auto"/>
        <w:tblLook w:val="04A0" w:firstRow="1" w:lastRow="0" w:firstColumn="1" w:lastColumn="0" w:noHBand="0" w:noVBand="1"/>
      </w:tblPr>
      <w:tblGrid>
        <w:gridCol w:w="1527"/>
        <w:gridCol w:w="1979"/>
        <w:gridCol w:w="1697"/>
        <w:gridCol w:w="1791"/>
      </w:tblGrid>
      <w:tr w:rsidR="0096744E" w:rsidRPr="000D39B0" w14:paraId="4306D1A6" w14:textId="77777777" w:rsidTr="00160273">
        <w:trPr>
          <w:trHeight w:val="1071"/>
        </w:trPr>
        <w:tc>
          <w:tcPr>
            <w:tcW w:w="1527" w:type="dxa"/>
          </w:tcPr>
          <w:p w14:paraId="3581BC4C"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Crops</w:t>
            </w:r>
          </w:p>
        </w:tc>
        <w:tc>
          <w:tcPr>
            <w:tcW w:w="1979" w:type="dxa"/>
          </w:tcPr>
          <w:p w14:paraId="4D218D45"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Battambang</w:t>
            </w:r>
          </w:p>
          <w:p w14:paraId="1B356BDB" w14:textId="77777777" w:rsidR="0096744E" w:rsidRPr="000D39B0" w:rsidRDefault="0096744E" w:rsidP="0096744E">
            <w:pPr>
              <w:jc w:val="center"/>
              <w:rPr>
                <w:rFonts w:ascii="Arial" w:hAnsi="Arial" w:cs="Arial"/>
                <w:sz w:val="18"/>
                <w:szCs w:val="18"/>
              </w:rPr>
            </w:pPr>
          </w:p>
          <w:p w14:paraId="6B777797" w14:textId="77777777" w:rsidR="0096744E" w:rsidRPr="000D39B0" w:rsidRDefault="0096744E" w:rsidP="0096744E">
            <w:pPr>
              <w:jc w:val="center"/>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Total yield (Kg)</w:t>
            </w:r>
          </w:p>
          <w:p w14:paraId="6133BD30" w14:textId="77777777" w:rsidR="000D39B0" w:rsidRPr="000D39B0" w:rsidRDefault="000D39B0" w:rsidP="0096744E">
            <w:pPr>
              <w:jc w:val="center"/>
              <w:rPr>
                <w:rFonts w:ascii="Arial" w:eastAsia="Times New Roman" w:hAnsi="Arial" w:cs="Arial"/>
                <w:color w:val="000000"/>
                <w:sz w:val="18"/>
                <w:szCs w:val="18"/>
                <w:lang w:eastAsia="ru-RU"/>
              </w:rPr>
            </w:pPr>
            <w:r w:rsidRPr="000D39B0">
              <w:rPr>
                <w:rFonts w:ascii="Arial" w:hAnsi="Arial" w:cs="Arial"/>
                <w:sz w:val="18"/>
                <w:szCs w:val="18"/>
              </w:rPr>
              <w:t>(average)</w:t>
            </w:r>
          </w:p>
          <w:p w14:paraId="18EDB27B" w14:textId="77777777" w:rsidR="0096744E" w:rsidRPr="000D39B0" w:rsidRDefault="0096744E" w:rsidP="0096744E">
            <w:pPr>
              <w:jc w:val="center"/>
              <w:rPr>
                <w:rFonts w:ascii="Arial" w:hAnsi="Arial" w:cs="Arial"/>
                <w:sz w:val="18"/>
                <w:szCs w:val="18"/>
              </w:rPr>
            </w:pPr>
          </w:p>
        </w:tc>
        <w:tc>
          <w:tcPr>
            <w:tcW w:w="1697" w:type="dxa"/>
          </w:tcPr>
          <w:p w14:paraId="71E4DC91"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 xml:space="preserve">Price  kg  </w:t>
            </w:r>
          </w:p>
          <w:p w14:paraId="73EE963E"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USD</w:t>
            </w:r>
          </w:p>
          <w:p w14:paraId="2306B433" w14:textId="77777777" w:rsidR="000D39B0" w:rsidRPr="000D39B0" w:rsidRDefault="000D39B0" w:rsidP="0096744E">
            <w:pPr>
              <w:jc w:val="center"/>
              <w:rPr>
                <w:rFonts w:ascii="Arial" w:hAnsi="Arial" w:cs="Arial"/>
                <w:sz w:val="18"/>
                <w:szCs w:val="18"/>
              </w:rPr>
            </w:pPr>
            <w:r w:rsidRPr="000D39B0">
              <w:rPr>
                <w:rFonts w:ascii="Arial" w:hAnsi="Arial" w:cs="Arial"/>
                <w:sz w:val="18"/>
                <w:szCs w:val="18"/>
              </w:rPr>
              <w:t>(average)</w:t>
            </w:r>
          </w:p>
        </w:tc>
        <w:tc>
          <w:tcPr>
            <w:tcW w:w="1791" w:type="dxa"/>
          </w:tcPr>
          <w:p w14:paraId="533BBCC0"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Value</w:t>
            </w:r>
          </w:p>
          <w:p w14:paraId="35C502BE"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USD</w:t>
            </w:r>
          </w:p>
          <w:p w14:paraId="62070990" w14:textId="77777777" w:rsidR="000D39B0" w:rsidRPr="000D39B0" w:rsidRDefault="000D39B0" w:rsidP="0096744E">
            <w:pPr>
              <w:jc w:val="center"/>
              <w:rPr>
                <w:rFonts w:ascii="Arial" w:hAnsi="Arial" w:cs="Arial"/>
                <w:sz w:val="18"/>
                <w:szCs w:val="18"/>
              </w:rPr>
            </w:pPr>
            <w:r w:rsidRPr="000D39B0">
              <w:rPr>
                <w:rFonts w:ascii="Arial" w:hAnsi="Arial" w:cs="Arial"/>
                <w:sz w:val="18"/>
                <w:szCs w:val="18"/>
              </w:rPr>
              <w:t>(average)</w:t>
            </w:r>
          </w:p>
        </w:tc>
      </w:tr>
      <w:tr w:rsidR="0096744E" w:rsidRPr="000D39B0" w14:paraId="1C36D309" w14:textId="77777777" w:rsidTr="00160273">
        <w:trPr>
          <w:trHeight w:val="172"/>
        </w:trPr>
        <w:tc>
          <w:tcPr>
            <w:tcW w:w="1527" w:type="dxa"/>
          </w:tcPr>
          <w:p w14:paraId="77A59C33" w14:textId="77777777" w:rsidR="0096744E" w:rsidRPr="000D39B0" w:rsidRDefault="0096744E" w:rsidP="0096744E">
            <w:pPr>
              <w:rPr>
                <w:rFonts w:ascii="Arial" w:hAnsi="Arial" w:cs="Arial"/>
                <w:sz w:val="18"/>
                <w:szCs w:val="18"/>
              </w:rPr>
            </w:pPr>
            <w:r w:rsidRPr="000D39B0">
              <w:rPr>
                <w:rFonts w:ascii="Arial" w:hAnsi="Arial" w:cs="Arial"/>
                <w:sz w:val="18"/>
                <w:szCs w:val="18"/>
              </w:rPr>
              <w:t>Rice</w:t>
            </w:r>
          </w:p>
        </w:tc>
        <w:tc>
          <w:tcPr>
            <w:tcW w:w="1979" w:type="dxa"/>
            <w:vAlign w:val="center"/>
          </w:tcPr>
          <w:p w14:paraId="27665AFF"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551</w:t>
            </w:r>
          </w:p>
        </w:tc>
        <w:tc>
          <w:tcPr>
            <w:tcW w:w="1697" w:type="dxa"/>
          </w:tcPr>
          <w:p w14:paraId="1CBDB5E4" w14:textId="77777777" w:rsidR="0096744E" w:rsidRPr="000D39B0" w:rsidRDefault="0096744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0.54</w:t>
            </w:r>
          </w:p>
        </w:tc>
        <w:tc>
          <w:tcPr>
            <w:tcW w:w="1791" w:type="dxa"/>
            <w:vAlign w:val="center"/>
          </w:tcPr>
          <w:p w14:paraId="34F7A9B8"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302</w:t>
            </w:r>
          </w:p>
        </w:tc>
      </w:tr>
      <w:tr w:rsidR="0096744E" w:rsidRPr="000D39B0" w14:paraId="3781B660" w14:textId="77777777" w:rsidTr="00160273">
        <w:trPr>
          <w:trHeight w:val="215"/>
        </w:trPr>
        <w:tc>
          <w:tcPr>
            <w:tcW w:w="1527" w:type="dxa"/>
          </w:tcPr>
          <w:p w14:paraId="7E4AB5EA"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Cassava </w:t>
            </w:r>
          </w:p>
        </w:tc>
        <w:tc>
          <w:tcPr>
            <w:tcW w:w="1979" w:type="dxa"/>
            <w:vAlign w:val="center"/>
          </w:tcPr>
          <w:p w14:paraId="1331D450"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10707</w:t>
            </w:r>
          </w:p>
        </w:tc>
        <w:tc>
          <w:tcPr>
            <w:tcW w:w="1697" w:type="dxa"/>
          </w:tcPr>
          <w:p w14:paraId="79AAAFBD" w14:textId="77777777" w:rsidR="0096744E" w:rsidRPr="000D39B0" w:rsidRDefault="0096744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0.11</w:t>
            </w:r>
          </w:p>
        </w:tc>
        <w:tc>
          <w:tcPr>
            <w:tcW w:w="1791" w:type="dxa"/>
            <w:vAlign w:val="center"/>
          </w:tcPr>
          <w:p w14:paraId="2424EC15"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1247</w:t>
            </w:r>
          </w:p>
        </w:tc>
      </w:tr>
      <w:tr w:rsidR="0096744E" w:rsidRPr="000D39B0" w14:paraId="2E88DD76" w14:textId="77777777" w:rsidTr="00160273">
        <w:trPr>
          <w:trHeight w:val="215"/>
        </w:trPr>
        <w:tc>
          <w:tcPr>
            <w:tcW w:w="1527" w:type="dxa"/>
          </w:tcPr>
          <w:p w14:paraId="063E4510"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Maize </w:t>
            </w:r>
          </w:p>
        </w:tc>
        <w:tc>
          <w:tcPr>
            <w:tcW w:w="1979" w:type="dxa"/>
            <w:vAlign w:val="center"/>
          </w:tcPr>
          <w:p w14:paraId="1DEC3588"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4340</w:t>
            </w:r>
          </w:p>
        </w:tc>
        <w:tc>
          <w:tcPr>
            <w:tcW w:w="1697" w:type="dxa"/>
          </w:tcPr>
          <w:p w14:paraId="09CE5729" w14:textId="77777777" w:rsidR="0096744E" w:rsidRPr="000D39B0" w:rsidRDefault="0096744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0.19</w:t>
            </w:r>
          </w:p>
        </w:tc>
        <w:tc>
          <w:tcPr>
            <w:tcW w:w="1791" w:type="dxa"/>
            <w:vAlign w:val="center"/>
          </w:tcPr>
          <w:p w14:paraId="4BF26E93"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862</w:t>
            </w:r>
          </w:p>
        </w:tc>
      </w:tr>
      <w:tr w:rsidR="0096744E" w:rsidRPr="000D39B0" w14:paraId="736B5281" w14:textId="77777777" w:rsidTr="00160273">
        <w:trPr>
          <w:trHeight w:val="202"/>
        </w:trPr>
        <w:tc>
          <w:tcPr>
            <w:tcW w:w="1527" w:type="dxa"/>
          </w:tcPr>
          <w:p w14:paraId="53A4CC76"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Sesame </w:t>
            </w:r>
          </w:p>
        </w:tc>
        <w:tc>
          <w:tcPr>
            <w:tcW w:w="1979" w:type="dxa"/>
            <w:vAlign w:val="center"/>
          </w:tcPr>
          <w:p w14:paraId="7444A77A"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182</w:t>
            </w:r>
          </w:p>
        </w:tc>
        <w:tc>
          <w:tcPr>
            <w:tcW w:w="1697" w:type="dxa"/>
          </w:tcPr>
          <w:p w14:paraId="08D9E0A5" w14:textId="77777777" w:rsidR="0096744E" w:rsidRPr="000D39B0" w:rsidRDefault="0096744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1.82</w:t>
            </w:r>
          </w:p>
        </w:tc>
        <w:tc>
          <w:tcPr>
            <w:tcW w:w="1791" w:type="dxa"/>
            <w:vAlign w:val="center"/>
          </w:tcPr>
          <w:p w14:paraId="298BCE05"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235</w:t>
            </w:r>
          </w:p>
        </w:tc>
      </w:tr>
      <w:tr w:rsidR="0096744E" w:rsidRPr="000D39B0" w14:paraId="1830C307" w14:textId="77777777" w:rsidTr="00160273">
        <w:trPr>
          <w:trHeight w:val="202"/>
        </w:trPr>
        <w:tc>
          <w:tcPr>
            <w:tcW w:w="1527" w:type="dxa"/>
          </w:tcPr>
          <w:p w14:paraId="77492402"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Fruits </w:t>
            </w:r>
          </w:p>
        </w:tc>
        <w:tc>
          <w:tcPr>
            <w:tcW w:w="1979" w:type="dxa"/>
            <w:vAlign w:val="center"/>
          </w:tcPr>
          <w:p w14:paraId="4BF75863"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320</w:t>
            </w:r>
          </w:p>
        </w:tc>
        <w:tc>
          <w:tcPr>
            <w:tcW w:w="1697" w:type="dxa"/>
          </w:tcPr>
          <w:p w14:paraId="6B06AAF3" w14:textId="77777777" w:rsidR="0096744E" w:rsidRPr="000D39B0" w:rsidRDefault="0096744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0.46</w:t>
            </w:r>
          </w:p>
        </w:tc>
        <w:tc>
          <w:tcPr>
            <w:tcW w:w="1791" w:type="dxa"/>
            <w:vAlign w:val="center"/>
          </w:tcPr>
          <w:p w14:paraId="79D91613"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148</w:t>
            </w:r>
          </w:p>
        </w:tc>
      </w:tr>
      <w:tr w:rsidR="0096744E" w:rsidRPr="000D39B0" w14:paraId="6B7A9950" w14:textId="77777777" w:rsidTr="00160273">
        <w:trPr>
          <w:trHeight w:val="215"/>
        </w:trPr>
        <w:tc>
          <w:tcPr>
            <w:tcW w:w="1527" w:type="dxa"/>
          </w:tcPr>
          <w:p w14:paraId="21B69B38"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Other </w:t>
            </w:r>
          </w:p>
        </w:tc>
        <w:tc>
          <w:tcPr>
            <w:tcW w:w="1979" w:type="dxa"/>
            <w:vAlign w:val="center"/>
          </w:tcPr>
          <w:p w14:paraId="756D653E"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429</w:t>
            </w:r>
          </w:p>
        </w:tc>
        <w:tc>
          <w:tcPr>
            <w:tcW w:w="1697" w:type="dxa"/>
          </w:tcPr>
          <w:p w14:paraId="00D1FAAE" w14:textId="77777777" w:rsidR="0096744E" w:rsidRPr="000D39B0" w:rsidRDefault="0096744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0.80</w:t>
            </w:r>
          </w:p>
        </w:tc>
        <w:tc>
          <w:tcPr>
            <w:tcW w:w="1791" w:type="dxa"/>
            <w:vAlign w:val="center"/>
          </w:tcPr>
          <w:p w14:paraId="128AA221"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347</w:t>
            </w:r>
          </w:p>
        </w:tc>
      </w:tr>
      <w:tr w:rsidR="00775938" w:rsidRPr="00775938" w14:paraId="575094E7" w14:textId="77777777" w:rsidTr="00160273">
        <w:trPr>
          <w:trHeight w:val="215"/>
        </w:trPr>
        <w:tc>
          <w:tcPr>
            <w:tcW w:w="1527" w:type="dxa"/>
            <w:shd w:val="clear" w:color="auto" w:fill="D0CECE" w:themeFill="background2" w:themeFillShade="E6"/>
          </w:tcPr>
          <w:p w14:paraId="595888C9" w14:textId="77777777" w:rsidR="00775938" w:rsidRPr="00775938" w:rsidRDefault="00775938" w:rsidP="0096744E">
            <w:pPr>
              <w:rPr>
                <w:rFonts w:ascii="Arial" w:hAnsi="Arial" w:cs="Arial"/>
                <w:b/>
                <w:sz w:val="18"/>
                <w:szCs w:val="18"/>
              </w:rPr>
            </w:pPr>
            <w:r w:rsidRPr="00775938">
              <w:rPr>
                <w:rFonts w:ascii="Arial" w:hAnsi="Arial" w:cs="Arial"/>
                <w:b/>
                <w:sz w:val="18"/>
                <w:szCs w:val="18"/>
              </w:rPr>
              <w:t>Total</w:t>
            </w:r>
          </w:p>
        </w:tc>
        <w:tc>
          <w:tcPr>
            <w:tcW w:w="5466" w:type="dxa"/>
            <w:gridSpan w:val="3"/>
            <w:shd w:val="clear" w:color="auto" w:fill="D0CECE" w:themeFill="background2" w:themeFillShade="E6"/>
            <w:vAlign w:val="center"/>
          </w:tcPr>
          <w:p w14:paraId="34846CD9" w14:textId="77777777" w:rsidR="00775938" w:rsidRPr="00775938" w:rsidRDefault="00775938" w:rsidP="0096744E">
            <w:pPr>
              <w:jc w:val="right"/>
              <w:rPr>
                <w:rFonts w:ascii="Arial" w:eastAsia="Times New Roman" w:hAnsi="Arial" w:cs="Arial"/>
                <w:b/>
                <w:color w:val="000000"/>
                <w:sz w:val="18"/>
                <w:szCs w:val="18"/>
                <w:lang w:eastAsia="ru-RU"/>
              </w:rPr>
            </w:pPr>
            <w:r w:rsidRPr="00775938">
              <w:rPr>
                <w:rFonts w:ascii="Arial" w:eastAsia="Times New Roman" w:hAnsi="Arial" w:cs="Arial"/>
                <w:b/>
                <w:color w:val="000000"/>
                <w:sz w:val="18"/>
                <w:szCs w:val="18"/>
                <w:lang w:eastAsia="ru-RU"/>
              </w:rPr>
              <w:t>3,141</w:t>
            </w:r>
          </w:p>
        </w:tc>
      </w:tr>
    </w:tbl>
    <w:p w14:paraId="496D341D" w14:textId="77777777" w:rsidR="00080367" w:rsidRDefault="00080367" w:rsidP="000D39B0">
      <w:pPr>
        <w:rPr>
          <w:rFonts w:ascii="Arial" w:hAnsi="Arial" w:cs="Arial"/>
          <w:b/>
          <w:color w:val="1A1A1A"/>
          <w:sz w:val="20"/>
          <w:szCs w:val="20"/>
          <w:shd w:val="clear" w:color="auto" w:fill="FFFFFF"/>
        </w:rPr>
      </w:pPr>
    </w:p>
    <w:p w14:paraId="7D752056" w14:textId="77777777" w:rsidR="005B666C" w:rsidRPr="005B666C" w:rsidRDefault="005B666C" w:rsidP="005B666C">
      <w:pPr>
        <w:jc w:val="both"/>
        <w:rPr>
          <w:rFonts w:ascii="Arial" w:hAnsi="Arial" w:cs="Arial"/>
          <w:color w:val="1A1A1A"/>
          <w:sz w:val="20"/>
          <w:szCs w:val="20"/>
          <w:shd w:val="clear" w:color="auto" w:fill="FFFFFF"/>
        </w:rPr>
      </w:pPr>
      <w:r>
        <w:rPr>
          <w:rFonts w:ascii="Arial" w:hAnsi="Arial" w:cs="Arial"/>
          <w:color w:val="1A1A1A"/>
          <w:sz w:val="20"/>
          <w:szCs w:val="20"/>
          <w:shd w:val="clear" w:color="auto" w:fill="FFFFFF"/>
        </w:rPr>
        <w:t xml:space="preserve">In </w:t>
      </w:r>
      <w:proofErr w:type="spellStart"/>
      <w:r>
        <w:rPr>
          <w:rFonts w:ascii="Arial" w:hAnsi="Arial" w:cs="Arial"/>
          <w:color w:val="1A1A1A"/>
          <w:sz w:val="20"/>
          <w:szCs w:val="20"/>
          <w:shd w:val="clear" w:color="auto" w:fill="FFFFFF"/>
        </w:rPr>
        <w:t>Bantey</w:t>
      </w:r>
      <w:proofErr w:type="spellEnd"/>
      <w:r>
        <w:rPr>
          <w:rFonts w:ascii="Arial" w:hAnsi="Arial" w:cs="Arial"/>
          <w:color w:val="1A1A1A"/>
          <w:sz w:val="20"/>
          <w:szCs w:val="20"/>
          <w:shd w:val="clear" w:color="auto" w:fill="FFFFFF"/>
        </w:rPr>
        <w:t xml:space="preserve"> Meanchey, the average household income</w:t>
      </w:r>
      <w:r w:rsidRPr="004C6941">
        <w:rPr>
          <w:rFonts w:ascii="Arial" w:hAnsi="Arial" w:cs="Arial"/>
          <w:color w:val="1A1A1A"/>
          <w:sz w:val="20"/>
          <w:szCs w:val="20"/>
          <w:shd w:val="clear" w:color="auto" w:fill="FFFFFF"/>
        </w:rPr>
        <w:t xml:space="preserve"> </w:t>
      </w:r>
      <w:r>
        <w:rPr>
          <w:rFonts w:ascii="Arial" w:hAnsi="Arial" w:cs="Arial"/>
          <w:color w:val="1A1A1A"/>
          <w:sz w:val="20"/>
          <w:szCs w:val="20"/>
          <w:shd w:val="clear" w:color="auto" w:fill="FFFFFF"/>
        </w:rPr>
        <w:t>is highest compared to other two provinces which is 3,</w:t>
      </w:r>
      <w:r w:rsidRPr="004C6941">
        <w:rPr>
          <w:rFonts w:ascii="Arial" w:hAnsi="Arial" w:cs="Arial"/>
          <w:color w:val="1A1A1A"/>
          <w:sz w:val="20"/>
          <w:szCs w:val="20"/>
          <w:shd w:val="clear" w:color="auto" w:fill="FFFFFF"/>
        </w:rPr>
        <w:t>969 USD per year</w:t>
      </w:r>
      <w:r>
        <w:rPr>
          <w:rFonts w:ascii="Arial" w:hAnsi="Arial" w:cs="Arial"/>
          <w:color w:val="1A1A1A"/>
          <w:sz w:val="20"/>
          <w:szCs w:val="20"/>
          <w:shd w:val="clear" w:color="auto" w:fill="FFFFFF"/>
        </w:rPr>
        <w:t>, equivalent to 330.</w:t>
      </w:r>
      <w:r w:rsidRPr="004C6941">
        <w:rPr>
          <w:rFonts w:ascii="Arial" w:hAnsi="Arial" w:cs="Arial"/>
          <w:color w:val="1A1A1A"/>
          <w:sz w:val="20"/>
          <w:szCs w:val="20"/>
          <w:shd w:val="clear" w:color="auto" w:fill="FFFFFF"/>
        </w:rPr>
        <w:t xml:space="preserve">75 </w:t>
      </w:r>
      <w:r>
        <w:rPr>
          <w:rFonts w:ascii="Arial" w:hAnsi="Arial" w:cs="Arial"/>
          <w:color w:val="1A1A1A"/>
          <w:sz w:val="20"/>
          <w:szCs w:val="20"/>
          <w:shd w:val="clear" w:color="auto" w:fill="FFFFFF"/>
        </w:rPr>
        <w:t>USD per household, per month.</w:t>
      </w:r>
    </w:p>
    <w:p w14:paraId="1166815A" w14:textId="77777777" w:rsidR="000D39B0" w:rsidRPr="000D39B0" w:rsidRDefault="00160273" w:rsidP="000D39B0">
      <w:pPr>
        <w:rPr>
          <w:rFonts w:ascii="Arial" w:hAnsi="Arial" w:cs="Arial"/>
          <w:sz w:val="20"/>
          <w:szCs w:val="20"/>
          <w:u w:val="single"/>
        </w:rPr>
      </w:pPr>
      <w:r w:rsidRPr="00160273">
        <w:rPr>
          <w:rFonts w:ascii="Arial" w:hAnsi="Arial" w:cs="Arial"/>
          <w:b/>
          <w:color w:val="1A1A1A"/>
          <w:sz w:val="20"/>
          <w:szCs w:val="20"/>
          <w:shd w:val="clear" w:color="auto" w:fill="FFFFFF"/>
        </w:rPr>
        <w:t>Table 11:</w:t>
      </w:r>
      <w:r w:rsidR="000D39B0">
        <w:rPr>
          <w:rFonts w:ascii="Arial" w:hAnsi="Arial" w:cs="Arial"/>
          <w:color w:val="1A1A1A"/>
          <w:sz w:val="20"/>
          <w:szCs w:val="20"/>
          <w:shd w:val="clear" w:color="auto" w:fill="FFFFFF"/>
        </w:rPr>
        <w:t xml:space="preserve"> </w:t>
      </w:r>
      <w:proofErr w:type="spellStart"/>
      <w:r w:rsidR="000D39B0" w:rsidRPr="00160273">
        <w:rPr>
          <w:rFonts w:ascii="Arial" w:hAnsi="Arial" w:cs="Arial"/>
          <w:color w:val="1A1A1A"/>
          <w:sz w:val="20"/>
          <w:szCs w:val="20"/>
          <w:shd w:val="clear" w:color="auto" w:fill="FFFFFF"/>
        </w:rPr>
        <w:t>Bantey</w:t>
      </w:r>
      <w:proofErr w:type="spellEnd"/>
      <w:r w:rsidR="000D39B0" w:rsidRPr="00160273">
        <w:rPr>
          <w:rFonts w:ascii="Arial" w:hAnsi="Arial" w:cs="Arial"/>
          <w:color w:val="1A1A1A"/>
          <w:sz w:val="20"/>
          <w:szCs w:val="20"/>
          <w:shd w:val="clear" w:color="auto" w:fill="FFFFFF"/>
        </w:rPr>
        <w:t xml:space="preserve"> Meanchey</w:t>
      </w:r>
      <w:r w:rsidR="000D39B0">
        <w:rPr>
          <w:rFonts w:ascii="Arial" w:hAnsi="Arial" w:cs="Arial"/>
          <w:color w:val="1A1A1A"/>
          <w:sz w:val="20"/>
          <w:szCs w:val="20"/>
          <w:shd w:val="clear" w:color="auto" w:fill="FFFFFF"/>
        </w:rPr>
        <w:t xml:space="preserve"> </w:t>
      </w:r>
      <w:r w:rsidR="00775938">
        <w:rPr>
          <w:rFonts w:ascii="Arial" w:hAnsi="Arial" w:cs="Arial"/>
          <w:color w:val="1A1A1A"/>
          <w:sz w:val="20"/>
          <w:szCs w:val="20"/>
          <w:shd w:val="clear" w:color="auto" w:fill="FFFFFF"/>
        </w:rPr>
        <w:t>– cultivated crops</w:t>
      </w:r>
      <w:r w:rsidR="00080367">
        <w:rPr>
          <w:rFonts w:ascii="Arial" w:hAnsi="Arial" w:cs="Arial"/>
          <w:color w:val="1A1A1A"/>
          <w:sz w:val="20"/>
          <w:szCs w:val="20"/>
          <w:shd w:val="clear" w:color="auto" w:fill="FFFFFF"/>
        </w:rPr>
        <w:t xml:space="preserve"> for sell, for the last 12 months</w:t>
      </w:r>
    </w:p>
    <w:tbl>
      <w:tblPr>
        <w:tblStyle w:val="TableGrid"/>
        <w:tblW w:w="0" w:type="auto"/>
        <w:tblLook w:val="04A0" w:firstRow="1" w:lastRow="0" w:firstColumn="1" w:lastColumn="0" w:noHBand="0" w:noVBand="1"/>
      </w:tblPr>
      <w:tblGrid>
        <w:gridCol w:w="1458"/>
        <w:gridCol w:w="1890"/>
        <w:gridCol w:w="1620"/>
        <w:gridCol w:w="1710"/>
      </w:tblGrid>
      <w:tr w:rsidR="0096744E" w:rsidRPr="000D39B0" w14:paraId="414F25C8" w14:textId="77777777" w:rsidTr="00080367">
        <w:tc>
          <w:tcPr>
            <w:tcW w:w="1458" w:type="dxa"/>
          </w:tcPr>
          <w:p w14:paraId="247D01C9"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Crops</w:t>
            </w:r>
          </w:p>
        </w:tc>
        <w:tc>
          <w:tcPr>
            <w:tcW w:w="1890" w:type="dxa"/>
          </w:tcPr>
          <w:p w14:paraId="6ABA3650" w14:textId="77777777" w:rsidR="0096744E" w:rsidRPr="000D39B0" w:rsidRDefault="0096744E" w:rsidP="0096744E">
            <w:pPr>
              <w:jc w:val="center"/>
              <w:rPr>
                <w:rFonts w:ascii="Arial" w:hAnsi="Arial" w:cs="Arial"/>
                <w:sz w:val="18"/>
                <w:szCs w:val="18"/>
              </w:rPr>
            </w:pPr>
            <w:proofErr w:type="spellStart"/>
            <w:r w:rsidRPr="000D39B0">
              <w:rPr>
                <w:rFonts w:ascii="Arial" w:hAnsi="Arial" w:cs="Arial"/>
                <w:sz w:val="18"/>
                <w:szCs w:val="18"/>
              </w:rPr>
              <w:t>Bantey</w:t>
            </w:r>
            <w:proofErr w:type="spellEnd"/>
            <w:r w:rsidRPr="000D39B0">
              <w:rPr>
                <w:rFonts w:ascii="Arial" w:hAnsi="Arial" w:cs="Arial"/>
                <w:sz w:val="18"/>
                <w:szCs w:val="18"/>
              </w:rPr>
              <w:t xml:space="preserve"> Meanchey</w:t>
            </w:r>
          </w:p>
          <w:p w14:paraId="04C2810B" w14:textId="77777777" w:rsidR="0096744E" w:rsidRPr="000D39B0" w:rsidRDefault="0096744E" w:rsidP="0096744E">
            <w:pPr>
              <w:jc w:val="center"/>
              <w:rPr>
                <w:rFonts w:ascii="Arial" w:hAnsi="Arial" w:cs="Arial"/>
                <w:sz w:val="18"/>
                <w:szCs w:val="18"/>
              </w:rPr>
            </w:pPr>
          </w:p>
          <w:p w14:paraId="34DD3EA4" w14:textId="77777777" w:rsidR="0096744E" w:rsidRPr="000D39B0" w:rsidRDefault="0096744E" w:rsidP="0096744E">
            <w:pPr>
              <w:jc w:val="center"/>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Total yield (Kg)</w:t>
            </w:r>
          </w:p>
          <w:p w14:paraId="26B8E389" w14:textId="77777777" w:rsidR="000D39B0" w:rsidRPr="000D39B0" w:rsidRDefault="000D39B0" w:rsidP="0096744E">
            <w:pPr>
              <w:jc w:val="center"/>
              <w:rPr>
                <w:rFonts w:ascii="Arial" w:eastAsia="Times New Roman" w:hAnsi="Arial" w:cs="Arial"/>
                <w:color w:val="000000"/>
                <w:sz w:val="18"/>
                <w:szCs w:val="18"/>
                <w:lang w:eastAsia="ru-RU"/>
              </w:rPr>
            </w:pPr>
            <w:r w:rsidRPr="000D39B0">
              <w:rPr>
                <w:rFonts w:ascii="Arial" w:hAnsi="Arial" w:cs="Arial"/>
                <w:sz w:val="18"/>
                <w:szCs w:val="18"/>
              </w:rPr>
              <w:t>(average)</w:t>
            </w:r>
          </w:p>
          <w:p w14:paraId="1DFDBCF6" w14:textId="77777777" w:rsidR="0096744E" w:rsidRPr="000D39B0" w:rsidRDefault="0096744E" w:rsidP="0096744E">
            <w:pPr>
              <w:jc w:val="center"/>
              <w:rPr>
                <w:rFonts w:ascii="Arial" w:hAnsi="Arial" w:cs="Arial"/>
                <w:sz w:val="18"/>
                <w:szCs w:val="18"/>
              </w:rPr>
            </w:pPr>
          </w:p>
        </w:tc>
        <w:tc>
          <w:tcPr>
            <w:tcW w:w="1620" w:type="dxa"/>
          </w:tcPr>
          <w:p w14:paraId="2A46FA11"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 xml:space="preserve">Price kg </w:t>
            </w:r>
          </w:p>
          <w:p w14:paraId="7FF429B3"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USD</w:t>
            </w:r>
          </w:p>
          <w:p w14:paraId="54F0BBD3" w14:textId="77777777" w:rsidR="000D39B0" w:rsidRPr="000D39B0" w:rsidRDefault="000D39B0" w:rsidP="0096744E">
            <w:pPr>
              <w:jc w:val="center"/>
              <w:rPr>
                <w:rFonts w:ascii="Arial" w:hAnsi="Arial" w:cs="Arial"/>
                <w:sz w:val="18"/>
                <w:szCs w:val="18"/>
              </w:rPr>
            </w:pPr>
            <w:r w:rsidRPr="000D39B0">
              <w:rPr>
                <w:rFonts w:ascii="Arial" w:hAnsi="Arial" w:cs="Arial"/>
                <w:sz w:val="18"/>
                <w:szCs w:val="18"/>
              </w:rPr>
              <w:t>(average)</w:t>
            </w:r>
          </w:p>
        </w:tc>
        <w:tc>
          <w:tcPr>
            <w:tcW w:w="1710" w:type="dxa"/>
          </w:tcPr>
          <w:p w14:paraId="32627AF9"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 xml:space="preserve">Value  </w:t>
            </w:r>
          </w:p>
          <w:p w14:paraId="07147CD3"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 xml:space="preserve"> USD</w:t>
            </w:r>
          </w:p>
          <w:p w14:paraId="38056060" w14:textId="77777777" w:rsidR="000D39B0" w:rsidRPr="000D39B0" w:rsidRDefault="000D39B0" w:rsidP="0096744E">
            <w:pPr>
              <w:jc w:val="center"/>
              <w:rPr>
                <w:rFonts w:ascii="Arial" w:hAnsi="Arial" w:cs="Arial"/>
                <w:sz w:val="18"/>
                <w:szCs w:val="18"/>
              </w:rPr>
            </w:pPr>
            <w:r w:rsidRPr="000D39B0">
              <w:rPr>
                <w:rFonts w:ascii="Arial" w:hAnsi="Arial" w:cs="Arial"/>
                <w:sz w:val="18"/>
                <w:szCs w:val="18"/>
              </w:rPr>
              <w:t>(average)</w:t>
            </w:r>
          </w:p>
        </w:tc>
      </w:tr>
      <w:tr w:rsidR="0096744E" w:rsidRPr="000D39B0" w14:paraId="20678E1B" w14:textId="77777777" w:rsidTr="00080367">
        <w:tc>
          <w:tcPr>
            <w:tcW w:w="1458" w:type="dxa"/>
          </w:tcPr>
          <w:p w14:paraId="14693A82" w14:textId="77777777" w:rsidR="0096744E" w:rsidRPr="000D39B0" w:rsidRDefault="0096744E" w:rsidP="0096744E">
            <w:pPr>
              <w:rPr>
                <w:rFonts w:ascii="Arial" w:hAnsi="Arial" w:cs="Arial"/>
                <w:sz w:val="18"/>
                <w:szCs w:val="18"/>
              </w:rPr>
            </w:pPr>
            <w:r w:rsidRPr="000D39B0">
              <w:rPr>
                <w:rFonts w:ascii="Arial" w:hAnsi="Arial" w:cs="Arial"/>
                <w:sz w:val="18"/>
                <w:szCs w:val="18"/>
              </w:rPr>
              <w:t>Rice</w:t>
            </w:r>
          </w:p>
        </w:tc>
        <w:tc>
          <w:tcPr>
            <w:tcW w:w="1890" w:type="dxa"/>
            <w:vAlign w:val="center"/>
          </w:tcPr>
          <w:p w14:paraId="23F64054"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1524</w:t>
            </w:r>
          </w:p>
        </w:tc>
        <w:tc>
          <w:tcPr>
            <w:tcW w:w="1620" w:type="dxa"/>
          </w:tcPr>
          <w:p w14:paraId="390EABB6" w14:textId="77777777" w:rsidR="0096744E" w:rsidRPr="000D39B0" w:rsidRDefault="0096744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1.76</w:t>
            </w:r>
          </w:p>
        </w:tc>
        <w:tc>
          <w:tcPr>
            <w:tcW w:w="1710" w:type="dxa"/>
            <w:vAlign w:val="center"/>
          </w:tcPr>
          <w:p w14:paraId="02DE2CC1"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2684</w:t>
            </w:r>
          </w:p>
        </w:tc>
      </w:tr>
      <w:tr w:rsidR="0096744E" w:rsidRPr="000D39B0" w14:paraId="17C9070A" w14:textId="77777777" w:rsidTr="00080367">
        <w:tc>
          <w:tcPr>
            <w:tcW w:w="1458" w:type="dxa"/>
          </w:tcPr>
          <w:p w14:paraId="3FC358CF"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Cassava </w:t>
            </w:r>
          </w:p>
        </w:tc>
        <w:tc>
          <w:tcPr>
            <w:tcW w:w="1890" w:type="dxa"/>
            <w:vAlign w:val="center"/>
          </w:tcPr>
          <w:p w14:paraId="4432D41E"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15817</w:t>
            </w:r>
          </w:p>
        </w:tc>
        <w:tc>
          <w:tcPr>
            <w:tcW w:w="1620" w:type="dxa"/>
          </w:tcPr>
          <w:p w14:paraId="6D005159"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0.06</w:t>
            </w:r>
          </w:p>
        </w:tc>
        <w:tc>
          <w:tcPr>
            <w:tcW w:w="1710" w:type="dxa"/>
            <w:vAlign w:val="center"/>
          </w:tcPr>
          <w:p w14:paraId="403DA3FD"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1051</w:t>
            </w:r>
          </w:p>
        </w:tc>
      </w:tr>
      <w:tr w:rsidR="0096744E" w:rsidRPr="000D39B0" w14:paraId="0A93F56A" w14:textId="77777777" w:rsidTr="00080367">
        <w:tc>
          <w:tcPr>
            <w:tcW w:w="1458" w:type="dxa"/>
          </w:tcPr>
          <w:p w14:paraId="161FD437"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Maize </w:t>
            </w:r>
          </w:p>
        </w:tc>
        <w:tc>
          <w:tcPr>
            <w:tcW w:w="1890" w:type="dxa"/>
            <w:vAlign w:val="center"/>
          </w:tcPr>
          <w:p w14:paraId="5E1D03B1"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100</w:t>
            </w:r>
          </w:p>
        </w:tc>
        <w:tc>
          <w:tcPr>
            <w:tcW w:w="1620" w:type="dxa"/>
          </w:tcPr>
          <w:p w14:paraId="1A23829B"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0.25</w:t>
            </w:r>
          </w:p>
        </w:tc>
        <w:tc>
          <w:tcPr>
            <w:tcW w:w="1710" w:type="dxa"/>
            <w:vAlign w:val="center"/>
          </w:tcPr>
          <w:p w14:paraId="5F563DF6"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25</w:t>
            </w:r>
          </w:p>
        </w:tc>
      </w:tr>
      <w:tr w:rsidR="0096744E" w:rsidRPr="000D39B0" w14:paraId="22FB68BF" w14:textId="77777777" w:rsidTr="00080367">
        <w:tc>
          <w:tcPr>
            <w:tcW w:w="1458" w:type="dxa"/>
          </w:tcPr>
          <w:p w14:paraId="693A9E53"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Sesame </w:t>
            </w:r>
          </w:p>
        </w:tc>
        <w:tc>
          <w:tcPr>
            <w:tcW w:w="1890" w:type="dxa"/>
            <w:vAlign w:val="center"/>
          </w:tcPr>
          <w:p w14:paraId="08D8C68C" w14:textId="77777777" w:rsidR="0096744E" w:rsidRPr="000D39B0" w:rsidRDefault="0096744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val="ru-RU" w:eastAsia="ru-RU"/>
              </w:rPr>
              <w:t> </w:t>
            </w:r>
            <w:r w:rsidR="00D823CE" w:rsidRPr="000D39B0">
              <w:rPr>
                <w:rFonts w:ascii="Arial" w:eastAsia="Times New Roman" w:hAnsi="Arial" w:cs="Arial"/>
                <w:color w:val="000000"/>
                <w:sz w:val="18"/>
                <w:szCs w:val="18"/>
                <w:lang w:eastAsia="ru-RU"/>
              </w:rPr>
              <w:t>0</w:t>
            </w:r>
          </w:p>
        </w:tc>
        <w:tc>
          <w:tcPr>
            <w:tcW w:w="1620" w:type="dxa"/>
          </w:tcPr>
          <w:p w14:paraId="7F45AE04"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w:t>
            </w:r>
          </w:p>
        </w:tc>
        <w:tc>
          <w:tcPr>
            <w:tcW w:w="1710" w:type="dxa"/>
            <w:vAlign w:val="center"/>
          </w:tcPr>
          <w:p w14:paraId="2F31C265" w14:textId="77777777" w:rsidR="0096744E" w:rsidRPr="000D39B0" w:rsidRDefault="00D823C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eastAsia="ru-RU"/>
              </w:rPr>
              <w:t>0</w:t>
            </w:r>
            <w:r w:rsidR="0096744E" w:rsidRPr="000D39B0">
              <w:rPr>
                <w:rFonts w:ascii="Arial" w:eastAsia="Times New Roman" w:hAnsi="Arial" w:cs="Arial"/>
                <w:color w:val="000000"/>
                <w:sz w:val="18"/>
                <w:szCs w:val="18"/>
                <w:lang w:val="ru-RU" w:eastAsia="ru-RU"/>
              </w:rPr>
              <w:t> </w:t>
            </w:r>
          </w:p>
        </w:tc>
      </w:tr>
      <w:tr w:rsidR="0096744E" w:rsidRPr="000D39B0" w14:paraId="7A247A1F" w14:textId="77777777" w:rsidTr="00080367">
        <w:tc>
          <w:tcPr>
            <w:tcW w:w="1458" w:type="dxa"/>
          </w:tcPr>
          <w:p w14:paraId="21EE28E0" w14:textId="77777777" w:rsidR="0096744E" w:rsidRPr="000D39B0" w:rsidRDefault="0096744E" w:rsidP="0096744E">
            <w:pPr>
              <w:rPr>
                <w:rFonts w:ascii="Arial" w:hAnsi="Arial" w:cs="Arial"/>
                <w:sz w:val="18"/>
                <w:szCs w:val="18"/>
              </w:rPr>
            </w:pPr>
            <w:r w:rsidRPr="000D39B0">
              <w:rPr>
                <w:rFonts w:ascii="Arial" w:hAnsi="Arial" w:cs="Arial"/>
                <w:sz w:val="18"/>
                <w:szCs w:val="18"/>
              </w:rPr>
              <w:lastRenderedPageBreak/>
              <w:t xml:space="preserve">Fruits </w:t>
            </w:r>
          </w:p>
        </w:tc>
        <w:tc>
          <w:tcPr>
            <w:tcW w:w="1890" w:type="dxa"/>
            <w:vAlign w:val="center"/>
          </w:tcPr>
          <w:p w14:paraId="48A2E9C6"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1004</w:t>
            </w:r>
          </w:p>
        </w:tc>
        <w:tc>
          <w:tcPr>
            <w:tcW w:w="1620" w:type="dxa"/>
          </w:tcPr>
          <w:p w14:paraId="2CEF26F3"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0.20</w:t>
            </w:r>
          </w:p>
        </w:tc>
        <w:tc>
          <w:tcPr>
            <w:tcW w:w="1710" w:type="dxa"/>
            <w:vAlign w:val="center"/>
          </w:tcPr>
          <w:p w14:paraId="6DB5FFD5"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209</w:t>
            </w:r>
          </w:p>
        </w:tc>
      </w:tr>
      <w:tr w:rsidR="0096744E" w:rsidRPr="000D39B0" w14:paraId="63B5C62B" w14:textId="77777777" w:rsidTr="00080367">
        <w:tc>
          <w:tcPr>
            <w:tcW w:w="1458" w:type="dxa"/>
          </w:tcPr>
          <w:p w14:paraId="646DFF41"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Other </w:t>
            </w:r>
          </w:p>
        </w:tc>
        <w:tc>
          <w:tcPr>
            <w:tcW w:w="1890" w:type="dxa"/>
            <w:vAlign w:val="center"/>
          </w:tcPr>
          <w:p w14:paraId="6AE65486"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0</w:t>
            </w:r>
          </w:p>
        </w:tc>
        <w:tc>
          <w:tcPr>
            <w:tcW w:w="1620" w:type="dxa"/>
          </w:tcPr>
          <w:p w14:paraId="214598CF"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w:t>
            </w:r>
          </w:p>
        </w:tc>
        <w:tc>
          <w:tcPr>
            <w:tcW w:w="1710" w:type="dxa"/>
            <w:vAlign w:val="center"/>
          </w:tcPr>
          <w:p w14:paraId="0604080E"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0</w:t>
            </w:r>
          </w:p>
        </w:tc>
      </w:tr>
      <w:tr w:rsidR="00775938" w:rsidRPr="00775938" w14:paraId="5787E210" w14:textId="77777777" w:rsidTr="00080367">
        <w:tc>
          <w:tcPr>
            <w:tcW w:w="1458" w:type="dxa"/>
            <w:shd w:val="clear" w:color="auto" w:fill="D0CECE" w:themeFill="background2" w:themeFillShade="E6"/>
          </w:tcPr>
          <w:p w14:paraId="4F804B98" w14:textId="77777777" w:rsidR="00775938" w:rsidRPr="00775938" w:rsidRDefault="00775938" w:rsidP="0096744E">
            <w:pPr>
              <w:rPr>
                <w:rFonts w:ascii="Arial" w:hAnsi="Arial" w:cs="Arial"/>
                <w:b/>
                <w:sz w:val="18"/>
                <w:szCs w:val="18"/>
              </w:rPr>
            </w:pPr>
            <w:r w:rsidRPr="00775938">
              <w:rPr>
                <w:rFonts w:ascii="Arial" w:hAnsi="Arial" w:cs="Arial"/>
                <w:b/>
                <w:sz w:val="18"/>
                <w:szCs w:val="18"/>
              </w:rPr>
              <w:t>Total</w:t>
            </w:r>
          </w:p>
        </w:tc>
        <w:tc>
          <w:tcPr>
            <w:tcW w:w="5220" w:type="dxa"/>
            <w:gridSpan w:val="3"/>
            <w:shd w:val="clear" w:color="auto" w:fill="D0CECE" w:themeFill="background2" w:themeFillShade="E6"/>
            <w:vAlign w:val="center"/>
          </w:tcPr>
          <w:p w14:paraId="07E0D63F" w14:textId="77777777" w:rsidR="00775938" w:rsidRPr="00775938" w:rsidRDefault="00775938" w:rsidP="0096744E">
            <w:pPr>
              <w:jc w:val="right"/>
              <w:rPr>
                <w:rFonts w:ascii="Arial" w:eastAsia="Times New Roman" w:hAnsi="Arial" w:cs="Arial"/>
                <w:b/>
                <w:color w:val="000000"/>
                <w:sz w:val="18"/>
                <w:szCs w:val="18"/>
                <w:lang w:eastAsia="ru-RU"/>
              </w:rPr>
            </w:pPr>
            <w:r w:rsidRPr="00775938">
              <w:rPr>
                <w:rFonts w:ascii="Arial" w:eastAsia="Times New Roman" w:hAnsi="Arial" w:cs="Arial"/>
                <w:b/>
                <w:color w:val="000000"/>
                <w:sz w:val="18"/>
                <w:szCs w:val="18"/>
                <w:lang w:eastAsia="ru-RU"/>
              </w:rPr>
              <w:t>3,969</w:t>
            </w:r>
          </w:p>
        </w:tc>
      </w:tr>
    </w:tbl>
    <w:p w14:paraId="12F85BFA" w14:textId="77777777" w:rsidR="008A5873" w:rsidRDefault="008A5873" w:rsidP="008A5873">
      <w:pPr>
        <w:jc w:val="both"/>
        <w:rPr>
          <w:rFonts w:ascii="Arial" w:hAnsi="Arial" w:cs="Arial"/>
          <w:color w:val="1A1A1A"/>
          <w:sz w:val="20"/>
          <w:szCs w:val="20"/>
          <w:shd w:val="clear" w:color="auto" w:fill="FFFFFF"/>
        </w:rPr>
      </w:pPr>
    </w:p>
    <w:p w14:paraId="5CED4954" w14:textId="77777777" w:rsidR="005B666C" w:rsidRDefault="005B666C" w:rsidP="005B666C">
      <w:pPr>
        <w:jc w:val="both"/>
        <w:rPr>
          <w:rFonts w:ascii="Arial" w:hAnsi="Arial" w:cs="Arial"/>
          <w:color w:val="1A1A1A"/>
          <w:sz w:val="20"/>
          <w:szCs w:val="20"/>
          <w:shd w:val="clear" w:color="auto" w:fill="FFFFFF"/>
        </w:rPr>
      </w:pPr>
      <w:r>
        <w:rPr>
          <w:rFonts w:ascii="Arial" w:hAnsi="Arial" w:cs="Arial"/>
          <w:color w:val="1A1A1A"/>
          <w:sz w:val="20"/>
          <w:szCs w:val="20"/>
          <w:shd w:val="clear" w:color="auto" w:fill="FFFFFF"/>
        </w:rPr>
        <w:t xml:space="preserve">In Pailin, the estimated household’s </w:t>
      </w:r>
      <w:r w:rsidRPr="004C6941">
        <w:rPr>
          <w:rFonts w:ascii="Arial" w:hAnsi="Arial" w:cs="Arial"/>
          <w:color w:val="1A1A1A"/>
          <w:sz w:val="20"/>
          <w:szCs w:val="20"/>
          <w:shd w:val="clear" w:color="auto" w:fill="FFFFFF"/>
        </w:rPr>
        <w:t xml:space="preserve">average </w:t>
      </w:r>
      <w:r>
        <w:rPr>
          <w:rFonts w:ascii="Arial" w:hAnsi="Arial" w:cs="Arial"/>
          <w:color w:val="1A1A1A"/>
          <w:sz w:val="20"/>
          <w:szCs w:val="20"/>
          <w:shd w:val="clear" w:color="auto" w:fill="FFFFFF"/>
        </w:rPr>
        <w:t xml:space="preserve">income is 3,248 USD per </w:t>
      </w:r>
      <w:proofErr w:type="gramStart"/>
      <w:r>
        <w:rPr>
          <w:rFonts w:ascii="Arial" w:hAnsi="Arial" w:cs="Arial"/>
          <w:color w:val="1A1A1A"/>
          <w:sz w:val="20"/>
          <w:szCs w:val="20"/>
          <w:shd w:val="clear" w:color="auto" w:fill="FFFFFF"/>
        </w:rPr>
        <w:t>year,</w:t>
      </w:r>
      <w:proofErr w:type="gramEnd"/>
      <w:r>
        <w:rPr>
          <w:rFonts w:ascii="Arial" w:hAnsi="Arial" w:cs="Arial"/>
          <w:color w:val="1A1A1A"/>
          <w:sz w:val="20"/>
          <w:szCs w:val="20"/>
          <w:shd w:val="clear" w:color="auto" w:fill="FFFFFF"/>
        </w:rPr>
        <w:t xml:space="preserve"> this is equivalent to 270.</w:t>
      </w:r>
      <w:r w:rsidRPr="004C6941">
        <w:rPr>
          <w:rFonts w:ascii="Arial" w:hAnsi="Arial" w:cs="Arial"/>
          <w:color w:val="1A1A1A"/>
          <w:sz w:val="20"/>
          <w:szCs w:val="20"/>
          <w:shd w:val="clear" w:color="auto" w:fill="FFFFFF"/>
        </w:rPr>
        <w:t xml:space="preserve">66 USD per household, per month.   </w:t>
      </w:r>
    </w:p>
    <w:p w14:paraId="16230E9C" w14:textId="77777777" w:rsidR="009D08BB" w:rsidRDefault="009D08BB" w:rsidP="00D46925">
      <w:pPr>
        <w:jc w:val="both"/>
        <w:rPr>
          <w:rFonts w:ascii="Arial" w:hAnsi="Arial" w:cs="Arial"/>
          <w:b/>
          <w:color w:val="1A1A1A"/>
          <w:sz w:val="20"/>
          <w:szCs w:val="20"/>
          <w:shd w:val="clear" w:color="auto" w:fill="FFFFFF"/>
        </w:rPr>
      </w:pPr>
    </w:p>
    <w:p w14:paraId="59F42A25" w14:textId="77777777" w:rsidR="009D08BB" w:rsidRDefault="009D08BB" w:rsidP="00D46925">
      <w:pPr>
        <w:jc w:val="both"/>
        <w:rPr>
          <w:rFonts w:ascii="Arial" w:hAnsi="Arial" w:cs="Arial"/>
          <w:b/>
          <w:color w:val="1A1A1A"/>
          <w:sz w:val="20"/>
          <w:szCs w:val="20"/>
          <w:shd w:val="clear" w:color="auto" w:fill="FFFFFF"/>
        </w:rPr>
      </w:pPr>
    </w:p>
    <w:p w14:paraId="0701C57B" w14:textId="77777777" w:rsidR="009D08BB" w:rsidRDefault="009D08BB" w:rsidP="00D46925">
      <w:pPr>
        <w:jc w:val="both"/>
        <w:rPr>
          <w:rFonts w:ascii="Arial" w:hAnsi="Arial" w:cs="Arial"/>
          <w:b/>
          <w:color w:val="1A1A1A"/>
          <w:sz w:val="20"/>
          <w:szCs w:val="20"/>
          <w:shd w:val="clear" w:color="auto" w:fill="FFFFFF"/>
        </w:rPr>
      </w:pPr>
    </w:p>
    <w:p w14:paraId="6A01B2B5" w14:textId="77777777" w:rsidR="000D39B0" w:rsidRPr="0096744E" w:rsidRDefault="00160273" w:rsidP="00D46925">
      <w:pPr>
        <w:jc w:val="both"/>
        <w:rPr>
          <w:rFonts w:ascii="Arial" w:hAnsi="Arial" w:cs="Arial"/>
          <w:color w:val="1A1A1A"/>
          <w:sz w:val="20"/>
          <w:szCs w:val="20"/>
          <w:shd w:val="clear" w:color="auto" w:fill="FFFFFF"/>
        </w:rPr>
      </w:pPr>
      <w:r w:rsidRPr="00160273">
        <w:rPr>
          <w:rFonts w:ascii="Arial" w:hAnsi="Arial" w:cs="Arial"/>
          <w:b/>
          <w:color w:val="1A1A1A"/>
          <w:sz w:val="20"/>
          <w:szCs w:val="20"/>
          <w:shd w:val="clear" w:color="auto" w:fill="FFFFFF"/>
        </w:rPr>
        <w:t>Table 12</w:t>
      </w:r>
      <w:r w:rsidR="000D39B0" w:rsidRPr="00160273">
        <w:rPr>
          <w:rFonts w:ascii="Arial" w:hAnsi="Arial" w:cs="Arial"/>
          <w:b/>
          <w:color w:val="1A1A1A"/>
          <w:sz w:val="20"/>
          <w:szCs w:val="20"/>
          <w:shd w:val="clear" w:color="auto" w:fill="FFFFFF"/>
        </w:rPr>
        <w:t>:</w:t>
      </w:r>
      <w:r w:rsidR="000D39B0">
        <w:rPr>
          <w:rFonts w:ascii="Arial" w:hAnsi="Arial" w:cs="Arial"/>
          <w:color w:val="1A1A1A"/>
          <w:sz w:val="20"/>
          <w:szCs w:val="20"/>
          <w:shd w:val="clear" w:color="auto" w:fill="FFFFFF"/>
        </w:rPr>
        <w:t xml:space="preserve"> </w:t>
      </w:r>
      <w:r w:rsidR="008A5873" w:rsidRPr="00080367">
        <w:rPr>
          <w:rFonts w:ascii="Arial" w:hAnsi="Arial" w:cs="Arial"/>
          <w:color w:val="1A1A1A"/>
          <w:sz w:val="20"/>
          <w:szCs w:val="20"/>
          <w:shd w:val="clear" w:color="auto" w:fill="FFFFFF"/>
        </w:rPr>
        <w:t xml:space="preserve"> </w:t>
      </w:r>
      <w:r w:rsidR="000D39B0" w:rsidRPr="00080367">
        <w:rPr>
          <w:rFonts w:ascii="Arial" w:hAnsi="Arial" w:cs="Arial"/>
          <w:color w:val="1A1A1A"/>
          <w:sz w:val="20"/>
          <w:szCs w:val="20"/>
          <w:shd w:val="clear" w:color="auto" w:fill="FFFFFF"/>
        </w:rPr>
        <w:t>Pailin</w:t>
      </w:r>
      <w:r w:rsidR="000D39B0">
        <w:rPr>
          <w:rFonts w:ascii="Arial" w:hAnsi="Arial" w:cs="Arial"/>
          <w:color w:val="1A1A1A"/>
          <w:sz w:val="20"/>
          <w:szCs w:val="20"/>
          <w:shd w:val="clear" w:color="auto" w:fill="FFFFFF"/>
        </w:rPr>
        <w:t xml:space="preserve"> </w:t>
      </w:r>
      <w:r w:rsidR="00775938">
        <w:rPr>
          <w:rFonts w:ascii="Arial" w:hAnsi="Arial" w:cs="Arial"/>
          <w:color w:val="1A1A1A"/>
          <w:sz w:val="20"/>
          <w:szCs w:val="20"/>
          <w:shd w:val="clear" w:color="auto" w:fill="FFFFFF"/>
        </w:rPr>
        <w:t>– cultivated crops</w:t>
      </w:r>
      <w:r w:rsidR="00A055EF">
        <w:rPr>
          <w:rFonts w:ascii="Arial" w:hAnsi="Arial" w:cs="Arial"/>
          <w:color w:val="1A1A1A"/>
          <w:sz w:val="20"/>
          <w:szCs w:val="20"/>
          <w:shd w:val="clear" w:color="auto" w:fill="FFFFFF"/>
        </w:rPr>
        <w:t xml:space="preserve"> for s</w:t>
      </w:r>
      <w:r w:rsidR="005B666C">
        <w:rPr>
          <w:rFonts w:ascii="Arial" w:hAnsi="Arial" w:cs="Arial"/>
          <w:color w:val="1A1A1A"/>
          <w:sz w:val="20"/>
          <w:szCs w:val="20"/>
          <w:shd w:val="clear" w:color="auto" w:fill="FFFFFF"/>
        </w:rPr>
        <w:t>ell, for the last 12 months</w:t>
      </w:r>
      <w:r w:rsidR="00A055EF">
        <w:rPr>
          <w:rFonts w:ascii="Arial" w:hAnsi="Arial" w:cs="Arial"/>
          <w:color w:val="1A1A1A"/>
          <w:sz w:val="20"/>
          <w:szCs w:val="20"/>
          <w:shd w:val="clear" w:color="auto" w:fill="FFFFFF"/>
        </w:rPr>
        <w:t xml:space="preserve"> </w:t>
      </w:r>
    </w:p>
    <w:tbl>
      <w:tblPr>
        <w:tblStyle w:val="TableGrid"/>
        <w:tblW w:w="0" w:type="auto"/>
        <w:tblLook w:val="04A0" w:firstRow="1" w:lastRow="0" w:firstColumn="1" w:lastColumn="0" w:noHBand="0" w:noVBand="1"/>
      </w:tblPr>
      <w:tblGrid>
        <w:gridCol w:w="1458"/>
        <w:gridCol w:w="1890"/>
        <w:gridCol w:w="1620"/>
        <w:gridCol w:w="1710"/>
      </w:tblGrid>
      <w:tr w:rsidR="0096744E" w:rsidRPr="000D39B0" w14:paraId="2264A8FF" w14:textId="77777777" w:rsidTr="0096744E">
        <w:tc>
          <w:tcPr>
            <w:tcW w:w="1458" w:type="dxa"/>
          </w:tcPr>
          <w:p w14:paraId="5E31BE57"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Crops</w:t>
            </w:r>
          </w:p>
        </w:tc>
        <w:tc>
          <w:tcPr>
            <w:tcW w:w="1890" w:type="dxa"/>
          </w:tcPr>
          <w:p w14:paraId="356001B9"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Pailin</w:t>
            </w:r>
          </w:p>
          <w:p w14:paraId="3F2EE22F" w14:textId="77777777" w:rsidR="0096744E" w:rsidRPr="000D39B0" w:rsidRDefault="0096744E" w:rsidP="0096744E">
            <w:pPr>
              <w:jc w:val="center"/>
              <w:rPr>
                <w:rFonts w:ascii="Arial" w:hAnsi="Arial" w:cs="Arial"/>
                <w:sz w:val="18"/>
                <w:szCs w:val="18"/>
              </w:rPr>
            </w:pPr>
          </w:p>
          <w:p w14:paraId="04A805F6" w14:textId="77777777" w:rsidR="0096744E" w:rsidRPr="000D39B0" w:rsidRDefault="0096744E" w:rsidP="0096744E">
            <w:pPr>
              <w:jc w:val="center"/>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Total yield (Kg)</w:t>
            </w:r>
          </w:p>
          <w:p w14:paraId="3CF95C86" w14:textId="77777777" w:rsidR="000D39B0" w:rsidRPr="000D39B0" w:rsidRDefault="000D39B0" w:rsidP="0096744E">
            <w:pPr>
              <w:jc w:val="center"/>
              <w:rPr>
                <w:rFonts w:ascii="Arial" w:eastAsia="Times New Roman" w:hAnsi="Arial" w:cs="Arial"/>
                <w:color w:val="000000"/>
                <w:sz w:val="18"/>
                <w:szCs w:val="18"/>
                <w:lang w:eastAsia="ru-RU"/>
              </w:rPr>
            </w:pPr>
            <w:r w:rsidRPr="000D39B0">
              <w:rPr>
                <w:rFonts w:ascii="Arial" w:hAnsi="Arial" w:cs="Arial"/>
                <w:sz w:val="18"/>
                <w:szCs w:val="18"/>
              </w:rPr>
              <w:t>(average)</w:t>
            </w:r>
          </w:p>
          <w:p w14:paraId="455F5653" w14:textId="77777777" w:rsidR="0096744E" w:rsidRPr="000D39B0" w:rsidRDefault="0096744E" w:rsidP="0096744E">
            <w:pPr>
              <w:jc w:val="center"/>
              <w:rPr>
                <w:rFonts w:ascii="Arial" w:hAnsi="Arial" w:cs="Arial"/>
                <w:sz w:val="18"/>
                <w:szCs w:val="18"/>
              </w:rPr>
            </w:pPr>
          </w:p>
        </w:tc>
        <w:tc>
          <w:tcPr>
            <w:tcW w:w="1620" w:type="dxa"/>
          </w:tcPr>
          <w:p w14:paraId="757F793A"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 xml:space="preserve">Price kg </w:t>
            </w:r>
          </w:p>
          <w:p w14:paraId="365AA66C"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USD</w:t>
            </w:r>
          </w:p>
          <w:p w14:paraId="4EAF5CEB" w14:textId="77777777" w:rsidR="000D39B0" w:rsidRPr="000D39B0" w:rsidRDefault="000D39B0" w:rsidP="0096744E">
            <w:pPr>
              <w:jc w:val="center"/>
              <w:rPr>
                <w:rFonts w:ascii="Arial" w:hAnsi="Arial" w:cs="Arial"/>
                <w:sz w:val="18"/>
                <w:szCs w:val="18"/>
              </w:rPr>
            </w:pPr>
            <w:r w:rsidRPr="000D39B0">
              <w:rPr>
                <w:rFonts w:ascii="Arial" w:hAnsi="Arial" w:cs="Arial"/>
                <w:sz w:val="18"/>
                <w:szCs w:val="18"/>
              </w:rPr>
              <w:t>(average)</w:t>
            </w:r>
          </w:p>
        </w:tc>
        <w:tc>
          <w:tcPr>
            <w:tcW w:w="1710" w:type="dxa"/>
          </w:tcPr>
          <w:p w14:paraId="388C7B7D"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 xml:space="preserve">Value  </w:t>
            </w:r>
          </w:p>
          <w:p w14:paraId="006A3545" w14:textId="77777777" w:rsidR="0096744E" w:rsidRPr="000D39B0" w:rsidRDefault="0096744E" w:rsidP="0096744E">
            <w:pPr>
              <w:jc w:val="center"/>
              <w:rPr>
                <w:rFonts w:ascii="Arial" w:hAnsi="Arial" w:cs="Arial"/>
                <w:sz w:val="18"/>
                <w:szCs w:val="18"/>
              </w:rPr>
            </w:pPr>
            <w:r w:rsidRPr="000D39B0">
              <w:rPr>
                <w:rFonts w:ascii="Arial" w:hAnsi="Arial" w:cs="Arial"/>
                <w:sz w:val="18"/>
                <w:szCs w:val="18"/>
              </w:rPr>
              <w:t xml:space="preserve"> USD</w:t>
            </w:r>
          </w:p>
          <w:p w14:paraId="058A36CA" w14:textId="77777777" w:rsidR="000D39B0" w:rsidRPr="000D39B0" w:rsidRDefault="000D39B0" w:rsidP="0096744E">
            <w:pPr>
              <w:jc w:val="center"/>
              <w:rPr>
                <w:rFonts w:ascii="Arial" w:hAnsi="Arial" w:cs="Arial"/>
                <w:sz w:val="18"/>
                <w:szCs w:val="18"/>
              </w:rPr>
            </w:pPr>
            <w:r w:rsidRPr="000D39B0">
              <w:rPr>
                <w:rFonts w:ascii="Arial" w:hAnsi="Arial" w:cs="Arial"/>
                <w:sz w:val="18"/>
                <w:szCs w:val="18"/>
              </w:rPr>
              <w:t>(average)</w:t>
            </w:r>
          </w:p>
        </w:tc>
      </w:tr>
      <w:tr w:rsidR="0096744E" w:rsidRPr="000D39B0" w14:paraId="79E134C9" w14:textId="77777777" w:rsidTr="0096744E">
        <w:tc>
          <w:tcPr>
            <w:tcW w:w="1458" w:type="dxa"/>
          </w:tcPr>
          <w:p w14:paraId="0AB3F3CC" w14:textId="77777777" w:rsidR="0096744E" w:rsidRPr="000D39B0" w:rsidRDefault="0096744E" w:rsidP="0096744E">
            <w:pPr>
              <w:rPr>
                <w:rFonts w:ascii="Arial" w:hAnsi="Arial" w:cs="Arial"/>
                <w:sz w:val="18"/>
                <w:szCs w:val="18"/>
              </w:rPr>
            </w:pPr>
            <w:r w:rsidRPr="000D39B0">
              <w:rPr>
                <w:rFonts w:ascii="Arial" w:hAnsi="Arial" w:cs="Arial"/>
                <w:sz w:val="18"/>
                <w:szCs w:val="18"/>
              </w:rPr>
              <w:t>Rice</w:t>
            </w:r>
          </w:p>
        </w:tc>
        <w:tc>
          <w:tcPr>
            <w:tcW w:w="1890" w:type="dxa"/>
            <w:vAlign w:val="center"/>
          </w:tcPr>
          <w:p w14:paraId="349C934B"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214</w:t>
            </w:r>
          </w:p>
        </w:tc>
        <w:tc>
          <w:tcPr>
            <w:tcW w:w="1620" w:type="dxa"/>
          </w:tcPr>
          <w:p w14:paraId="75CB6C96"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0.24</w:t>
            </w:r>
          </w:p>
        </w:tc>
        <w:tc>
          <w:tcPr>
            <w:tcW w:w="1710" w:type="dxa"/>
            <w:vAlign w:val="center"/>
          </w:tcPr>
          <w:p w14:paraId="1811B1DD"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52</w:t>
            </w:r>
          </w:p>
        </w:tc>
      </w:tr>
      <w:tr w:rsidR="0096744E" w:rsidRPr="000D39B0" w14:paraId="16577A07" w14:textId="77777777" w:rsidTr="0096744E">
        <w:tc>
          <w:tcPr>
            <w:tcW w:w="1458" w:type="dxa"/>
          </w:tcPr>
          <w:p w14:paraId="4FB30A7D"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Cassava </w:t>
            </w:r>
          </w:p>
        </w:tc>
        <w:tc>
          <w:tcPr>
            <w:tcW w:w="1890" w:type="dxa"/>
            <w:vAlign w:val="center"/>
          </w:tcPr>
          <w:p w14:paraId="22A646D6"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18243</w:t>
            </w:r>
          </w:p>
        </w:tc>
        <w:tc>
          <w:tcPr>
            <w:tcW w:w="1620" w:type="dxa"/>
          </w:tcPr>
          <w:p w14:paraId="5FF84905"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0.09</w:t>
            </w:r>
          </w:p>
        </w:tc>
        <w:tc>
          <w:tcPr>
            <w:tcW w:w="1710" w:type="dxa"/>
            <w:vAlign w:val="center"/>
          </w:tcPr>
          <w:p w14:paraId="53163762"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1755</w:t>
            </w:r>
          </w:p>
        </w:tc>
      </w:tr>
      <w:tr w:rsidR="0096744E" w:rsidRPr="000D39B0" w14:paraId="37EC39A0" w14:textId="77777777" w:rsidTr="0096744E">
        <w:tc>
          <w:tcPr>
            <w:tcW w:w="1458" w:type="dxa"/>
          </w:tcPr>
          <w:p w14:paraId="34F126B3"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Maize </w:t>
            </w:r>
          </w:p>
        </w:tc>
        <w:tc>
          <w:tcPr>
            <w:tcW w:w="1890" w:type="dxa"/>
            <w:vAlign w:val="center"/>
          </w:tcPr>
          <w:p w14:paraId="226677CC"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5463</w:t>
            </w:r>
          </w:p>
        </w:tc>
        <w:tc>
          <w:tcPr>
            <w:tcW w:w="1620" w:type="dxa"/>
          </w:tcPr>
          <w:p w14:paraId="500E8D9F"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0.15</w:t>
            </w:r>
          </w:p>
        </w:tc>
        <w:tc>
          <w:tcPr>
            <w:tcW w:w="1710" w:type="dxa"/>
            <w:vAlign w:val="center"/>
          </w:tcPr>
          <w:p w14:paraId="595BF5A9"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835</w:t>
            </w:r>
          </w:p>
        </w:tc>
      </w:tr>
      <w:tr w:rsidR="0096744E" w:rsidRPr="000D39B0" w14:paraId="28BCF639" w14:textId="77777777" w:rsidTr="0096744E">
        <w:tc>
          <w:tcPr>
            <w:tcW w:w="1458" w:type="dxa"/>
          </w:tcPr>
          <w:p w14:paraId="7C6B71CF"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Sesame </w:t>
            </w:r>
          </w:p>
        </w:tc>
        <w:tc>
          <w:tcPr>
            <w:tcW w:w="1890" w:type="dxa"/>
            <w:vAlign w:val="center"/>
          </w:tcPr>
          <w:p w14:paraId="40FA055D"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50</w:t>
            </w:r>
          </w:p>
        </w:tc>
        <w:tc>
          <w:tcPr>
            <w:tcW w:w="1620" w:type="dxa"/>
          </w:tcPr>
          <w:p w14:paraId="52ACA1AB"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1.26</w:t>
            </w:r>
          </w:p>
        </w:tc>
        <w:tc>
          <w:tcPr>
            <w:tcW w:w="1710" w:type="dxa"/>
            <w:vAlign w:val="center"/>
          </w:tcPr>
          <w:p w14:paraId="43C2F1A4"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63</w:t>
            </w:r>
          </w:p>
        </w:tc>
      </w:tr>
      <w:tr w:rsidR="0096744E" w:rsidRPr="000D39B0" w14:paraId="53D82531" w14:textId="77777777" w:rsidTr="0096744E">
        <w:tc>
          <w:tcPr>
            <w:tcW w:w="1458" w:type="dxa"/>
          </w:tcPr>
          <w:p w14:paraId="743EB3C8"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Fruits </w:t>
            </w:r>
          </w:p>
        </w:tc>
        <w:tc>
          <w:tcPr>
            <w:tcW w:w="1890" w:type="dxa"/>
            <w:vAlign w:val="center"/>
          </w:tcPr>
          <w:p w14:paraId="24840003"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165</w:t>
            </w:r>
          </w:p>
        </w:tc>
        <w:tc>
          <w:tcPr>
            <w:tcW w:w="1620" w:type="dxa"/>
          </w:tcPr>
          <w:p w14:paraId="77012C68"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1.04</w:t>
            </w:r>
          </w:p>
        </w:tc>
        <w:tc>
          <w:tcPr>
            <w:tcW w:w="1710" w:type="dxa"/>
            <w:vAlign w:val="center"/>
          </w:tcPr>
          <w:p w14:paraId="03119044"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173</w:t>
            </w:r>
          </w:p>
        </w:tc>
      </w:tr>
      <w:tr w:rsidR="0096744E" w:rsidRPr="000D39B0" w14:paraId="4CBCD47F" w14:textId="77777777" w:rsidTr="0096744E">
        <w:tc>
          <w:tcPr>
            <w:tcW w:w="1458" w:type="dxa"/>
          </w:tcPr>
          <w:p w14:paraId="2617B441" w14:textId="77777777" w:rsidR="0096744E" w:rsidRPr="000D39B0" w:rsidRDefault="0096744E" w:rsidP="0096744E">
            <w:pPr>
              <w:rPr>
                <w:rFonts w:ascii="Arial" w:hAnsi="Arial" w:cs="Arial"/>
                <w:sz w:val="18"/>
                <w:szCs w:val="18"/>
              </w:rPr>
            </w:pPr>
            <w:r w:rsidRPr="000D39B0">
              <w:rPr>
                <w:rFonts w:ascii="Arial" w:hAnsi="Arial" w:cs="Arial"/>
                <w:sz w:val="18"/>
                <w:szCs w:val="18"/>
              </w:rPr>
              <w:t xml:space="preserve">Other </w:t>
            </w:r>
          </w:p>
        </w:tc>
        <w:tc>
          <w:tcPr>
            <w:tcW w:w="1890" w:type="dxa"/>
            <w:vAlign w:val="center"/>
          </w:tcPr>
          <w:p w14:paraId="766AD7DC"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597</w:t>
            </w:r>
          </w:p>
        </w:tc>
        <w:tc>
          <w:tcPr>
            <w:tcW w:w="1620" w:type="dxa"/>
          </w:tcPr>
          <w:p w14:paraId="7BE8003D" w14:textId="77777777" w:rsidR="0096744E" w:rsidRPr="000D39B0" w:rsidRDefault="00D823CE" w:rsidP="0096744E">
            <w:pPr>
              <w:jc w:val="right"/>
              <w:rPr>
                <w:rFonts w:ascii="Arial" w:eastAsia="Times New Roman" w:hAnsi="Arial" w:cs="Arial"/>
                <w:color w:val="000000"/>
                <w:sz w:val="18"/>
                <w:szCs w:val="18"/>
                <w:lang w:eastAsia="ru-RU"/>
              </w:rPr>
            </w:pPr>
            <w:r w:rsidRPr="000D39B0">
              <w:rPr>
                <w:rFonts w:ascii="Arial" w:eastAsia="Times New Roman" w:hAnsi="Arial" w:cs="Arial"/>
                <w:color w:val="000000"/>
                <w:sz w:val="18"/>
                <w:szCs w:val="18"/>
                <w:lang w:eastAsia="ru-RU"/>
              </w:rPr>
              <w:t>0.61</w:t>
            </w:r>
          </w:p>
        </w:tc>
        <w:tc>
          <w:tcPr>
            <w:tcW w:w="1710" w:type="dxa"/>
            <w:vAlign w:val="center"/>
          </w:tcPr>
          <w:p w14:paraId="0E5E24F7" w14:textId="77777777" w:rsidR="0096744E" w:rsidRPr="000D39B0" w:rsidRDefault="0096744E" w:rsidP="0096744E">
            <w:pPr>
              <w:jc w:val="right"/>
              <w:rPr>
                <w:rFonts w:ascii="Arial" w:eastAsia="Times New Roman" w:hAnsi="Arial" w:cs="Arial"/>
                <w:color w:val="000000"/>
                <w:sz w:val="18"/>
                <w:szCs w:val="18"/>
                <w:lang w:val="ru-RU" w:eastAsia="ru-RU"/>
              </w:rPr>
            </w:pPr>
            <w:r w:rsidRPr="000D39B0">
              <w:rPr>
                <w:rFonts w:ascii="Arial" w:eastAsia="Times New Roman" w:hAnsi="Arial" w:cs="Arial"/>
                <w:color w:val="000000"/>
                <w:sz w:val="18"/>
                <w:szCs w:val="18"/>
                <w:lang w:val="ru-RU" w:eastAsia="ru-RU"/>
              </w:rPr>
              <w:t>370</w:t>
            </w:r>
          </w:p>
        </w:tc>
      </w:tr>
      <w:tr w:rsidR="00775938" w:rsidRPr="000D39B0" w14:paraId="664474C7" w14:textId="77777777" w:rsidTr="00775938">
        <w:tc>
          <w:tcPr>
            <w:tcW w:w="1458" w:type="dxa"/>
            <w:shd w:val="clear" w:color="auto" w:fill="D0CECE" w:themeFill="background2" w:themeFillShade="E6"/>
          </w:tcPr>
          <w:p w14:paraId="0330F1E5" w14:textId="77777777" w:rsidR="00775938" w:rsidRPr="000D39B0" w:rsidRDefault="00775938" w:rsidP="0096744E">
            <w:pPr>
              <w:rPr>
                <w:rFonts w:ascii="Arial" w:hAnsi="Arial" w:cs="Arial"/>
                <w:b/>
                <w:sz w:val="18"/>
                <w:szCs w:val="18"/>
              </w:rPr>
            </w:pPr>
            <w:r w:rsidRPr="000D39B0">
              <w:rPr>
                <w:rFonts w:ascii="Arial" w:hAnsi="Arial" w:cs="Arial"/>
                <w:b/>
                <w:sz w:val="18"/>
                <w:szCs w:val="18"/>
              </w:rPr>
              <w:t>Total</w:t>
            </w:r>
          </w:p>
        </w:tc>
        <w:tc>
          <w:tcPr>
            <w:tcW w:w="5220" w:type="dxa"/>
            <w:gridSpan w:val="3"/>
            <w:shd w:val="clear" w:color="auto" w:fill="D0CECE" w:themeFill="background2" w:themeFillShade="E6"/>
            <w:vAlign w:val="center"/>
          </w:tcPr>
          <w:p w14:paraId="07BC84EF" w14:textId="77777777" w:rsidR="00775938" w:rsidRPr="000D39B0" w:rsidRDefault="00775938" w:rsidP="0096744E">
            <w:pPr>
              <w:jc w:val="right"/>
              <w:rPr>
                <w:rFonts w:ascii="Arial" w:eastAsia="Times New Roman" w:hAnsi="Arial" w:cs="Arial"/>
                <w:b/>
                <w:color w:val="000000"/>
                <w:sz w:val="18"/>
                <w:szCs w:val="18"/>
                <w:lang w:eastAsia="ru-RU"/>
              </w:rPr>
            </w:pPr>
            <w:r w:rsidRPr="000D39B0">
              <w:rPr>
                <w:rFonts w:ascii="Arial" w:eastAsia="Times New Roman" w:hAnsi="Arial" w:cs="Arial"/>
                <w:b/>
                <w:color w:val="000000"/>
                <w:sz w:val="18"/>
                <w:szCs w:val="18"/>
                <w:lang w:eastAsia="ru-RU"/>
              </w:rPr>
              <w:t>3,248</w:t>
            </w:r>
          </w:p>
        </w:tc>
      </w:tr>
    </w:tbl>
    <w:p w14:paraId="6B40F0B7" w14:textId="77777777" w:rsidR="00D46925" w:rsidRPr="000D39B0" w:rsidRDefault="00D46925" w:rsidP="00D46925">
      <w:pPr>
        <w:jc w:val="both"/>
        <w:rPr>
          <w:rFonts w:ascii="Arial" w:hAnsi="Arial" w:cs="Arial"/>
          <w:color w:val="1A1A1A"/>
          <w:sz w:val="18"/>
          <w:szCs w:val="18"/>
          <w:shd w:val="clear" w:color="auto" w:fill="FFFFFF"/>
        </w:rPr>
      </w:pPr>
    </w:p>
    <w:p w14:paraId="355F85C1" w14:textId="77777777" w:rsidR="00DB6B1E" w:rsidRDefault="00D82108" w:rsidP="00F71BC7">
      <w:pPr>
        <w:jc w:val="both"/>
        <w:rPr>
          <w:rFonts w:ascii="Arial" w:hAnsi="Arial" w:cs="Arial"/>
          <w:color w:val="1A1A1A"/>
          <w:sz w:val="20"/>
          <w:szCs w:val="20"/>
          <w:u w:val="single"/>
          <w:shd w:val="clear" w:color="auto" w:fill="FFFFFF"/>
        </w:rPr>
      </w:pPr>
      <w:r w:rsidRPr="00D82108">
        <w:rPr>
          <w:rFonts w:ascii="Arial" w:hAnsi="Arial" w:cs="Arial"/>
          <w:color w:val="1A1A1A"/>
          <w:sz w:val="20"/>
          <w:szCs w:val="20"/>
          <w:shd w:val="clear" w:color="auto" w:fill="FFFFFF"/>
        </w:rPr>
        <w:t>C</w:t>
      </w:r>
      <w:r w:rsidR="00DB6B1E" w:rsidRPr="00D82108">
        <w:rPr>
          <w:rFonts w:ascii="Arial" w:hAnsi="Arial" w:cs="Arial"/>
          <w:color w:val="1A1A1A"/>
          <w:sz w:val="20"/>
          <w:szCs w:val="20"/>
          <w:shd w:val="clear" w:color="auto" w:fill="FFFFFF"/>
        </w:rPr>
        <w:t>rops for</w:t>
      </w:r>
      <w:r w:rsidR="00DB6B1E">
        <w:rPr>
          <w:rFonts w:ascii="Arial" w:hAnsi="Arial" w:cs="Arial"/>
          <w:color w:val="1A1A1A"/>
          <w:sz w:val="20"/>
          <w:szCs w:val="20"/>
          <w:u w:val="single"/>
          <w:shd w:val="clear" w:color="auto" w:fill="FFFFFF"/>
        </w:rPr>
        <w:t xml:space="preserve"> household consumption</w:t>
      </w:r>
      <w:r w:rsidR="00A055EF">
        <w:rPr>
          <w:rFonts w:ascii="Arial" w:hAnsi="Arial" w:cs="Arial"/>
          <w:color w:val="1A1A1A"/>
          <w:sz w:val="20"/>
          <w:szCs w:val="20"/>
          <w:u w:val="single"/>
          <w:shd w:val="clear" w:color="auto" w:fill="FFFFFF"/>
        </w:rPr>
        <w:t>,</w:t>
      </w:r>
      <w:r w:rsidR="00A055EF" w:rsidRPr="00A055EF">
        <w:rPr>
          <w:rFonts w:ascii="Arial" w:hAnsi="Arial" w:cs="Arial"/>
          <w:color w:val="1A1A1A"/>
          <w:sz w:val="20"/>
          <w:szCs w:val="20"/>
          <w:shd w:val="clear" w:color="auto" w:fill="FFFFFF"/>
        </w:rPr>
        <w:t xml:space="preserve"> for the last 12 months</w:t>
      </w:r>
    </w:p>
    <w:p w14:paraId="2C9B1EE5" w14:textId="77777777" w:rsidR="00C90B5E" w:rsidRPr="00C90B5E" w:rsidRDefault="00FC2B04" w:rsidP="00C90B5E">
      <w:pPr>
        <w:autoSpaceDE w:val="0"/>
        <w:autoSpaceDN w:val="0"/>
        <w:adjustRightInd w:val="0"/>
        <w:spacing w:after="0" w:line="240" w:lineRule="auto"/>
        <w:jc w:val="both"/>
        <w:rPr>
          <w:rFonts w:ascii="Arial" w:hAnsi="Arial" w:cs="Arial"/>
          <w:sz w:val="20"/>
          <w:szCs w:val="20"/>
          <w:lang w:bidi="ar-SA"/>
        </w:rPr>
      </w:pPr>
      <w:r w:rsidRPr="00C90B5E">
        <w:rPr>
          <w:rFonts w:ascii="Arial" w:hAnsi="Arial" w:cs="Arial"/>
          <w:bCs/>
          <w:sz w:val="20"/>
          <w:szCs w:val="20"/>
        </w:rPr>
        <w:t>Rice</w:t>
      </w:r>
      <w:r w:rsidR="00D07C6A" w:rsidRPr="00C90B5E">
        <w:rPr>
          <w:rFonts w:ascii="Arial" w:hAnsi="Arial" w:cs="Arial"/>
          <w:bCs/>
          <w:sz w:val="20"/>
          <w:szCs w:val="20"/>
        </w:rPr>
        <w:t xml:space="preserve"> </w:t>
      </w:r>
      <w:r w:rsidR="00AF0F18" w:rsidRPr="00C90B5E">
        <w:rPr>
          <w:rFonts w:ascii="Arial" w:hAnsi="Arial" w:cs="Arial"/>
          <w:bCs/>
          <w:sz w:val="20"/>
          <w:szCs w:val="20"/>
        </w:rPr>
        <w:t>is</w:t>
      </w:r>
      <w:r w:rsidRPr="00C90B5E">
        <w:rPr>
          <w:rFonts w:ascii="Arial" w:hAnsi="Arial" w:cs="Arial"/>
          <w:bCs/>
          <w:sz w:val="20"/>
          <w:szCs w:val="20"/>
        </w:rPr>
        <w:t xml:space="preserve"> the largest part of cultivated crops for household cons</w:t>
      </w:r>
      <w:r w:rsidR="005B666C" w:rsidRPr="00C90B5E">
        <w:rPr>
          <w:rFonts w:ascii="Arial" w:hAnsi="Arial" w:cs="Arial"/>
          <w:bCs/>
          <w:sz w:val="20"/>
          <w:szCs w:val="20"/>
        </w:rPr>
        <w:t xml:space="preserve">umption. </w:t>
      </w:r>
      <w:r w:rsidR="00E31D68" w:rsidRPr="00C90B5E">
        <w:rPr>
          <w:rFonts w:ascii="Arial" w:hAnsi="Arial" w:cs="Arial"/>
          <w:bCs/>
          <w:sz w:val="20"/>
          <w:szCs w:val="20"/>
        </w:rPr>
        <w:t xml:space="preserve">According to </w:t>
      </w:r>
      <w:r w:rsidR="00C90B5E" w:rsidRPr="00C90B5E">
        <w:rPr>
          <w:rFonts w:ascii="Arial" w:hAnsi="Arial" w:cs="Arial"/>
          <w:bCs/>
          <w:sz w:val="20"/>
          <w:szCs w:val="20"/>
        </w:rPr>
        <w:t xml:space="preserve">the </w:t>
      </w:r>
      <w:r w:rsidR="00E31D68" w:rsidRPr="00C90B5E">
        <w:rPr>
          <w:rFonts w:ascii="Arial" w:hAnsi="Arial" w:cs="Arial"/>
          <w:bCs/>
          <w:sz w:val="20"/>
          <w:szCs w:val="20"/>
        </w:rPr>
        <w:t xml:space="preserve">Cambodia Socio-Economic Survey (2004) </w:t>
      </w:r>
      <w:r w:rsidR="00E31D68" w:rsidRPr="00C90B5E">
        <w:rPr>
          <w:rFonts w:ascii="Arial" w:hAnsi="Arial" w:cs="Arial"/>
          <w:sz w:val="20"/>
          <w:szCs w:val="20"/>
          <w:lang w:bidi="ar-SA"/>
        </w:rPr>
        <w:t>rice is the most important food item in the daily diet of Cambodians. Rice</w:t>
      </w:r>
      <w:r w:rsidR="00C90B5E" w:rsidRPr="00C90B5E">
        <w:rPr>
          <w:rFonts w:ascii="Arial" w:hAnsi="Arial" w:cs="Arial"/>
          <w:sz w:val="20"/>
          <w:szCs w:val="20"/>
          <w:lang w:bidi="ar-SA"/>
        </w:rPr>
        <w:t xml:space="preserve"> </w:t>
      </w:r>
      <w:r w:rsidR="00E31D68" w:rsidRPr="00C90B5E">
        <w:rPr>
          <w:rFonts w:ascii="Arial" w:hAnsi="Arial" w:cs="Arial"/>
          <w:sz w:val="20"/>
          <w:szCs w:val="20"/>
          <w:lang w:bidi="ar-SA"/>
        </w:rPr>
        <w:t>accounts for almost two</w:t>
      </w:r>
      <w:r w:rsidR="00E31D68" w:rsidRPr="00C90B5E">
        <w:rPr>
          <w:rFonts w:ascii="Calibri" w:hAnsi="Calibri" w:cs="Arial"/>
          <w:sz w:val="20"/>
          <w:szCs w:val="20"/>
          <w:lang w:bidi="ar-SA"/>
        </w:rPr>
        <w:t>‐</w:t>
      </w:r>
      <w:r w:rsidR="00E31D68" w:rsidRPr="00C90B5E">
        <w:rPr>
          <w:rFonts w:ascii="Arial" w:hAnsi="Arial" w:cs="Arial"/>
          <w:sz w:val="20"/>
          <w:szCs w:val="20"/>
          <w:lang w:bidi="ar-SA"/>
        </w:rPr>
        <w:t>thirds of the total caloric intake, following by fish (8% of caloric intake).</w:t>
      </w:r>
      <w:r w:rsidR="00E31D68" w:rsidRPr="00C90B5E">
        <w:rPr>
          <w:rFonts w:ascii="Arial" w:hAnsi="Arial" w:cs="Arial"/>
          <w:bCs/>
          <w:sz w:val="20"/>
          <w:szCs w:val="20"/>
        </w:rPr>
        <w:t xml:space="preserve"> </w:t>
      </w:r>
      <w:r w:rsidR="00C90B5E">
        <w:rPr>
          <w:rFonts w:ascii="Arial" w:hAnsi="Arial" w:cs="Arial"/>
          <w:bCs/>
          <w:sz w:val="20"/>
          <w:szCs w:val="20"/>
        </w:rPr>
        <w:t xml:space="preserve">Hence, the project provided basic ground for increasing agricultural productivity.   Farmers reported that </w:t>
      </w:r>
      <w:r w:rsidR="00C90B5E">
        <w:rPr>
          <w:rFonts w:ascii="Arial" w:hAnsi="Arial" w:cs="Arial"/>
          <w:sz w:val="20"/>
          <w:szCs w:val="20"/>
          <w:lang w:bidi="ar-SA"/>
        </w:rPr>
        <w:t>a</w:t>
      </w:r>
      <w:r w:rsidR="00C90B5E" w:rsidRPr="00C90B5E">
        <w:rPr>
          <w:rFonts w:ascii="Arial" w:hAnsi="Arial" w:cs="Arial"/>
          <w:sz w:val="20"/>
          <w:szCs w:val="20"/>
          <w:lang w:bidi="ar-SA"/>
        </w:rPr>
        <w:t>dvances in productivity – are a result of improvements made in seed quality, fertilizer application, and as well as the provision of agricultural extension services and technical assistance provided by the project.</w:t>
      </w:r>
    </w:p>
    <w:p w14:paraId="55FD129A" w14:textId="77777777" w:rsidR="00C90B5E" w:rsidRDefault="00C90B5E" w:rsidP="00C90B5E">
      <w:pPr>
        <w:autoSpaceDE w:val="0"/>
        <w:autoSpaceDN w:val="0"/>
        <w:adjustRightInd w:val="0"/>
        <w:spacing w:after="0" w:line="240" w:lineRule="auto"/>
        <w:rPr>
          <w:rFonts w:ascii="Calibri" w:hAnsi="Calibri" w:cs="Calibri"/>
          <w:szCs w:val="22"/>
          <w:lang w:bidi="ar-SA"/>
        </w:rPr>
      </w:pPr>
    </w:p>
    <w:p w14:paraId="68BF8EDC" w14:textId="77777777" w:rsidR="005B666C" w:rsidRDefault="005B666C" w:rsidP="0045693F">
      <w:pPr>
        <w:rPr>
          <w:rFonts w:ascii="Arial" w:hAnsi="Arial" w:cs="Arial"/>
          <w:bCs/>
          <w:sz w:val="20"/>
          <w:szCs w:val="20"/>
        </w:rPr>
      </w:pPr>
    </w:p>
    <w:p w14:paraId="17D883DD" w14:textId="77777777" w:rsidR="005B666C" w:rsidRDefault="005B666C" w:rsidP="0045693F">
      <w:pPr>
        <w:rPr>
          <w:rFonts w:ascii="Arial" w:hAnsi="Arial" w:cs="Arial"/>
          <w:bCs/>
          <w:sz w:val="20"/>
          <w:szCs w:val="20"/>
        </w:rPr>
      </w:pPr>
    </w:p>
    <w:p w14:paraId="68476503" w14:textId="77777777" w:rsidR="005B666C" w:rsidRDefault="005B666C" w:rsidP="0045693F">
      <w:pPr>
        <w:rPr>
          <w:rFonts w:ascii="Arial" w:hAnsi="Arial" w:cs="Arial"/>
          <w:bCs/>
          <w:sz w:val="20"/>
          <w:szCs w:val="20"/>
        </w:rPr>
      </w:pPr>
    </w:p>
    <w:p w14:paraId="15FB18FB" w14:textId="77777777" w:rsidR="005B666C" w:rsidRDefault="005B666C" w:rsidP="0045693F">
      <w:pPr>
        <w:rPr>
          <w:rFonts w:ascii="Arial" w:hAnsi="Arial" w:cs="Arial"/>
          <w:bCs/>
          <w:sz w:val="20"/>
          <w:szCs w:val="20"/>
        </w:rPr>
      </w:pPr>
    </w:p>
    <w:p w14:paraId="5CFA1672" w14:textId="77777777" w:rsidR="005B666C" w:rsidRDefault="005B666C" w:rsidP="0045693F">
      <w:pPr>
        <w:rPr>
          <w:rFonts w:ascii="Arial" w:hAnsi="Arial" w:cs="Arial"/>
          <w:bCs/>
          <w:sz w:val="20"/>
          <w:szCs w:val="20"/>
        </w:rPr>
      </w:pPr>
    </w:p>
    <w:p w14:paraId="013BF546" w14:textId="77777777" w:rsidR="00C90B5E" w:rsidRDefault="00C90B5E" w:rsidP="0045693F">
      <w:pPr>
        <w:rPr>
          <w:rFonts w:ascii="Arial" w:hAnsi="Arial" w:cs="Arial"/>
          <w:bCs/>
          <w:sz w:val="20"/>
          <w:szCs w:val="20"/>
        </w:rPr>
      </w:pPr>
    </w:p>
    <w:p w14:paraId="743D3A72" w14:textId="77777777" w:rsidR="005B666C" w:rsidRDefault="005B666C" w:rsidP="0045693F">
      <w:pPr>
        <w:rPr>
          <w:rFonts w:ascii="Arial" w:hAnsi="Arial" w:cs="Arial"/>
          <w:bCs/>
          <w:sz w:val="20"/>
          <w:szCs w:val="20"/>
        </w:rPr>
      </w:pPr>
    </w:p>
    <w:p w14:paraId="6BF81435" w14:textId="77777777" w:rsidR="0045693F" w:rsidRPr="00C739D9" w:rsidRDefault="005B666C" w:rsidP="0045693F">
      <w:pPr>
        <w:rPr>
          <w:rFonts w:ascii="Arial" w:hAnsi="Arial" w:cs="Arial"/>
          <w:bCs/>
          <w:sz w:val="20"/>
          <w:szCs w:val="20"/>
          <w:u w:val="single"/>
        </w:rPr>
      </w:pPr>
      <w:r w:rsidRPr="005B666C">
        <w:rPr>
          <w:rFonts w:ascii="Arial" w:hAnsi="Arial" w:cs="Arial"/>
          <w:b/>
          <w:bCs/>
          <w:sz w:val="20"/>
          <w:szCs w:val="20"/>
        </w:rPr>
        <w:t>Figure 10</w:t>
      </w:r>
      <w:r>
        <w:rPr>
          <w:rFonts w:ascii="Arial" w:hAnsi="Arial" w:cs="Arial"/>
          <w:bCs/>
          <w:sz w:val="20"/>
          <w:szCs w:val="20"/>
        </w:rPr>
        <w:t xml:space="preserve">: </w:t>
      </w:r>
      <w:r w:rsidR="0045693F" w:rsidRPr="00C739D9">
        <w:rPr>
          <w:rFonts w:ascii="Arial" w:hAnsi="Arial" w:cs="Arial"/>
          <w:bCs/>
          <w:sz w:val="20"/>
          <w:szCs w:val="20"/>
        </w:rPr>
        <w:t xml:space="preserve">Total yield (Kg) </w:t>
      </w:r>
      <w:r w:rsidR="0045693F" w:rsidRPr="00DB6B1E">
        <w:rPr>
          <w:rFonts w:ascii="Arial" w:hAnsi="Arial" w:cs="Arial"/>
          <w:bCs/>
          <w:sz w:val="20"/>
          <w:szCs w:val="20"/>
        </w:rPr>
        <w:t>for household consumption</w:t>
      </w:r>
      <w:r w:rsidR="00C90B5E">
        <w:rPr>
          <w:rFonts w:ascii="Arial" w:hAnsi="Arial" w:cs="Arial"/>
          <w:bCs/>
          <w:sz w:val="20"/>
          <w:szCs w:val="20"/>
        </w:rPr>
        <w:t>, for the last 12 months</w:t>
      </w:r>
    </w:p>
    <w:p w14:paraId="272C371B" w14:textId="77777777" w:rsidR="00803688" w:rsidRDefault="0045693F" w:rsidP="00FC2B04">
      <w:pPr>
        <w:rPr>
          <w:rFonts w:ascii="Arial" w:hAnsi="Arial" w:cs="Arial"/>
          <w:color w:val="FF0000"/>
          <w:sz w:val="20"/>
          <w:szCs w:val="20"/>
          <w:highlight w:val="yellow"/>
        </w:rPr>
      </w:pPr>
      <w:r w:rsidRPr="004C6941">
        <w:rPr>
          <w:rFonts w:ascii="Arial" w:hAnsi="Arial" w:cs="Arial"/>
          <w:noProof/>
          <w:sz w:val="20"/>
          <w:szCs w:val="20"/>
          <w:lang w:val="en-GB" w:eastAsia="en-GB" w:bidi="ar-SA"/>
        </w:rPr>
        <w:lastRenderedPageBreak/>
        <w:drawing>
          <wp:inline distT="0" distB="0" distL="0" distR="0" wp14:anchorId="52E2F2EA" wp14:editId="678DDB83">
            <wp:extent cx="5771072" cy="2743200"/>
            <wp:effectExtent l="19050" t="0" r="20128" b="0"/>
            <wp:docPr id="1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4AD867" w14:textId="77777777" w:rsidR="009B1046" w:rsidRDefault="009B1046" w:rsidP="00AE4593">
      <w:pPr>
        <w:jc w:val="both"/>
        <w:rPr>
          <w:rFonts w:ascii="Arial" w:hAnsi="Arial" w:cs="Arial"/>
          <w:color w:val="5B9BD5" w:themeColor="accent1"/>
          <w:sz w:val="20"/>
          <w:szCs w:val="20"/>
          <w:shd w:val="clear" w:color="auto" w:fill="FFFFFF"/>
        </w:rPr>
      </w:pPr>
    </w:p>
    <w:p w14:paraId="605CE033" w14:textId="77777777" w:rsidR="00EA4A62" w:rsidRPr="00EA4A62" w:rsidRDefault="00EA4A62" w:rsidP="00AE4593">
      <w:pPr>
        <w:jc w:val="both"/>
        <w:rPr>
          <w:rFonts w:ascii="Arial" w:hAnsi="Arial" w:cs="Arial"/>
          <w:color w:val="5B9BD5" w:themeColor="accent1"/>
          <w:sz w:val="20"/>
          <w:szCs w:val="20"/>
          <w:shd w:val="clear" w:color="auto" w:fill="FFFFFF"/>
        </w:rPr>
      </w:pPr>
      <w:r w:rsidRPr="00EA4A62">
        <w:rPr>
          <w:rFonts w:ascii="Arial" w:hAnsi="Arial" w:cs="Arial"/>
          <w:color w:val="5B9BD5" w:themeColor="accent1"/>
          <w:sz w:val="20"/>
          <w:szCs w:val="20"/>
          <w:shd w:val="clear" w:color="auto" w:fill="FFFFFF"/>
        </w:rPr>
        <w:t>EXPENDITURE</w:t>
      </w:r>
    </w:p>
    <w:p w14:paraId="6611FD3C" w14:textId="77777777" w:rsidR="00803688" w:rsidRDefault="00C90B5E" w:rsidP="00AE4593">
      <w:pPr>
        <w:jc w:val="both"/>
        <w:rPr>
          <w:rFonts w:ascii="Arial" w:hAnsi="Arial" w:cs="Arial"/>
          <w:color w:val="1A1A1A"/>
          <w:sz w:val="20"/>
          <w:szCs w:val="20"/>
          <w:shd w:val="clear" w:color="auto" w:fill="FFFFFF"/>
        </w:rPr>
      </w:pPr>
      <w:r>
        <w:rPr>
          <w:rFonts w:ascii="Arial" w:hAnsi="Arial" w:cs="Arial"/>
          <w:color w:val="1A1A1A"/>
          <w:sz w:val="20"/>
          <w:szCs w:val="20"/>
          <w:shd w:val="clear" w:color="auto" w:fill="FFFFFF"/>
        </w:rPr>
        <w:t>Figure 11</w:t>
      </w:r>
      <w:r w:rsidR="00803688">
        <w:rPr>
          <w:rFonts w:ascii="Arial" w:hAnsi="Arial" w:cs="Arial"/>
          <w:color w:val="1A1A1A"/>
          <w:sz w:val="20"/>
          <w:szCs w:val="20"/>
          <w:shd w:val="clear" w:color="auto" w:fill="FFFFFF"/>
        </w:rPr>
        <w:t xml:space="preserve"> shows </w:t>
      </w:r>
      <w:r w:rsidR="003F7BCB">
        <w:rPr>
          <w:rFonts w:ascii="Arial" w:hAnsi="Arial" w:cs="Arial"/>
          <w:color w:val="1A1A1A"/>
          <w:sz w:val="20"/>
          <w:szCs w:val="20"/>
          <w:shd w:val="clear" w:color="auto" w:fill="FFFFFF"/>
        </w:rPr>
        <w:t>households expenditures</w:t>
      </w:r>
      <w:r w:rsidR="00661B74" w:rsidRPr="00661B74">
        <w:rPr>
          <w:rFonts w:ascii="Arial" w:hAnsi="Arial" w:cs="Arial"/>
          <w:color w:val="1A1A1A"/>
          <w:sz w:val="20"/>
          <w:szCs w:val="20"/>
          <w:shd w:val="clear" w:color="auto" w:fill="FFFFFF"/>
        </w:rPr>
        <w:t xml:space="preserve"> </w:t>
      </w:r>
      <w:r w:rsidR="00661B74">
        <w:rPr>
          <w:rFonts w:ascii="Arial" w:hAnsi="Arial" w:cs="Arial"/>
          <w:color w:val="1A1A1A"/>
          <w:sz w:val="20"/>
          <w:szCs w:val="20"/>
          <w:shd w:val="clear" w:color="auto" w:fill="FFFFFF"/>
        </w:rPr>
        <w:t>based on their priorities</w:t>
      </w:r>
      <w:r>
        <w:rPr>
          <w:rFonts w:ascii="Arial" w:hAnsi="Arial" w:cs="Arial"/>
          <w:color w:val="1A1A1A"/>
          <w:sz w:val="20"/>
          <w:szCs w:val="20"/>
          <w:shd w:val="clear" w:color="auto" w:fill="FFFFFF"/>
        </w:rPr>
        <w:t>,</w:t>
      </w:r>
      <w:r w:rsidR="00661B74">
        <w:rPr>
          <w:rFonts w:ascii="Arial" w:hAnsi="Arial" w:cs="Arial"/>
          <w:color w:val="1A1A1A"/>
          <w:sz w:val="20"/>
          <w:szCs w:val="20"/>
          <w:shd w:val="clear" w:color="auto" w:fill="FFFFFF"/>
        </w:rPr>
        <w:t xml:space="preserve"> </w:t>
      </w:r>
      <w:r>
        <w:rPr>
          <w:rFonts w:ascii="Arial" w:hAnsi="Arial" w:cs="Arial"/>
          <w:color w:val="1A1A1A"/>
          <w:sz w:val="20"/>
          <w:szCs w:val="20"/>
          <w:shd w:val="clear" w:color="auto" w:fill="FFFFFF"/>
        </w:rPr>
        <w:t xml:space="preserve">people consider food as the </w:t>
      </w:r>
      <w:r w:rsidR="00596159">
        <w:rPr>
          <w:rFonts w:ascii="Arial" w:hAnsi="Arial" w:cs="Arial"/>
          <w:color w:val="1A1A1A"/>
          <w:sz w:val="20"/>
          <w:szCs w:val="20"/>
          <w:shd w:val="clear" w:color="auto" w:fill="FFFFFF"/>
        </w:rPr>
        <w:t>main priority</w:t>
      </w:r>
      <w:r>
        <w:rPr>
          <w:rFonts w:ascii="Arial" w:hAnsi="Arial" w:cs="Arial"/>
          <w:color w:val="1A1A1A"/>
          <w:sz w:val="20"/>
          <w:szCs w:val="20"/>
          <w:shd w:val="clear" w:color="auto" w:fill="FFFFFF"/>
        </w:rPr>
        <w:t xml:space="preserve"> for the </w:t>
      </w:r>
      <w:r w:rsidR="00596159">
        <w:rPr>
          <w:rFonts w:ascii="Arial" w:hAnsi="Arial" w:cs="Arial"/>
          <w:color w:val="1A1A1A"/>
          <w:sz w:val="20"/>
          <w:szCs w:val="20"/>
          <w:shd w:val="clear" w:color="auto" w:fill="FFFFFF"/>
        </w:rPr>
        <w:t>expenditure (</w:t>
      </w:r>
      <w:r w:rsidR="00803688">
        <w:rPr>
          <w:rFonts w:ascii="Arial" w:hAnsi="Arial" w:cs="Arial"/>
          <w:color w:val="1A1A1A"/>
          <w:sz w:val="20"/>
          <w:szCs w:val="20"/>
          <w:shd w:val="clear" w:color="auto" w:fill="FFFFFF"/>
        </w:rPr>
        <w:t>97.6 percent</w:t>
      </w:r>
      <w:r w:rsidR="00596159">
        <w:rPr>
          <w:rFonts w:ascii="Arial" w:hAnsi="Arial" w:cs="Arial"/>
          <w:color w:val="1A1A1A"/>
          <w:sz w:val="20"/>
          <w:szCs w:val="20"/>
          <w:shd w:val="clear" w:color="auto" w:fill="FFFFFF"/>
        </w:rPr>
        <w:t>). Also, clothes</w:t>
      </w:r>
      <w:r w:rsidR="006C08E0">
        <w:rPr>
          <w:rFonts w:ascii="Arial" w:hAnsi="Arial" w:cs="Arial"/>
          <w:color w:val="1A1A1A"/>
          <w:sz w:val="20"/>
          <w:szCs w:val="20"/>
          <w:shd w:val="clear" w:color="auto" w:fill="FFFFFF"/>
        </w:rPr>
        <w:t xml:space="preserve"> (48 percent)</w:t>
      </w:r>
      <w:r w:rsidR="00596159">
        <w:rPr>
          <w:rFonts w:ascii="Arial" w:hAnsi="Arial" w:cs="Arial"/>
          <w:color w:val="1A1A1A"/>
          <w:sz w:val="20"/>
          <w:szCs w:val="20"/>
          <w:shd w:val="clear" w:color="auto" w:fill="FFFFFF"/>
        </w:rPr>
        <w:t>;</w:t>
      </w:r>
      <w:r w:rsidR="006C08E0">
        <w:rPr>
          <w:rFonts w:ascii="Arial" w:hAnsi="Arial" w:cs="Arial"/>
          <w:color w:val="1A1A1A"/>
          <w:sz w:val="20"/>
          <w:szCs w:val="20"/>
          <w:shd w:val="clear" w:color="auto" w:fill="FFFFFF"/>
        </w:rPr>
        <w:t xml:space="preserve"> </w:t>
      </w:r>
      <w:r w:rsidR="00803688">
        <w:rPr>
          <w:rFonts w:ascii="Arial" w:hAnsi="Arial" w:cs="Arial"/>
          <w:color w:val="1A1A1A"/>
          <w:sz w:val="20"/>
          <w:szCs w:val="20"/>
          <w:shd w:val="clear" w:color="auto" w:fill="FFFFFF"/>
        </w:rPr>
        <w:t xml:space="preserve">female health care (43.0 percent) and male health care (42.7 percent) </w:t>
      </w:r>
      <w:r w:rsidR="00596159">
        <w:rPr>
          <w:rFonts w:ascii="Arial" w:hAnsi="Arial" w:cs="Arial"/>
          <w:color w:val="1A1A1A"/>
          <w:sz w:val="20"/>
          <w:szCs w:val="20"/>
          <w:shd w:val="clear" w:color="auto" w:fill="FFFFFF"/>
        </w:rPr>
        <w:t xml:space="preserve">were reported as the </w:t>
      </w:r>
      <w:r w:rsidR="006C08E0">
        <w:rPr>
          <w:rFonts w:ascii="Arial" w:hAnsi="Arial" w:cs="Arial"/>
          <w:color w:val="1A1A1A"/>
          <w:sz w:val="20"/>
          <w:szCs w:val="20"/>
          <w:shd w:val="clear" w:color="auto" w:fill="FFFFFF"/>
        </w:rPr>
        <w:t>main</w:t>
      </w:r>
      <w:r w:rsidR="00803688">
        <w:rPr>
          <w:rFonts w:ascii="Arial" w:hAnsi="Arial" w:cs="Arial"/>
          <w:color w:val="1A1A1A"/>
          <w:sz w:val="20"/>
          <w:szCs w:val="20"/>
          <w:shd w:val="clear" w:color="auto" w:fill="FFFFFF"/>
        </w:rPr>
        <w:t xml:space="preserve"> income expenditures. </w:t>
      </w:r>
    </w:p>
    <w:p w14:paraId="5B2CD889" w14:textId="77777777" w:rsidR="00803688" w:rsidRDefault="00C90B5E" w:rsidP="00AE4593">
      <w:pPr>
        <w:jc w:val="both"/>
        <w:rPr>
          <w:rFonts w:ascii="Arial" w:hAnsi="Arial" w:cs="Arial"/>
          <w:color w:val="1A1A1A"/>
          <w:sz w:val="20"/>
          <w:szCs w:val="20"/>
          <w:shd w:val="clear" w:color="auto" w:fill="FFFFFF"/>
        </w:rPr>
      </w:pPr>
      <w:r w:rsidRPr="00C90B5E">
        <w:rPr>
          <w:rFonts w:ascii="Arial" w:hAnsi="Arial" w:cs="Arial"/>
          <w:b/>
          <w:color w:val="1A1A1A"/>
          <w:sz w:val="20"/>
          <w:szCs w:val="20"/>
          <w:shd w:val="clear" w:color="auto" w:fill="FFFFFF"/>
        </w:rPr>
        <w:t>Figure 11</w:t>
      </w:r>
      <w:r>
        <w:rPr>
          <w:rFonts w:ascii="Arial" w:hAnsi="Arial" w:cs="Arial"/>
          <w:color w:val="1A1A1A"/>
          <w:sz w:val="20"/>
          <w:szCs w:val="20"/>
          <w:shd w:val="clear" w:color="auto" w:fill="FFFFFF"/>
        </w:rPr>
        <w:t>:</w:t>
      </w:r>
      <w:r w:rsidR="00803688">
        <w:rPr>
          <w:rFonts w:ascii="Arial" w:hAnsi="Arial" w:cs="Arial"/>
          <w:color w:val="1A1A1A"/>
          <w:sz w:val="20"/>
          <w:szCs w:val="20"/>
          <w:shd w:val="clear" w:color="auto" w:fill="FFFFFF"/>
        </w:rPr>
        <w:t xml:space="preserve"> Income spent based agricultural income</w:t>
      </w:r>
      <w:r w:rsidR="00EA4A62">
        <w:rPr>
          <w:rFonts w:ascii="Arial" w:hAnsi="Arial" w:cs="Arial"/>
          <w:color w:val="1A1A1A"/>
          <w:sz w:val="20"/>
          <w:szCs w:val="20"/>
          <w:shd w:val="clear" w:color="auto" w:fill="FFFFFF"/>
        </w:rPr>
        <w:t xml:space="preserve">, all provinces </w:t>
      </w:r>
      <w:r w:rsidR="00985931">
        <w:rPr>
          <w:rFonts w:ascii="Arial" w:hAnsi="Arial" w:cs="Arial"/>
          <w:color w:val="1A1A1A"/>
          <w:sz w:val="20"/>
          <w:szCs w:val="20"/>
          <w:shd w:val="clear" w:color="auto" w:fill="FFFFFF"/>
        </w:rPr>
        <w:t>for the last 12 months</w:t>
      </w:r>
    </w:p>
    <w:p w14:paraId="627BF5A1" w14:textId="77777777" w:rsidR="00661B74" w:rsidRPr="003E3D80" w:rsidRDefault="007B0F67" w:rsidP="003E3D80">
      <w:r>
        <w:rPr>
          <w:noProof/>
          <w:lang w:val="en-GB" w:eastAsia="en-GB" w:bidi="ar-SA"/>
        </w:rPr>
        <w:drawing>
          <wp:inline distT="0" distB="0" distL="0" distR="0" wp14:anchorId="482B2EFE" wp14:editId="3BB6B086">
            <wp:extent cx="5821033" cy="2751826"/>
            <wp:effectExtent l="19050" t="0" r="27317"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8B16FA" w14:textId="77777777" w:rsidR="00803688" w:rsidRDefault="00596159" w:rsidP="00AE4593">
      <w:pPr>
        <w:jc w:val="both"/>
        <w:rPr>
          <w:rFonts w:ascii="Arial" w:hAnsi="Arial" w:cs="Arial"/>
          <w:color w:val="1A1A1A"/>
          <w:sz w:val="20"/>
          <w:szCs w:val="20"/>
          <w:shd w:val="clear" w:color="auto" w:fill="FFFFFF"/>
        </w:rPr>
      </w:pPr>
      <w:r>
        <w:rPr>
          <w:rFonts w:ascii="Arial" w:hAnsi="Arial" w:cs="Arial"/>
          <w:sz w:val="20"/>
          <w:szCs w:val="20"/>
        </w:rPr>
        <w:t>The results of</w:t>
      </w:r>
      <w:r w:rsidR="00985931">
        <w:rPr>
          <w:rFonts w:ascii="Arial" w:hAnsi="Arial" w:cs="Arial"/>
          <w:sz w:val="20"/>
          <w:szCs w:val="20"/>
        </w:rPr>
        <w:t xml:space="preserve"> the </w:t>
      </w:r>
      <w:r>
        <w:rPr>
          <w:rFonts w:ascii="Arial" w:hAnsi="Arial" w:cs="Arial"/>
          <w:sz w:val="20"/>
          <w:szCs w:val="20"/>
        </w:rPr>
        <w:t xml:space="preserve">households </w:t>
      </w:r>
      <w:r w:rsidR="00985931">
        <w:rPr>
          <w:rFonts w:ascii="Arial" w:hAnsi="Arial" w:cs="Arial"/>
          <w:sz w:val="20"/>
          <w:szCs w:val="20"/>
        </w:rPr>
        <w:t xml:space="preserve">expenditure shows that 40 percent of households spent their additional income </w:t>
      </w:r>
      <w:r w:rsidR="008226D3">
        <w:rPr>
          <w:rFonts w:ascii="Arial" w:hAnsi="Arial" w:cs="Arial"/>
          <w:sz w:val="20"/>
          <w:szCs w:val="20"/>
        </w:rPr>
        <w:t xml:space="preserve">from land clearance based on the assets. </w:t>
      </w:r>
      <w:r w:rsidR="003B6647" w:rsidRPr="003B6647">
        <w:rPr>
          <w:rFonts w:ascii="Arial" w:hAnsi="Arial" w:cs="Arial"/>
          <w:sz w:val="20"/>
          <w:szCs w:val="20"/>
        </w:rPr>
        <w:t xml:space="preserve"> </w:t>
      </w:r>
    </w:p>
    <w:p w14:paraId="1AFD4778" w14:textId="77777777" w:rsidR="00596159" w:rsidRDefault="00596159" w:rsidP="003B6647">
      <w:pPr>
        <w:autoSpaceDE w:val="0"/>
        <w:autoSpaceDN w:val="0"/>
        <w:adjustRightInd w:val="0"/>
        <w:spacing w:after="0" w:line="400" w:lineRule="atLeast"/>
        <w:rPr>
          <w:rFonts w:ascii="Arial" w:hAnsi="Arial" w:cs="Arial"/>
          <w:b/>
          <w:sz w:val="20"/>
          <w:szCs w:val="20"/>
        </w:rPr>
      </w:pPr>
    </w:p>
    <w:p w14:paraId="01AB877C" w14:textId="77777777" w:rsidR="003B6647" w:rsidRPr="003B6647" w:rsidRDefault="00596159" w:rsidP="003B6647">
      <w:pPr>
        <w:autoSpaceDE w:val="0"/>
        <w:autoSpaceDN w:val="0"/>
        <w:adjustRightInd w:val="0"/>
        <w:spacing w:after="0" w:line="400" w:lineRule="atLeast"/>
        <w:rPr>
          <w:rFonts w:ascii="Arial" w:hAnsi="Arial" w:cs="Arial"/>
          <w:sz w:val="20"/>
          <w:szCs w:val="20"/>
        </w:rPr>
      </w:pPr>
      <w:r w:rsidRPr="00596159">
        <w:rPr>
          <w:rFonts w:ascii="Arial" w:hAnsi="Arial" w:cs="Arial"/>
          <w:b/>
          <w:sz w:val="20"/>
          <w:szCs w:val="20"/>
        </w:rPr>
        <w:lastRenderedPageBreak/>
        <w:t>Figure 12</w:t>
      </w:r>
      <w:r>
        <w:rPr>
          <w:rFonts w:ascii="Arial" w:hAnsi="Arial" w:cs="Arial"/>
          <w:b/>
          <w:sz w:val="20"/>
          <w:szCs w:val="20"/>
        </w:rPr>
        <w:t xml:space="preserve">: </w:t>
      </w:r>
      <w:r w:rsidR="003B6647" w:rsidRPr="003B6647">
        <w:rPr>
          <w:rFonts w:ascii="Arial" w:hAnsi="Arial" w:cs="Arial"/>
          <w:sz w:val="20"/>
          <w:szCs w:val="20"/>
        </w:rPr>
        <w:t xml:space="preserve"> </w:t>
      </w:r>
      <w:r>
        <w:rPr>
          <w:rFonts w:ascii="Arial" w:hAnsi="Arial" w:cs="Arial"/>
          <w:sz w:val="20"/>
          <w:szCs w:val="20"/>
        </w:rPr>
        <w:t xml:space="preserve">Have you bought any assets </w:t>
      </w:r>
      <w:r w:rsidR="003B6647" w:rsidRPr="003B6647">
        <w:rPr>
          <w:rFonts w:ascii="Arial" w:hAnsi="Arial" w:cs="Arial"/>
          <w:sz w:val="20"/>
          <w:szCs w:val="20"/>
        </w:rPr>
        <w:t xml:space="preserve">based on the </w:t>
      </w:r>
      <w:r>
        <w:rPr>
          <w:rFonts w:ascii="Arial" w:hAnsi="Arial" w:cs="Arial"/>
          <w:sz w:val="20"/>
          <w:szCs w:val="20"/>
        </w:rPr>
        <w:t xml:space="preserve">additional income from released land, for the last </w:t>
      </w:r>
      <w:r w:rsidR="003B6647" w:rsidRPr="003B6647">
        <w:rPr>
          <w:rFonts w:ascii="Arial" w:hAnsi="Arial" w:cs="Arial"/>
          <w:sz w:val="20"/>
          <w:szCs w:val="20"/>
        </w:rPr>
        <w:t xml:space="preserve">12 months. </w:t>
      </w:r>
    </w:p>
    <w:p w14:paraId="2C795F10" w14:textId="77777777" w:rsidR="003B6647" w:rsidRDefault="003B6647" w:rsidP="003B6647">
      <w:pPr>
        <w:rPr>
          <w:rFonts w:cs="Calibri"/>
          <w:sz w:val="20"/>
          <w:szCs w:val="20"/>
        </w:rPr>
      </w:pPr>
      <w:r>
        <w:rPr>
          <w:noProof/>
          <w:lang w:val="en-GB" w:eastAsia="en-GB" w:bidi="ar-SA"/>
        </w:rPr>
        <w:drawing>
          <wp:inline distT="0" distB="0" distL="0" distR="0" wp14:anchorId="6A9ECDE2" wp14:editId="694D42B2">
            <wp:extent cx="3344352" cy="1240404"/>
            <wp:effectExtent l="19050" t="0" r="27498" b="0"/>
            <wp:docPr id="2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40B970" w14:textId="77777777" w:rsidR="0030039E" w:rsidRDefault="0030039E" w:rsidP="00AE4593">
      <w:pPr>
        <w:jc w:val="both"/>
        <w:rPr>
          <w:rFonts w:ascii="Arial" w:hAnsi="Arial" w:cs="Arial"/>
          <w:color w:val="1A1A1A"/>
          <w:sz w:val="20"/>
          <w:szCs w:val="20"/>
          <w:shd w:val="clear" w:color="auto" w:fill="FFFFFF"/>
        </w:rPr>
      </w:pPr>
    </w:p>
    <w:p w14:paraId="1916D941" w14:textId="77777777" w:rsidR="00803688" w:rsidRDefault="00596159" w:rsidP="00AE4593">
      <w:pPr>
        <w:jc w:val="both"/>
        <w:rPr>
          <w:rFonts w:ascii="Arial" w:hAnsi="Arial" w:cs="Arial"/>
          <w:color w:val="1A1A1A"/>
          <w:sz w:val="20"/>
          <w:szCs w:val="20"/>
          <w:shd w:val="clear" w:color="auto" w:fill="FFFFFF"/>
        </w:rPr>
      </w:pPr>
      <w:r w:rsidRPr="00596159">
        <w:rPr>
          <w:rFonts w:ascii="Arial" w:hAnsi="Arial" w:cs="Arial"/>
          <w:b/>
          <w:color w:val="1A1A1A"/>
          <w:sz w:val="20"/>
          <w:szCs w:val="20"/>
          <w:shd w:val="clear" w:color="auto" w:fill="FFFFFF"/>
        </w:rPr>
        <w:t>Figure 13:</w:t>
      </w:r>
      <w:r w:rsidR="008226D3">
        <w:rPr>
          <w:rFonts w:ascii="Arial" w:hAnsi="Arial" w:cs="Arial"/>
          <w:color w:val="1A1A1A"/>
          <w:sz w:val="20"/>
          <w:szCs w:val="20"/>
          <w:shd w:val="clear" w:color="auto" w:fill="FFFFFF"/>
        </w:rPr>
        <w:t xml:space="preserve"> </w:t>
      </w:r>
      <w:r w:rsidR="0030039E">
        <w:rPr>
          <w:rFonts w:ascii="Arial" w:hAnsi="Arial" w:cs="Arial"/>
          <w:color w:val="1A1A1A"/>
          <w:sz w:val="20"/>
          <w:szCs w:val="20"/>
          <w:shd w:val="clear" w:color="auto" w:fill="FFFFFF"/>
        </w:rPr>
        <w:t xml:space="preserve">Type of assets </w:t>
      </w:r>
      <w:r w:rsidR="004533DF">
        <w:rPr>
          <w:rFonts w:ascii="Arial" w:hAnsi="Arial" w:cs="Arial"/>
          <w:color w:val="1A1A1A"/>
          <w:sz w:val="20"/>
          <w:szCs w:val="20"/>
          <w:shd w:val="clear" w:color="auto" w:fill="FFFFFF"/>
        </w:rPr>
        <w:t xml:space="preserve">purchased based on the additional income from land clearance </w:t>
      </w:r>
    </w:p>
    <w:p w14:paraId="1C9944BE" w14:textId="77777777" w:rsidR="00803688" w:rsidRPr="0030039E" w:rsidRDefault="0030039E" w:rsidP="0030039E">
      <w:pPr>
        <w:rPr>
          <w:lang w:val="ru-RU"/>
        </w:rPr>
      </w:pPr>
      <w:r>
        <w:rPr>
          <w:noProof/>
          <w:lang w:val="en-GB" w:eastAsia="en-GB" w:bidi="ar-SA"/>
        </w:rPr>
        <w:drawing>
          <wp:inline distT="0" distB="0" distL="0" distR="0" wp14:anchorId="5404A092" wp14:editId="5090EF2F">
            <wp:extent cx="5280991" cy="3514477"/>
            <wp:effectExtent l="19050" t="0" r="14909" b="0"/>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EEF45B" w14:textId="77777777" w:rsidR="00A3733C" w:rsidRDefault="00A3733C" w:rsidP="00AE4593">
      <w:pPr>
        <w:jc w:val="both"/>
        <w:rPr>
          <w:rFonts w:ascii="Arial" w:hAnsi="Arial" w:cs="Arial"/>
          <w:color w:val="1A1A1A"/>
          <w:sz w:val="20"/>
          <w:szCs w:val="20"/>
          <w:shd w:val="clear" w:color="auto" w:fill="FFFFFF"/>
        </w:rPr>
      </w:pPr>
    </w:p>
    <w:p w14:paraId="70211DE6" w14:textId="77777777" w:rsidR="003E3D80" w:rsidRDefault="00912FBD" w:rsidP="00AE4593">
      <w:pPr>
        <w:jc w:val="both"/>
        <w:rPr>
          <w:rFonts w:ascii="Arial" w:hAnsi="Arial" w:cs="Arial"/>
          <w:color w:val="1A1A1A"/>
          <w:sz w:val="20"/>
          <w:szCs w:val="20"/>
          <w:shd w:val="clear" w:color="auto" w:fill="FFFFFF"/>
        </w:rPr>
      </w:pPr>
      <w:r>
        <w:rPr>
          <w:rFonts w:ascii="Arial" w:hAnsi="Arial" w:cs="Arial"/>
          <w:color w:val="1A1A1A"/>
          <w:sz w:val="20"/>
          <w:szCs w:val="20"/>
          <w:shd w:val="clear" w:color="auto" w:fill="FFFFFF"/>
        </w:rPr>
        <w:t xml:space="preserve">Respondents were asked if buying assets </w:t>
      </w:r>
      <w:proofErr w:type="gramStart"/>
      <w:r>
        <w:rPr>
          <w:rFonts w:ascii="Arial" w:hAnsi="Arial" w:cs="Arial"/>
          <w:color w:val="1A1A1A"/>
          <w:sz w:val="20"/>
          <w:szCs w:val="20"/>
          <w:shd w:val="clear" w:color="auto" w:fill="FFFFFF"/>
        </w:rPr>
        <w:t>were  joint</w:t>
      </w:r>
      <w:proofErr w:type="gramEnd"/>
      <w:r>
        <w:rPr>
          <w:rFonts w:ascii="Arial" w:hAnsi="Arial" w:cs="Arial"/>
          <w:color w:val="1A1A1A"/>
          <w:sz w:val="20"/>
          <w:szCs w:val="20"/>
          <w:shd w:val="clear" w:color="auto" w:fill="FFFFFF"/>
        </w:rPr>
        <w:t xml:space="preserve"> decision with the spouses, for which 85.9 percent reported that assets acquired were based on the joint decision with their spouses. Figure 14 provides evident data on the decision making within households.  </w:t>
      </w:r>
    </w:p>
    <w:p w14:paraId="4184EE66" w14:textId="77777777" w:rsidR="003E3D80" w:rsidRDefault="003E3D80" w:rsidP="00AE4593">
      <w:pPr>
        <w:jc w:val="both"/>
        <w:rPr>
          <w:rFonts w:ascii="Arial" w:hAnsi="Arial" w:cs="Arial"/>
          <w:color w:val="1A1A1A"/>
          <w:sz w:val="20"/>
          <w:szCs w:val="20"/>
          <w:shd w:val="clear" w:color="auto" w:fill="FFFFFF"/>
        </w:rPr>
      </w:pPr>
    </w:p>
    <w:p w14:paraId="23BAA3FC" w14:textId="77777777" w:rsidR="00596159" w:rsidRDefault="00596159" w:rsidP="00AE4593">
      <w:pPr>
        <w:jc w:val="both"/>
        <w:rPr>
          <w:rFonts w:ascii="Arial" w:hAnsi="Arial" w:cs="Arial"/>
          <w:color w:val="1A1A1A"/>
          <w:sz w:val="20"/>
          <w:szCs w:val="20"/>
          <w:shd w:val="clear" w:color="auto" w:fill="FFFFFF"/>
        </w:rPr>
      </w:pPr>
    </w:p>
    <w:p w14:paraId="4A31C7B9" w14:textId="77777777" w:rsidR="00596159" w:rsidRDefault="00596159" w:rsidP="00AE4593">
      <w:pPr>
        <w:jc w:val="both"/>
        <w:rPr>
          <w:rFonts w:ascii="Arial" w:hAnsi="Arial" w:cs="Arial"/>
          <w:color w:val="1A1A1A"/>
          <w:sz w:val="20"/>
          <w:szCs w:val="20"/>
          <w:shd w:val="clear" w:color="auto" w:fill="FFFFFF"/>
        </w:rPr>
      </w:pPr>
    </w:p>
    <w:p w14:paraId="72C7E17D" w14:textId="77777777" w:rsidR="003E3D80" w:rsidRDefault="003E3D80" w:rsidP="00AE4593">
      <w:pPr>
        <w:jc w:val="both"/>
        <w:rPr>
          <w:rFonts w:ascii="Arial" w:hAnsi="Arial" w:cs="Arial"/>
          <w:color w:val="1A1A1A"/>
          <w:sz w:val="20"/>
          <w:szCs w:val="20"/>
          <w:shd w:val="clear" w:color="auto" w:fill="FFFFFF"/>
        </w:rPr>
      </w:pPr>
    </w:p>
    <w:p w14:paraId="79227E14" w14:textId="77777777" w:rsidR="00912FBD" w:rsidRDefault="00912FBD" w:rsidP="00AE4593">
      <w:pPr>
        <w:jc w:val="both"/>
        <w:rPr>
          <w:rFonts w:ascii="Arial" w:hAnsi="Arial" w:cs="Arial"/>
          <w:color w:val="1A1A1A"/>
          <w:sz w:val="20"/>
          <w:szCs w:val="20"/>
          <w:shd w:val="clear" w:color="auto" w:fill="FFFFFF"/>
        </w:rPr>
      </w:pPr>
    </w:p>
    <w:p w14:paraId="3B4BC744" w14:textId="77777777" w:rsidR="00EA4A62" w:rsidRDefault="00596159" w:rsidP="00AE4593">
      <w:pPr>
        <w:jc w:val="both"/>
        <w:rPr>
          <w:rFonts w:ascii="Arial" w:hAnsi="Arial" w:cs="Arial"/>
          <w:color w:val="1A1A1A"/>
          <w:sz w:val="20"/>
          <w:szCs w:val="20"/>
          <w:shd w:val="clear" w:color="auto" w:fill="FFFFFF"/>
        </w:rPr>
      </w:pPr>
      <w:r w:rsidRPr="00596159">
        <w:rPr>
          <w:rFonts w:ascii="Arial" w:hAnsi="Arial" w:cs="Arial"/>
          <w:b/>
          <w:color w:val="1A1A1A"/>
          <w:sz w:val="20"/>
          <w:szCs w:val="20"/>
          <w:shd w:val="clear" w:color="auto" w:fill="FFFFFF"/>
        </w:rPr>
        <w:lastRenderedPageBreak/>
        <w:t xml:space="preserve">Figure </w:t>
      </w:r>
      <w:proofErr w:type="gramStart"/>
      <w:r w:rsidRPr="00596159">
        <w:rPr>
          <w:rFonts w:ascii="Arial" w:hAnsi="Arial" w:cs="Arial"/>
          <w:b/>
          <w:color w:val="1A1A1A"/>
          <w:sz w:val="20"/>
          <w:szCs w:val="20"/>
          <w:shd w:val="clear" w:color="auto" w:fill="FFFFFF"/>
        </w:rPr>
        <w:t>14</w:t>
      </w:r>
      <w:r w:rsidR="004C21BB">
        <w:rPr>
          <w:rFonts w:ascii="Arial" w:hAnsi="Arial" w:cs="Arial"/>
          <w:color w:val="1A1A1A"/>
          <w:sz w:val="20"/>
          <w:szCs w:val="20"/>
          <w:shd w:val="clear" w:color="auto" w:fill="FFFFFF"/>
        </w:rPr>
        <w:t xml:space="preserve"> </w:t>
      </w:r>
      <w:r>
        <w:rPr>
          <w:rFonts w:ascii="Arial" w:hAnsi="Arial" w:cs="Arial"/>
          <w:color w:val="1A1A1A"/>
          <w:sz w:val="20"/>
          <w:szCs w:val="20"/>
          <w:shd w:val="clear" w:color="auto" w:fill="FFFFFF"/>
        </w:rPr>
        <w:t>:</w:t>
      </w:r>
      <w:proofErr w:type="gramEnd"/>
      <w:r>
        <w:rPr>
          <w:rFonts w:ascii="Arial" w:hAnsi="Arial" w:cs="Arial"/>
          <w:color w:val="1A1A1A"/>
          <w:sz w:val="20"/>
          <w:szCs w:val="20"/>
          <w:shd w:val="clear" w:color="auto" w:fill="FFFFFF"/>
        </w:rPr>
        <w:t xml:space="preserve"> W</w:t>
      </w:r>
      <w:r w:rsidR="004C21BB">
        <w:rPr>
          <w:rFonts w:ascii="Arial" w:hAnsi="Arial" w:cs="Arial"/>
          <w:color w:val="1A1A1A"/>
          <w:sz w:val="20"/>
          <w:szCs w:val="20"/>
          <w:shd w:val="clear" w:color="auto" w:fill="FFFFFF"/>
        </w:rPr>
        <w:t>ho</w:t>
      </w:r>
      <w:r w:rsidR="00EA4A62" w:rsidRPr="00EA4A62">
        <w:rPr>
          <w:rFonts w:ascii="Arial" w:hAnsi="Arial" w:cs="Arial"/>
          <w:color w:val="000000"/>
          <w:sz w:val="20"/>
          <w:szCs w:val="20"/>
        </w:rPr>
        <w:t xml:space="preserve"> made decision to buy these assets?</w:t>
      </w:r>
    </w:p>
    <w:p w14:paraId="65285B3C" w14:textId="77777777" w:rsidR="00F13B1D" w:rsidRPr="00912FBD" w:rsidRDefault="00EA4A62" w:rsidP="00912FBD">
      <w:pPr>
        <w:rPr>
          <w:rFonts w:cs="Calibri"/>
          <w:b/>
          <w:bCs/>
          <w:sz w:val="20"/>
          <w:szCs w:val="20"/>
        </w:rPr>
      </w:pPr>
      <w:r>
        <w:rPr>
          <w:noProof/>
          <w:lang w:val="en-GB" w:eastAsia="en-GB" w:bidi="ar-SA"/>
        </w:rPr>
        <w:drawing>
          <wp:inline distT="0" distB="0" distL="0" distR="0" wp14:anchorId="6334B85C" wp14:editId="78919CE7">
            <wp:extent cx="5207497" cy="1574055"/>
            <wp:effectExtent l="19050" t="0" r="12203" b="7095"/>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840FD57" w14:textId="77777777" w:rsidR="00C51E77" w:rsidRDefault="00C51E77" w:rsidP="00AE4593">
      <w:pPr>
        <w:jc w:val="both"/>
        <w:rPr>
          <w:rFonts w:ascii="Arial" w:hAnsi="Arial" w:cs="Arial"/>
          <w:color w:val="5B9BD5" w:themeColor="accent1"/>
          <w:sz w:val="20"/>
          <w:szCs w:val="20"/>
          <w:shd w:val="clear" w:color="auto" w:fill="FFFFFF"/>
        </w:rPr>
      </w:pPr>
      <w:r w:rsidRPr="00C51E77">
        <w:rPr>
          <w:rFonts w:ascii="Arial" w:hAnsi="Arial" w:cs="Arial"/>
          <w:color w:val="5B9BD5" w:themeColor="accent1"/>
          <w:sz w:val="20"/>
          <w:szCs w:val="20"/>
          <w:shd w:val="clear" w:color="auto" w:fill="FFFFFF"/>
        </w:rPr>
        <w:t>CHANGE</w:t>
      </w:r>
      <w:r w:rsidR="00F13B1D">
        <w:rPr>
          <w:rFonts w:ascii="Arial" w:hAnsi="Arial" w:cs="Arial"/>
          <w:color w:val="5B9BD5" w:themeColor="accent1"/>
          <w:sz w:val="20"/>
          <w:szCs w:val="20"/>
          <w:shd w:val="clear" w:color="auto" w:fill="FFFFFF"/>
        </w:rPr>
        <w:t>S IN LIVELIHOOD</w:t>
      </w:r>
      <w:r w:rsidRPr="00C51E77">
        <w:rPr>
          <w:rFonts w:ascii="Arial" w:hAnsi="Arial" w:cs="Arial"/>
          <w:color w:val="5B9BD5" w:themeColor="accent1"/>
          <w:sz w:val="20"/>
          <w:szCs w:val="20"/>
          <w:shd w:val="clear" w:color="auto" w:fill="FFFFFF"/>
        </w:rPr>
        <w:t xml:space="preserve"> </w:t>
      </w:r>
      <w:r w:rsidR="00B540B3">
        <w:rPr>
          <w:rFonts w:ascii="Arial" w:hAnsi="Arial" w:cs="Arial"/>
          <w:color w:val="5B9BD5" w:themeColor="accent1"/>
          <w:sz w:val="20"/>
          <w:szCs w:val="20"/>
          <w:shd w:val="clear" w:color="auto" w:fill="FFFFFF"/>
        </w:rPr>
        <w:t xml:space="preserve"> </w:t>
      </w:r>
    </w:p>
    <w:p w14:paraId="5043C5B3" w14:textId="77777777" w:rsidR="00B540B3" w:rsidRDefault="004C21BB" w:rsidP="00225AB2">
      <w:pPr>
        <w:jc w:val="both"/>
        <w:rPr>
          <w:rFonts w:ascii="Arial" w:hAnsi="Arial" w:cs="Arial"/>
          <w:sz w:val="20"/>
          <w:szCs w:val="20"/>
          <w:shd w:val="clear" w:color="auto" w:fill="FFFFFF"/>
        </w:rPr>
      </w:pPr>
      <w:r>
        <w:rPr>
          <w:rFonts w:ascii="Arial" w:hAnsi="Arial" w:cs="Arial"/>
          <w:sz w:val="20"/>
          <w:szCs w:val="20"/>
          <w:shd w:val="clear" w:color="auto" w:fill="FFFFFF"/>
        </w:rPr>
        <w:t xml:space="preserve">Data </w:t>
      </w:r>
      <w:r w:rsidR="00912FBD">
        <w:rPr>
          <w:rFonts w:ascii="Arial" w:hAnsi="Arial" w:cs="Arial"/>
          <w:sz w:val="20"/>
          <w:szCs w:val="20"/>
          <w:shd w:val="clear" w:color="auto" w:fill="FFFFFF"/>
        </w:rPr>
        <w:t>below presents</w:t>
      </w:r>
      <w:r>
        <w:rPr>
          <w:rFonts w:ascii="Arial" w:hAnsi="Arial" w:cs="Arial"/>
          <w:sz w:val="20"/>
          <w:szCs w:val="20"/>
          <w:shd w:val="clear" w:color="auto" w:fill="FFFFFF"/>
        </w:rPr>
        <w:t xml:space="preserve"> that </w:t>
      </w:r>
      <w:r w:rsidR="00225AB2">
        <w:rPr>
          <w:rFonts w:ascii="Arial" w:hAnsi="Arial" w:cs="Arial"/>
          <w:sz w:val="20"/>
          <w:szCs w:val="20"/>
          <w:shd w:val="clear" w:color="auto" w:fill="FFFFFF"/>
        </w:rPr>
        <w:t>74.9 percent of respondents started to grow different types of crops</w:t>
      </w:r>
      <w:r w:rsidR="00912FBD">
        <w:rPr>
          <w:rFonts w:ascii="Arial" w:hAnsi="Arial" w:cs="Arial"/>
          <w:sz w:val="20"/>
          <w:szCs w:val="20"/>
          <w:shd w:val="clear" w:color="auto" w:fill="FFFFFF"/>
        </w:rPr>
        <w:t xml:space="preserve"> as a result of land clearance</w:t>
      </w:r>
      <w:r w:rsidR="00225AB2">
        <w:rPr>
          <w:rFonts w:ascii="Arial" w:hAnsi="Arial" w:cs="Arial"/>
          <w:sz w:val="20"/>
          <w:szCs w:val="20"/>
          <w:shd w:val="clear" w:color="auto" w:fill="FFFFFF"/>
        </w:rPr>
        <w:t xml:space="preserve">, 38.8 percent of stated increase in rice harvest and 30.1 percent raising more livestock, 25.3 percent stated growing more vegetables and fruits and only 2 percent started to raise fish. </w:t>
      </w:r>
    </w:p>
    <w:p w14:paraId="53044EB9" w14:textId="77777777" w:rsidR="000F3DC3" w:rsidRPr="00225AB2" w:rsidRDefault="00912FBD" w:rsidP="00225AB2">
      <w:pPr>
        <w:jc w:val="both"/>
        <w:rPr>
          <w:rFonts w:ascii="Arial" w:hAnsi="Arial" w:cs="Arial"/>
          <w:sz w:val="20"/>
          <w:szCs w:val="20"/>
          <w:shd w:val="clear" w:color="auto" w:fill="FFFFFF"/>
        </w:rPr>
      </w:pPr>
      <w:r w:rsidRPr="00912FBD">
        <w:rPr>
          <w:rFonts w:ascii="Arial" w:hAnsi="Arial" w:cs="Arial"/>
          <w:b/>
          <w:sz w:val="20"/>
          <w:szCs w:val="20"/>
          <w:shd w:val="clear" w:color="auto" w:fill="FFFFFF"/>
        </w:rPr>
        <w:t>Figure 15</w:t>
      </w:r>
      <w:r>
        <w:rPr>
          <w:rFonts w:ascii="Arial" w:hAnsi="Arial" w:cs="Arial"/>
          <w:b/>
          <w:sz w:val="20"/>
          <w:szCs w:val="20"/>
          <w:shd w:val="clear" w:color="auto" w:fill="FFFFFF"/>
        </w:rPr>
        <w:t xml:space="preserve">: </w:t>
      </w:r>
      <w:r w:rsidR="000F3DC3">
        <w:rPr>
          <w:rFonts w:ascii="Arial" w:hAnsi="Arial" w:cs="Arial"/>
          <w:sz w:val="20"/>
          <w:szCs w:val="20"/>
          <w:shd w:val="clear" w:color="auto" w:fill="FFFFFF"/>
        </w:rPr>
        <w:t xml:space="preserve"> As a result of land clearance, have you changed your livelihood? </w:t>
      </w:r>
    </w:p>
    <w:p w14:paraId="674D0238" w14:textId="77777777" w:rsidR="00225AB2" w:rsidRPr="009C1832" w:rsidRDefault="00B540B3" w:rsidP="009C1832">
      <w:pPr>
        <w:rPr>
          <w:rFonts w:cs="Calibri"/>
          <w:sz w:val="20"/>
          <w:szCs w:val="20"/>
        </w:rPr>
      </w:pPr>
      <w:r>
        <w:rPr>
          <w:noProof/>
          <w:lang w:val="en-GB" w:eastAsia="en-GB" w:bidi="ar-SA"/>
        </w:rPr>
        <w:drawing>
          <wp:inline distT="0" distB="0" distL="0" distR="0" wp14:anchorId="053D30F3" wp14:editId="178B8477">
            <wp:extent cx="6081287" cy="2346385"/>
            <wp:effectExtent l="19050" t="0" r="14713" b="0"/>
            <wp:docPr id="2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5B1795" w14:textId="77777777" w:rsidR="00225AB2" w:rsidRDefault="00225AB2" w:rsidP="00B540B3">
      <w:pPr>
        <w:pStyle w:val="MediumGrid21"/>
        <w:rPr>
          <w:rFonts w:cs="Calibri"/>
          <w:b/>
          <w:bCs/>
          <w:sz w:val="20"/>
          <w:szCs w:val="20"/>
        </w:rPr>
      </w:pPr>
    </w:p>
    <w:p w14:paraId="11A45E90" w14:textId="77777777" w:rsidR="00877343" w:rsidRPr="0055624C" w:rsidRDefault="00877343" w:rsidP="00B540B3">
      <w:pPr>
        <w:pStyle w:val="MediumGrid21"/>
        <w:rPr>
          <w:rFonts w:ascii="Arial" w:hAnsi="Arial" w:cs="Arial"/>
          <w:sz w:val="20"/>
          <w:szCs w:val="20"/>
          <w:u w:val="single"/>
        </w:rPr>
      </w:pPr>
    </w:p>
    <w:p w14:paraId="69CC6CF6" w14:textId="77777777" w:rsidR="00225AB2" w:rsidRPr="000F3DC3" w:rsidRDefault="00225AB2" w:rsidP="00B540B3">
      <w:pPr>
        <w:pStyle w:val="MediumGrid21"/>
        <w:rPr>
          <w:rFonts w:ascii="Arial" w:hAnsi="Arial" w:cs="Arial"/>
          <w:color w:val="5B9BD5" w:themeColor="accent1"/>
          <w:sz w:val="20"/>
          <w:szCs w:val="20"/>
        </w:rPr>
      </w:pPr>
      <w:r w:rsidRPr="000F3DC3">
        <w:rPr>
          <w:rFonts w:ascii="Arial" w:hAnsi="Arial" w:cs="Arial"/>
          <w:color w:val="5B9BD5" w:themeColor="accent1"/>
          <w:sz w:val="20"/>
          <w:szCs w:val="20"/>
        </w:rPr>
        <w:t xml:space="preserve">HOUSEHOLDS </w:t>
      </w:r>
      <w:r w:rsidR="009C1832" w:rsidRPr="000F3DC3">
        <w:rPr>
          <w:rFonts w:ascii="Arial" w:hAnsi="Arial" w:cs="Arial"/>
          <w:color w:val="5B9BD5" w:themeColor="accent1"/>
          <w:sz w:val="20"/>
          <w:szCs w:val="20"/>
        </w:rPr>
        <w:t>PLAN</w:t>
      </w:r>
      <w:r w:rsidR="00F13B1D" w:rsidRPr="000F3DC3">
        <w:rPr>
          <w:rFonts w:ascii="Arial" w:hAnsi="Arial" w:cs="Arial"/>
          <w:color w:val="5B9BD5" w:themeColor="accent1"/>
          <w:sz w:val="20"/>
          <w:szCs w:val="20"/>
        </w:rPr>
        <w:t>S</w:t>
      </w:r>
      <w:r w:rsidRPr="000F3DC3">
        <w:rPr>
          <w:rFonts w:ascii="Arial" w:hAnsi="Arial" w:cs="Arial"/>
          <w:color w:val="5B9BD5" w:themeColor="accent1"/>
          <w:sz w:val="20"/>
          <w:szCs w:val="20"/>
        </w:rPr>
        <w:t xml:space="preserve"> FOR THE USE OF CLEARED LAND</w:t>
      </w:r>
      <w:r w:rsidR="009C1832" w:rsidRPr="000F3DC3">
        <w:rPr>
          <w:rFonts w:ascii="Arial" w:hAnsi="Arial" w:cs="Arial"/>
          <w:color w:val="5B9BD5" w:themeColor="accent1"/>
          <w:sz w:val="20"/>
          <w:szCs w:val="20"/>
        </w:rPr>
        <w:t xml:space="preserve"> IN 5 YEARS</w:t>
      </w:r>
    </w:p>
    <w:p w14:paraId="627D117A" w14:textId="77777777" w:rsidR="00DC7C6E" w:rsidRDefault="00DC7C6E" w:rsidP="00B540B3">
      <w:pPr>
        <w:pStyle w:val="MediumGrid21"/>
        <w:rPr>
          <w:rFonts w:ascii="Arial" w:hAnsi="Arial" w:cs="Arial"/>
          <w:color w:val="5B9BD5" w:themeColor="accent1"/>
          <w:sz w:val="20"/>
          <w:szCs w:val="20"/>
        </w:rPr>
      </w:pPr>
    </w:p>
    <w:p w14:paraId="731455AD" w14:textId="77777777" w:rsidR="00DC7C6E" w:rsidRPr="00DC7C6E" w:rsidRDefault="00870AEA" w:rsidP="005A52EA">
      <w:pPr>
        <w:pStyle w:val="MediumGrid21"/>
        <w:jc w:val="both"/>
        <w:rPr>
          <w:rFonts w:ascii="Arial" w:hAnsi="Arial" w:cs="Arial"/>
          <w:sz w:val="20"/>
          <w:szCs w:val="20"/>
        </w:rPr>
      </w:pPr>
      <w:r>
        <w:rPr>
          <w:rFonts w:ascii="Arial" w:hAnsi="Arial" w:cs="Arial"/>
          <w:sz w:val="20"/>
          <w:szCs w:val="20"/>
        </w:rPr>
        <w:t>In the future, m</w:t>
      </w:r>
      <w:r w:rsidR="00DC7C6E" w:rsidRPr="00DC7C6E">
        <w:rPr>
          <w:rFonts w:ascii="Arial" w:hAnsi="Arial" w:cs="Arial"/>
          <w:sz w:val="20"/>
          <w:szCs w:val="20"/>
        </w:rPr>
        <w:t xml:space="preserve">ajority of households plan to use their land for agricultural purposes. </w:t>
      </w:r>
      <w:r w:rsidR="00DC7C6E">
        <w:rPr>
          <w:rFonts w:ascii="Arial" w:hAnsi="Arial" w:cs="Arial"/>
          <w:sz w:val="20"/>
          <w:szCs w:val="20"/>
        </w:rPr>
        <w:t>Qualitative information on households showed that due to decreasing soil fertility</w:t>
      </w:r>
      <w:r w:rsidR="005A52EA">
        <w:rPr>
          <w:rFonts w:ascii="Arial" w:hAnsi="Arial" w:cs="Arial"/>
          <w:sz w:val="20"/>
          <w:szCs w:val="20"/>
        </w:rPr>
        <w:t>, crop cultivation characterized by shorter rotations compared to traditional system, therefore farmers change type of cultivated crops due to land exhaustion</w:t>
      </w:r>
      <w:r>
        <w:rPr>
          <w:rFonts w:ascii="Arial" w:hAnsi="Arial" w:cs="Arial"/>
          <w:sz w:val="20"/>
          <w:szCs w:val="20"/>
        </w:rPr>
        <w:t xml:space="preserve"> (55 percent of households)</w:t>
      </w:r>
      <w:r w:rsidR="005A52EA">
        <w:rPr>
          <w:rFonts w:ascii="Arial" w:hAnsi="Arial" w:cs="Arial"/>
          <w:sz w:val="20"/>
          <w:szCs w:val="20"/>
        </w:rPr>
        <w:t xml:space="preserve">. </w:t>
      </w:r>
    </w:p>
    <w:p w14:paraId="6E27BE50" w14:textId="77777777" w:rsidR="00DC7C6E" w:rsidRDefault="00DC7C6E" w:rsidP="00DC7C6E">
      <w:pPr>
        <w:pStyle w:val="MediumGrid21"/>
        <w:rPr>
          <w:rFonts w:ascii="Verdana" w:hAnsi="Verdana" w:cs="Verdana"/>
          <w:sz w:val="17"/>
          <w:szCs w:val="17"/>
        </w:rPr>
      </w:pPr>
    </w:p>
    <w:p w14:paraId="05BCF5A2" w14:textId="77777777" w:rsidR="00870AEA" w:rsidRDefault="00870AEA" w:rsidP="00DC7C6E">
      <w:pPr>
        <w:pStyle w:val="MediumGrid21"/>
        <w:rPr>
          <w:rFonts w:ascii="Arial" w:hAnsi="Arial" w:cs="Arial"/>
          <w:b/>
          <w:sz w:val="20"/>
          <w:szCs w:val="20"/>
        </w:rPr>
      </w:pPr>
    </w:p>
    <w:p w14:paraId="3D27F0FD" w14:textId="77777777" w:rsidR="00870AEA" w:rsidRDefault="00870AEA" w:rsidP="00DC7C6E">
      <w:pPr>
        <w:pStyle w:val="MediumGrid21"/>
        <w:rPr>
          <w:rFonts w:ascii="Arial" w:hAnsi="Arial" w:cs="Arial"/>
          <w:b/>
          <w:sz w:val="20"/>
          <w:szCs w:val="20"/>
        </w:rPr>
      </w:pPr>
    </w:p>
    <w:p w14:paraId="4054E909" w14:textId="77777777" w:rsidR="00870AEA" w:rsidRDefault="00870AEA" w:rsidP="00DC7C6E">
      <w:pPr>
        <w:pStyle w:val="MediumGrid21"/>
        <w:rPr>
          <w:rFonts w:ascii="Arial" w:hAnsi="Arial" w:cs="Arial"/>
          <w:b/>
          <w:sz w:val="20"/>
          <w:szCs w:val="20"/>
        </w:rPr>
      </w:pPr>
    </w:p>
    <w:p w14:paraId="147CD0EB" w14:textId="77777777" w:rsidR="00870AEA" w:rsidRDefault="00870AEA" w:rsidP="00DC7C6E">
      <w:pPr>
        <w:pStyle w:val="MediumGrid21"/>
        <w:rPr>
          <w:rFonts w:ascii="Arial" w:hAnsi="Arial" w:cs="Arial"/>
          <w:b/>
          <w:sz w:val="20"/>
          <w:szCs w:val="20"/>
        </w:rPr>
      </w:pPr>
    </w:p>
    <w:p w14:paraId="13678843" w14:textId="77777777" w:rsidR="00870AEA" w:rsidRDefault="00870AEA" w:rsidP="00DC7C6E">
      <w:pPr>
        <w:pStyle w:val="MediumGrid21"/>
        <w:rPr>
          <w:rFonts w:ascii="Arial" w:hAnsi="Arial" w:cs="Arial"/>
          <w:b/>
          <w:sz w:val="20"/>
          <w:szCs w:val="20"/>
        </w:rPr>
      </w:pPr>
    </w:p>
    <w:p w14:paraId="05E3315C" w14:textId="77777777" w:rsidR="00870AEA" w:rsidRDefault="00870AEA" w:rsidP="00DC7C6E">
      <w:pPr>
        <w:pStyle w:val="MediumGrid21"/>
        <w:rPr>
          <w:rFonts w:ascii="Arial" w:hAnsi="Arial" w:cs="Arial"/>
          <w:b/>
          <w:sz w:val="20"/>
          <w:szCs w:val="20"/>
        </w:rPr>
      </w:pPr>
    </w:p>
    <w:p w14:paraId="77E940AE" w14:textId="77777777" w:rsidR="00870AEA" w:rsidRDefault="00870AEA" w:rsidP="00DC7C6E">
      <w:pPr>
        <w:pStyle w:val="MediumGrid21"/>
        <w:rPr>
          <w:rFonts w:ascii="Arial" w:hAnsi="Arial" w:cs="Arial"/>
          <w:b/>
          <w:sz w:val="20"/>
          <w:szCs w:val="20"/>
        </w:rPr>
      </w:pPr>
    </w:p>
    <w:p w14:paraId="4A633E22" w14:textId="77777777" w:rsidR="00870AEA" w:rsidRDefault="00870AEA" w:rsidP="00DC7C6E">
      <w:pPr>
        <w:pStyle w:val="MediumGrid21"/>
        <w:rPr>
          <w:rFonts w:ascii="Arial" w:hAnsi="Arial" w:cs="Arial"/>
          <w:b/>
          <w:sz w:val="20"/>
          <w:szCs w:val="20"/>
        </w:rPr>
      </w:pPr>
    </w:p>
    <w:p w14:paraId="5C537FFB" w14:textId="77777777" w:rsidR="00870AEA" w:rsidRDefault="00870AEA" w:rsidP="00DC7C6E">
      <w:pPr>
        <w:pStyle w:val="MediumGrid21"/>
        <w:rPr>
          <w:rFonts w:ascii="Arial" w:hAnsi="Arial" w:cs="Arial"/>
          <w:b/>
          <w:sz w:val="20"/>
          <w:szCs w:val="20"/>
        </w:rPr>
      </w:pPr>
    </w:p>
    <w:p w14:paraId="0A61B407" w14:textId="77777777" w:rsidR="00DC7C6E" w:rsidRPr="003E3D80" w:rsidRDefault="00870AEA" w:rsidP="00DC7C6E">
      <w:pPr>
        <w:pStyle w:val="MediumGrid21"/>
        <w:rPr>
          <w:rFonts w:ascii="Arial" w:hAnsi="Arial" w:cs="Arial"/>
          <w:b/>
          <w:bCs/>
          <w:color w:val="FF0000"/>
          <w:sz w:val="20"/>
          <w:szCs w:val="20"/>
        </w:rPr>
      </w:pPr>
      <w:r w:rsidRPr="00870AEA">
        <w:rPr>
          <w:rFonts w:ascii="Arial" w:hAnsi="Arial" w:cs="Arial"/>
          <w:b/>
          <w:sz w:val="20"/>
          <w:szCs w:val="20"/>
        </w:rPr>
        <w:lastRenderedPageBreak/>
        <w:t>Figure 16:</w:t>
      </w:r>
      <w:r w:rsidR="00DC7C6E" w:rsidRPr="003E3D80">
        <w:rPr>
          <w:rFonts w:ascii="Arial" w:hAnsi="Arial" w:cs="Arial"/>
          <w:sz w:val="20"/>
          <w:szCs w:val="20"/>
        </w:rPr>
        <w:t xml:space="preserve"> Households plan</w:t>
      </w:r>
      <w:r>
        <w:rPr>
          <w:rFonts w:ascii="Arial" w:hAnsi="Arial" w:cs="Arial"/>
          <w:sz w:val="20"/>
          <w:szCs w:val="20"/>
        </w:rPr>
        <w:t>s</w:t>
      </w:r>
      <w:r w:rsidR="00DC7C6E" w:rsidRPr="003E3D80">
        <w:rPr>
          <w:rFonts w:ascii="Arial" w:hAnsi="Arial" w:cs="Arial"/>
          <w:sz w:val="20"/>
          <w:szCs w:val="20"/>
        </w:rPr>
        <w:t xml:space="preserve"> for the use of cleared land in 5 years</w:t>
      </w:r>
    </w:p>
    <w:p w14:paraId="61441CF9" w14:textId="77777777" w:rsidR="00F71078" w:rsidRPr="003E3D80" w:rsidRDefault="00F71078" w:rsidP="00B540B3">
      <w:pPr>
        <w:pStyle w:val="MediumGrid21"/>
        <w:rPr>
          <w:rFonts w:ascii="Arial" w:hAnsi="Arial" w:cs="Arial"/>
          <w:b/>
          <w:bCs/>
          <w:color w:val="FF0000"/>
          <w:sz w:val="20"/>
          <w:szCs w:val="20"/>
        </w:rPr>
      </w:pPr>
    </w:p>
    <w:p w14:paraId="0D1871A6" w14:textId="77777777" w:rsidR="00B540B3" w:rsidRDefault="00B540B3" w:rsidP="00B540B3">
      <w:pPr>
        <w:pStyle w:val="MediumGrid21"/>
        <w:rPr>
          <w:rFonts w:cs="Calibri"/>
          <w:b/>
          <w:bCs/>
          <w:sz w:val="20"/>
          <w:szCs w:val="20"/>
        </w:rPr>
      </w:pPr>
      <w:r>
        <w:rPr>
          <w:noProof/>
          <w:lang w:val="en-GB" w:eastAsia="en-GB"/>
        </w:rPr>
        <w:drawing>
          <wp:inline distT="0" distB="0" distL="0" distR="0" wp14:anchorId="5E6586D2" wp14:editId="77F20BF7">
            <wp:extent cx="4573657" cy="2186609"/>
            <wp:effectExtent l="19050" t="0" r="17393" b="4141"/>
            <wp:docPr id="2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CCA413" w14:textId="77777777" w:rsidR="00B540B3" w:rsidRDefault="00B540B3" w:rsidP="00B540B3">
      <w:pPr>
        <w:pStyle w:val="MediumGrid21"/>
        <w:rPr>
          <w:rFonts w:cs="Calibri"/>
          <w:b/>
          <w:bCs/>
          <w:sz w:val="20"/>
          <w:szCs w:val="20"/>
        </w:rPr>
      </w:pPr>
    </w:p>
    <w:p w14:paraId="2EBF64A4" w14:textId="77777777" w:rsidR="008853D4" w:rsidRDefault="008853D4" w:rsidP="002045D6">
      <w:pPr>
        <w:tabs>
          <w:tab w:val="left" w:pos="426"/>
        </w:tabs>
        <w:jc w:val="both"/>
        <w:rPr>
          <w:rFonts w:ascii="Arial" w:hAnsi="Arial" w:cs="Arial"/>
          <w:bCs/>
          <w:color w:val="5B9BD5" w:themeColor="accent1"/>
          <w:sz w:val="20"/>
          <w:szCs w:val="20"/>
        </w:rPr>
      </w:pPr>
    </w:p>
    <w:p w14:paraId="7F84A53E" w14:textId="77777777" w:rsidR="002045D6" w:rsidRDefault="002045D6" w:rsidP="002045D6">
      <w:pPr>
        <w:tabs>
          <w:tab w:val="left" w:pos="426"/>
        </w:tabs>
        <w:jc w:val="both"/>
        <w:rPr>
          <w:rFonts w:ascii="Arial" w:hAnsi="Arial" w:cs="Arial"/>
          <w:bCs/>
          <w:color w:val="5B9BD5" w:themeColor="accent1"/>
          <w:sz w:val="20"/>
          <w:szCs w:val="20"/>
        </w:rPr>
      </w:pPr>
      <w:r w:rsidRPr="002045D6">
        <w:rPr>
          <w:rFonts w:ascii="Arial" w:hAnsi="Arial" w:cs="Arial"/>
          <w:bCs/>
          <w:color w:val="5B9BD5" w:themeColor="accent1"/>
          <w:sz w:val="20"/>
          <w:szCs w:val="20"/>
        </w:rPr>
        <w:t>MINE RISK EDUCATION</w:t>
      </w:r>
      <w:r w:rsidR="005F784C">
        <w:rPr>
          <w:rFonts w:ascii="Arial" w:hAnsi="Arial" w:cs="Arial"/>
          <w:bCs/>
          <w:color w:val="5B9BD5" w:themeColor="accent1"/>
          <w:sz w:val="20"/>
          <w:szCs w:val="20"/>
        </w:rPr>
        <w:t xml:space="preserve"> </w:t>
      </w:r>
    </w:p>
    <w:p w14:paraId="1EC4282C" w14:textId="77777777" w:rsidR="007470DA" w:rsidRPr="002045D6" w:rsidRDefault="002045D6" w:rsidP="00EF6BB2">
      <w:pPr>
        <w:jc w:val="both"/>
        <w:rPr>
          <w:rFonts w:ascii="Arial" w:hAnsi="Arial" w:cs="Arial"/>
          <w:bCs/>
          <w:sz w:val="20"/>
          <w:szCs w:val="20"/>
        </w:rPr>
      </w:pPr>
      <w:r w:rsidRPr="002045D6">
        <w:rPr>
          <w:rFonts w:ascii="Arial" w:hAnsi="Arial" w:cs="Arial"/>
          <w:bCs/>
          <w:sz w:val="20"/>
          <w:szCs w:val="20"/>
        </w:rPr>
        <w:t>Cambodian</w:t>
      </w:r>
      <w:r>
        <w:rPr>
          <w:rFonts w:ascii="Arial" w:hAnsi="Arial" w:cs="Arial"/>
          <w:bCs/>
          <w:color w:val="5B9BD5" w:themeColor="accent1"/>
          <w:sz w:val="20"/>
          <w:szCs w:val="20"/>
        </w:rPr>
        <w:t xml:space="preserve"> </w:t>
      </w:r>
      <w:r>
        <w:rPr>
          <w:rFonts w:ascii="Arial" w:hAnsi="Arial" w:cs="Arial"/>
          <w:bCs/>
          <w:sz w:val="20"/>
          <w:szCs w:val="20"/>
        </w:rPr>
        <w:t xml:space="preserve">Mine Action Authority conducts series of </w:t>
      </w:r>
      <w:r w:rsidR="007470DA">
        <w:rPr>
          <w:rFonts w:ascii="Arial" w:hAnsi="Arial" w:cs="Arial"/>
          <w:bCs/>
          <w:sz w:val="20"/>
          <w:szCs w:val="20"/>
        </w:rPr>
        <w:t>educational activities</w:t>
      </w:r>
      <w:r>
        <w:rPr>
          <w:rFonts w:ascii="Arial" w:hAnsi="Arial" w:cs="Arial"/>
          <w:bCs/>
          <w:sz w:val="20"/>
          <w:szCs w:val="20"/>
        </w:rPr>
        <w:t xml:space="preserve"> aimed at raising awareness about mines and ERWs danger, promotes behavior changes th</w:t>
      </w:r>
      <w:r w:rsidR="003C255D">
        <w:rPr>
          <w:rFonts w:ascii="Arial" w:hAnsi="Arial" w:cs="Arial"/>
          <w:bCs/>
          <w:sz w:val="20"/>
          <w:szCs w:val="20"/>
        </w:rPr>
        <w:t>rough</w:t>
      </w:r>
      <w:r>
        <w:rPr>
          <w:rFonts w:ascii="Arial" w:hAnsi="Arial" w:cs="Arial"/>
          <w:bCs/>
          <w:sz w:val="20"/>
          <w:szCs w:val="20"/>
        </w:rPr>
        <w:t xml:space="preserve"> training and liaison with communities. Objectives of awareness campaign is to reduce risk </w:t>
      </w:r>
      <w:r w:rsidR="007470DA">
        <w:rPr>
          <w:rFonts w:ascii="Arial" w:hAnsi="Arial" w:cs="Arial"/>
          <w:bCs/>
          <w:sz w:val="20"/>
          <w:szCs w:val="20"/>
        </w:rPr>
        <w:t xml:space="preserve">to people, environment and properties. Households were asked about awareness of mine and ERWs risk and sources of campaigns to verify the level awareness in contaminated areas.  </w:t>
      </w:r>
      <w:r w:rsidR="00870AEA">
        <w:rPr>
          <w:rFonts w:ascii="Arial" w:hAnsi="Arial" w:cs="Arial"/>
          <w:bCs/>
          <w:sz w:val="20"/>
          <w:szCs w:val="20"/>
        </w:rPr>
        <w:t xml:space="preserve">Figure 17 </w:t>
      </w:r>
      <w:r w:rsidR="00EF6BB2">
        <w:rPr>
          <w:rFonts w:ascii="Arial" w:hAnsi="Arial" w:cs="Arial"/>
          <w:bCs/>
          <w:sz w:val="20"/>
          <w:szCs w:val="20"/>
        </w:rPr>
        <w:t xml:space="preserve">demonstrates that in the average 98 percent of households received information about the risks of mines and ERWs. </w:t>
      </w:r>
    </w:p>
    <w:p w14:paraId="6645E225" w14:textId="77777777" w:rsidR="002045D6" w:rsidRPr="00305B15" w:rsidRDefault="00870AEA" w:rsidP="002045D6">
      <w:pPr>
        <w:tabs>
          <w:tab w:val="left" w:pos="426"/>
        </w:tabs>
        <w:jc w:val="both"/>
        <w:rPr>
          <w:rFonts w:ascii="Arial" w:eastAsia="Times New Roman" w:hAnsi="Arial" w:cs="Arial"/>
          <w:color w:val="000000"/>
          <w:sz w:val="20"/>
          <w:szCs w:val="20"/>
          <w:lang w:eastAsia="ru-RU"/>
        </w:rPr>
      </w:pPr>
      <w:r w:rsidRPr="00870AEA">
        <w:rPr>
          <w:rFonts w:ascii="Arial" w:eastAsia="Times New Roman" w:hAnsi="Arial" w:cs="Arial"/>
          <w:b/>
          <w:color w:val="000000"/>
          <w:sz w:val="20"/>
          <w:szCs w:val="20"/>
          <w:lang w:eastAsia="ru-RU"/>
        </w:rPr>
        <w:t>Figure 17</w:t>
      </w:r>
      <w:r w:rsidR="007470DA">
        <w:rPr>
          <w:rFonts w:ascii="Arial" w:eastAsia="Times New Roman" w:hAnsi="Arial" w:cs="Arial"/>
          <w:color w:val="000000"/>
          <w:sz w:val="20"/>
          <w:szCs w:val="20"/>
          <w:lang w:eastAsia="ru-RU"/>
        </w:rPr>
        <w:t xml:space="preserve"> </w:t>
      </w:r>
      <w:r w:rsidR="007470DA" w:rsidRPr="003413C9">
        <w:rPr>
          <w:rFonts w:ascii="Arial" w:eastAsia="Times New Roman" w:hAnsi="Arial" w:cs="Arial"/>
          <w:color w:val="000000"/>
          <w:sz w:val="20"/>
          <w:szCs w:val="20"/>
          <w:lang w:eastAsia="ru-RU"/>
        </w:rPr>
        <w:t>Have you received any information about the risks of mine/ERW?</w:t>
      </w:r>
    </w:p>
    <w:p w14:paraId="22018E31" w14:textId="77777777" w:rsidR="00EF6BB2" w:rsidRPr="00092121" w:rsidRDefault="002045D6" w:rsidP="00092121">
      <w:pPr>
        <w:tabs>
          <w:tab w:val="left" w:pos="426"/>
        </w:tabs>
        <w:jc w:val="both"/>
        <w:rPr>
          <w:rFonts w:ascii="Arial" w:hAnsi="Arial" w:cs="Arial"/>
          <w:sz w:val="20"/>
          <w:szCs w:val="20"/>
        </w:rPr>
      </w:pPr>
      <w:r>
        <w:rPr>
          <w:noProof/>
          <w:lang w:val="en-GB" w:eastAsia="en-GB" w:bidi="ar-SA"/>
        </w:rPr>
        <w:drawing>
          <wp:inline distT="0" distB="0" distL="0" distR="0" wp14:anchorId="1BC1EF3B" wp14:editId="7A035E81">
            <wp:extent cx="5443496" cy="2091193"/>
            <wp:effectExtent l="19050" t="0" r="23854" b="4307"/>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0B8C518" w14:textId="0D195E5E" w:rsidR="00870AEA" w:rsidRDefault="002D0B26" w:rsidP="00870AEA">
      <w:pPr>
        <w:jc w:val="both"/>
        <w:rPr>
          <w:rFonts w:ascii="Arial" w:hAnsi="Arial" w:cs="Arial"/>
          <w:bCs/>
          <w:sz w:val="20"/>
          <w:szCs w:val="20"/>
        </w:rPr>
      </w:pPr>
      <w:r>
        <w:rPr>
          <w:rFonts w:ascii="Arial" w:hAnsi="Arial" w:cs="Arial"/>
          <w:bCs/>
          <w:sz w:val="20"/>
          <w:szCs w:val="20"/>
        </w:rPr>
        <w:t xml:space="preserve">These figures reveal the saturation of MRE in mine affected communities, such as would be expected at such a mature phase of the Cambodian programme. The Final Evaluation recommends that UNDP and its donors do not support any further MRE in the target provinces, as those who remain vulnerable to mine and ERW hazards are highly unlikely to adjust their risk-taking behavior solely on the basis of information that leads to changes in knowledge. Studies that recommend more MRE to mitigate the risks of incidents with ATMs (resulting on taking old roads or ploughing suspect areas) are seen as naively optimistic. Such risk-taking is engaged in for economic reasons, often in full knowledge of the risks. It is therefore unlikely that MRE will have any impact, or change behavior in this regard. MRE is still required for children, to </w:t>
      </w:r>
      <w:proofErr w:type="gramStart"/>
      <w:r>
        <w:rPr>
          <w:rFonts w:ascii="Arial" w:hAnsi="Arial" w:cs="Arial"/>
          <w:bCs/>
          <w:sz w:val="20"/>
          <w:szCs w:val="20"/>
        </w:rPr>
        <w:t>mitigate</w:t>
      </w:r>
      <w:proofErr w:type="gramEnd"/>
      <w:r>
        <w:rPr>
          <w:rFonts w:ascii="Arial" w:hAnsi="Arial" w:cs="Arial"/>
          <w:bCs/>
          <w:sz w:val="20"/>
          <w:szCs w:val="20"/>
        </w:rPr>
        <w:t xml:space="preserve"> against vulnerability that does come from sheer ignorance of the risks, and should </w:t>
      </w:r>
      <w:r>
        <w:rPr>
          <w:rFonts w:ascii="Arial" w:hAnsi="Arial" w:cs="Arial"/>
          <w:bCs/>
          <w:sz w:val="20"/>
          <w:szCs w:val="20"/>
        </w:rPr>
        <w:lastRenderedPageBreak/>
        <w:t>be mainstreamed through the school curriculum such as has been the practice in Cambodia for many years.</w:t>
      </w:r>
    </w:p>
    <w:p w14:paraId="3B6DF4A6" w14:textId="77777777" w:rsidR="00EF6BB2" w:rsidRDefault="00870AEA" w:rsidP="00870AEA">
      <w:pPr>
        <w:jc w:val="both"/>
        <w:rPr>
          <w:rFonts w:ascii="Arial" w:hAnsi="Arial" w:cs="Arial"/>
          <w:bCs/>
          <w:sz w:val="20"/>
          <w:szCs w:val="20"/>
        </w:rPr>
      </w:pPr>
      <w:r w:rsidRPr="00870AEA">
        <w:rPr>
          <w:rFonts w:ascii="Arial" w:hAnsi="Arial" w:cs="Arial"/>
          <w:bCs/>
          <w:sz w:val="20"/>
          <w:szCs w:val="20"/>
        </w:rPr>
        <w:t>Figure 18</w:t>
      </w:r>
      <w:r w:rsidR="00EF6BB2">
        <w:rPr>
          <w:rFonts w:ascii="Arial" w:hAnsi="Arial" w:cs="Arial"/>
          <w:bCs/>
          <w:sz w:val="20"/>
          <w:szCs w:val="20"/>
        </w:rPr>
        <w:t xml:space="preserve"> </w:t>
      </w:r>
      <w:r>
        <w:rPr>
          <w:rFonts w:ascii="Arial" w:hAnsi="Arial" w:cs="Arial"/>
          <w:bCs/>
          <w:sz w:val="20"/>
          <w:szCs w:val="20"/>
        </w:rPr>
        <w:t xml:space="preserve"> </w:t>
      </w:r>
      <w:r w:rsidR="00EF6BB2">
        <w:rPr>
          <w:rFonts w:ascii="Arial" w:hAnsi="Arial" w:cs="Arial"/>
          <w:bCs/>
          <w:sz w:val="20"/>
          <w:szCs w:val="20"/>
        </w:rPr>
        <w:t xml:space="preserve">indicates that as </w:t>
      </w:r>
      <w:r w:rsidR="005F784C">
        <w:rPr>
          <w:rFonts w:ascii="Arial" w:hAnsi="Arial" w:cs="Arial"/>
          <w:bCs/>
          <w:sz w:val="20"/>
          <w:szCs w:val="20"/>
        </w:rPr>
        <w:t xml:space="preserve">a </w:t>
      </w:r>
      <w:r w:rsidR="00EF6BB2">
        <w:rPr>
          <w:rFonts w:ascii="Arial" w:hAnsi="Arial" w:cs="Arial"/>
          <w:bCs/>
          <w:sz w:val="20"/>
          <w:szCs w:val="20"/>
        </w:rPr>
        <w:t>sources of information, mine clearance operators</w:t>
      </w:r>
      <w:r w:rsidR="005F784C">
        <w:rPr>
          <w:rFonts w:ascii="Arial" w:hAnsi="Arial" w:cs="Arial"/>
          <w:bCs/>
          <w:sz w:val="20"/>
          <w:szCs w:val="20"/>
        </w:rPr>
        <w:t xml:space="preserve"> are the main players </w:t>
      </w:r>
      <w:r w:rsidR="0007595D">
        <w:rPr>
          <w:rFonts w:ascii="Arial" w:hAnsi="Arial" w:cs="Arial"/>
          <w:bCs/>
          <w:sz w:val="20"/>
          <w:szCs w:val="20"/>
        </w:rPr>
        <w:t>(76.5</w:t>
      </w:r>
      <w:r w:rsidR="005F784C">
        <w:rPr>
          <w:rFonts w:ascii="Arial" w:hAnsi="Arial" w:cs="Arial"/>
          <w:bCs/>
          <w:sz w:val="20"/>
          <w:szCs w:val="20"/>
        </w:rPr>
        <w:t xml:space="preserve"> percent), village chiefs and/or commune councils (nearly 61 percent), and relatives/friends (32</w:t>
      </w:r>
      <w:r w:rsidR="0007595D">
        <w:rPr>
          <w:rFonts w:ascii="Arial" w:hAnsi="Arial" w:cs="Arial"/>
          <w:bCs/>
          <w:sz w:val="20"/>
          <w:szCs w:val="20"/>
        </w:rPr>
        <w:t>.1</w:t>
      </w:r>
      <w:r w:rsidR="005F784C">
        <w:rPr>
          <w:rFonts w:ascii="Arial" w:hAnsi="Arial" w:cs="Arial"/>
          <w:bCs/>
          <w:sz w:val="20"/>
          <w:szCs w:val="20"/>
        </w:rPr>
        <w:t xml:space="preserve"> percent)</w:t>
      </w:r>
      <w:r w:rsidR="0007595D">
        <w:rPr>
          <w:rFonts w:ascii="Arial" w:hAnsi="Arial" w:cs="Arial"/>
          <w:bCs/>
          <w:sz w:val="20"/>
          <w:szCs w:val="20"/>
        </w:rPr>
        <w:t xml:space="preserve"> and posters, signposts and leaflets (31.8 percent) </w:t>
      </w:r>
      <w:r w:rsidR="005F784C">
        <w:rPr>
          <w:rFonts w:ascii="Arial" w:hAnsi="Arial" w:cs="Arial"/>
          <w:bCs/>
          <w:sz w:val="20"/>
          <w:szCs w:val="20"/>
        </w:rPr>
        <w:t xml:space="preserve"> are also one of the main awareness raising actors in the field. </w:t>
      </w:r>
    </w:p>
    <w:p w14:paraId="044F505C" w14:textId="77777777" w:rsidR="00870AEA" w:rsidRDefault="00870AEA" w:rsidP="002045D6">
      <w:pPr>
        <w:rPr>
          <w:rFonts w:ascii="Arial" w:hAnsi="Arial" w:cs="Arial"/>
          <w:b/>
          <w:bCs/>
          <w:sz w:val="20"/>
          <w:szCs w:val="20"/>
        </w:rPr>
      </w:pPr>
    </w:p>
    <w:p w14:paraId="71CA9AE8" w14:textId="77777777" w:rsidR="00870AEA" w:rsidRDefault="00870AEA" w:rsidP="002045D6">
      <w:pPr>
        <w:rPr>
          <w:rFonts w:ascii="Arial" w:hAnsi="Arial" w:cs="Arial"/>
          <w:b/>
          <w:bCs/>
          <w:sz w:val="20"/>
          <w:szCs w:val="20"/>
        </w:rPr>
      </w:pPr>
    </w:p>
    <w:p w14:paraId="04A5AD0C" w14:textId="77777777" w:rsidR="00EF6BB2" w:rsidRDefault="00870AEA" w:rsidP="002045D6">
      <w:pPr>
        <w:rPr>
          <w:rFonts w:ascii="Arial" w:hAnsi="Arial" w:cs="Arial"/>
          <w:bCs/>
          <w:sz w:val="20"/>
          <w:szCs w:val="20"/>
        </w:rPr>
      </w:pPr>
      <w:r w:rsidRPr="00870AEA">
        <w:rPr>
          <w:rFonts w:ascii="Arial" w:hAnsi="Arial" w:cs="Arial"/>
          <w:b/>
          <w:bCs/>
          <w:sz w:val="20"/>
          <w:szCs w:val="20"/>
        </w:rPr>
        <w:t>Figure 18</w:t>
      </w:r>
      <w:r>
        <w:rPr>
          <w:rFonts w:ascii="Arial" w:hAnsi="Arial" w:cs="Arial"/>
          <w:bCs/>
          <w:sz w:val="20"/>
          <w:szCs w:val="20"/>
        </w:rPr>
        <w:t>:</w:t>
      </w:r>
      <w:r w:rsidR="0007595D">
        <w:rPr>
          <w:rFonts w:ascii="Arial" w:hAnsi="Arial" w:cs="Arial"/>
          <w:bCs/>
          <w:sz w:val="20"/>
          <w:szCs w:val="20"/>
        </w:rPr>
        <w:t xml:space="preserve"> </w:t>
      </w:r>
      <w:r w:rsidR="00EF6BB2">
        <w:rPr>
          <w:rFonts w:ascii="Arial" w:hAnsi="Arial" w:cs="Arial"/>
          <w:bCs/>
          <w:sz w:val="20"/>
          <w:szCs w:val="20"/>
        </w:rPr>
        <w:t>Source of information</w:t>
      </w:r>
      <w:r w:rsidR="005F784C">
        <w:rPr>
          <w:rFonts w:ascii="Arial" w:hAnsi="Arial" w:cs="Arial"/>
          <w:bCs/>
          <w:sz w:val="20"/>
          <w:szCs w:val="20"/>
        </w:rPr>
        <w:t xml:space="preserve"> </w:t>
      </w:r>
    </w:p>
    <w:p w14:paraId="62EC5516" w14:textId="77777777" w:rsidR="0007595D" w:rsidRDefault="0007595D" w:rsidP="0007595D">
      <w:r>
        <w:rPr>
          <w:noProof/>
          <w:lang w:val="en-GB" w:eastAsia="en-GB" w:bidi="ar-SA"/>
        </w:rPr>
        <w:drawing>
          <wp:inline distT="0" distB="0" distL="0" distR="0" wp14:anchorId="6E4D8447" wp14:editId="2ED89D17">
            <wp:extent cx="4998223" cy="2107096"/>
            <wp:effectExtent l="19050" t="0" r="11927" b="7454"/>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8921E2" w14:textId="77777777" w:rsidR="00A3733C" w:rsidRDefault="00A3733C" w:rsidP="005F784C">
      <w:pPr>
        <w:rPr>
          <w:bCs/>
        </w:rPr>
      </w:pPr>
    </w:p>
    <w:p w14:paraId="6AE59C5D" w14:textId="77777777" w:rsidR="001506CB" w:rsidRDefault="001506CB" w:rsidP="00225AB2">
      <w:pPr>
        <w:jc w:val="both"/>
        <w:rPr>
          <w:rFonts w:ascii="Arial" w:hAnsi="Arial" w:cs="Arial"/>
          <w:color w:val="5B9BD5" w:themeColor="accent1"/>
          <w:sz w:val="20"/>
          <w:szCs w:val="20"/>
        </w:rPr>
      </w:pPr>
      <w:r w:rsidRPr="001506CB">
        <w:rPr>
          <w:rFonts w:ascii="Arial" w:hAnsi="Arial" w:cs="Arial"/>
          <w:color w:val="5B9BD5" w:themeColor="accent1"/>
          <w:sz w:val="20"/>
          <w:szCs w:val="20"/>
        </w:rPr>
        <w:t xml:space="preserve">FEAR </w:t>
      </w:r>
      <w:r w:rsidR="000F3DC3">
        <w:rPr>
          <w:rFonts w:ascii="Arial" w:hAnsi="Arial" w:cs="Arial"/>
          <w:color w:val="5B9BD5" w:themeColor="accent1"/>
          <w:sz w:val="20"/>
          <w:szCs w:val="20"/>
        </w:rPr>
        <w:t>OF CONTAMINATION</w:t>
      </w:r>
    </w:p>
    <w:p w14:paraId="05AC7DA5" w14:textId="77777777" w:rsidR="001506CB" w:rsidRDefault="00870AEA" w:rsidP="00225AB2">
      <w:pPr>
        <w:jc w:val="both"/>
        <w:rPr>
          <w:rFonts w:ascii="Arial" w:hAnsi="Arial" w:cs="Arial"/>
          <w:sz w:val="20"/>
          <w:szCs w:val="20"/>
        </w:rPr>
      </w:pPr>
      <w:r>
        <w:rPr>
          <w:rFonts w:ascii="Arial" w:hAnsi="Arial" w:cs="Arial"/>
          <w:sz w:val="20"/>
          <w:szCs w:val="20"/>
        </w:rPr>
        <w:t>Collected information</w:t>
      </w:r>
      <w:r w:rsidR="001506CB">
        <w:rPr>
          <w:rFonts w:ascii="Arial" w:hAnsi="Arial" w:cs="Arial"/>
          <w:sz w:val="20"/>
          <w:szCs w:val="20"/>
        </w:rPr>
        <w:t xml:space="preserve"> </w:t>
      </w:r>
      <w:r>
        <w:rPr>
          <w:rFonts w:ascii="Arial" w:hAnsi="Arial" w:cs="Arial"/>
          <w:sz w:val="20"/>
          <w:szCs w:val="20"/>
        </w:rPr>
        <w:t>illustrates</w:t>
      </w:r>
      <w:r w:rsidR="001506CB">
        <w:rPr>
          <w:rFonts w:ascii="Arial" w:hAnsi="Arial" w:cs="Arial"/>
          <w:sz w:val="20"/>
          <w:szCs w:val="20"/>
        </w:rPr>
        <w:t xml:space="preserve"> that people are still not free from the </w:t>
      </w:r>
      <w:r w:rsidR="00150F8D">
        <w:rPr>
          <w:rFonts w:ascii="Arial" w:hAnsi="Arial" w:cs="Arial"/>
          <w:sz w:val="20"/>
          <w:szCs w:val="20"/>
        </w:rPr>
        <w:t xml:space="preserve">fear of landmines. The reasons for having a fear was recorded as lack of confidence that the land is safe (84.5 percent), have seen or found suspicious item (51.2 percent) and heard of accidents in the neighborhood (28.6 percent) and other reasons (12.6 percent).  </w:t>
      </w:r>
    </w:p>
    <w:p w14:paraId="455CDF1C" w14:textId="77777777" w:rsidR="00A20EE8" w:rsidRPr="00150F8D" w:rsidRDefault="00476F33" w:rsidP="00A20EE8">
      <w:pPr>
        <w:jc w:val="both"/>
        <w:rPr>
          <w:rFonts w:ascii="Arial" w:hAnsi="Arial" w:cs="Arial"/>
          <w:sz w:val="20"/>
          <w:szCs w:val="20"/>
        </w:rPr>
      </w:pPr>
      <w:r w:rsidRPr="00476F33">
        <w:rPr>
          <w:rFonts w:ascii="Arial" w:hAnsi="Arial" w:cs="Arial"/>
          <w:b/>
          <w:sz w:val="20"/>
          <w:szCs w:val="20"/>
        </w:rPr>
        <w:t>Figure 19</w:t>
      </w:r>
      <w:r>
        <w:rPr>
          <w:rFonts w:ascii="Arial" w:hAnsi="Arial" w:cs="Arial"/>
          <w:sz w:val="20"/>
          <w:szCs w:val="20"/>
        </w:rPr>
        <w:t>:</w:t>
      </w:r>
      <w:r w:rsidR="00A20EE8">
        <w:rPr>
          <w:rFonts w:ascii="Arial" w:hAnsi="Arial" w:cs="Arial"/>
          <w:sz w:val="20"/>
          <w:szCs w:val="20"/>
        </w:rPr>
        <w:t xml:space="preserve"> Fear that community land or areas are still contaminated </w:t>
      </w:r>
    </w:p>
    <w:p w14:paraId="16E8098B" w14:textId="77777777" w:rsidR="00A20EE8" w:rsidRDefault="00A20EE8" w:rsidP="00A20EE8">
      <w:pPr>
        <w:rPr>
          <w:b/>
          <w:bCs/>
        </w:rPr>
      </w:pPr>
      <w:r>
        <w:rPr>
          <w:noProof/>
          <w:lang w:val="en-GB" w:eastAsia="en-GB" w:bidi="ar-SA"/>
        </w:rPr>
        <w:drawing>
          <wp:inline distT="0" distB="0" distL="0" distR="0" wp14:anchorId="470F5A97" wp14:editId="33132787">
            <wp:extent cx="3175828" cy="1470991"/>
            <wp:effectExtent l="19050" t="0" r="24572"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EC2E133" w14:textId="77777777" w:rsidR="00A20EE8" w:rsidRPr="000F3DC3" w:rsidRDefault="000F3DC3" w:rsidP="00225AB2">
      <w:pPr>
        <w:jc w:val="both"/>
        <w:rPr>
          <w:rFonts w:ascii="Arial" w:hAnsi="Arial" w:cs="Arial"/>
          <w:sz w:val="20"/>
          <w:szCs w:val="20"/>
        </w:rPr>
      </w:pPr>
      <w:r w:rsidRPr="000F3DC3">
        <w:rPr>
          <w:rFonts w:ascii="Arial" w:hAnsi="Arial" w:cs="Arial"/>
          <w:sz w:val="20"/>
          <w:szCs w:val="20"/>
        </w:rPr>
        <w:t>ADDRESSING A FEAR ISSUE</w:t>
      </w:r>
    </w:p>
    <w:p w14:paraId="75465B35" w14:textId="77777777" w:rsidR="000F3DC3" w:rsidRPr="00476F33" w:rsidRDefault="00476F33" w:rsidP="00225AB2">
      <w:pPr>
        <w:jc w:val="both"/>
        <w:rPr>
          <w:rFonts w:ascii="Arial" w:hAnsi="Arial" w:cs="Arial"/>
          <w:sz w:val="20"/>
          <w:szCs w:val="20"/>
        </w:rPr>
      </w:pPr>
      <w:r>
        <w:rPr>
          <w:rFonts w:ascii="Arial" w:hAnsi="Arial" w:cs="Arial"/>
          <w:sz w:val="20"/>
          <w:szCs w:val="20"/>
        </w:rPr>
        <w:t>Respondents</w:t>
      </w:r>
      <w:r w:rsidR="00150F8D">
        <w:rPr>
          <w:rFonts w:ascii="Arial" w:hAnsi="Arial" w:cs="Arial"/>
          <w:sz w:val="20"/>
          <w:szCs w:val="20"/>
        </w:rPr>
        <w:t xml:space="preserve"> wer</w:t>
      </w:r>
      <w:r w:rsidR="00A20EE8">
        <w:rPr>
          <w:rFonts w:ascii="Arial" w:hAnsi="Arial" w:cs="Arial"/>
          <w:sz w:val="20"/>
          <w:szCs w:val="20"/>
        </w:rPr>
        <w:t xml:space="preserve">e asked if they know </w:t>
      </w:r>
      <w:r w:rsidR="00150F8D">
        <w:rPr>
          <w:rFonts w:ascii="Arial" w:hAnsi="Arial" w:cs="Arial"/>
          <w:sz w:val="20"/>
          <w:szCs w:val="20"/>
        </w:rPr>
        <w:t>how to address th</w:t>
      </w:r>
      <w:r w:rsidR="00A20EE8">
        <w:rPr>
          <w:rFonts w:ascii="Arial" w:hAnsi="Arial" w:cs="Arial"/>
          <w:sz w:val="20"/>
          <w:szCs w:val="20"/>
        </w:rPr>
        <w:t>e fear or risk issues. Majority of households mentioned</w:t>
      </w:r>
      <w:r>
        <w:rPr>
          <w:rFonts w:ascii="Arial" w:hAnsi="Arial" w:cs="Arial"/>
          <w:sz w:val="20"/>
          <w:szCs w:val="20"/>
        </w:rPr>
        <w:t xml:space="preserve">: </w:t>
      </w:r>
      <w:r w:rsidR="00A20EE8">
        <w:rPr>
          <w:rFonts w:ascii="Arial" w:hAnsi="Arial" w:cs="Arial"/>
          <w:sz w:val="20"/>
          <w:szCs w:val="20"/>
        </w:rPr>
        <w:t xml:space="preserve"> </w:t>
      </w:r>
      <w:r>
        <w:rPr>
          <w:rFonts w:ascii="Arial" w:hAnsi="Arial" w:cs="Arial"/>
          <w:sz w:val="20"/>
          <w:szCs w:val="20"/>
        </w:rPr>
        <w:t>(1) inform</w:t>
      </w:r>
      <w:r w:rsidR="00A20EE8">
        <w:rPr>
          <w:rFonts w:ascii="Arial" w:hAnsi="Arial" w:cs="Arial"/>
          <w:sz w:val="20"/>
          <w:szCs w:val="20"/>
        </w:rPr>
        <w:t xml:space="preserve"> village chief (79.4 percent), </w:t>
      </w:r>
      <w:r>
        <w:rPr>
          <w:rFonts w:ascii="Arial" w:hAnsi="Arial" w:cs="Arial"/>
          <w:sz w:val="20"/>
          <w:szCs w:val="20"/>
        </w:rPr>
        <w:t xml:space="preserve">(2) </w:t>
      </w:r>
      <w:r w:rsidR="00A20EE8">
        <w:rPr>
          <w:rFonts w:ascii="Arial" w:hAnsi="Arial" w:cs="Arial"/>
          <w:sz w:val="20"/>
          <w:szCs w:val="20"/>
        </w:rPr>
        <w:t xml:space="preserve">inform operator MAPU (18.7 percent), and </w:t>
      </w:r>
      <w:r>
        <w:rPr>
          <w:rFonts w:ascii="Arial" w:hAnsi="Arial" w:cs="Arial"/>
          <w:sz w:val="20"/>
          <w:szCs w:val="20"/>
        </w:rPr>
        <w:t xml:space="preserve">(3) </w:t>
      </w:r>
      <w:r w:rsidR="00A20EE8">
        <w:rPr>
          <w:rFonts w:ascii="Arial" w:hAnsi="Arial" w:cs="Arial"/>
          <w:sz w:val="20"/>
          <w:szCs w:val="20"/>
        </w:rPr>
        <w:t xml:space="preserve">don’t know what to do (0.4 percent).  </w:t>
      </w:r>
    </w:p>
    <w:p w14:paraId="2725FFDC" w14:textId="0A0C7FFD" w:rsidR="002045D6" w:rsidRPr="00F477C8" w:rsidRDefault="00F477C8" w:rsidP="00225AB2">
      <w:pPr>
        <w:jc w:val="both"/>
        <w:rPr>
          <w:rFonts w:ascii="Arial" w:hAnsi="Arial" w:cs="Arial"/>
          <w:sz w:val="20"/>
          <w:szCs w:val="20"/>
          <w:shd w:val="clear" w:color="auto" w:fill="FFFFFF"/>
        </w:rPr>
      </w:pPr>
      <w:r w:rsidRPr="00F477C8">
        <w:rPr>
          <w:rFonts w:ascii="Arial" w:hAnsi="Arial" w:cs="Arial"/>
          <w:sz w:val="20"/>
          <w:szCs w:val="20"/>
          <w:shd w:val="clear" w:color="auto" w:fill="FFFFFF"/>
        </w:rPr>
        <w:lastRenderedPageBreak/>
        <w:t xml:space="preserve">USE OF LAND THAT </w:t>
      </w:r>
      <w:r w:rsidR="00202DD0">
        <w:rPr>
          <w:rFonts w:ascii="Arial" w:hAnsi="Arial" w:cs="Arial"/>
          <w:sz w:val="20"/>
          <w:szCs w:val="20"/>
          <w:shd w:val="clear" w:color="auto" w:fill="FFFFFF"/>
        </w:rPr>
        <w:t xml:space="preserve">WAS </w:t>
      </w:r>
      <w:r w:rsidRPr="00F477C8">
        <w:rPr>
          <w:rFonts w:ascii="Arial" w:hAnsi="Arial" w:cs="Arial"/>
          <w:sz w:val="20"/>
          <w:szCs w:val="20"/>
          <w:shd w:val="clear" w:color="auto" w:fill="FFFFFF"/>
        </w:rPr>
        <w:t xml:space="preserve">THOUGHT </w:t>
      </w:r>
      <w:r w:rsidR="00202DD0">
        <w:rPr>
          <w:rFonts w:ascii="Arial" w:hAnsi="Arial" w:cs="Arial"/>
          <w:sz w:val="20"/>
          <w:szCs w:val="20"/>
          <w:shd w:val="clear" w:color="auto" w:fill="FFFFFF"/>
        </w:rPr>
        <w:t>TO BE</w:t>
      </w:r>
      <w:r w:rsidRPr="00F477C8">
        <w:rPr>
          <w:rFonts w:ascii="Arial" w:hAnsi="Arial" w:cs="Arial"/>
          <w:sz w:val="20"/>
          <w:szCs w:val="20"/>
          <w:shd w:val="clear" w:color="auto" w:fill="FFFFFF"/>
        </w:rPr>
        <w:t xml:space="preserve"> CONTAMINATIED </w:t>
      </w:r>
    </w:p>
    <w:p w14:paraId="77D55B48" w14:textId="71215A7C" w:rsidR="004B4973" w:rsidRDefault="00F477C8" w:rsidP="00225AB2">
      <w:pPr>
        <w:jc w:val="both"/>
        <w:rPr>
          <w:rFonts w:ascii="Arial" w:hAnsi="Arial" w:cs="Arial"/>
          <w:sz w:val="20"/>
          <w:szCs w:val="20"/>
          <w:shd w:val="clear" w:color="auto" w:fill="FFFFFF"/>
        </w:rPr>
      </w:pPr>
      <w:r>
        <w:rPr>
          <w:rFonts w:ascii="Arial" w:hAnsi="Arial" w:cs="Arial"/>
          <w:sz w:val="20"/>
          <w:szCs w:val="20"/>
          <w:shd w:val="clear" w:color="auto" w:fill="FFFFFF"/>
        </w:rPr>
        <w:t xml:space="preserve">This question was included as many farmers during </w:t>
      </w:r>
      <w:r w:rsidR="00A72E36">
        <w:rPr>
          <w:rFonts w:ascii="Arial" w:hAnsi="Arial" w:cs="Arial"/>
          <w:sz w:val="20"/>
          <w:szCs w:val="20"/>
          <w:shd w:val="clear" w:color="auto" w:fill="FFFFFF"/>
        </w:rPr>
        <w:t>field visit interviews</w:t>
      </w:r>
      <w:r>
        <w:rPr>
          <w:rFonts w:ascii="Arial" w:hAnsi="Arial" w:cs="Arial"/>
          <w:sz w:val="20"/>
          <w:szCs w:val="20"/>
          <w:shd w:val="clear" w:color="auto" w:fill="FFFFFF"/>
        </w:rPr>
        <w:t xml:space="preserve"> mentioned that they still use or have used their land that they fear</w:t>
      </w:r>
      <w:r w:rsidR="00202DD0">
        <w:rPr>
          <w:rFonts w:ascii="Arial" w:hAnsi="Arial" w:cs="Arial"/>
          <w:sz w:val="20"/>
          <w:szCs w:val="20"/>
          <w:shd w:val="clear" w:color="auto" w:fill="FFFFFF"/>
        </w:rPr>
        <w:t>ed</w:t>
      </w:r>
      <w:r>
        <w:rPr>
          <w:rFonts w:ascii="Arial" w:hAnsi="Arial" w:cs="Arial"/>
          <w:sz w:val="20"/>
          <w:szCs w:val="20"/>
          <w:shd w:val="clear" w:color="auto" w:fill="FFFFFF"/>
        </w:rPr>
        <w:t xml:space="preserve"> or thought was contaminated. The local practice of checking if the land is safe is burning the grass, letting animals to graze in the suspected land or ploughing the land.  The information received from household’s interviews confirmed</w:t>
      </w:r>
      <w:r w:rsidR="00240714">
        <w:rPr>
          <w:rFonts w:ascii="Arial" w:hAnsi="Arial" w:cs="Arial"/>
          <w:sz w:val="20"/>
          <w:szCs w:val="20"/>
          <w:shd w:val="clear" w:color="auto" w:fill="FFFFFF"/>
        </w:rPr>
        <w:t xml:space="preserve"> that 83.5</w:t>
      </w:r>
      <w:r>
        <w:rPr>
          <w:rFonts w:ascii="Arial" w:hAnsi="Arial" w:cs="Arial"/>
          <w:sz w:val="20"/>
          <w:szCs w:val="20"/>
          <w:shd w:val="clear" w:color="auto" w:fill="FFFFFF"/>
        </w:rPr>
        <w:t xml:space="preserve"> percent of household used their lands that they feared or thought was contaminated. </w:t>
      </w:r>
    </w:p>
    <w:p w14:paraId="4F1BDA7B" w14:textId="151E05B2" w:rsidR="00A72E36" w:rsidRPr="0067649F" w:rsidRDefault="00202DD0" w:rsidP="00225AB2">
      <w:pPr>
        <w:jc w:val="both"/>
        <w:rPr>
          <w:rFonts w:ascii="Arial" w:hAnsi="Arial" w:cs="Arial"/>
          <w:sz w:val="20"/>
          <w:szCs w:val="20"/>
          <w:shd w:val="clear" w:color="auto" w:fill="FFFFFF"/>
        </w:rPr>
      </w:pPr>
      <w:r w:rsidRPr="0067649F">
        <w:rPr>
          <w:rFonts w:ascii="Arial" w:hAnsi="Arial" w:cs="Arial"/>
          <w:sz w:val="20"/>
          <w:szCs w:val="20"/>
          <w:shd w:val="clear" w:color="auto" w:fill="FFFFFF"/>
        </w:rPr>
        <w:t>As noted above,</w:t>
      </w:r>
      <w:r>
        <w:rPr>
          <w:rFonts w:ascii="Arial" w:hAnsi="Arial" w:cs="Arial"/>
          <w:sz w:val="20"/>
          <w:szCs w:val="20"/>
          <w:shd w:val="clear" w:color="auto" w:fill="FFFFFF"/>
        </w:rPr>
        <w:t xml:space="preserve"> beneficiaries have routinely accessed and used suspect land prior to formal land release, including clearance. Often this has been because they know the area has been ‘threat-reduced’ </w:t>
      </w:r>
      <w:r>
        <w:rPr>
          <w:rStyle w:val="FootnoteReference"/>
          <w:rFonts w:ascii="Arial" w:hAnsi="Arial" w:cs="Arial"/>
          <w:sz w:val="20"/>
          <w:szCs w:val="20"/>
          <w:shd w:val="clear" w:color="auto" w:fill="FFFFFF"/>
        </w:rPr>
        <w:footnoteReference w:id="8"/>
      </w:r>
      <w:r>
        <w:rPr>
          <w:rFonts w:ascii="Arial" w:hAnsi="Arial" w:cs="Arial"/>
          <w:sz w:val="20"/>
          <w:szCs w:val="20"/>
          <w:shd w:val="clear" w:color="auto" w:fill="FFFFFF"/>
        </w:rPr>
        <w:t xml:space="preserve">by the informal sector, either by the farmers themselves through burning or informal clearance, or through hiring paid private deminers. There is much evidence from previous research and reports (such as a study commissioned by HI in 2005) about the work of this informal private sector. However, threat-reduced areas are not ‘cleared’ to National Standards, and the residual risk in these areas is far higher than land that has been released according to proper processes specified in National Standards, Thus, whilst threat-reduced land is safer, hence the relatively very low accident rates given that the vast majority of people have been using suspect land for agricultural purposes, it is still land that people fear, or use differently (no power ploughs or tractors, only hoes </w:t>
      </w:r>
      <w:proofErr w:type="spellStart"/>
      <w:r>
        <w:rPr>
          <w:rFonts w:ascii="Arial" w:hAnsi="Arial" w:cs="Arial"/>
          <w:sz w:val="20"/>
          <w:szCs w:val="20"/>
          <w:shd w:val="clear" w:color="auto" w:fill="FFFFFF"/>
        </w:rPr>
        <w:t>etc</w:t>
      </w:r>
      <w:proofErr w:type="spellEnd"/>
      <w:r>
        <w:rPr>
          <w:rFonts w:ascii="Arial" w:hAnsi="Arial" w:cs="Arial"/>
          <w:sz w:val="20"/>
          <w:szCs w:val="20"/>
          <w:shd w:val="clear" w:color="auto" w:fill="FFFFFF"/>
        </w:rPr>
        <w:t xml:space="preserve">) to mitigate perceived risks. Finally, it should be noted, as stressed in the Final Evaluation that </w:t>
      </w:r>
      <w:r>
        <w:rPr>
          <w:rFonts w:ascii="Arial" w:hAnsi="Arial" w:cs="Arial"/>
          <w:i/>
          <w:sz w:val="20"/>
          <w:szCs w:val="20"/>
          <w:shd w:val="clear" w:color="auto" w:fill="FFFFFF"/>
        </w:rPr>
        <w:t>some</w:t>
      </w:r>
      <w:r>
        <w:rPr>
          <w:rFonts w:ascii="Arial" w:hAnsi="Arial" w:cs="Arial"/>
          <w:sz w:val="20"/>
          <w:szCs w:val="20"/>
          <w:shd w:val="clear" w:color="auto" w:fill="FFFFFF"/>
        </w:rPr>
        <w:t xml:space="preserve"> classes of mines (such as the Type 69, POMZ </w:t>
      </w:r>
      <w:proofErr w:type="spellStart"/>
      <w:r>
        <w:rPr>
          <w:rFonts w:ascii="Arial" w:hAnsi="Arial" w:cs="Arial"/>
          <w:sz w:val="20"/>
          <w:szCs w:val="20"/>
          <w:shd w:val="clear" w:color="auto" w:fill="FFFFFF"/>
        </w:rPr>
        <w:t>etc</w:t>
      </w:r>
      <w:proofErr w:type="spellEnd"/>
      <w:r>
        <w:rPr>
          <w:rFonts w:ascii="Arial" w:hAnsi="Arial" w:cs="Arial"/>
          <w:sz w:val="20"/>
          <w:szCs w:val="20"/>
          <w:shd w:val="clear" w:color="auto" w:fill="FFFFFF"/>
        </w:rPr>
        <w:t>) now have very low levels of functionality. Operators report that hazardous areas with such low risk mines are routinely being farmed across. However, other mines – such as the PMN or PMN2 – should be considered high-risk mines and remain highly functional.</w:t>
      </w:r>
    </w:p>
    <w:p w14:paraId="7A998E4D" w14:textId="77777777" w:rsidR="00A72E36" w:rsidRDefault="00A72E36" w:rsidP="00225AB2">
      <w:pPr>
        <w:jc w:val="both"/>
        <w:rPr>
          <w:rFonts w:ascii="Arial" w:hAnsi="Arial" w:cs="Arial"/>
          <w:b/>
          <w:sz w:val="20"/>
          <w:szCs w:val="20"/>
          <w:shd w:val="clear" w:color="auto" w:fill="FFFFFF"/>
        </w:rPr>
      </w:pPr>
    </w:p>
    <w:p w14:paraId="6FF51635" w14:textId="77777777" w:rsidR="00F477C8" w:rsidRDefault="00A72E36" w:rsidP="00225AB2">
      <w:pPr>
        <w:jc w:val="both"/>
        <w:rPr>
          <w:rFonts w:ascii="Arial" w:hAnsi="Arial" w:cs="Arial"/>
          <w:sz w:val="20"/>
          <w:szCs w:val="20"/>
          <w:shd w:val="clear" w:color="auto" w:fill="FFFFFF"/>
        </w:rPr>
      </w:pPr>
      <w:r w:rsidRPr="00A72E36">
        <w:rPr>
          <w:rFonts w:ascii="Arial" w:hAnsi="Arial" w:cs="Arial"/>
          <w:b/>
          <w:sz w:val="20"/>
          <w:szCs w:val="20"/>
          <w:shd w:val="clear" w:color="auto" w:fill="FFFFFF"/>
        </w:rPr>
        <w:t>Figure 20</w:t>
      </w:r>
      <w:r>
        <w:rPr>
          <w:rFonts w:ascii="Arial" w:hAnsi="Arial" w:cs="Arial"/>
          <w:sz w:val="20"/>
          <w:szCs w:val="20"/>
          <w:shd w:val="clear" w:color="auto" w:fill="FFFFFF"/>
        </w:rPr>
        <w:t xml:space="preserve">: </w:t>
      </w:r>
      <w:r w:rsidR="00F477C8">
        <w:rPr>
          <w:rFonts w:ascii="Arial" w:hAnsi="Arial" w:cs="Arial"/>
          <w:sz w:val="20"/>
          <w:szCs w:val="20"/>
          <w:shd w:val="clear" w:color="auto" w:fill="FFFFFF"/>
        </w:rPr>
        <w:t xml:space="preserve">Were you using you land that you feared or thought was contaminated by mines or ERWs before </w:t>
      </w:r>
      <w:r w:rsidR="009B109C">
        <w:rPr>
          <w:rFonts w:ascii="Arial" w:hAnsi="Arial" w:cs="Arial"/>
          <w:sz w:val="20"/>
          <w:szCs w:val="20"/>
          <w:shd w:val="clear" w:color="auto" w:fill="FFFFFF"/>
        </w:rPr>
        <w:t>clearance</w:t>
      </w:r>
      <w:r w:rsidR="00F477C8">
        <w:rPr>
          <w:rFonts w:ascii="Arial" w:hAnsi="Arial" w:cs="Arial"/>
          <w:sz w:val="20"/>
          <w:szCs w:val="20"/>
          <w:shd w:val="clear" w:color="auto" w:fill="FFFFFF"/>
        </w:rPr>
        <w:t xml:space="preserve">? </w:t>
      </w:r>
    </w:p>
    <w:p w14:paraId="2861E15F" w14:textId="77777777" w:rsidR="00240714" w:rsidRPr="00240714" w:rsidRDefault="00240714" w:rsidP="00240714">
      <w:r>
        <w:rPr>
          <w:noProof/>
          <w:lang w:val="en-GB" w:eastAsia="en-GB" w:bidi="ar-SA"/>
        </w:rPr>
        <w:drawing>
          <wp:inline distT="0" distB="0" distL="0" distR="0" wp14:anchorId="00E02343" wp14:editId="31B5842D">
            <wp:extent cx="3838755" cy="1577975"/>
            <wp:effectExtent l="0" t="0" r="9525" b="317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E0FC590" w14:textId="77777777" w:rsidR="004B4973" w:rsidRDefault="004B4973" w:rsidP="004B4973">
      <w:pPr>
        <w:jc w:val="both"/>
        <w:rPr>
          <w:rFonts w:ascii="Arial" w:eastAsia="Times New Roman" w:hAnsi="Arial" w:cs="Arial"/>
          <w:color w:val="000000"/>
          <w:sz w:val="20"/>
          <w:szCs w:val="20"/>
          <w:lang w:eastAsia="ru-RU"/>
        </w:rPr>
      </w:pPr>
      <w:r w:rsidRPr="004B4973">
        <w:rPr>
          <w:rFonts w:ascii="Arial" w:hAnsi="Arial" w:cs="Arial"/>
          <w:sz w:val="20"/>
          <w:szCs w:val="20"/>
          <w:shd w:val="clear" w:color="auto" w:fill="FFFFFF"/>
        </w:rPr>
        <w:t xml:space="preserve">The main reasons </w:t>
      </w:r>
      <w:r>
        <w:rPr>
          <w:rFonts w:ascii="Arial" w:hAnsi="Arial" w:cs="Arial"/>
          <w:sz w:val="20"/>
          <w:szCs w:val="20"/>
          <w:shd w:val="clear" w:color="auto" w:fill="FFFFFF"/>
        </w:rPr>
        <w:t xml:space="preserve">of using </w:t>
      </w:r>
      <w:r w:rsidR="00A72E36">
        <w:rPr>
          <w:rFonts w:ascii="Arial" w:hAnsi="Arial" w:cs="Arial"/>
          <w:sz w:val="20"/>
          <w:szCs w:val="20"/>
          <w:shd w:val="clear" w:color="auto" w:fill="FFFFFF"/>
        </w:rPr>
        <w:t xml:space="preserve">contaminated </w:t>
      </w:r>
      <w:r>
        <w:rPr>
          <w:rFonts w:ascii="Arial" w:hAnsi="Arial" w:cs="Arial"/>
          <w:sz w:val="20"/>
          <w:szCs w:val="20"/>
          <w:shd w:val="clear" w:color="auto" w:fill="FFFFFF"/>
        </w:rPr>
        <w:t>land</w:t>
      </w:r>
      <w:r w:rsidR="00A72E36">
        <w:rPr>
          <w:rFonts w:ascii="Arial" w:hAnsi="Arial" w:cs="Arial"/>
          <w:sz w:val="20"/>
          <w:szCs w:val="20"/>
          <w:shd w:val="clear" w:color="auto" w:fill="FFFFFF"/>
        </w:rPr>
        <w:t>s</w:t>
      </w:r>
      <w:r>
        <w:rPr>
          <w:rFonts w:ascii="Arial" w:hAnsi="Arial" w:cs="Arial"/>
          <w:sz w:val="20"/>
          <w:szCs w:val="20"/>
          <w:shd w:val="clear" w:color="auto" w:fill="FFFFFF"/>
        </w:rPr>
        <w:t xml:space="preserve"> before clearance </w:t>
      </w:r>
      <w:r w:rsidRPr="004B4973">
        <w:rPr>
          <w:rFonts w:ascii="Arial" w:hAnsi="Arial" w:cs="Arial"/>
          <w:sz w:val="20"/>
          <w:szCs w:val="20"/>
          <w:shd w:val="clear" w:color="auto" w:fill="FFFFFF"/>
        </w:rPr>
        <w:t xml:space="preserve">were recorded as: </w:t>
      </w:r>
      <w:r w:rsidR="003C255D">
        <w:rPr>
          <w:rFonts w:ascii="Arial" w:eastAsia="Times New Roman" w:hAnsi="Arial" w:cs="Arial"/>
          <w:color w:val="000000"/>
          <w:sz w:val="20"/>
          <w:szCs w:val="20"/>
          <w:lang w:eastAsia="ru-RU"/>
        </w:rPr>
        <w:t>(1)</w:t>
      </w:r>
      <w:r w:rsidRPr="004B4973">
        <w:rPr>
          <w:rFonts w:ascii="Arial" w:eastAsia="Times New Roman" w:hAnsi="Arial" w:cs="Arial"/>
          <w:color w:val="000000"/>
          <w:sz w:val="20"/>
          <w:szCs w:val="20"/>
          <w:lang w:eastAsia="ru-RU"/>
        </w:rPr>
        <w:t xml:space="preserve"> neighbor or other village residents  are doing the same</w:t>
      </w:r>
      <w:r>
        <w:rPr>
          <w:rFonts w:ascii="Arial" w:eastAsia="Times New Roman" w:hAnsi="Arial" w:cs="Arial"/>
          <w:color w:val="000000"/>
          <w:sz w:val="20"/>
          <w:szCs w:val="20"/>
          <w:lang w:eastAsia="ru-RU"/>
        </w:rPr>
        <w:t xml:space="preserve"> (34.1 percent);</w:t>
      </w:r>
      <w:r w:rsidRPr="004B4973">
        <w:rPr>
          <w:rFonts w:ascii="Arial" w:eastAsia="Times New Roman" w:hAnsi="Arial" w:cs="Arial"/>
          <w:color w:val="000000"/>
          <w:sz w:val="20"/>
          <w:szCs w:val="20"/>
          <w:lang w:eastAsia="ru-RU"/>
        </w:rPr>
        <w:t xml:space="preserve"> </w:t>
      </w:r>
      <w:r w:rsidR="003C255D">
        <w:rPr>
          <w:rFonts w:ascii="Arial" w:eastAsia="Times New Roman" w:hAnsi="Arial" w:cs="Arial"/>
          <w:color w:val="000000"/>
          <w:sz w:val="20"/>
          <w:szCs w:val="20"/>
          <w:lang w:eastAsia="ru-RU"/>
        </w:rPr>
        <w:t xml:space="preserve">(2) </w:t>
      </w:r>
      <w:r w:rsidRPr="004B4973">
        <w:rPr>
          <w:rFonts w:ascii="Arial" w:eastAsia="Times New Roman" w:hAnsi="Arial" w:cs="Arial"/>
          <w:color w:val="000000"/>
          <w:sz w:val="20"/>
          <w:szCs w:val="20"/>
          <w:lang w:eastAsia="ru-RU"/>
        </w:rPr>
        <w:t>used some parts of land that thought was not contaminated (32.7 percent)</w:t>
      </w:r>
      <w:r>
        <w:rPr>
          <w:rFonts w:ascii="Arial" w:eastAsia="Times New Roman" w:hAnsi="Arial" w:cs="Arial"/>
          <w:color w:val="000000"/>
          <w:sz w:val="20"/>
          <w:szCs w:val="20"/>
          <w:lang w:eastAsia="ru-RU"/>
        </w:rPr>
        <w:t>;</w:t>
      </w:r>
      <w:r w:rsidRPr="004B4973">
        <w:rPr>
          <w:rFonts w:ascii="Arial" w:eastAsia="Times New Roman" w:hAnsi="Arial" w:cs="Arial"/>
          <w:color w:val="000000"/>
          <w:sz w:val="20"/>
          <w:szCs w:val="20"/>
          <w:lang w:eastAsia="ru-RU"/>
        </w:rPr>
        <w:t xml:space="preserve"> </w:t>
      </w:r>
      <w:r w:rsidR="003C255D">
        <w:rPr>
          <w:rFonts w:ascii="Arial" w:eastAsia="Times New Roman" w:hAnsi="Arial" w:cs="Arial"/>
          <w:color w:val="000000"/>
          <w:sz w:val="20"/>
          <w:szCs w:val="20"/>
          <w:lang w:eastAsia="ru-RU"/>
        </w:rPr>
        <w:t xml:space="preserve">(3) </w:t>
      </w:r>
      <w:r w:rsidRPr="004B4973">
        <w:rPr>
          <w:rFonts w:ascii="Arial" w:eastAsia="Times New Roman" w:hAnsi="Arial" w:cs="Arial"/>
          <w:color w:val="000000"/>
          <w:sz w:val="20"/>
          <w:szCs w:val="20"/>
          <w:lang w:eastAsia="ru-RU"/>
        </w:rPr>
        <w:t>due t</w:t>
      </w:r>
      <w:r>
        <w:rPr>
          <w:rFonts w:ascii="Arial" w:eastAsia="Times New Roman" w:hAnsi="Arial" w:cs="Arial"/>
          <w:color w:val="000000"/>
          <w:sz w:val="20"/>
          <w:szCs w:val="20"/>
          <w:lang w:eastAsia="ru-RU"/>
        </w:rPr>
        <w:t xml:space="preserve">o farming needs (28.6 percent); </w:t>
      </w:r>
      <w:r w:rsidR="003C255D">
        <w:rPr>
          <w:rFonts w:ascii="Arial" w:eastAsia="Times New Roman" w:hAnsi="Arial" w:cs="Arial"/>
          <w:color w:val="000000"/>
          <w:sz w:val="20"/>
          <w:szCs w:val="20"/>
          <w:lang w:eastAsia="ru-RU"/>
        </w:rPr>
        <w:t xml:space="preserve">(4) </w:t>
      </w:r>
      <w:r w:rsidRPr="004B4973">
        <w:rPr>
          <w:rFonts w:ascii="Arial" w:eastAsia="Times New Roman" w:hAnsi="Arial" w:cs="Arial"/>
          <w:color w:val="000000"/>
          <w:sz w:val="20"/>
          <w:szCs w:val="20"/>
          <w:lang w:eastAsia="ru-RU"/>
        </w:rPr>
        <w:t>thought that the risk was not serious (13.6 percent)</w:t>
      </w:r>
      <w:r>
        <w:rPr>
          <w:rFonts w:ascii="Arial" w:eastAsia="Times New Roman" w:hAnsi="Arial" w:cs="Arial"/>
          <w:color w:val="000000"/>
          <w:sz w:val="20"/>
          <w:szCs w:val="20"/>
          <w:lang w:eastAsia="ru-RU"/>
        </w:rPr>
        <w:t>;</w:t>
      </w:r>
      <w:r w:rsidRPr="004B4973">
        <w:rPr>
          <w:rFonts w:ascii="Arial" w:eastAsia="Times New Roman" w:hAnsi="Arial" w:cs="Arial"/>
          <w:color w:val="000000"/>
          <w:sz w:val="20"/>
          <w:szCs w:val="20"/>
          <w:lang w:eastAsia="ru-RU"/>
        </w:rPr>
        <w:t xml:space="preserve"> and </w:t>
      </w:r>
      <w:r w:rsidR="003C255D">
        <w:rPr>
          <w:rFonts w:ascii="Arial" w:eastAsia="Times New Roman" w:hAnsi="Arial" w:cs="Arial"/>
          <w:color w:val="000000"/>
          <w:sz w:val="20"/>
          <w:szCs w:val="20"/>
          <w:lang w:eastAsia="ru-RU"/>
        </w:rPr>
        <w:t xml:space="preserve">(4) </w:t>
      </w:r>
      <w:r w:rsidRPr="004B4973">
        <w:rPr>
          <w:rFonts w:ascii="Arial" w:eastAsia="Times New Roman" w:hAnsi="Arial" w:cs="Arial"/>
          <w:color w:val="000000"/>
          <w:sz w:val="20"/>
          <w:szCs w:val="20"/>
          <w:lang w:eastAsia="ru-RU"/>
        </w:rPr>
        <w:t>other reasons  (33.</w:t>
      </w:r>
      <w:r>
        <w:rPr>
          <w:rFonts w:ascii="Arial" w:eastAsia="Times New Roman" w:hAnsi="Arial" w:cs="Arial"/>
          <w:color w:val="000000"/>
          <w:sz w:val="20"/>
          <w:szCs w:val="20"/>
          <w:lang w:eastAsia="ru-RU"/>
        </w:rPr>
        <w:t xml:space="preserve">2 percent). </w:t>
      </w:r>
    </w:p>
    <w:p w14:paraId="4E1B0D2A" w14:textId="77777777" w:rsidR="001103AF" w:rsidRDefault="00090502" w:rsidP="004B4973">
      <w:pPr>
        <w:jc w:val="both"/>
        <w:rPr>
          <w:rFonts w:ascii="Arial" w:eastAsia="Times New Roman" w:hAnsi="Arial" w:cs="Arial"/>
          <w:color w:val="5B9BD5" w:themeColor="accent1"/>
          <w:sz w:val="20"/>
          <w:szCs w:val="20"/>
          <w:lang w:eastAsia="ru-RU"/>
        </w:rPr>
      </w:pPr>
      <w:r>
        <w:rPr>
          <w:rFonts w:ascii="Arial" w:eastAsia="Times New Roman" w:hAnsi="Arial" w:cs="Arial"/>
          <w:color w:val="000000"/>
          <w:sz w:val="20"/>
          <w:szCs w:val="20"/>
          <w:lang w:eastAsia="ru-RU"/>
        </w:rPr>
        <w:lastRenderedPageBreak/>
        <w:t xml:space="preserve">These findings indicate that despite of knowing the danger and mine risks, households still use </w:t>
      </w:r>
      <w:r w:rsidR="00A72E36">
        <w:rPr>
          <w:rFonts w:ascii="Arial" w:eastAsia="Times New Roman" w:hAnsi="Arial" w:cs="Arial"/>
          <w:color w:val="000000"/>
          <w:sz w:val="20"/>
          <w:szCs w:val="20"/>
          <w:lang w:eastAsia="ru-RU"/>
        </w:rPr>
        <w:t>locally practiced traditional</w:t>
      </w:r>
      <w:r>
        <w:rPr>
          <w:rFonts w:ascii="Arial" w:eastAsia="Times New Roman" w:hAnsi="Arial" w:cs="Arial"/>
          <w:color w:val="000000"/>
          <w:sz w:val="20"/>
          <w:szCs w:val="20"/>
          <w:lang w:eastAsia="ru-RU"/>
        </w:rPr>
        <w:t xml:space="preserve"> ways that they believe </w:t>
      </w:r>
      <w:r w:rsidR="001A5AAA">
        <w:rPr>
          <w:rFonts w:ascii="Arial" w:eastAsia="Times New Roman" w:hAnsi="Arial" w:cs="Arial"/>
          <w:color w:val="000000"/>
          <w:sz w:val="20"/>
          <w:szCs w:val="20"/>
          <w:lang w:eastAsia="ru-RU"/>
        </w:rPr>
        <w:t xml:space="preserve">reduces the risk.  </w:t>
      </w:r>
    </w:p>
    <w:p w14:paraId="7ED4D4A7" w14:textId="77777777" w:rsidR="004B4973" w:rsidRDefault="004B4973" w:rsidP="004B4973">
      <w:pPr>
        <w:jc w:val="both"/>
        <w:rPr>
          <w:rFonts w:ascii="Arial" w:eastAsia="Times New Roman" w:hAnsi="Arial" w:cs="Arial"/>
          <w:color w:val="5B9BD5" w:themeColor="accent1"/>
          <w:sz w:val="20"/>
          <w:szCs w:val="20"/>
          <w:lang w:eastAsia="ru-RU"/>
        </w:rPr>
      </w:pPr>
      <w:r w:rsidRPr="004B4973">
        <w:rPr>
          <w:rFonts w:ascii="Arial" w:eastAsia="Times New Roman" w:hAnsi="Arial" w:cs="Arial"/>
          <w:color w:val="5B9BD5" w:themeColor="accent1"/>
          <w:sz w:val="20"/>
          <w:szCs w:val="20"/>
          <w:lang w:eastAsia="ru-RU"/>
        </w:rPr>
        <w:t xml:space="preserve"> LOAN AND LABOR MARKET</w:t>
      </w:r>
    </w:p>
    <w:p w14:paraId="45EF070D" w14:textId="77777777" w:rsidR="003826DF" w:rsidRDefault="003826DF" w:rsidP="004B4973">
      <w:pPr>
        <w:jc w:val="both"/>
        <w:rPr>
          <w:rFonts w:ascii="Arial" w:eastAsia="Times New Roman" w:hAnsi="Arial" w:cs="Arial"/>
          <w:sz w:val="20"/>
          <w:szCs w:val="20"/>
          <w:lang w:eastAsia="ru-RU"/>
        </w:rPr>
      </w:pPr>
      <w:r>
        <w:rPr>
          <w:rFonts w:ascii="Arial" w:eastAsia="Times New Roman" w:hAnsi="Arial" w:cs="Arial"/>
          <w:sz w:val="20"/>
          <w:szCs w:val="20"/>
          <w:lang w:eastAsia="ru-RU"/>
        </w:rPr>
        <w:t>Questions on Loan and Labor M</w:t>
      </w:r>
      <w:r w:rsidR="00A72E36">
        <w:rPr>
          <w:rFonts w:ascii="Arial" w:eastAsia="Times New Roman" w:hAnsi="Arial" w:cs="Arial"/>
          <w:sz w:val="20"/>
          <w:szCs w:val="20"/>
          <w:lang w:eastAsia="ru-RU"/>
        </w:rPr>
        <w:t xml:space="preserve">arket were included into HHQ </w:t>
      </w:r>
      <w:r>
        <w:rPr>
          <w:rFonts w:ascii="Arial" w:eastAsia="Times New Roman" w:hAnsi="Arial" w:cs="Arial"/>
          <w:sz w:val="20"/>
          <w:szCs w:val="20"/>
          <w:lang w:eastAsia="ru-RU"/>
        </w:rPr>
        <w:t>as field</w:t>
      </w:r>
      <w:r w:rsidR="00A72E36">
        <w:rPr>
          <w:rFonts w:ascii="Arial" w:eastAsia="Times New Roman" w:hAnsi="Arial" w:cs="Arial"/>
          <w:sz w:val="20"/>
          <w:szCs w:val="20"/>
          <w:lang w:eastAsia="ru-RU"/>
        </w:rPr>
        <w:t xml:space="preserve"> interviews prior to the design of the survey showed connection of these aspects with mine clearance and land release. </w:t>
      </w:r>
      <w:r>
        <w:rPr>
          <w:rFonts w:ascii="Arial" w:eastAsia="Times New Roman" w:hAnsi="Arial" w:cs="Arial"/>
          <w:sz w:val="20"/>
          <w:szCs w:val="20"/>
          <w:lang w:eastAsia="ru-RU"/>
        </w:rPr>
        <w:t xml:space="preserve">Majority of farmers (78.1) percent get a loan on a regular basis from the local financial institutions. One of the main documents of getting a loan is land certificates. The size of utilizable safe land make farmers eligible for certain amount of loan. As farmers practice borrowing money from financial institutions for many years this shows that farmers have positive loan repayment records. </w:t>
      </w:r>
    </w:p>
    <w:p w14:paraId="7DEE4547" w14:textId="77777777" w:rsidR="00537699" w:rsidRPr="00537699" w:rsidRDefault="003826DF" w:rsidP="004B4973">
      <w:pPr>
        <w:jc w:val="both"/>
        <w:rPr>
          <w:rFonts w:ascii="Arial" w:eastAsia="Times New Roman" w:hAnsi="Arial" w:cs="Arial"/>
          <w:sz w:val="20"/>
          <w:szCs w:val="20"/>
          <w:lang w:eastAsia="ru-RU"/>
        </w:rPr>
      </w:pPr>
      <w:r w:rsidRPr="003826DF">
        <w:rPr>
          <w:rFonts w:ascii="Arial" w:eastAsia="Times New Roman" w:hAnsi="Arial" w:cs="Arial"/>
          <w:b/>
          <w:sz w:val="20"/>
          <w:szCs w:val="20"/>
          <w:lang w:eastAsia="ru-RU"/>
        </w:rPr>
        <w:t>Figure 21</w:t>
      </w:r>
      <w:r>
        <w:rPr>
          <w:rFonts w:ascii="Arial" w:eastAsia="Times New Roman" w:hAnsi="Arial" w:cs="Arial"/>
          <w:b/>
          <w:sz w:val="20"/>
          <w:szCs w:val="20"/>
          <w:lang w:eastAsia="ru-RU"/>
        </w:rPr>
        <w:t xml:space="preserve">: </w:t>
      </w:r>
      <w:r w:rsidR="00537699">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Do you get a loan on a regular basis? </w:t>
      </w:r>
    </w:p>
    <w:p w14:paraId="38E4A08A" w14:textId="77777777" w:rsidR="00537699" w:rsidRDefault="00537699" w:rsidP="00240714">
      <w:pPr>
        <w:rPr>
          <w:rFonts w:cs="Calibri"/>
          <w:sz w:val="20"/>
          <w:szCs w:val="20"/>
        </w:rPr>
      </w:pPr>
      <w:r>
        <w:rPr>
          <w:noProof/>
          <w:lang w:val="en-GB" w:eastAsia="en-GB" w:bidi="ar-SA"/>
        </w:rPr>
        <w:drawing>
          <wp:inline distT="0" distB="0" distL="0" distR="0" wp14:anchorId="1B9C8D17" wp14:editId="5FDD690F">
            <wp:extent cx="5610473" cy="2146852"/>
            <wp:effectExtent l="19050" t="0" r="28327" b="5798"/>
            <wp:docPr id="2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5EFAFC4" w14:textId="77777777" w:rsidR="00240714" w:rsidRDefault="00240714" w:rsidP="00240714">
      <w:pPr>
        <w:rPr>
          <w:rFonts w:cs="Calibri"/>
          <w:sz w:val="20"/>
          <w:szCs w:val="20"/>
        </w:rPr>
      </w:pPr>
    </w:p>
    <w:p w14:paraId="4736BFAE" w14:textId="77777777" w:rsidR="003826DF" w:rsidRDefault="003826DF" w:rsidP="00240714">
      <w:pPr>
        <w:rPr>
          <w:rFonts w:cs="Calibri"/>
          <w:sz w:val="20"/>
          <w:szCs w:val="20"/>
        </w:rPr>
      </w:pPr>
    </w:p>
    <w:p w14:paraId="1A644902" w14:textId="77777777" w:rsidR="003826DF" w:rsidRDefault="003826DF" w:rsidP="00240714">
      <w:pPr>
        <w:rPr>
          <w:rFonts w:cs="Calibri"/>
          <w:sz w:val="20"/>
          <w:szCs w:val="20"/>
        </w:rPr>
      </w:pPr>
    </w:p>
    <w:p w14:paraId="1451A08E" w14:textId="77777777" w:rsidR="003826DF" w:rsidRDefault="003826DF" w:rsidP="00240714">
      <w:pPr>
        <w:rPr>
          <w:rFonts w:cs="Calibri"/>
          <w:sz w:val="20"/>
          <w:szCs w:val="20"/>
        </w:rPr>
      </w:pPr>
    </w:p>
    <w:p w14:paraId="1A891E5C" w14:textId="77777777" w:rsidR="00240714" w:rsidRDefault="003826DF" w:rsidP="003826DF">
      <w:pPr>
        <w:jc w:val="both"/>
        <w:rPr>
          <w:rFonts w:ascii="Arial" w:hAnsi="Arial" w:cs="Arial"/>
          <w:sz w:val="20"/>
          <w:szCs w:val="20"/>
        </w:rPr>
      </w:pPr>
      <w:r w:rsidRPr="003826DF">
        <w:rPr>
          <w:rFonts w:ascii="Arial" w:hAnsi="Arial" w:cs="Arial"/>
          <w:sz w:val="20"/>
          <w:szCs w:val="20"/>
        </w:rPr>
        <w:t>M</w:t>
      </w:r>
      <w:r w:rsidR="00240714" w:rsidRPr="003826DF">
        <w:rPr>
          <w:rFonts w:ascii="Arial" w:hAnsi="Arial" w:cs="Arial"/>
          <w:sz w:val="20"/>
          <w:szCs w:val="20"/>
        </w:rPr>
        <w:t>ain</w:t>
      </w:r>
      <w:r w:rsidR="00E45C10">
        <w:rPr>
          <w:rFonts w:ascii="Arial" w:hAnsi="Arial" w:cs="Arial"/>
          <w:sz w:val="20"/>
          <w:szCs w:val="20"/>
        </w:rPr>
        <w:t xml:space="preserve"> three</w:t>
      </w:r>
      <w:r w:rsidR="00240714" w:rsidRPr="003826DF">
        <w:rPr>
          <w:rFonts w:ascii="Arial" w:hAnsi="Arial" w:cs="Arial"/>
          <w:sz w:val="20"/>
          <w:szCs w:val="20"/>
        </w:rPr>
        <w:t xml:space="preserve"> </w:t>
      </w:r>
      <w:r w:rsidRPr="003826DF">
        <w:rPr>
          <w:rFonts w:ascii="Arial" w:hAnsi="Arial" w:cs="Arial"/>
          <w:sz w:val="20"/>
          <w:szCs w:val="20"/>
        </w:rPr>
        <w:t>reasons for taking loan were</w:t>
      </w:r>
      <w:r w:rsidR="00E957FE" w:rsidRPr="003826DF">
        <w:rPr>
          <w:rFonts w:ascii="Arial" w:hAnsi="Arial" w:cs="Arial"/>
          <w:sz w:val="20"/>
          <w:szCs w:val="20"/>
        </w:rPr>
        <w:t xml:space="preserve"> </w:t>
      </w:r>
      <w:r>
        <w:rPr>
          <w:rFonts w:ascii="Arial" w:hAnsi="Arial" w:cs="Arial"/>
          <w:sz w:val="20"/>
          <w:szCs w:val="20"/>
        </w:rPr>
        <w:t>as follows</w:t>
      </w:r>
      <w:r w:rsidR="00240714" w:rsidRPr="003826DF">
        <w:rPr>
          <w:rFonts w:ascii="Arial" w:hAnsi="Arial" w:cs="Arial"/>
          <w:sz w:val="20"/>
          <w:szCs w:val="20"/>
        </w:rPr>
        <w:t xml:space="preserve">: </w:t>
      </w:r>
      <w:r>
        <w:rPr>
          <w:rFonts w:ascii="Arial" w:hAnsi="Arial" w:cs="Arial"/>
          <w:sz w:val="20"/>
          <w:szCs w:val="20"/>
        </w:rPr>
        <w:t xml:space="preserve">(1) </w:t>
      </w:r>
      <w:r w:rsidR="00240714" w:rsidRPr="003826DF">
        <w:rPr>
          <w:rFonts w:ascii="Arial" w:hAnsi="Arial" w:cs="Arial"/>
          <w:sz w:val="20"/>
          <w:szCs w:val="20"/>
        </w:rPr>
        <w:t>to buy agricultural inputs (80 percent</w:t>
      </w:r>
      <w:r w:rsidR="00E957FE" w:rsidRPr="003826DF">
        <w:rPr>
          <w:rFonts w:ascii="Arial" w:hAnsi="Arial" w:cs="Arial"/>
          <w:sz w:val="20"/>
          <w:szCs w:val="20"/>
        </w:rPr>
        <w:t>),</w:t>
      </w:r>
      <w:r w:rsidR="00240714" w:rsidRPr="003826DF">
        <w:rPr>
          <w:rFonts w:ascii="Arial" w:hAnsi="Arial" w:cs="Arial"/>
          <w:sz w:val="20"/>
          <w:szCs w:val="20"/>
        </w:rPr>
        <w:t xml:space="preserve"> </w:t>
      </w:r>
      <w:r>
        <w:rPr>
          <w:rFonts w:ascii="Arial" w:hAnsi="Arial" w:cs="Arial"/>
          <w:sz w:val="20"/>
          <w:szCs w:val="20"/>
        </w:rPr>
        <w:t xml:space="preserve">(2) </w:t>
      </w:r>
      <w:r w:rsidR="00240714" w:rsidRPr="003826DF">
        <w:rPr>
          <w:rFonts w:ascii="Arial" w:hAnsi="Arial" w:cs="Arial"/>
          <w:sz w:val="20"/>
          <w:szCs w:val="20"/>
        </w:rPr>
        <w:t xml:space="preserve">hire agricultural </w:t>
      </w:r>
      <w:r w:rsidR="00E957FE" w:rsidRPr="003826DF">
        <w:rPr>
          <w:rFonts w:ascii="Arial" w:hAnsi="Arial" w:cs="Arial"/>
          <w:sz w:val="20"/>
          <w:szCs w:val="20"/>
        </w:rPr>
        <w:t>labor (</w:t>
      </w:r>
      <w:r w:rsidR="00240714" w:rsidRPr="003826DF">
        <w:rPr>
          <w:rFonts w:ascii="Arial" w:hAnsi="Arial" w:cs="Arial"/>
          <w:sz w:val="20"/>
          <w:szCs w:val="20"/>
        </w:rPr>
        <w:t>2</w:t>
      </w:r>
      <w:r w:rsidR="00E957FE" w:rsidRPr="003826DF">
        <w:rPr>
          <w:rFonts w:ascii="Arial" w:hAnsi="Arial" w:cs="Arial"/>
          <w:sz w:val="20"/>
          <w:szCs w:val="20"/>
        </w:rPr>
        <w:t xml:space="preserve">2.4 percent) and </w:t>
      </w:r>
      <w:r>
        <w:rPr>
          <w:rFonts w:ascii="Arial" w:hAnsi="Arial" w:cs="Arial"/>
          <w:sz w:val="20"/>
          <w:szCs w:val="20"/>
        </w:rPr>
        <w:t xml:space="preserve">(3) </w:t>
      </w:r>
      <w:r w:rsidR="00E957FE" w:rsidRPr="003826DF">
        <w:rPr>
          <w:rFonts w:ascii="Arial" w:hAnsi="Arial" w:cs="Arial"/>
          <w:sz w:val="20"/>
          <w:szCs w:val="20"/>
        </w:rPr>
        <w:t xml:space="preserve">to cover </w:t>
      </w:r>
      <w:r w:rsidR="00E45C10">
        <w:rPr>
          <w:rFonts w:ascii="Arial" w:hAnsi="Arial" w:cs="Arial"/>
          <w:sz w:val="20"/>
          <w:szCs w:val="20"/>
        </w:rPr>
        <w:t>health</w:t>
      </w:r>
      <w:r w:rsidR="00E957FE" w:rsidRPr="003826DF">
        <w:rPr>
          <w:rFonts w:ascii="Arial" w:hAnsi="Arial" w:cs="Arial"/>
          <w:sz w:val="20"/>
          <w:szCs w:val="20"/>
        </w:rPr>
        <w:t xml:space="preserve"> expenses (20 perce</w:t>
      </w:r>
      <w:r>
        <w:rPr>
          <w:rFonts w:ascii="Arial" w:hAnsi="Arial" w:cs="Arial"/>
          <w:sz w:val="20"/>
          <w:szCs w:val="20"/>
        </w:rPr>
        <w:t xml:space="preserve">nt). </w:t>
      </w:r>
    </w:p>
    <w:p w14:paraId="195E80CC" w14:textId="77777777" w:rsidR="00E45C10" w:rsidRPr="003826DF" w:rsidRDefault="00E45C10" w:rsidP="003826DF">
      <w:pPr>
        <w:jc w:val="both"/>
        <w:rPr>
          <w:rFonts w:ascii="Arial" w:hAnsi="Arial" w:cs="Arial"/>
          <w:sz w:val="20"/>
          <w:szCs w:val="20"/>
        </w:rPr>
      </w:pPr>
      <w:r w:rsidRPr="00E45C10">
        <w:rPr>
          <w:rFonts w:ascii="Arial" w:hAnsi="Arial" w:cs="Arial"/>
          <w:b/>
          <w:sz w:val="20"/>
          <w:szCs w:val="20"/>
        </w:rPr>
        <w:t>Figure 22</w:t>
      </w:r>
      <w:r>
        <w:rPr>
          <w:rFonts w:ascii="Arial" w:hAnsi="Arial" w:cs="Arial"/>
          <w:sz w:val="20"/>
          <w:szCs w:val="20"/>
        </w:rPr>
        <w:t xml:space="preserve">: Reasons for getting a loan </w:t>
      </w:r>
    </w:p>
    <w:p w14:paraId="597FCFA0" w14:textId="77777777" w:rsidR="00E957FE" w:rsidRDefault="00E957FE" w:rsidP="00E957FE">
      <w:pPr>
        <w:rPr>
          <w:rFonts w:cs="Calibri"/>
          <w:sz w:val="20"/>
          <w:szCs w:val="20"/>
        </w:rPr>
      </w:pPr>
      <w:r>
        <w:rPr>
          <w:noProof/>
          <w:lang w:val="en-GB" w:eastAsia="en-GB" w:bidi="ar-SA"/>
        </w:rPr>
        <w:drawing>
          <wp:inline distT="0" distB="0" distL="0" distR="0" wp14:anchorId="4C144166" wp14:editId="401DB93A">
            <wp:extent cx="5809256" cy="1963972"/>
            <wp:effectExtent l="19050" t="0" r="20044"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74D0BD6" w14:textId="77777777" w:rsidR="00661B74" w:rsidRDefault="00E957FE" w:rsidP="004B4973">
      <w:pPr>
        <w:jc w:val="both"/>
        <w:rPr>
          <w:rFonts w:ascii="Arial" w:hAnsi="Arial" w:cs="Arial"/>
          <w:sz w:val="20"/>
          <w:szCs w:val="20"/>
          <w:shd w:val="clear" w:color="auto" w:fill="FFFFFF"/>
        </w:rPr>
      </w:pPr>
      <w:r>
        <w:rPr>
          <w:rFonts w:ascii="Arial" w:hAnsi="Arial" w:cs="Arial"/>
          <w:sz w:val="20"/>
          <w:szCs w:val="20"/>
          <w:shd w:val="clear" w:color="auto" w:fill="FFFFFF"/>
        </w:rPr>
        <w:lastRenderedPageBreak/>
        <w:t xml:space="preserve">Nearly 81.9 percent of households said that their loan amount depends on their loan size and data shows that 78.8 percent stated that they have been able to borrow more as a result of land clearance. </w:t>
      </w:r>
      <w:r w:rsidR="00E45C10">
        <w:rPr>
          <w:rFonts w:ascii="Arial" w:hAnsi="Arial" w:cs="Arial"/>
          <w:sz w:val="20"/>
          <w:szCs w:val="20"/>
          <w:shd w:val="clear" w:color="auto" w:fill="FFFFFF"/>
        </w:rPr>
        <w:t>As mentioned above, t</w:t>
      </w:r>
      <w:r>
        <w:rPr>
          <w:rFonts w:ascii="Arial" w:hAnsi="Arial" w:cs="Arial"/>
          <w:sz w:val="20"/>
          <w:szCs w:val="20"/>
          <w:shd w:val="clear" w:color="auto" w:fill="FFFFFF"/>
        </w:rPr>
        <w:t xml:space="preserve">here is strong correlation between increase in land size and loan amount. Micro Finance Institutions and banks are the main sources for the loan.  </w:t>
      </w:r>
    </w:p>
    <w:p w14:paraId="01CBDB00" w14:textId="77777777" w:rsidR="00661B74" w:rsidRPr="00E45C10" w:rsidRDefault="00E45C10" w:rsidP="00661B74">
      <w:pPr>
        <w:rPr>
          <w:rFonts w:ascii="Arial" w:hAnsi="Arial" w:cs="Arial"/>
          <w:bCs/>
          <w:color w:val="FF0000"/>
          <w:sz w:val="20"/>
          <w:szCs w:val="20"/>
        </w:rPr>
      </w:pPr>
      <w:r w:rsidRPr="00E45C10">
        <w:rPr>
          <w:rFonts w:ascii="Arial" w:hAnsi="Arial" w:cs="Arial"/>
          <w:b/>
          <w:bCs/>
          <w:sz w:val="20"/>
          <w:szCs w:val="20"/>
        </w:rPr>
        <w:t>Figure 23</w:t>
      </w:r>
      <w:r w:rsidRPr="00E45C10">
        <w:rPr>
          <w:rFonts w:ascii="Arial" w:hAnsi="Arial" w:cs="Arial"/>
          <w:bCs/>
          <w:sz w:val="20"/>
          <w:szCs w:val="20"/>
        </w:rPr>
        <w:t>:</w:t>
      </w:r>
      <w:r w:rsidR="00661B74" w:rsidRPr="00E45C10">
        <w:rPr>
          <w:rFonts w:ascii="Arial" w:hAnsi="Arial" w:cs="Arial"/>
          <w:bCs/>
          <w:sz w:val="20"/>
          <w:szCs w:val="20"/>
        </w:rPr>
        <w:t xml:space="preserve"> Does your loan amount depend on your land size?</w:t>
      </w:r>
    </w:p>
    <w:p w14:paraId="049D42B4" w14:textId="77777777" w:rsidR="00661B74" w:rsidRDefault="00661B74" w:rsidP="00661B74">
      <w:pPr>
        <w:spacing w:line="400" w:lineRule="atLeast"/>
        <w:rPr>
          <w:rFonts w:ascii="Times New Roman" w:hAnsi="Times New Roman" w:cs="Times New Roman"/>
          <w:sz w:val="24"/>
          <w:szCs w:val="24"/>
        </w:rPr>
      </w:pPr>
      <w:r>
        <w:rPr>
          <w:noProof/>
          <w:lang w:val="en-GB" w:eastAsia="en-GB" w:bidi="ar-SA"/>
        </w:rPr>
        <w:drawing>
          <wp:inline distT="0" distB="0" distL="0" distR="0" wp14:anchorId="4F57B15F" wp14:editId="723C7867">
            <wp:extent cx="3071495" cy="1423284"/>
            <wp:effectExtent l="19050" t="0" r="14605" b="5466"/>
            <wp:docPr id="2"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014B39C" w14:textId="77777777" w:rsidR="009F2C66" w:rsidRDefault="009F2C66" w:rsidP="004B4973">
      <w:pPr>
        <w:jc w:val="both"/>
        <w:rPr>
          <w:rFonts w:ascii="Arial" w:hAnsi="Arial" w:cs="Arial"/>
          <w:sz w:val="20"/>
          <w:szCs w:val="20"/>
          <w:shd w:val="clear" w:color="auto" w:fill="FFFFFF"/>
        </w:rPr>
      </w:pPr>
      <w:r>
        <w:rPr>
          <w:rFonts w:ascii="Arial" w:hAnsi="Arial" w:cs="Arial"/>
          <w:sz w:val="20"/>
          <w:szCs w:val="20"/>
          <w:shd w:val="clear" w:color="auto" w:fill="FFFFFF"/>
        </w:rPr>
        <w:t>Figure 25</w:t>
      </w:r>
      <w:r w:rsidR="00E45C10">
        <w:rPr>
          <w:rFonts w:ascii="Arial" w:hAnsi="Arial" w:cs="Arial"/>
          <w:sz w:val="20"/>
          <w:szCs w:val="20"/>
          <w:shd w:val="clear" w:color="auto" w:fill="FFFFFF"/>
        </w:rPr>
        <w:t xml:space="preserve"> shows that land titles are the main document required by micro finance institutions and banks. Thus, loan amount depends on the </w:t>
      </w:r>
      <w:r>
        <w:rPr>
          <w:rFonts w:ascii="Arial" w:hAnsi="Arial" w:cs="Arial"/>
          <w:sz w:val="20"/>
          <w:szCs w:val="20"/>
          <w:shd w:val="clear" w:color="auto" w:fill="FFFFFF"/>
        </w:rPr>
        <w:t>size of utilizable safe land</w:t>
      </w:r>
      <w:r w:rsidR="00E45C10">
        <w:rPr>
          <w:rFonts w:ascii="Arial" w:hAnsi="Arial" w:cs="Arial"/>
          <w:sz w:val="20"/>
          <w:szCs w:val="20"/>
          <w:shd w:val="clear" w:color="auto" w:fill="FFFFFF"/>
        </w:rPr>
        <w:t xml:space="preserve">. </w:t>
      </w:r>
      <w:r>
        <w:rPr>
          <w:rFonts w:ascii="Arial" w:hAnsi="Arial" w:cs="Arial"/>
          <w:sz w:val="20"/>
          <w:szCs w:val="20"/>
          <w:shd w:val="clear" w:color="auto" w:fill="FFFFFF"/>
        </w:rPr>
        <w:t>As “</w:t>
      </w:r>
      <w:r w:rsidR="00E45C10">
        <w:rPr>
          <w:rFonts w:ascii="Arial" w:hAnsi="Arial" w:cs="Arial"/>
          <w:sz w:val="20"/>
          <w:szCs w:val="20"/>
          <w:shd w:val="clear" w:color="auto" w:fill="FFFFFF"/>
        </w:rPr>
        <w:t>Other</w:t>
      </w:r>
      <w:r>
        <w:rPr>
          <w:rFonts w:ascii="Arial" w:hAnsi="Arial" w:cs="Arial"/>
          <w:sz w:val="20"/>
          <w:szCs w:val="20"/>
          <w:shd w:val="clear" w:color="auto" w:fill="FFFFFF"/>
        </w:rPr>
        <w:t>”</w:t>
      </w:r>
      <w:r w:rsidR="00E45C10">
        <w:rPr>
          <w:rFonts w:ascii="Arial" w:hAnsi="Arial" w:cs="Arial"/>
          <w:sz w:val="20"/>
          <w:szCs w:val="20"/>
          <w:shd w:val="clear" w:color="auto" w:fill="FFFFFF"/>
        </w:rPr>
        <w:t xml:space="preserve"> </w:t>
      </w:r>
      <w:r>
        <w:rPr>
          <w:rFonts w:ascii="Arial" w:hAnsi="Arial" w:cs="Arial"/>
          <w:sz w:val="20"/>
          <w:szCs w:val="20"/>
          <w:shd w:val="clear" w:color="auto" w:fill="FFFFFF"/>
        </w:rPr>
        <w:t xml:space="preserve">required document which made </w:t>
      </w:r>
      <w:r w:rsidR="00E45C10">
        <w:rPr>
          <w:rFonts w:ascii="Arial" w:hAnsi="Arial" w:cs="Arial"/>
          <w:sz w:val="20"/>
          <w:szCs w:val="20"/>
          <w:shd w:val="clear" w:color="auto" w:fill="FFFFFF"/>
        </w:rPr>
        <w:t>25.3 percent households mentioned: (1) family book</w:t>
      </w:r>
      <w:proofErr w:type="gramStart"/>
      <w:r w:rsidR="00E45C10">
        <w:rPr>
          <w:rFonts w:ascii="Arial" w:hAnsi="Arial" w:cs="Arial"/>
          <w:sz w:val="20"/>
          <w:szCs w:val="20"/>
          <w:shd w:val="clear" w:color="auto" w:fill="FFFFFF"/>
        </w:rPr>
        <w:t>;  (</w:t>
      </w:r>
      <w:proofErr w:type="gramEnd"/>
      <w:r w:rsidR="00E45C10">
        <w:rPr>
          <w:rFonts w:ascii="Arial" w:hAnsi="Arial" w:cs="Arial"/>
          <w:sz w:val="20"/>
          <w:szCs w:val="20"/>
          <w:shd w:val="clear" w:color="auto" w:fill="FFFFFF"/>
        </w:rPr>
        <w:t xml:space="preserve">2) nationality ID card; and (3) group loan. </w:t>
      </w:r>
    </w:p>
    <w:p w14:paraId="553B2554" w14:textId="77777777" w:rsidR="009F2C66" w:rsidRDefault="009F2C66" w:rsidP="004B4973">
      <w:pPr>
        <w:jc w:val="both"/>
        <w:rPr>
          <w:rFonts w:ascii="Arial" w:hAnsi="Arial" w:cs="Arial"/>
          <w:sz w:val="20"/>
          <w:szCs w:val="20"/>
          <w:shd w:val="clear" w:color="auto" w:fill="FFFFFF"/>
        </w:rPr>
      </w:pPr>
      <w:r w:rsidRPr="009F2C66">
        <w:rPr>
          <w:rFonts w:ascii="Arial" w:hAnsi="Arial" w:cs="Arial"/>
          <w:b/>
          <w:sz w:val="20"/>
          <w:szCs w:val="20"/>
          <w:shd w:val="clear" w:color="auto" w:fill="FFFFFF"/>
        </w:rPr>
        <w:t>Figure 2</w:t>
      </w:r>
      <w:r>
        <w:rPr>
          <w:rFonts w:ascii="Arial" w:hAnsi="Arial" w:cs="Arial"/>
          <w:b/>
          <w:sz w:val="20"/>
          <w:szCs w:val="20"/>
          <w:shd w:val="clear" w:color="auto" w:fill="FFFFFF"/>
        </w:rPr>
        <w:t>4</w:t>
      </w:r>
      <w:r>
        <w:rPr>
          <w:rFonts w:ascii="Arial" w:hAnsi="Arial" w:cs="Arial"/>
          <w:sz w:val="20"/>
          <w:szCs w:val="20"/>
          <w:shd w:val="clear" w:color="auto" w:fill="FFFFFF"/>
        </w:rPr>
        <w:t>: Main document required for getting a loan</w:t>
      </w:r>
    </w:p>
    <w:p w14:paraId="5913E4EA" w14:textId="77777777" w:rsidR="004A24A1" w:rsidRDefault="00634EC7" w:rsidP="009F2C66">
      <w:r>
        <w:rPr>
          <w:noProof/>
          <w:lang w:val="en-GB" w:eastAsia="en-GB" w:bidi="ar-SA"/>
        </w:rPr>
        <w:drawing>
          <wp:inline distT="0" distB="0" distL="0" distR="0" wp14:anchorId="14E40108" wp14:editId="0A083BE5">
            <wp:extent cx="4886905" cy="2043485"/>
            <wp:effectExtent l="19050" t="0" r="2799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B41BB9F" w14:textId="77777777" w:rsidR="0044318A" w:rsidRPr="004A24A1" w:rsidRDefault="008B1FF0" w:rsidP="009F2C66">
      <w:r>
        <w:rPr>
          <w:rFonts w:ascii="Arial" w:hAnsi="Arial" w:cs="Arial"/>
          <w:sz w:val="20"/>
          <w:szCs w:val="20"/>
          <w:u w:val="single"/>
          <w:shd w:val="clear" w:color="auto" w:fill="FFFFFF"/>
        </w:rPr>
        <w:t>Agricultural Labor</w:t>
      </w:r>
    </w:p>
    <w:p w14:paraId="53C7C210" w14:textId="77777777" w:rsidR="003E3D80" w:rsidRDefault="00AA17C2" w:rsidP="009F2C66">
      <w:pPr>
        <w:jc w:val="both"/>
        <w:rPr>
          <w:rFonts w:ascii="Arial" w:hAnsi="Arial" w:cs="Arial"/>
          <w:sz w:val="20"/>
          <w:szCs w:val="20"/>
          <w:shd w:val="clear" w:color="auto" w:fill="FFFFFF"/>
        </w:rPr>
      </w:pPr>
      <w:r>
        <w:rPr>
          <w:rFonts w:ascii="Arial" w:hAnsi="Arial" w:cs="Arial"/>
          <w:sz w:val="20"/>
          <w:szCs w:val="20"/>
          <w:shd w:val="clear" w:color="auto" w:fill="FFFFFF"/>
        </w:rPr>
        <w:t xml:space="preserve">Disaggregated data by province shows that </w:t>
      </w:r>
      <w:r w:rsidR="00CD134E">
        <w:rPr>
          <w:rFonts w:ascii="Arial" w:hAnsi="Arial" w:cs="Arial"/>
          <w:sz w:val="20"/>
          <w:szCs w:val="20"/>
          <w:shd w:val="clear" w:color="auto" w:fill="FFFFFF"/>
        </w:rPr>
        <w:t xml:space="preserve">in </w:t>
      </w:r>
      <w:r w:rsidR="008B1FF0">
        <w:rPr>
          <w:rFonts w:ascii="Arial" w:hAnsi="Arial" w:cs="Arial"/>
          <w:sz w:val="20"/>
          <w:szCs w:val="20"/>
          <w:shd w:val="clear" w:color="auto" w:fill="FFFFFF"/>
        </w:rPr>
        <w:t>all provinces</w:t>
      </w:r>
      <w:r w:rsidR="00CD134E">
        <w:rPr>
          <w:rFonts w:ascii="Arial" w:hAnsi="Arial" w:cs="Arial"/>
          <w:sz w:val="20"/>
          <w:szCs w:val="20"/>
          <w:shd w:val="clear" w:color="auto" w:fill="FFFFFF"/>
        </w:rPr>
        <w:t xml:space="preserve"> farmers</w:t>
      </w:r>
      <w:r w:rsidR="008B1FF0">
        <w:rPr>
          <w:rFonts w:ascii="Arial" w:hAnsi="Arial" w:cs="Arial"/>
          <w:sz w:val="20"/>
          <w:szCs w:val="20"/>
          <w:shd w:val="clear" w:color="auto" w:fill="FFFFFF"/>
        </w:rPr>
        <w:t xml:space="preserve"> hire more labor </w:t>
      </w:r>
      <w:r w:rsidR="00CD134E">
        <w:rPr>
          <w:rFonts w:ascii="Arial" w:hAnsi="Arial" w:cs="Arial"/>
          <w:sz w:val="20"/>
          <w:szCs w:val="20"/>
          <w:shd w:val="clear" w:color="auto" w:fill="FFFFFF"/>
        </w:rPr>
        <w:t xml:space="preserve">due to improved agricultural productivity resulted from the increased size of utilizable safe land. </w:t>
      </w:r>
      <w:r w:rsidR="008B1FF0">
        <w:rPr>
          <w:rFonts w:ascii="Arial" w:hAnsi="Arial" w:cs="Arial"/>
          <w:sz w:val="20"/>
          <w:szCs w:val="20"/>
          <w:shd w:val="clear" w:color="auto" w:fill="FFFFFF"/>
        </w:rPr>
        <w:t>Quantitative information</w:t>
      </w:r>
      <w:r w:rsidR="00323DB8">
        <w:rPr>
          <w:rFonts w:ascii="Arial" w:hAnsi="Arial" w:cs="Arial"/>
          <w:sz w:val="20"/>
          <w:szCs w:val="20"/>
          <w:shd w:val="clear" w:color="auto" w:fill="FFFFFF"/>
        </w:rPr>
        <w:t xml:space="preserve"> revealed that </w:t>
      </w:r>
      <w:r w:rsidR="008B1FF0">
        <w:rPr>
          <w:rFonts w:ascii="Arial" w:hAnsi="Arial" w:cs="Arial"/>
          <w:sz w:val="20"/>
          <w:szCs w:val="20"/>
          <w:shd w:val="clear" w:color="auto" w:fill="FFFFFF"/>
        </w:rPr>
        <w:t xml:space="preserve">farmers hire more labor </w:t>
      </w:r>
      <w:r w:rsidR="00323DB8">
        <w:rPr>
          <w:rFonts w:ascii="Arial" w:hAnsi="Arial" w:cs="Arial"/>
          <w:sz w:val="20"/>
          <w:szCs w:val="20"/>
          <w:shd w:val="clear" w:color="auto" w:fill="FFFFFF"/>
        </w:rPr>
        <w:t xml:space="preserve">for </w:t>
      </w:r>
      <w:proofErr w:type="spellStart"/>
      <w:r w:rsidR="00323DB8">
        <w:rPr>
          <w:rFonts w:ascii="Arial" w:hAnsi="Arial" w:cs="Arial"/>
          <w:sz w:val="20"/>
          <w:szCs w:val="20"/>
          <w:shd w:val="clear" w:color="auto" w:fill="FFFFFF"/>
        </w:rPr>
        <w:t>for</w:t>
      </w:r>
      <w:proofErr w:type="spellEnd"/>
      <w:r w:rsidR="00323DB8">
        <w:rPr>
          <w:rFonts w:ascii="Arial" w:hAnsi="Arial" w:cs="Arial"/>
          <w:sz w:val="20"/>
          <w:szCs w:val="20"/>
          <w:shd w:val="clear" w:color="auto" w:fill="FFFFFF"/>
        </w:rPr>
        <w:t xml:space="preserve"> cultivating cassava</w:t>
      </w:r>
      <w:r w:rsidR="00CD134E">
        <w:rPr>
          <w:rFonts w:ascii="Arial" w:hAnsi="Arial" w:cs="Arial"/>
          <w:sz w:val="20"/>
          <w:szCs w:val="20"/>
          <w:shd w:val="clear" w:color="auto" w:fill="FFFFFF"/>
        </w:rPr>
        <w:t xml:space="preserve"> on a seasonal basis</w:t>
      </w:r>
      <w:r w:rsidR="00323DB8">
        <w:rPr>
          <w:rFonts w:ascii="Arial" w:hAnsi="Arial" w:cs="Arial"/>
          <w:sz w:val="20"/>
          <w:szCs w:val="20"/>
          <w:shd w:val="clear" w:color="auto" w:fill="FFFFFF"/>
        </w:rPr>
        <w:t xml:space="preserve">. </w:t>
      </w:r>
    </w:p>
    <w:p w14:paraId="316CD108" w14:textId="77777777" w:rsidR="00AA17C2" w:rsidRPr="003E3D80" w:rsidRDefault="004A24A1" w:rsidP="00AA17C2">
      <w:pPr>
        <w:rPr>
          <w:rFonts w:ascii="Arial" w:hAnsi="Arial" w:cs="Arial"/>
          <w:bCs/>
          <w:sz w:val="20"/>
          <w:szCs w:val="20"/>
        </w:rPr>
      </w:pPr>
      <w:r w:rsidRPr="004A24A1">
        <w:rPr>
          <w:rFonts w:ascii="Arial" w:hAnsi="Arial" w:cs="Arial"/>
          <w:b/>
          <w:sz w:val="20"/>
          <w:szCs w:val="20"/>
          <w:shd w:val="clear" w:color="auto" w:fill="FFFFFF"/>
        </w:rPr>
        <w:t>Figure 25</w:t>
      </w:r>
      <w:r w:rsidR="00AA17C2" w:rsidRPr="003E3D80">
        <w:rPr>
          <w:rFonts w:ascii="Arial" w:hAnsi="Arial" w:cs="Arial"/>
          <w:sz w:val="20"/>
          <w:szCs w:val="20"/>
          <w:shd w:val="clear" w:color="auto" w:fill="FFFFFF"/>
        </w:rPr>
        <w:t xml:space="preserve"> - </w:t>
      </w:r>
      <w:r w:rsidR="00AA17C2" w:rsidRPr="003E3D80">
        <w:rPr>
          <w:rFonts w:ascii="Arial" w:hAnsi="Arial" w:cs="Arial"/>
          <w:bCs/>
          <w:sz w:val="20"/>
          <w:szCs w:val="20"/>
        </w:rPr>
        <w:t xml:space="preserve">Do you hire more </w:t>
      </w:r>
      <w:proofErr w:type="spellStart"/>
      <w:r w:rsidR="00AA17C2" w:rsidRPr="003E3D80">
        <w:rPr>
          <w:rFonts w:ascii="Arial" w:hAnsi="Arial" w:cs="Arial"/>
          <w:bCs/>
          <w:sz w:val="20"/>
          <w:szCs w:val="20"/>
        </w:rPr>
        <w:t>labo</w:t>
      </w:r>
      <w:r w:rsidR="006971A4" w:rsidRPr="003E3D80">
        <w:rPr>
          <w:rFonts w:ascii="Arial" w:hAnsi="Arial" w:cs="Arial"/>
          <w:bCs/>
          <w:sz w:val="20"/>
          <w:szCs w:val="20"/>
        </w:rPr>
        <w:t>u</w:t>
      </w:r>
      <w:r w:rsidR="00AA17C2" w:rsidRPr="003E3D80">
        <w:rPr>
          <w:rFonts w:ascii="Arial" w:hAnsi="Arial" w:cs="Arial"/>
          <w:bCs/>
          <w:sz w:val="20"/>
          <w:szCs w:val="20"/>
        </w:rPr>
        <w:t>r</w:t>
      </w:r>
      <w:proofErr w:type="spellEnd"/>
      <w:r w:rsidR="00AA17C2" w:rsidRPr="003E3D80">
        <w:rPr>
          <w:rFonts w:ascii="Arial" w:hAnsi="Arial" w:cs="Arial"/>
          <w:bCs/>
          <w:sz w:val="20"/>
          <w:szCs w:val="20"/>
        </w:rPr>
        <w:t xml:space="preserve"> since your land was cleared? </w:t>
      </w:r>
    </w:p>
    <w:p w14:paraId="369BE4FE" w14:textId="77777777" w:rsidR="00590B6B" w:rsidRDefault="00590B6B" w:rsidP="00590B6B">
      <w:pPr>
        <w:rPr>
          <w:lang w:val="ru-RU"/>
        </w:rPr>
      </w:pPr>
      <w:r>
        <w:rPr>
          <w:noProof/>
          <w:lang w:val="en-GB" w:eastAsia="en-GB" w:bidi="ar-SA"/>
        </w:rPr>
        <w:lastRenderedPageBreak/>
        <w:drawing>
          <wp:inline distT="0" distB="0" distL="0" distR="0" wp14:anchorId="78EE6534" wp14:editId="6CAD71C0">
            <wp:extent cx="5717516" cy="2173857"/>
            <wp:effectExtent l="19050" t="0" r="16534"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5ACA9E2" w14:textId="77777777" w:rsidR="00AA17C2" w:rsidRPr="00323DB8" w:rsidRDefault="00CD134E" w:rsidP="006971A4">
      <w:pPr>
        <w:jc w:val="both"/>
        <w:rPr>
          <w:rFonts w:ascii="Arial" w:hAnsi="Arial" w:cs="Arial"/>
          <w:sz w:val="20"/>
          <w:szCs w:val="20"/>
        </w:rPr>
      </w:pPr>
      <w:r>
        <w:rPr>
          <w:rFonts w:ascii="Arial" w:hAnsi="Arial" w:cs="Arial"/>
          <w:sz w:val="20"/>
          <w:szCs w:val="20"/>
        </w:rPr>
        <w:t xml:space="preserve">Field observation and interviews revealed that farmers hire women for certain </w:t>
      </w:r>
      <w:r w:rsidR="00C405BA">
        <w:rPr>
          <w:rFonts w:ascii="Arial" w:hAnsi="Arial" w:cs="Arial"/>
          <w:sz w:val="20"/>
          <w:szCs w:val="20"/>
        </w:rPr>
        <w:t xml:space="preserve">agricultural </w:t>
      </w:r>
      <w:r>
        <w:rPr>
          <w:rFonts w:ascii="Arial" w:hAnsi="Arial" w:cs="Arial"/>
          <w:sz w:val="20"/>
          <w:szCs w:val="20"/>
        </w:rPr>
        <w:t>works</w:t>
      </w:r>
      <w:r w:rsidR="00C405BA">
        <w:rPr>
          <w:rFonts w:ascii="Arial" w:hAnsi="Arial" w:cs="Arial"/>
          <w:sz w:val="20"/>
          <w:szCs w:val="20"/>
        </w:rPr>
        <w:t xml:space="preserve"> on the released land</w:t>
      </w:r>
      <w:r>
        <w:rPr>
          <w:rFonts w:ascii="Arial" w:hAnsi="Arial" w:cs="Arial"/>
          <w:sz w:val="20"/>
          <w:szCs w:val="20"/>
        </w:rPr>
        <w:t xml:space="preserve">. </w:t>
      </w:r>
      <w:r w:rsidR="00C405BA">
        <w:rPr>
          <w:rFonts w:ascii="Arial" w:hAnsi="Arial" w:cs="Arial"/>
          <w:sz w:val="20"/>
          <w:szCs w:val="20"/>
        </w:rPr>
        <w:t xml:space="preserve">Figure 26 </w:t>
      </w:r>
      <w:r>
        <w:rPr>
          <w:rFonts w:ascii="Arial" w:hAnsi="Arial" w:cs="Arial"/>
          <w:sz w:val="20"/>
          <w:szCs w:val="20"/>
        </w:rPr>
        <w:t>support</w:t>
      </w:r>
      <w:r w:rsidR="00C405BA">
        <w:rPr>
          <w:rFonts w:ascii="Arial" w:hAnsi="Arial" w:cs="Arial"/>
          <w:sz w:val="20"/>
          <w:szCs w:val="20"/>
        </w:rPr>
        <w:t>s</w:t>
      </w:r>
      <w:r>
        <w:rPr>
          <w:rFonts w:ascii="Arial" w:hAnsi="Arial" w:cs="Arial"/>
          <w:sz w:val="20"/>
          <w:szCs w:val="20"/>
        </w:rPr>
        <w:t xml:space="preserve"> </w:t>
      </w:r>
      <w:r w:rsidR="00C405BA">
        <w:rPr>
          <w:rFonts w:ascii="Arial" w:hAnsi="Arial" w:cs="Arial"/>
          <w:sz w:val="20"/>
          <w:szCs w:val="20"/>
        </w:rPr>
        <w:t>this observation</w:t>
      </w:r>
      <w:r>
        <w:rPr>
          <w:rFonts w:ascii="Arial" w:hAnsi="Arial" w:cs="Arial"/>
          <w:sz w:val="20"/>
          <w:szCs w:val="20"/>
        </w:rPr>
        <w:t xml:space="preserve"> </w:t>
      </w:r>
      <w:r w:rsidR="00C405BA">
        <w:rPr>
          <w:rFonts w:ascii="Arial" w:hAnsi="Arial" w:cs="Arial"/>
          <w:sz w:val="20"/>
          <w:szCs w:val="20"/>
        </w:rPr>
        <w:t>through</w:t>
      </w:r>
      <w:r>
        <w:rPr>
          <w:rFonts w:ascii="Arial" w:hAnsi="Arial" w:cs="Arial"/>
          <w:sz w:val="20"/>
          <w:szCs w:val="20"/>
        </w:rPr>
        <w:t xml:space="preserve"> quantitative data, </w:t>
      </w:r>
      <w:r w:rsidR="00C405BA">
        <w:rPr>
          <w:rFonts w:ascii="Arial" w:hAnsi="Arial" w:cs="Arial"/>
          <w:sz w:val="20"/>
          <w:szCs w:val="20"/>
        </w:rPr>
        <w:t xml:space="preserve">which shows that 91.7 percent of </w:t>
      </w:r>
      <w:r>
        <w:rPr>
          <w:rFonts w:ascii="Arial" w:hAnsi="Arial" w:cs="Arial"/>
          <w:sz w:val="20"/>
          <w:szCs w:val="20"/>
        </w:rPr>
        <w:t xml:space="preserve">farmers </w:t>
      </w:r>
      <w:r w:rsidR="00C405BA">
        <w:rPr>
          <w:rFonts w:ascii="Arial" w:hAnsi="Arial" w:cs="Arial"/>
          <w:sz w:val="20"/>
          <w:szCs w:val="20"/>
        </w:rPr>
        <w:t xml:space="preserve">hire women for farming works. </w:t>
      </w:r>
    </w:p>
    <w:p w14:paraId="1BFE1321" w14:textId="77777777" w:rsidR="00AA17C2" w:rsidRPr="00CD134E" w:rsidRDefault="00CD134E" w:rsidP="00AA17C2">
      <w:pPr>
        <w:rPr>
          <w:rFonts w:ascii="Arial" w:hAnsi="Arial" w:cs="Arial"/>
          <w:bCs/>
          <w:sz w:val="20"/>
          <w:szCs w:val="20"/>
        </w:rPr>
      </w:pPr>
      <w:r w:rsidRPr="00CD134E">
        <w:rPr>
          <w:rFonts w:ascii="Arial" w:hAnsi="Arial" w:cs="Arial"/>
          <w:b/>
          <w:bCs/>
          <w:sz w:val="20"/>
          <w:szCs w:val="20"/>
        </w:rPr>
        <w:t>Figure 26</w:t>
      </w:r>
      <w:r w:rsidRPr="00CD134E">
        <w:rPr>
          <w:rFonts w:ascii="Arial" w:hAnsi="Arial" w:cs="Arial"/>
          <w:bCs/>
          <w:sz w:val="20"/>
          <w:szCs w:val="20"/>
        </w:rPr>
        <w:t xml:space="preserve">: </w:t>
      </w:r>
      <w:r w:rsidR="00323DB8" w:rsidRPr="00CD134E">
        <w:rPr>
          <w:rFonts w:ascii="Arial" w:hAnsi="Arial" w:cs="Arial"/>
          <w:bCs/>
          <w:sz w:val="20"/>
          <w:szCs w:val="20"/>
        </w:rPr>
        <w:t xml:space="preserve"> </w:t>
      </w:r>
      <w:r w:rsidR="00AA17C2" w:rsidRPr="00CD134E">
        <w:rPr>
          <w:rFonts w:ascii="Arial" w:hAnsi="Arial" w:cs="Arial"/>
          <w:bCs/>
          <w:sz w:val="20"/>
          <w:szCs w:val="20"/>
        </w:rPr>
        <w:t xml:space="preserve">Do you hire </w:t>
      </w:r>
      <w:r w:rsidR="00AA17C2" w:rsidRPr="00CD134E">
        <w:rPr>
          <w:rFonts w:ascii="Arial" w:hAnsi="Arial" w:cs="Arial"/>
          <w:bCs/>
          <w:sz w:val="20"/>
          <w:szCs w:val="20"/>
          <w:u w:val="single"/>
        </w:rPr>
        <w:t xml:space="preserve">women </w:t>
      </w:r>
      <w:r w:rsidR="008A5873" w:rsidRPr="00CD134E">
        <w:rPr>
          <w:rFonts w:ascii="Arial" w:hAnsi="Arial" w:cs="Arial"/>
          <w:bCs/>
          <w:sz w:val="20"/>
          <w:szCs w:val="20"/>
          <w:u w:val="single"/>
        </w:rPr>
        <w:t>labor</w:t>
      </w:r>
      <w:r w:rsidR="00AA17C2" w:rsidRPr="00CD134E">
        <w:rPr>
          <w:rFonts w:ascii="Arial" w:hAnsi="Arial" w:cs="Arial"/>
          <w:bCs/>
          <w:sz w:val="20"/>
          <w:szCs w:val="20"/>
        </w:rPr>
        <w:t xml:space="preserve"> for agricultural/farming works?</w:t>
      </w:r>
    </w:p>
    <w:p w14:paraId="7D308C29" w14:textId="77777777" w:rsidR="00590B6B" w:rsidRPr="00630860" w:rsidRDefault="00590B6B" w:rsidP="00590B6B">
      <w:pPr>
        <w:rPr>
          <w:lang w:val="ru-RU"/>
        </w:rPr>
      </w:pPr>
      <w:r>
        <w:rPr>
          <w:noProof/>
          <w:lang w:val="en-GB" w:eastAsia="en-GB" w:bidi="ar-SA"/>
        </w:rPr>
        <w:drawing>
          <wp:inline distT="0" distB="0" distL="0" distR="0" wp14:anchorId="54F1C850" wp14:editId="5A9E7EC0">
            <wp:extent cx="5536361" cy="2346385"/>
            <wp:effectExtent l="19050" t="0" r="26239" b="0"/>
            <wp:docPr id="1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A7E036B" w14:textId="77777777" w:rsidR="0071378F" w:rsidRDefault="0071378F" w:rsidP="00142D14">
      <w:pPr>
        <w:jc w:val="both"/>
        <w:rPr>
          <w:rFonts w:ascii="Arial" w:hAnsi="Arial" w:cs="Arial"/>
          <w:color w:val="5B9BD5" w:themeColor="accent1"/>
          <w:sz w:val="20"/>
          <w:szCs w:val="20"/>
        </w:rPr>
      </w:pPr>
    </w:p>
    <w:p w14:paraId="5F5609E5" w14:textId="77777777" w:rsidR="00C405BA" w:rsidRDefault="00C405BA" w:rsidP="00142D14">
      <w:pPr>
        <w:jc w:val="both"/>
        <w:rPr>
          <w:rFonts w:ascii="Arial" w:hAnsi="Arial" w:cs="Arial"/>
          <w:color w:val="5B9BD5" w:themeColor="accent1"/>
          <w:sz w:val="20"/>
          <w:szCs w:val="20"/>
        </w:rPr>
      </w:pPr>
    </w:p>
    <w:p w14:paraId="02C670DC" w14:textId="77777777" w:rsidR="00C405BA" w:rsidRDefault="00C405BA" w:rsidP="00142D14">
      <w:pPr>
        <w:jc w:val="both"/>
        <w:rPr>
          <w:rFonts w:ascii="Arial" w:hAnsi="Arial" w:cs="Arial"/>
          <w:color w:val="5B9BD5" w:themeColor="accent1"/>
          <w:sz w:val="20"/>
          <w:szCs w:val="20"/>
        </w:rPr>
      </w:pPr>
    </w:p>
    <w:p w14:paraId="11E45329" w14:textId="77777777" w:rsidR="00C405BA" w:rsidRDefault="00C405BA" w:rsidP="00142D14">
      <w:pPr>
        <w:jc w:val="both"/>
        <w:rPr>
          <w:rFonts w:ascii="Arial" w:hAnsi="Arial" w:cs="Arial"/>
          <w:color w:val="5B9BD5" w:themeColor="accent1"/>
          <w:sz w:val="20"/>
          <w:szCs w:val="20"/>
        </w:rPr>
      </w:pPr>
    </w:p>
    <w:p w14:paraId="7F56F7F4" w14:textId="77777777" w:rsidR="00C405BA" w:rsidRDefault="00C405BA" w:rsidP="00142D14">
      <w:pPr>
        <w:jc w:val="both"/>
        <w:rPr>
          <w:rFonts w:ascii="Arial" w:hAnsi="Arial" w:cs="Arial"/>
          <w:color w:val="5B9BD5" w:themeColor="accent1"/>
          <w:sz w:val="20"/>
          <w:szCs w:val="20"/>
        </w:rPr>
      </w:pPr>
    </w:p>
    <w:p w14:paraId="467334FD" w14:textId="77777777" w:rsidR="00C405BA" w:rsidRDefault="00C405BA" w:rsidP="00142D14">
      <w:pPr>
        <w:jc w:val="both"/>
        <w:rPr>
          <w:rFonts w:ascii="Arial" w:hAnsi="Arial" w:cs="Arial"/>
          <w:color w:val="5B9BD5" w:themeColor="accent1"/>
          <w:sz w:val="20"/>
          <w:szCs w:val="20"/>
        </w:rPr>
      </w:pPr>
    </w:p>
    <w:p w14:paraId="4CC4B6BC" w14:textId="77777777" w:rsidR="00DE362F" w:rsidRPr="00DB6B1E" w:rsidRDefault="00DB6B1E" w:rsidP="00142D14">
      <w:pPr>
        <w:jc w:val="both"/>
        <w:rPr>
          <w:rFonts w:ascii="Arial" w:hAnsi="Arial" w:cs="Arial"/>
          <w:color w:val="5B9BD5" w:themeColor="accent1"/>
          <w:sz w:val="20"/>
          <w:szCs w:val="20"/>
        </w:rPr>
      </w:pPr>
      <w:r w:rsidRPr="00DB6B1E">
        <w:rPr>
          <w:rFonts w:ascii="Arial" w:hAnsi="Arial" w:cs="Arial"/>
          <w:color w:val="5B9BD5" w:themeColor="accent1"/>
          <w:sz w:val="20"/>
          <w:szCs w:val="20"/>
        </w:rPr>
        <w:t>FOCUS GROUP DISCUSSIONS</w:t>
      </w:r>
    </w:p>
    <w:p w14:paraId="31A3288F" w14:textId="77777777" w:rsidR="0069378D" w:rsidRDefault="00574639" w:rsidP="00142D14">
      <w:pPr>
        <w:jc w:val="both"/>
        <w:rPr>
          <w:rFonts w:ascii="Arial" w:hAnsi="Arial" w:cs="Arial"/>
          <w:sz w:val="20"/>
          <w:szCs w:val="20"/>
        </w:rPr>
      </w:pPr>
      <w:r>
        <w:rPr>
          <w:rFonts w:ascii="Arial" w:hAnsi="Arial" w:cs="Arial"/>
          <w:sz w:val="20"/>
          <w:szCs w:val="20"/>
        </w:rPr>
        <w:t>Focus Group Discussions (FGDs) were held with community representatives such as</w:t>
      </w:r>
      <w:r w:rsidR="00C405BA">
        <w:rPr>
          <w:rFonts w:ascii="Arial" w:hAnsi="Arial" w:cs="Arial"/>
          <w:sz w:val="20"/>
          <w:szCs w:val="20"/>
        </w:rPr>
        <w:t xml:space="preserve">: </w:t>
      </w:r>
      <w:r>
        <w:rPr>
          <w:rFonts w:ascii="Arial" w:hAnsi="Arial" w:cs="Arial"/>
          <w:sz w:val="20"/>
          <w:szCs w:val="20"/>
        </w:rPr>
        <w:t>village chief</w:t>
      </w:r>
      <w:r w:rsidR="0069378D">
        <w:rPr>
          <w:rFonts w:ascii="Arial" w:hAnsi="Arial" w:cs="Arial"/>
          <w:sz w:val="20"/>
          <w:szCs w:val="20"/>
        </w:rPr>
        <w:t>s</w:t>
      </w:r>
      <w:r w:rsidR="00C405BA">
        <w:rPr>
          <w:rFonts w:ascii="Arial" w:hAnsi="Arial" w:cs="Arial"/>
          <w:sz w:val="20"/>
          <w:szCs w:val="20"/>
        </w:rPr>
        <w:t>;</w:t>
      </w:r>
      <w:r>
        <w:rPr>
          <w:rFonts w:ascii="Arial" w:hAnsi="Arial" w:cs="Arial"/>
          <w:sz w:val="20"/>
          <w:szCs w:val="20"/>
        </w:rPr>
        <w:t xml:space="preserve"> commune council</w:t>
      </w:r>
      <w:r w:rsidR="0069378D">
        <w:rPr>
          <w:rFonts w:ascii="Arial" w:hAnsi="Arial" w:cs="Arial"/>
          <w:sz w:val="20"/>
          <w:szCs w:val="20"/>
        </w:rPr>
        <w:t>s</w:t>
      </w:r>
      <w:r>
        <w:rPr>
          <w:rFonts w:ascii="Arial" w:hAnsi="Arial" w:cs="Arial"/>
          <w:sz w:val="20"/>
          <w:szCs w:val="20"/>
        </w:rPr>
        <w:t>, school teacher</w:t>
      </w:r>
      <w:r w:rsidR="0069378D">
        <w:rPr>
          <w:rFonts w:ascii="Arial" w:hAnsi="Arial" w:cs="Arial"/>
          <w:sz w:val="20"/>
          <w:szCs w:val="20"/>
        </w:rPr>
        <w:t>s</w:t>
      </w:r>
      <w:r w:rsidR="0049410E">
        <w:rPr>
          <w:rFonts w:ascii="Arial" w:hAnsi="Arial" w:cs="Arial"/>
          <w:sz w:val="20"/>
          <w:szCs w:val="20"/>
        </w:rPr>
        <w:t xml:space="preserve"> </w:t>
      </w:r>
      <w:r w:rsidR="005B2542">
        <w:rPr>
          <w:rFonts w:ascii="Arial" w:hAnsi="Arial" w:cs="Arial"/>
          <w:sz w:val="20"/>
          <w:szCs w:val="20"/>
        </w:rPr>
        <w:t>and directors</w:t>
      </w:r>
      <w:proofErr w:type="gramStart"/>
      <w:r w:rsidR="0069378D">
        <w:rPr>
          <w:rFonts w:ascii="Arial" w:hAnsi="Arial" w:cs="Arial"/>
          <w:sz w:val="20"/>
          <w:szCs w:val="20"/>
        </w:rPr>
        <w:t>,</w:t>
      </w:r>
      <w:r>
        <w:rPr>
          <w:rFonts w:ascii="Arial" w:hAnsi="Arial" w:cs="Arial"/>
          <w:sz w:val="20"/>
          <w:szCs w:val="20"/>
        </w:rPr>
        <w:t xml:space="preserve"> </w:t>
      </w:r>
      <w:r w:rsidR="00C405BA">
        <w:rPr>
          <w:rFonts w:ascii="Arial" w:hAnsi="Arial" w:cs="Arial"/>
          <w:sz w:val="20"/>
          <w:szCs w:val="20"/>
        </w:rPr>
        <w:t xml:space="preserve"> </w:t>
      </w:r>
      <w:r>
        <w:rPr>
          <w:rFonts w:ascii="Arial" w:hAnsi="Arial" w:cs="Arial"/>
          <w:sz w:val="20"/>
          <w:szCs w:val="20"/>
        </w:rPr>
        <w:t>village</w:t>
      </w:r>
      <w:proofErr w:type="gramEnd"/>
      <w:r>
        <w:rPr>
          <w:rFonts w:ascii="Arial" w:hAnsi="Arial" w:cs="Arial"/>
          <w:sz w:val="20"/>
          <w:szCs w:val="20"/>
        </w:rPr>
        <w:t xml:space="preserve"> volunteers and other community representatives </w:t>
      </w:r>
      <w:r w:rsidR="0069378D">
        <w:rPr>
          <w:rFonts w:ascii="Arial" w:hAnsi="Arial" w:cs="Arial"/>
          <w:sz w:val="20"/>
          <w:szCs w:val="20"/>
        </w:rPr>
        <w:t xml:space="preserve">in Battambang, </w:t>
      </w:r>
      <w:proofErr w:type="spellStart"/>
      <w:r w:rsidR="0069378D">
        <w:rPr>
          <w:rFonts w:ascii="Arial" w:hAnsi="Arial" w:cs="Arial"/>
          <w:sz w:val="20"/>
          <w:szCs w:val="20"/>
        </w:rPr>
        <w:t>Bantey</w:t>
      </w:r>
      <w:proofErr w:type="spellEnd"/>
      <w:r w:rsidR="0069378D">
        <w:rPr>
          <w:rFonts w:ascii="Arial" w:hAnsi="Arial" w:cs="Arial"/>
          <w:sz w:val="20"/>
          <w:szCs w:val="20"/>
        </w:rPr>
        <w:t xml:space="preserve"> Meanchey and Pailin. Each FGD consisted of 9 to</w:t>
      </w:r>
      <w:r w:rsidR="00C405BA">
        <w:rPr>
          <w:rFonts w:ascii="Arial" w:hAnsi="Arial" w:cs="Arial"/>
          <w:sz w:val="20"/>
          <w:szCs w:val="20"/>
        </w:rPr>
        <w:t xml:space="preserve"> 12 community representatives. FGDs were </w:t>
      </w:r>
      <w:r w:rsidR="0069378D">
        <w:rPr>
          <w:rFonts w:ascii="Arial" w:hAnsi="Arial" w:cs="Arial"/>
          <w:sz w:val="20"/>
          <w:szCs w:val="20"/>
        </w:rPr>
        <w:t>organized and held by facilitator</w:t>
      </w:r>
      <w:r w:rsidR="00C405BA">
        <w:rPr>
          <w:rFonts w:ascii="Arial" w:hAnsi="Arial" w:cs="Arial"/>
          <w:sz w:val="20"/>
          <w:szCs w:val="20"/>
        </w:rPr>
        <w:t>s</w:t>
      </w:r>
      <w:r w:rsidR="0069378D">
        <w:rPr>
          <w:rFonts w:ascii="Arial" w:hAnsi="Arial" w:cs="Arial"/>
          <w:sz w:val="20"/>
          <w:szCs w:val="20"/>
        </w:rPr>
        <w:t xml:space="preserve"> and note taker</w:t>
      </w:r>
      <w:r w:rsidR="00C405BA">
        <w:rPr>
          <w:rFonts w:ascii="Arial" w:hAnsi="Arial" w:cs="Arial"/>
          <w:sz w:val="20"/>
          <w:szCs w:val="20"/>
        </w:rPr>
        <w:t>s</w:t>
      </w:r>
      <w:r w:rsidR="0069378D">
        <w:rPr>
          <w:rFonts w:ascii="Arial" w:hAnsi="Arial" w:cs="Arial"/>
          <w:sz w:val="20"/>
          <w:szCs w:val="20"/>
        </w:rPr>
        <w:t xml:space="preserve">. The subjects for </w:t>
      </w:r>
      <w:r w:rsidR="0069378D">
        <w:rPr>
          <w:rFonts w:ascii="Arial" w:hAnsi="Arial" w:cs="Arial"/>
          <w:sz w:val="20"/>
          <w:szCs w:val="20"/>
        </w:rPr>
        <w:lastRenderedPageBreak/>
        <w:t>discussions were as follows: (1) livelihood constraints (2)</w:t>
      </w:r>
      <w:r w:rsidR="00C405BA">
        <w:rPr>
          <w:rFonts w:ascii="Arial" w:hAnsi="Arial" w:cs="Arial"/>
          <w:sz w:val="20"/>
          <w:szCs w:val="20"/>
        </w:rPr>
        <w:t xml:space="preserve"> land prioritization process; (3</w:t>
      </w:r>
      <w:r w:rsidR="0069378D">
        <w:rPr>
          <w:rFonts w:ascii="Arial" w:hAnsi="Arial" w:cs="Arial"/>
          <w:sz w:val="20"/>
          <w:szCs w:val="20"/>
        </w:rPr>
        <w:t>) benefits of mine c</w:t>
      </w:r>
      <w:r w:rsidR="00C405BA">
        <w:rPr>
          <w:rFonts w:ascii="Arial" w:hAnsi="Arial" w:cs="Arial"/>
          <w:sz w:val="20"/>
          <w:szCs w:val="20"/>
        </w:rPr>
        <w:t>learance; (4</w:t>
      </w:r>
      <w:r w:rsidR="0069378D">
        <w:rPr>
          <w:rFonts w:ascii="Arial" w:hAnsi="Arial" w:cs="Arial"/>
          <w:sz w:val="20"/>
          <w:szCs w:val="20"/>
        </w:rPr>
        <w:t>) role of women in lan</w:t>
      </w:r>
      <w:r w:rsidR="00C405BA">
        <w:rPr>
          <w:rFonts w:ascii="Arial" w:hAnsi="Arial" w:cs="Arial"/>
          <w:sz w:val="20"/>
          <w:szCs w:val="20"/>
        </w:rPr>
        <w:t>d prioritization process; and (5</w:t>
      </w:r>
      <w:r w:rsidR="0069378D">
        <w:rPr>
          <w:rFonts w:ascii="Arial" w:hAnsi="Arial" w:cs="Arial"/>
          <w:sz w:val="20"/>
          <w:szCs w:val="20"/>
        </w:rPr>
        <w:t xml:space="preserve">) mine risk education. </w:t>
      </w:r>
    </w:p>
    <w:p w14:paraId="5B57BCC1" w14:textId="77777777" w:rsidR="0069378D" w:rsidRPr="0069378D" w:rsidRDefault="0069378D" w:rsidP="00142D14">
      <w:pPr>
        <w:jc w:val="both"/>
        <w:rPr>
          <w:rFonts w:ascii="Arial" w:hAnsi="Arial" w:cs="Arial"/>
          <w:sz w:val="20"/>
          <w:szCs w:val="20"/>
          <w:u w:val="single"/>
        </w:rPr>
      </w:pPr>
      <w:r w:rsidRPr="0069378D">
        <w:rPr>
          <w:rFonts w:ascii="Arial" w:hAnsi="Arial" w:cs="Arial"/>
          <w:sz w:val="20"/>
          <w:szCs w:val="20"/>
          <w:u w:val="single"/>
        </w:rPr>
        <w:t>Livelihood constraints</w:t>
      </w:r>
    </w:p>
    <w:p w14:paraId="4FF12AE7" w14:textId="77777777" w:rsidR="007B0F67" w:rsidRDefault="0069378D" w:rsidP="00142D14">
      <w:pPr>
        <w:jc w:val="both"/>
        <w:rPr>
          <w:rFonts w:ascii="Arial" w:hAnsi="Arial" w:cs="Arial"/>
          <w:sz w:val="20"/>
          <w:szCs w:val="20"/>
        </w:rPr>
      </w:pPr>
      <w:r>
        <w:rPr>
          <w:rFonts w:ascii="Arial" w:hAnsi="Arial" w:cs="Arial"/>
          <w:sz w:val="20"/>
          <w:szCs w:val="20"/>
        </w:rPr>
        <w:t xml:space="preserve">Community representatives mentioned livelihood constraints such as: natural disasters, </w:t>
      </w:r>
      <w:r w:rsidR="00C405BA">
        <w:rPr>
          <w:rFonts w:ascii="Arial" w:hAnsi="Arial" w:cs="Arial"/>
          <w:sz w:val="20"/>
          <w:szCs w:val="20"/>
        </w:rPr>
        <w:t>effects of climate change and decreased demand for rice</w:t>
      </w:r>
      <w:r w:rsidR="008D1621">
        <w:rPr>
          <w:rFonts w:ascii="Arial" w:hAnsi="Arial" w:cs="Arial"/>
          <w:sz w:val="20"/>
          <w:szCs w:val="20"/>
        </w:rPr>
        <w:t xml:space="preserve">. </w:t>
      </w:r>
      <w:r>
        <w:rPr>
          <w:rFonts w:ascii="Arial" w:hAnsi="Arial" w:cs="Arial"/>
          <w:sz w:val="20"/>
          <w:szCs w:val="20"/>
        </w:rPr>
        <w:t xml:space="preserve"> </w:t>
      </w:r>
      <w:r w:rsidR="008D1621">
        <w:rPr>
          <w:rFonts w:ascii="Arial" w:hAnsi="Arial" w:cs="Arial"/>
          <w:sz w:val="20"/>
          <w:szCs w:val="20"/>
        </w:rPr>
        <w:t xml:space="preserve">People from </w:t>
      </w:r>
      <w:proofErr w:type="spellStart"/>
      <w:r w:rsidR="008D1621">
        <w:rPr>
          <w:rFonts w:ascii="Arial" w:hAnsi="Arial" w:cs="Arial"/>
          <w:sz w:val="20"/>
          <w:szCs w:val="20"/>
        </w:rPr>
        <w:t>Bantey</w:t>
      </w:r>
      <w:proofErr w:type="spellEnd"/>
      <w:r w:rsidR="008D1621">
        <w:rPr>
          <w:rFonts w:ascii="Arial" w:hAnsi="Arial" w:cs="Arial"/>
          <w:sz w:val="20"/>
          <w:szCs w:val="20"/>
        </w:rPr>
        <w:t xml:space="preserve"> Meanchey stated </w:t>
      </w:r>
      <w:r w:rsidR="00280197">
        <w:rPr>
          <w:rFonts w:ascii="Arial" w:hAnsi="Arial" w:cs="Arial"/>
          <w:sz w:val="20"/>
          <w:szCs w:val="20"/>
        </w:rPr>
        <w:t>that natural</w:t>
      </w:r>
      <w:r w:rsidR="008D1621">
        <w:rPr>
          <w:rFonts w:ascii="Arial" w:hAnsi="Arial" w:cs="Arial"/>
          <w:sz w:val="20"/>
          <w:szCs w:val="20"/>
        </w:rPr>
        <w:t xml:space="preserve"> disasters </w:t>
      </w:r>
      <w:r w:rsidR="00280197">
        <w:rPr>
          <w:rFonts w:ascii="Arial" w:hAnsi="Arial" w:cs="Arial"/>
          <w:sz w:val="20"/>
          <w:szCs w:val="20"/>
        </w:rPr>
        <w:t>caused</w:t>
      </w:r>
      <w:r w:rsidR="008D1621">
        <w:rPr>
          <w:rFonts w:ascii="Arial" w:hAnsi="Arial" w:cs="Arial"/>
          <w:sz w:val="20"/>
          <w:szCs w:val="20"/>
        </w:rPr>
        <w:t xml:space="preserve"> less agricultural production </w:t>
      </w:r>
      <w:r w:rsidR="0049410E">
        <w:rPr>
          <w:rFonts w:ascii="Arial" w:hAnsi="Arial" w:cs="Arial"/>
          <w:sz w:val="20"/>
          <w:szCs w:val="20"/>
        </w:rPr>
        <w:t>which</w:t>
      </w:r>
      <w:r w:rsidR="008D1621">
        <w:rPr>
          <w:rFonts w:ascii="Arial" w:hAnsi="Arial" w:cs="Arial"/>
          <w:sz w:val="20"/>
          <w:szCs w:val="20"/>
        </w:rPr>
        <w:t xml:space="preserve"> consequently affected farmer’s abilities </w:t>
      </w:r>
      <w:r w:rsidR="00B5475A">
        <w:rPr>
          <w:rFonts w:ascii="Arial" w:hAnsi="Arial" w:cs="Arial"/>
          <w:sz w:val="20"/>
          <w:szCs w:val="20"/>
        </w:rPr>
        <w:t>to repay their</w:t>
      </w:r>
      <w:r w:rsidR="008D1621">
        <w:rPr>
          <w:rFonts w:ascii="Arial" w:hAnsi="Arial" w:cs="Arial"/>
          <w:sz w:val="20"/>
          <w:szCs w:val="20"/>
        </w:rPr>
        <w:t xml:space="preserve"> loan</w:t>
      </w:r>
      <w:r w:rsidR="00B5475A">
        <w:rPr>
          <w:rFonts w:ascii="Arial" w:hAnsi="Arial" w:cs="Arial"/>
          <w:sz w:val="20"/>
          <w:szCs w:val="20"/>
        </w:rPr>
        <w:t>s</w:t>
      </w:r>
      <w:r w:rsidR="008D1621">
        <w:rPr>
          <w:rFonts w:ascii="Arial" w:hAnsi="Arial" w:cs="Arial"/>
          <w:sz w:val="20"/>
          <w:szCs w:val="20"/>
        </w:rPr>
        <w:t xml:space="preserve">. In </w:t>
      </w:r>
      <w:proofErr w:type="spellStart"/>
      <w:r w:rsidR="008D1621">
        <w:rPr>
          <w:rFonts w:ascii="Arial" w:hAnsi="Arial" w:cs="Arial"/>
          <w:sz w:val="20"/>
          <w:szCs w:val="20"/>
        </w:rPr>
        <w:t>Bantey</w:t>
      </w:r>
      <w:proofErr w:type="spellEnd"/>
      <w:r w:rsidR="008D1621">
        <w:rPr>
          <w:rFonts w:ascii="Arial" w:hAnsi="Arial" w:cs="Arial"/>
          <w:sz w:val="20"/>
          <w:szCs w:val="20"/>
        </w:rPr>
        <w:t xml:space="preserve"> Meanchey and Pailin land contamination was not mentioned as livelihood constraint but people </w:t>
      </w:r>
      <w:r w:rsidR="00280197">
        <w:rPr>
          <w:rFonts w:ascii="Arial" w:hAnsi="Arial" w:cs="Arial"/>
          <w:sz w:val="20"/>
          <w:szCs w:val="20"/>
        </w:rPr>
        <w:t>mentioned</w:t>
      </w:r>
      <w:r w:rsidR="008D1621">
        <w:rPr>
          <w:rFonts w:ascii="Arial" w:hAnsi="Arial" w:cs="Arial"/>
          <w:sz w:val="20"/>
          <w:szCs w:val="20"/>
        </w:rPr>
        <w:t xml:space="preserve"> that they don’t have confidence that community roads are safe to use as they still hear of accidents in neighborhood</w:t>
      </w:r>
      <w:r w:rsidR="00280197">
        <w:rPr>
          <w:rFonts w:ascii="Arial" w:hAnsi="Arial" w:cs="Arial"/>
          <w:sz w:val="20"/>
          <w:szCs w:val="20"/>
        </w:rPr>
        <w:t xml:space="preserve"> or</w:t>
      </w:r>
      <w:r w:rsidR="008D1621">
        <w:rPr>
          <w:rFonts w:ascii="Arial" w:hAnsi="Arial" w:cs="Arial"/>
          <w:sz w:val="20"/>
          <w:szCs w:val="20"/>
        </w:rPr>
        <w:t xml:space="preserve"> find suspicious items. </w:t>
      </w:r>
      <w:r w:rsidR="00C405BA">
        <w:rPr>
          <w:rFonts w:ascii="Arial" w:hAnsi="Arial" w:cs="Arial"/>
          <w:sz w:val="20"/>
          <w:szCs w:val="20"/>
        </w:rPr>
        <w:t>Also</w:t>
      </w:r>
      <w:r w:rsidR="008D1621">
        <w:rPr>
          <w:rFonts w:ascii="Arial" w:hAnsi="Arial" w:cs="Arial"/>
          <w:sz w:val="20"/>
          <w:szCs w:val="20"/>
        </w:rPr>
        <w:t xml:space="preserve">, Battambang community representatives </w:t>
      </w:r>
      <w:r w:rsidR="00C405BA">
        <w:rPr>
          <w:rFonts w:ascii="Arial" w:hAnsi="Arial" w:cs="Arial"/>
          <w:sz w:val="20"/>
          <w:szCs w:val="20"/>
        </w:rPr>
        <w:t>stated</w:t>
      </w:r>
      <w:r w:rsidR="00280197">
        <w:rPr>
          <w:rFonts w:ascii="Arial" w:hAnsi="Arial" w:cs="Arial"/>
          <w:sz w:val="20"/>
          <w:szCs w:val="20"/>
        </w:rPr>
        <w:t xml:space="preserve"> that</w:t>
      </w:r>
      <w:r w:rsidR="008D1621">
        <w:rPr>
          <w:rFonts w:ascii="Arial" w:hAnsi="Arial" w:cs="Arial"/>
          <w:sz w:val="20"/>
          <w:szCs w:val="20"/>
        </w:rPr>
        <w:t xml:space="preserve"> Cambodian Mine Action Center (CMAC</w:t>
      </w:r>
      <w:r w:rsidR="00E64C37">
        <w:rPr>
          <w:rFonts w:ascii="Arial" w:hAnsi="Arial" w:cs="Arial"/>
          <w:sz w:val="20"/>
          <w:szCs w:val="20"/>
        </w:rPr>
        <w:t>) did not clean</w:t>
      </w:r>
      <w:r w:rsidR="00280197">
        <w:rPr>
          <w:rFonts w:ascii="Arial" w:hAnsi="Arial" w:cs="Arial"/>
          <w:sz w:val="20"/>
          <w:szCs w:val="20"/>
        </w:rPr>
        <w:t xml:space="preserve"> all</w:t>
      </w:r>
      <w:r w:rsidR="00E64C37">
        <w:rPr>
          <w:rFonts w:ascii="Arial" w:hAnsi="Arial" w:cs="Arial"/>
          <w:sz w:val="20"/>
          <w:szCs w:val="20"/>
        </w:rPr>
        <w:t xml:space="preserve"> mines and they suggest that CMAC should address this issue. </w:t>
      </w:r>
    </w:p>
    <w:p w14:paraId="7207C43F" w14:textId="77777777" w:rsidR="004947E7" w:rsidRDefault="008D1621" w:rsidP="004947E7">
      <w:pPr>
        <w:jc w:val="both"/>
        <w:rPr>
          <w:rFonts w:ascii="Arial" w:hAnsi="Arial" w:cs="Arial"/>
          <w:sz w:val="20"/>
          <w:szCs w:val="20"/>
        </w:rPr>
      </w:pPr>
      <w:r w:rsidRPr="008D1621">
        <w:rPr>
          <w:rFonts w:ascii="Arial" w:hAnsi="Arial" w:cs="Arial"/>
          <w:sz w:val="20"/>
          <w:szCs w:val="20"/>
          <w:u w:val="single"/>
        </w:rPr>
        <w:t>Land prioritization process</w:t>
      </w:r>
      <w:r w:rsidR="00E64C37">
        <w:rPr>
          <w:rFonts w:ascii="Arial" w:hAnsi="Arial" w:cs="Arial"/>
          <w:sz w:val="20"/>
          <w:szCs w:val="20"/>
          <w:u w:val="single"/>
        </w:rPr>
        <w:t xml:space="preserve"> </w:t>
      </w:r>
      <w:r w:rsidR="004947E7">
        <w:rPr>
          <w:rFonts w:ascii="Arial" w:hAnsi="Arial" w:cs="Arial"/>
          <w:sz w:val="20"/>
          <w:szCs w:val="20"/>
          <w:u w:val="single"/>
        </w:rPr>
        <w:t>and role of woman in land prioritization process</w:t>
      </w:r>
    </w:p>
    <w:p w14:paraId="2F00870B" w14:textId="77777777" w:rsidR="004662F2" w:rsidRDefault="00E64C37" w:rsidP="00142D14">
      <w:pPr>
        <w:jc w:val="both"/>
        <w:rPr>
          <w:rFonts w:ascii="Arial" w:hAnsi="Arial" w:cs="Arial"/>
          <w:sz w:val="20"/>
          <w:szCs w:val="20"/>
        </w:rPr>
      </w:pPr>
      <w:r w:rsidRPr="003F4AAB">
        <w:rPr>
          <w:rFonts w:ascii="Arial" w:hAnsi="Arial" w:cs="Arial"/>
          <w:sz w:val="20"/>
          <w:szCs w:val="20"/>
        </w:rPr>
        <w:t>Representatives from P</w:t>
      </w:r>
      <w:r w:rsidR="004662F2" w:rsidRPr="003F4AAB">
        <w:rPr>
          <w:rFonts w:ascii="Arial" w:hAnsi="Arial" w:cs="Arial"/>
          <w:sz w:val="20"/>
          <w:szCs w:val="20"/>
        </w:rPr>
        <w:t>ailin</w:t>
      </w:r>
      <w:r w:rsidR="00280197" w:rsidRPr="003F4AAB">
        <w:rPr>
          <w:rFonts w:ascii="Arial" w:hAnsi="Arial" w:cs="Arial"/>
          <w:sz w:val="20"/>
          <w:szCs w:val="20"/>
        </w:rPr>
        <w:t xml:space="preserve">, </w:t>
      </w:r>
      <w:proofErr w:type="gramStart"/>
      <w:r w:rsidR="00280197" w:rsidRPr="003F4AAB">
        <w:rPr>
          <w:rFonts w:ascii="Arial" w:hAnsi="Arial" w:cs="Arial"/>
          <w:sz w:val="20"/>
          <w:szCs w:val="20"/>
        </w:rPr>
        <w:t>Battambang</w:t>
      </w:r>
      <w:r w:rsidR="004662F2" w:rsidRPr="003F4AAB">
        <w:rPr>
          <w:rFonts w:ascii="Arial" w:hAnsi="Arial" w:cs="Arial"/>
          <w:sz w:val="20"/>
          <w:szCs w:val="20"/>
        </w:rPr>
        <w:t xml:space="preserve">  and</w:t>
      </w:r>
      <w:proofErr w:type="gramEnd"/>
      <w:r w:rsidR="004662F2" w:rsidRPr="003F4AAB">
        <w:rPr>
          <w:rFonts w:ascii="Arial" w:hAnsi="Arial" w:cs="Arial"/>
          <w:sz w:val="20"/>
          <w:szCs w:val="20"/>
        </w:rPr>
        <w:t xml:space="preserve"> </w:t>
      </w:r>
      <w:proofErr w:type="spellStart"/>
      <w:r w:rsidR="004662F2" w:rsidRPr="003F4AAB">
        <w:rPr>
          <w:rFonts w:ascii="Arial" w:hAnsi="Arial" w:cs="Arial"/>
          <w:sz w:val="20"/>
          <w:szCs w:val="20"/>
        </w:rPr>
        <w:t>Bantey</w:t>
      </w:r>
      <w:proofErr w:type="spellEnd"/>
      <w:r w:rsidR="004662F2" w:rsidRPr="003F4AAB">
        <w:rPr>
          <w:rFonts w:ascii="Arial" w:hAnsi="Arial" w:cs="Arial"/>
          <w:sz w:val="20"/>
          <w:szCs w:val="20"/>
        </w:rPr>
        <w:t xml:space="preserve"> Meanchey </w:t>
      </w:r>
      <w:r w:rsidR="00280197" w:rsidRPr="003F4AAB">
        <w:rPr>
          <w:rFonts w:ascii="Arial" w:hAnsi="Arial" w:cs="Arial"/>
          <w:sz w:val="20"/>
          <w:szCs w:val="20"/>
        </w:rPr>
        <w:t>highlighted the process of land prioritization.  In practice,</w:t>
      </w:r>
      <w:r w:rsidRPr="003F4AAB">
        <w:rPr>
          <w:rFonts w:ascii="Arial" w:hAnsi="Arial" w:cs="Arial"/>
          <w:sz w:val="20"/>
          <w:szCs w:val="20"/>
        </w:rPr>
        <w:t xml:space="preserve"> village </w:t>
      </w:r>
      <w:r w:rsidR="00F76C8C" w:rsidRPr="003F4AAB">
        <w:rPr>
          <w:rFonts w:ascii="Arial" w:hAnsi="Arial" w:cs="Arial"/>
          <w:sz w:val="20"/>
          <w:szCs w:val="20"/>
        </w:rPr>
        <w:t>or commune chief invite people to join village meeting where discussion</w:t>
      </w:r>
      <w:r w:rsidR="00F76C8C">
        <w:rPr>
          <w:rFonts w:ascii="Arial" w:hAnsi="Arial" w:cs="Arial"/>
          <w:sz w:val="20"/>
          <w:szCs w:val="20"/>
        </w:rPr>
        <w:t xml:space="preserve"> held about contaminated or suspected areas and proposal for land clearance is submitted to CMAC or </w:t>
      </w:r>
      <w:r w:rsidR="004662F2">
        <w:rPr>
          <w:rFonts w:ascii="Arial" w:hAnsi="Arial" w:cs="Arial"/>
          <w:sz w:val="20"/>
          <w:szCs w:val="20"/>
        </w:rPr>
        <w:t xml:space="preserve">MAPU for demining. However, Battambang and </w:t>
      </w:r>
      <w:proofErr w:type="spellStart"/>
      <w:r w:rsidR="004662F2">
        <w:rPr>
          <w:rFonts w:ascii="Arial" w:hAnsi="Arial" w:cs="Arial"/>
          <w:sz w:val="20"/>
          <w:szCs w:val="20"/>
        </w:rPr>
        <w:t>Bantey</w:t>
      </w:r>
      <w:proofErr w:type="spellEnd"/>
      <w:r w:rsidR="004662F2">
        <w:rPr>
          <w:rFonts w:ascii="Arial" w:hAnsi="Arial" w:cs="Arial"/>
          <w:sz w:val="20"/>
          <w:szCs w:val="20"/>
        </w:rPr>
        <w:t xml:space="preserve"> Meanchey representatives </w:t>
      </w:r>
      <w:r w:rsidR="006A420F">
        <w:rPr>
          <w:rFonts w:ascii="Arial" w:hAnsi="Arial" w:cs="Arial"/>
          <w:sz w:val="20"/>
          <w:szCs w:val="20"/>
        </w:rPr>
        <w:t>reported</w:t>
      </w:r>
      <w:r w:rsidR="00B5475A">
        <w:rPr>
          <w:rFonts w:ascii="Arial" w:hAnsi="Arial" w:cs="Arial"/>
          <w:sz w:val="20"/>
          <w:szCs w:val="20"/>
        </w:rPr>
        <w:t xml:space="preserve"> that village </w:t>
      </w:r>
      <w:r w:rsidR="004662F2">
        <w:rPr>
          <w:rFonts w:ascii="Arial" w:hAnsi="Arial" w:cs="Arial"/>
          <w:sz w:val="20"/>
          <w:szCs w:val="20"/>
        </w:rPr>
        <w:t>meetings</w:t>
      </w:r>
      <w:r w:rsidR="00280197">
        <w:rPr>
          <w:rFonts w:ascii="Arial" w:hAnsi="Arial" w:cs="Arial"/>
          <w:sz w:val="20"/>
          <w:szCs w:val="20"/>
        </w:rPr>
        <w:t xml:space="preserve"> </w:t>
      </w:r>
      <w:r w:rsidR="00B5475A">
        <w:rPr>
          <w:rFonts w:ascii="Arial" w:hAnsi="Arial" w:cs="Arial"/>
          <w:sz w:val="20"/>
          <w:szCs w:val="20"/>
        </w:rPr>
        <w:t xml:space="preserve">held </w:t>
      </w:r>
      <w:r w:rsidR="00280197">
        <w:rPr>
          <w:rFonts w:ascii="Arial" w:hAnsi="Arial" w:cs="Arial"/>
          <w:sz w:val="20"/>
          <w:szCs w:val="20"/>
        </w:rPr>
        <w:t>only one time a year</w:t>
      </w:r>
      <w:r w:rsidR="004662F2">
        <w:rPr>
          <w:rFonts w:ascii="Arial" w:hAnsi="Arial" w:cs="Arial"/>
          <w:sz w:val="20"/>
          <w:szCs w:val="20"/>
        </w:rPr>
        <w:t xml:space="preserve">. </w:t>
      </w:r>
      <w:r w:rsidR="003F4AAB">
        <w:rPr>
          <w:rFonts w:ascii="Arial" w:hAnsi="Arial" w:cs="Arial"/>
          <w:sz w:val="20"/>
          <w:szCs w:val="20"/>
        </w:rPr>
        <w:t>Also, FGDs participants mentioned</w:t>
      </w:r>
      <w:r w:rsidR="004662F2">
        <w:rPr>
          <w:rFonts w:ascii="Arial" w:hAnsi="Arial" w:cs="Arial"/>
          <w:sz w:val="20"/>
          <w:szCs w:val="20"/>
        </w:rPr>
        <w:t xml:space="preserve"> that women does not participate in land prioritization process </w:t>
      </w:r>
      <w:r w:rsidR="003F4AAB">
        <w:rPr>
          <w:rFonts w:ascii="Arial" w:hAnsi="Arial" w:cs="Arial"/>
          <w:sz w:val="20"/>
          <w:szCs w:val="20"/>
        </w:rPr>
        <w:t>and do not attend</w:t>
      </w:r>
      <w:r w:rsidR="004662F2">
        <w:rPr>
          <w:rFonts w:ascii="Arial" w:hAnsi="Arial" w:cs="Arial"/>
          <w:sz w:val="20"/>
          <w:szCs w:val="20"/>
        </w:rPr>
        <w:t xml:space="preserve"> village</w:t>
      </w:r>
      <w:r w:rsidR="00C47F1D">
        <w:rPr>
          <w:rFonts w:ascii="Arial" w:hAnsi="Arial" w:cs="Arial"/>
          <w:sz w:val="20"/>
          <w:szCs w:val="20"/>
        </w:rPr>
        <w:t xml:space="preserve"> and other community gatherings</w:t>
      </w:r>
      <w:r w:rsidR="004662F2">
        <w:rPr>
          <w:rFonts w:ascii="Arial" w:hAnsi="Arial" w:cs="Arial"/>
          <w:sz w:val="20"/>
          <w:szCs w:val="20"/>
        </w:rPr>
        <w:t xml:space="preserve"> </w:t>
      </w:r>
      <w:r w:rsidR="00C47F1D">
        <w:rPr>
          <w:rFonts w:ascii="Arial" w:hAnsi="Arial" w:cs="Arial"/>
          <w:sz w:val="20"/>
          <w:szCs w:val="20"/>
        </w:rPr>
        <w:t xml:space="preserve">due to </w:t>
      </w:r>
      <w:r w:rsidR="004662F2">
        <w:rPr>
          <w:rFonts w:ascii="Arial" w:hAnsi="Arial" w:cs="Arial"/>
          <w:sz w:val="20"/>
          <w:szCs w:val="20"/>
        </w:rPr>
        <w:t>being occupied with household work</w:t>
      </w:r>
      <w:r w:rsidR="00280197">
        <w:rPr>
          <w:rFonts w:ascii="Arial" w:hAnsi="Arial" w:cs="Arial"/>
          <w:sz w:val="20"/>
          <w:szCs w:val="20"/>
        </w:rPr>
        <w:t>s</w:t>
      </w:r>
      <w:r w:rsidR="004662F2">
        <w:rPr>
          <w:rFonts w:ascii="Arial" w:hAnsi="Arial" w:cs="Arial"/>
          <w:sz w:val="20"/>
          <w:szCs w:val="20"/>
        </w:rPr>
        <w:t xml:space="preserve">. </w:t>
      </w:r>
      <w:bookmarkStart w:id="3" w:name="_GoBack"/>
      <w:bookmarkEnd w:id="3"/>
    </w:p>
    <w:p w14:paraId="42498909" w14:textId="77777777" w:rsidR="004662F2" w:rsidRDefault="004662F2" w:rsidP="00142D14">
      <w:pPr>
        <w:jc w:val="both"/>
        <w:rPr>
          <w:rFonts w:ascii="Arial" w:hAnsi="Arial" w:cs="Arial"/>
          <w:sz w:val="20"/>
          <w:szCs w:val="20"/>
          <w:u w:val="single"/>
        </w:rPr>
      </w:pPr>
      <w:r w:rsidRPr="004662F2">
        <w:rPr>
          <w:rFonts w:ascii="Arial" w:hAnsi="Arial" w:cs="Arial"/>
          <w:sz w:val="20"/>
          <w:szCs w:val="20"/>
          <w:u w:val="single"/>
        </w:rPr>
        <w:t>Benefits of mine clearance</w:t>
      </w:r>
    </w:p>
    <w:p w14:paraId="1A1B0885" w14:textId="77777777" w:rsidR="004662F2" w:rsidRDefault="004662F2" w:rsidP="00142D14">
      <w:pPr>
        <w:jc w:val="both"/>
        <w:rPr>
          <w:rFonts w:ascii="Arial" w:hAnsi="Arial" w:cs="Arial"/>
          <w:sz w:val="20"/>
          <w:szCs w:val="20"/>
        </w:rPr>
      </w:pPr>
      <w:r>
        <w:rPr>
          <w:rFonts w:ascii="Arial" w:hAnsi="Arial" w:cs="Arial"/>
          <w:sz w:val="20"/>
          <w:szCs w:val="20"/>
        </w:rPr>
        <w:t>Construction of new roads, sh</w:t>
      </w:r>
      <w:r w:rsidR="00C47F1D">
        <w:rPr>
          <w:rFonts w:ascii="Arial" w:hAnsi="Arial" w:cs="Arial"/>
          <w:sz w:val="20"/>
          <w:szCs w:val="20"/>
        </w:rPr>
        <w:t>ort proximity to health centers and</w:t>
      </w:r>
      <w:r>
        <w:rPr>
          <w:rFonts w:ascii="Arial" w:hAnsi="Arial" w:cs="Arial"/>
          <w:sz w:val="20"/>
          <w:szCs w:val="20"/>
        </w:rPr>
        <w:t xml:space="preserve"> c</w:t>
      </w:r>
      <w:r w:rsidR="006A420F">
        <w:rPr>
          <w:rFonts w:ascii="Arial" w:hAnsi="Arial" w:cs="Arial"/>
          <w:sz w:val="20"/>
          <w:szCs w:val="20"/>
        </w:rPr>
        <w:t>onstruction of new schools - increased</w:t>
      </w:r>
      <w:r>
        <w:rPr>
          <w:rFonts w:ascii="Arial" w:hAnsi="Arial" w:cs="Arial"/>
          <w:sz w:val="20"/>
          <w:szCs w:val="20"/>
        </w:rPr>
        <w:t xml:space="preserve"> acce</w:t>
      </w:r>
      <w:r w:rsidR="006A420F">
        <w:rPr>
          <w:rFonts w:ascii="Arial" w:hAnsi="Arial" w:cs="Arial"/>
          <w:sz w:val="20"/>
          <w:szCs w:val="20"/>
        </w:rPr>
        <w:t xml:space="preserve">ss to education in villages, </w:t>
      </w:r>
      <w:r>
        <w:rPr>
          <w:rFonts w:ascii="Arial" w:hAnsi="Arial" w:cs="Arial"/>
          <w:sz w:val="20"/>
          <w:szCs w:val="20"/>
        </w:rPr>
        <w:t>cultivation of different types of crops</w:t>
      </w:r>
      <w:r w:rsidR="004947E7">
        <w:rPr>
          <w:rFonts w:ascii="Arial" w:hAnsi="Arial" w:cs="Arial"/>
          <w:sz w:val="20"/>
          <w:szCs w:val="20"/>
        </w:rPr>
        <w:t xml:space="preserve">, </w:t>
      </w:r>
      <w:r w:rsidR="006A420F">
        <w:rPr>
          <w:rFonts w:ascii="Arial" w:hAnsi="Arial" w:cs="Arial"/>
          <w:sz w:val="20"/>
          <w:szCs w:val="20"/>
        </w:rPr>
        <w:t xml:space="preserve">increased income due to improved </w:t>
      </w:r>
      <w:r w:rsidR="004947E7">
        <w:rPr>
          <w:rFonts w:ascii="Arial" w:hAnsi="Arial" w:cs="Arial"/>
          <w:sz w:val="20"/>
          <w:szCs w:val="20"/>
        </w:rPr>
        <w:t>agricultural productivity</w:t>
      </w:r>
      <w:r>
        <w:rPr>
          <w:rFonts w:ascii="Arial" w:hAnsi="Arial" w:cs="Arial"/>
          <w:sz w:val="20"/>
          <w:szCs w:val="20"/>
        </w:rPr>
        <w:t xml:space="preserve"> and feeling safer </w:t>
      </w:r>
      <w:r w:rsidR="006A420F">
        <w:rPr>
          <w:rFonts w:ascii="Arial" w:hAnsi="Arial" w:cs="Arial"/>
          <w:sz w:val="20"/>
          <w:szCs w:val="20"/>
        </w:rPr>
        <w:t>- were</w:t>
      </w:r>
      <w:r>
        <w:rPr>
          <w:rFonts w:ascii="Arial" w:hAnsi="Arial" w:cs="Arial"/>
          <w:sz w:val="20"/>
          <w:szCs w:val="20"/>
        </w:rPr>
        <w:t xml:space="preserve"> mentioned as community benefits from mine and ERW clearance. </w:t>
      </w:r>
    </w:p>
    <w:p w14:paraId="1A229F86" w14:textId="77777777" w:rsidR="004947E7" w:rsidRDefault="004947E7" w:rsidP="00142D14">
      <w:pPr>
        <w:jc w:val="both"/>
        <w:rPr>
          <w:rFonts w:ascii="Arial" w:hAnsi="Arial" w:cs="Arial"/>
          <w:sz w:val="20"/>
          <w:szCs w:val="20"/>
          <w:u w:val="single"/>
        </w:rPr>
      </w:pPr>
      <w:r w:rsidRPr="004947E7">
        <w:rPr>
          <w:rFonts w:ascii="Arial" w:hAnsi="Arial" w:cs="Arial"/>
          <w:sz w:val="20"/>
          <w:szCs w:val="20"/>
          <w:u w:val="single"/>
        </w:rPr>
        <w:t>Mine Risk</w:t>
      </w:r>
      <w:r>
        <w:rPr>
          <w:rFonts w:ascii="Arial" w:hAnsi="Arial" w:cs="Arial"/>
          <w:sz w:val="20"/>
          <w:szCs w:val="20"/>
          <w:u w:val="single"/>
        </w:rPr>
        <w:t>s</w:t>
      </w:r>
      <w:r w:rsidRPr="004947E7">
        <w:rPr>
          <w:rFonts w:ascii="Arial" w:hAnsi="Arial" w:cs="Arial"/>
          <w:sz w:val="20"/>
          <w:szCs w:val="20"/>
          <w:u w:val="single"/>
        </w:rPr>
        <w:t xml:space="preserve"> </w:t>
      </w:r>
      <w:r>
        <w:rPr>
          <w:rFonts w:ascii="Arial" w:hAnsi="Arial" w:cs="Arial"/>
          <w:sz w:val="20"/>
          <w:szCs w:val="20"/>
          <w:u w:val="single"/>
        </w:rPr>
        <w:t>and Awareness</w:t>
      </w:r>
    </w:p>
    <w:p w14:paraId="3D4E9CEA" w14:textId="77777777" w:rsidR="00522E6B" w:rsidRDefault="00280197" w:rsidP="00142D14">
      <w:pPr>
        <w:jc w:val="both"/>
        <w:rPr>
          <w:rFonts w:ascii="Arial" w:hAnsi="Arial" w:cs="Arial"/>
          <w:sz w:val="20"/>
          <w:szCs w:val="20"/>
        </w:rPr>
      </w:pPr>
      <w:r>
        <w:rPr>
          <w:rFonts w:ascii="Arial" w:hAnsi="Arial" w:cs="Arial"/>
          <w:sz w:val="20"/>
          <w:szCs w:val="20"/>
        </w:rPr>
        <w:t xml:space="preserve">FGDs information shows that villagers </w:t>
      </w:r>
      <w:r w:rsidR="00C47F1D">
        <w:rPr>
          <w:rFonts w:ascii="Arial" w:hAnsi="Arial" w:cs="Arial"/>
          <w:sz w:val="20"/>
          <w:szCs w:val="20"/>
        </w:rPr>
        <w:t>believe</w:t>
      </w:r>
      <w:r w:rsidR="004947E7">
        <w:rPr>
          <w:rFonts w:ascii="Arial" w:hAnsi="Arial" w:cs="Arial"/>
          <w:sz w:val="20"/>
          <w:szCs w:val="20"/>
        </w:rPr>
        <w:t xml:space="preserve"> </w:t>
      </w:r>
      <w:r>
        <w:rPr>
          <w:rFonts w:ascii="Arial" w:hAnsi="Arial" w:cs="Arial"/>
          <w:sz w:val="20"/>
          <w:szCs w:val="20"/>
        </w:rPr>
        <w:t xml:space="preserve">that </w:t>
      </w:r>
      <w:r w:rsidR="004947E7">
        <w:rPr>
          <w:rFonts w:ascii="Arial" w:hAnsi="Arial" w:cs="Arial"/>
          <w:sz w:val="20"/>
          <w:szCs w:val="20"/>
        </w:rPr>
        <w:t>men is</w:t>
      </w:r>
      <w:r w:rsidR="00C47F1D">
        <w:rPr>
          <w:rFonts w:ascii="Arial" w:hAnsi="Arial" w:cs="Arial"/>
          <w:sz w:val="20"/>
          <w:szCs w:val="20"/>
        </w:rPr>
        <w:t xml:space="preserve"> in</w:t>
      </w:r>
      <w:r w:rsidR="004947E7">
        <w:rPr>
          <w:rFonts w:ascii="Arial" w:hAnsi="Arial" w:cs="Arial"/>
          <w:sz w:val="20"/>
          <w:szCs w:val="20"/>
        </w:rPr>
        <w:t xml:space="preserve"> more in danger compared to women, as men does most of the agricultural wor</w:t>
      </w:r>
      <w:r>
        <w:rPr>
          <w:rFonts w:ascii="Arial" w:hAnsi="Arial" w:cs="Arial"/>
          <w:sz w:val="20"/>
          <w:szCs w:val="20"/>
        </w:rPr>
        <w:t>ks and have</w:t>
      </w:r>
      <w:r w:rsidR="004947E7">
        <w:rPr>
          <w:rFonts w:ascii="Arial" w:hAnsi="Arial" w:cs="Arial"/>
          <w:sz w:val="20"/>
          <w:szCs w:val="20"/>
        </w:rPr>
        <w:t xml:space="preserve"> an increased exposure through going to forests and cultivating contaminated lands. </w:t>
      </w:r>
      <w:r w:rsidR="006A420F">
        <w:rPr>
          <w:rFonts w:ascii="Arial" w:hAnsi="Arial" w:cs="Arial"/>
          <w:sz w:val="20"/>
          <w:szCs w:val="20"/>
        </w:rPr>
        <w:t xml:space="preserve">Records show that villagers </w:t>
      </w:r>
      <w:r w:rsidR="004947E7">
        <w:rPr>
          <w:rFonts w:ascii="Arial" w:hAnsi="Arial" w:cs="Arial"/>
          <w:sz w:val="20"/>
          <w:szCs w:val="20"/>
        </w:rPr>
        <w:t xml:space="preserve">do not have confidence </w:t>
      </w:r>
      <w:r>
        <w:rPr>
          <w:rFonts w:ascii="Arial" w:hAnsi="Arial" w:cs="Arial"/>
          <w:sz w:val="20"/>
          <w:szCs w:val="20"/>
        </w:rPr>
        <w:t>that agricultural</w:t>
      </w:r>
      <w:r w:rsidR="004947E7">
        <w:rPr>
          <w:rFonts w:ascii="Arial" w:hAnsi="Arial" w:cs="Arial"/>
          <w:sz w:val="20"/>
          <w:szCs w:val="20"/>
        </w:rPr>
        <w:t xml:space="preserve"> </w:t>
      </w:r>
      <w:r>
        <w:rPr>
          <w:rFonts w:ascii="Arial" w:hAnsi="Arial" w:cs="Arial"/>
          <w:sz w:val="20"/>
          <w:szCs w:val="20"/>
        </w:rPr>
        <w:t xml:space="preserve">and other community </w:t>
      </w:r>
      <w:r w:rsidR="004947E7">
        <w:rPr>
          <w:rFonts w:ascii="Arial" w:hAnsi="Arial" w:cs="Arial"/>
          <w:sz w:val="20"/>
          <w:szCs w:val="20"/>
        </w:rPr>
        <w:t xml:space="preserve">lands are fully safe to use. </w:t>
      </w:r>
    </w:p>
    <w:p w14:paraId="0BE6908E" w14:textId="77777777" w:rsidR="00522E6B" w:rsidRDefault="006A420F" w:rsidP="00142D14">
      <w:pPr>
        <w:jc w:val="both"/>
        <w:rPr>
          <w:rFonts w:ascii="Arial" w:hAnsi="Arial" w:cs="Arial"/>
          <w:sz w:val="20"/>
          <w:szCs w:val="20"/>
        </w:rPr>
      </w:pPr>
      <w:r>
        <w:rPr>
          <w:rFonts w:ascii="Arial" w:hAnsi="Arial" w:cs="Arial"/>
          <w:sz w:val="20"/>
          <w:szCs w:val="20"/>
        </w:rPr>
        <w:t>Community representatives believe that</w:t>
      </w:r>
      <w:r w:rsidR="00280197">
        <w:rPr>
          <w:rFonts w:ascii="Arial" w:hAnsi="Arial" w:cs="Arial"/>
          <w:sz w:val="20"/>
          <w:szCs w:val="20"/>
        </w:rPr>
        <w:t xml:space="preserve"> a</w:t>
      </w:r>
      <w:r w:rsidR="00522E6B">
        <w:rPr>
          <w:rFonts w:ascii="Arial" w:hAnsi="Arial" w:cs="Arial"/>
          <w:sz w:val="20"/>
          <w:szCs w:val="20"/>
        </w:rPr>
        <w:t>wareness for risks and mine education is h</w:t>
      </w:r>
      <w:r>
        <w:rPr>
          <w:rFonts w:ascii="Arial" w:hAnsi="Arial" w:cs="Arial"/>
          <w:sz w:val="20"/>
          <w:szCs w:val="20"/>
        </w:rPr>
        <w:t xml:space="preserve">igher in men compared to women as </w:t>
      </w:r>
      <w:r w:rsidR="00522E6B">
        <w:rPr>
          <w:rFonts w:ascii="Arial" w:hAnsi="Arial" w:cs="Arial"/>
          <w:sz w:val="20"/>
          <w:szCs w:val="20"/>
        </w:rPr>
        <w:t xml:space="preserve">majority of men </w:t>
      </w:r>
      <w:r w:rsidR="00C47F1D">
        <w:rPr>
          <w:rFonts w:ascii="Arial" w:hAnsi="Arial" w:cs="Arial"/>
          <w:sz w:val="20"/>
          <w:szCs w:val="20"/>
        </w:rPr>
        <w:t xml:space="preserve">in the villages used to be </w:t>
      </w:r>
      <w:r w:rsidR="00522E6B">
        <w:rPr>
          <w:rFonts w:ascii="Arial" w:hAnsi="Arial" w:cs="Arial"/>
          <w:sz w:val="20"/>
          <w:szCs w:val="20"/>
        </w:rPr>
        <w:t>soldiers and they know about danger of mines and how to address the risks, while women are not equally aware a</w:t>
      </w:r>
      <w:r>
        <w:rPr>
          <w:rFonts w:ascii="Arial" w:hAnsi="Arial" w:cs="Arial"/>
          <w:sz w:val="20"/>
          <w:szCs w:val="20"/>
        </w:rPr>
        <w:t>nd educated about risks</w:t>
      </w:r>
      <w:r w:rsidR="00522E6B">
        <w:rPr>
          <w:rFonts w:ascii="Arial" w:hAnsi="Arial" w:cs="Arial"/>
          <w:sz w:val="20"/>
          <w:szCs w:val="20"/>
        </w:rPr>
        <w:t xml:space="preserve">. </w:t>
      </w:r>
      <w:r>
        <w:rPr>
          <w:rFonts w:ascii="Arial" w:hAnsi="Arial" w:cs="Arial"/>
          <w:sz w:val="20"/>
          <w:szCs w:val="20"/>
        </w:rPr>
        <w:t>However, they believe that</w:t>
      </w:r>
      <w:r w:rsidR="00522E6B">
        <w:rPr>
          <w:rFonts w:ascii="Arial" w:hAnsi="Arial" w:cs="Arial"/>
          <w:sz w:val="20"/>
          <w:szCs w:val="20"/>
        </w:rPr>
        <w:t xml:space="preserve"> women education is important as they could pass the knowledge</w:t>
      </w:r>
      <w:r w:rsidR="00280197">
        <w:rPr>
          <w:rFonts w:ascii="Arial" w:hAnsi="Arial" w:cs="Arial"/>
          <w:sz w:val="20"/>
          <w:szCs w:val="20"/>
        </w:rPr>
        <w:t xml:space="preserve"> or message</w:t>
      </w:r>
      <w:r w:rsidR="00C47F1D">
        <w:rPr>
          <w:rFonts w:ascii="Arial" w:hAnsi="Arial" w:cs="Arial"/>
          <w:sz w:val="20"/>
          <w:szCs w:val="20"/>
        </w:rPr>
        <w:t xml:space="preserve"> about </w:t>
      </w:r>
      <w:r>
        <w:rPr>
          <w:rFonts w:ascii="Arial" w:hAnsi="Arial" w:cs="Arial"/>
          <w:sz w:val="20"/>
          <w:szCs w:val="20"/>
        </w:rPr>
        <w:t>risks of contamination and danger</w:t>
      </w:r>
      <w:r w:rsidR="00522E6B">
        <w:rPr>
          <w:rFonts w:ascii="Arial" w:hAnsi="Arial" w:cs="Arial"/>
          <w:sz w:val="20"/>
          <w:szCs w:val="20"/>
        </w:rPr>
        <w:t xml:space="preserve"> to children.</w:t>
      </w:r>
    </w:p>
    <w:p w14:paraId="27445F5E" w14:textId="77777777" w:rsidR="00522E6B" w:rsidRDefault="00522E6B" w:rsidP="00142D14">
      <w:pPr>
        <w:jc w:val="both"/>
        <w:rPr>
          <w:rFonts w:ascii="Arial" w:hAnsi="Arial" w:cs="Arial"/>
          <w:sz w:val="20"/>
          <w:szCs w:val="20"/>
        </w:rPr>
      </w:pPr>
      <w:r>
        <w:rPr>
          <w:rFonts w:ascii="Arial" w:hAnsi="Arial" w:cs="Arial"/>
          <w:sz w:val="20"/>
          <w:szCs w:val="20"/>
        </w:rPr>
        <w:t>The results of</w:t>
      </w:r>
      <w:r w:rsidR="00280197">
        <w:rPr>
          <w:rFonts w:ascii="Arial" w:hAnsi="Arial" w:cs="Arial"/>
          <w:sz w:val="20"/>
          <w:szCs w:val="20"/>
        </w:rPr>
        <w:t xml:space="preserve"> </w:t>
      </w:r>
      <w:r w:rsidR="006A420F">
        <w:rPr>
          <w:rFonts w:ascii="Arial" w:hAnsi="Arial" w:cs="Arial"/>
          <w:sz w:val="20"/>
          <w:szCs w:val="20"/>
        </w:rPr>
        <w:t xml:space="preserve">scoring </w:t>
      </w:r>
      <w:r w:rsidR="00280197">
        <w:rPr>
          <w:rFonts w:ascii="Arial" w:hAnsi="Arial" w:cs="Arial"/>
          <w:sz w:val="20"/>
          <w:szCs w:val="20"/>
        </w:rPr>
        <w:t>women</w:t>
      </w:r>
      <w:r w:rsidR="00C47F1D">
        <w:rPr>
          <w:rFonts w:ascii="Arial" w:hAnsi="Arial" w:cs="Arial"/>
          <w:sz w:val="20"/>
          <w:szCs w:val="20"/>
        </w:rPr>
        <w:t xml:space="preserve"> </w:t>
      </w:r>
      <w:r>
        <w:rPr>
          <w:rFonts w:ascii="Arial" w:hAnsi="Arial" w:cs="Arial"/>
          <w:sz w:val="20"/>
          <w:szCs w:val="20"/>
        </w:rPr>
        <w:t xml:space="preserve">mine risk education </w:t>
      </w:r>
      <w:r w:rsidR="00280197">
        <w:rPr>
          <w:rFonts w:ascii="Arial" w:hAnsi="Arial" w:cs="Arial"/>
          <w:sz w:val="20"/>
          <w:szCs w:val="20"/>
        </w:rPr>
        <w:t>were</w:t>
      </w:r>
      <w:r>
        <w:rPr>
          <w:rFonts w:ascii="Arial" w:hAnsi="Arial" w:cs="Arial"/>
          <w:sz w:val="20"/>
          <w:szCs w:val="20"/>
        </w:rPr>
        <w:t xml:space="preserve"> rated </w:t>
      </w:r>
      <w:r w:rsidR="006A420F">
        <w:rPr>
          <w:rFonts w:ascii="Arial" w:hAnsi="Arial" w:cs="Arial"/>
          <w:sz w:val="20"/>
          <w:szCs w:val="20"/>
        </w:rPr>
        <w:t>in all three provinces</w:t>
      </w:r>
      <w:r w:rsidR="006A420F" w:rsidRPr="006A420F">
        <w:rPr>
          <w:rFonts w:ascii="Arial" w:hAnsi="Arial" w:cs="Arial"/>
          <w:sz w:val="20"/>
          <w:szCs w:val="20"/>
        </w:rPr>
        <w:t xml:space="preserve"> </w:t>
      </w:r>
      <w:r w:rsidR="006A420F">
        <w:rPr>
          <w:rFonts w:ascii="Arial" w:hAnsi="Arial" w:cs="Arial"/>
          <w:sz w:val="20"/>
          <w:szCs w:val="20"/>
        </w:rPr>
        <w:t>as -</w:t>
      </w:r>
      <w:r>
        <w:rPr>
          <w:rFonts w:ascii="Arial" w:hAnsi="Arial" w:cs="Arial"/>
          <w:sz w:val="20"/>
          <w:szCs w:val="20"/>
        </w:rPr>
        <w:t xml:space="preserve"> </w:t>
      </w:r>
      <w:r w:rsidRPr="006A420F">
        <w:rPr>
          <w:rFonts w:ascii="Arial" w:hAnsi="Arial" w:cs="Arial"/>
          <w:sz w:val="20"/>
          <w:szCs w:val="20"/>
          <w:u w:val="single"/>
        </w:rPr>
        <w:t>poor</w:t>
      </w:r>
      <w:r w:rsidR="00B7396A">
        <w:rPr>
          <w:rFonts w:ascii="Arial" w:hAnsi="Arial" w:cs="Arial"/>
          <w:sz w:val="20"/>
          <w:szCs w:val="20"/>
        </w:rPr>
        <w:t xml:space="preserve">. </w:t>
      </w:r>
    </w:p>
    <w:p w14:paraId="050B7371" w14:textId="77777777" w:rsidR="003E3D80" w:rsidRDefault="00522E6B" w:rsidP="00142D14">
      <w:pPr>
        <w:jc w:val="both"/>
        <w:rPr>
          <w:rFonts w:ascii="Arial" w:hAnsi="Arial" w:cs="Arial"/>
          <w:sz w:val="20"/>
          <w:szCs w:val="20"/>
        </w:rPr>
      </w:pPr>
      <w:r>
        <w:rPr>
          <w:rFonts w:ascii="Arial" w:hAnsi="Arial" w:cs="Arial"/>
          <w:sz w:val="20"/>
          <w:szCs w:val="20"/>
        </w:rPr>
        <w:t>Suggested methods of awareness campaigns</w:t>
      </w:r>
      <w:r w:rsidR="006A420F">
        <w:rPr>
          <w:rFonts w:ascii="Arial" w:hAnsi="Arial" w:cs="Arial"/>
          <w:sz w:val="20"/>
          <w:szCs w:val="20"/>
        </w:rPr>
        <w:t xml:space="preserve"> were </w:t>
      </w:r>
      <w:r w:rsidR="00280197">
        <w:rPr>
          <w:rFonts w:ascii="Arial" w:hAnsi="Arial" w:cs="Arial"/>
          <w:sz w:val="20"/>
          <w:szCs w:val="20"/>
        </w:rPr>
        <w:t>as follows</w:t>
      </w:r>
      <w:r w:rsidRPr="0051479A">
        <w:rPr>
          <w:rFonts w:ascii="Arial" w:hAnsi="Arial" w:cs="Arial"/>
          <w:sz w:val="20"/>
          <w:szCs w:val="20"/>
        </w:rPr>
        <w:t>: posters and leaflets in schools,   TV or radio broadcasts, and campaign</w:t>
      </w:r>
      <w:r w:rsidR="00C47F1D" w:rsidRPr="0051479A">
        <w:rPr>
          <w:rFonts w:ascii="Arial" w:hAnsi="Arial" w:cs="Arial"/>
          <w:sz w:val="20"/>
          <w:szCs w:val="20"/>
        </w:rPr>
        <w:t>s</w:t>
      </w:r>
      <w:r w:rsidRPr="0051479A">
        <w:rPr>
          <w:rFonts w:ascii="Arial" w:hAnsi="Arial" w:cs="Arial"/>
          <w:sz w:val="20"/>
          <w:szCs w:val="20"/>
        </w:rPr>
        <w:t xml:space="preserve"> during</w:t>
      </w:r>
      <w:r w:rsidR="00B7396A" w:rsidRPr="0051479A">
        <w:rPr>
          <w:rFonts w:ascii="Arial" w:hAnsi="Arial" w:cs="Arial"/>
          <w:sz w:val="20"/>
          <w:szCs w:val="20"/>
        </w:rPr>
        <w:t xml:space="preserve"> local festivals.</w:t>
      </w:r>
      <w:r w:rsidR="00280197" w:rsidRPr="0051479A">
        <w:rPr>
          <w:rFonts w:ascii="Arial" w:hAnsi="Arial" w:cs="Arial"/>
          <w:sz w:val="20"/>
          <w:szCs w:val="20"/>
        </w:rPr>
        <w:t xml:space="preserve"> And</w:t>
      </w:r>
      <w:r w:rsidR="00B7396A" w:rsidRPr="0051479A">
        <w:rPr>
          <w:rFonts w:ascii="Arial" w:hAnsi="Arial" w:cs="Arial"/>
          <w:sz w:val="20"/>
          <w:szCs w:val="20"/>
        </w:rPr>
        <w:t xml:space="preserve"> </w:t>
      </w:r>
      <w:r w:rsidR="006A420F" w:rsidRPr="0051479A">
        <w:rPr>
          <w:rFonts w:ascii="Arial" w:hAnsi="Arial" w:cs="Arial"/>
          <w:sz w:val="20"/>
          <w:szCs w:val="20"/>
        </w:rPr>
        <w:t>recommended</w:t>
      </w:r>
      <w:r w:rsidR="00B7396A" w:rsidRPr="0051479A">
        <w:rPr>
          <w:rFonts w:ascii="Arial" w:hAnsi="Arial" w:cs="Arial"/>
          <w:sz w:val="20"/>
          <w:szCs w:val="20"/>
        </w:rPr>
        <w:t xml:space="preserve"> regul</w:t>
      </w:r>
      <w:r w:rsidR="006A420F" w:rsidRPr="0051479A">
        <w:rPr>
          <w:rFonts w:ascii="Arial" w:hAnsi="Arial" w:cs="Arial"/>
          <w:sz w:val="20"/>
          <w:szCs w:val="20"/>
        </w:rPr>
        <w:t xml:space="preserve">arity for awareness campaigns was - </w:t>
      </w:r>
      <w:r w:rsidR="00B7396A" w:rsidRPr="0051479A">
        <w:rPr>
          <w:rFonts w:ascii="Arial" w:hAnsi="Arial" w:cs="Arial"/>
          <w:sz w:val="20"/>
          <w:szCs w:val="20"/>
        </w:rPr>
        <w:t xml:space="preserve">three times a year. </w:t>
      </w:r>
    </w:p>
    <w:p w14:paraId="235864CF" w14:textId="77777777" w:rsidR="003E3D80" w:rsidRDefault="003E3D80" w:rsidP="00142D14">
      <w:pPr>
        <w:jc w:val="both"/>
        <w:rPr>
          <w:rFonts w:ascii="Arial" w:hAnsi="Arial" w:cs="Arial"/>
          <w:sz w:val="20"/>
          <w:szCs w:val="20"/>
        </w:rPr>
      </w:pPr>
    </w:p>
    <w:p w14:paraId="112019DE" w14:textId="77777777" w:rsidR="00DE362F" w:rsidRPr="004C6941" w:rsidRDefault="007B0F67" w:rsidP="00142D14">
      <w:pPr>
        <w:jc w:val="both"/>
        <w:rPr>
          <w:rFonts w:ascii="Arial" w:hAnsi="Arial" w:cs="Arial"/>
          <w:sz w:val="20"/>
          <w:szCs w:val="20"/>
        </w:rPr>
      </w:pPr>
      <w:r>
        <w:rPr>
          <w:rFonts w:ascii="Arial" w:hAnsi="Arial" w:cs="Arial"/>
          <w:sz w:val="20"/>
          <w:szCs w:val="20"/>
        </w:rPr>
        <w:t>Annex 1 –</w:t>
      </w:r>
      <w:r w:rsidR="00D31FE7">
        <w:rPr>
          <w:rFonts w:ascii="Arial" w:hAnsi="Arial" w:cs="Arial"/>
          <w:sz w:val="20"/>
          <w:szCs w:val="20"/>
        </w:rPr>
        <w:t xml:space="preserve"> Survey l</w:t>
      </w:r>
      <w:r>
        <w:rPr>
          <w:rFonts w:ascii="Arial" w:hAnsi="Arial" w:cs="Arial"/>
          <w:sz w:val="20"/>
          <w:szCs w:val="20"/>
        </w:rPr>
        <w:t xml:space="preserve">ist of provinces, villages and number of respondents </w:t>
      </w:r>
    </w:p>
    <w:tbl>
      <w:tblPr>
        <w:tblW w:w="0" w:type="auto"/>
        <w:tblInd w:w="-30" w:type="dxa"/>
        <w:tblLayout w:type="fixed"/>
        <w:tblCellMar>
          <w:left w:w="30" w:type="dxa"/>
          <w:right w:w="30" w:type="dxa"/>
        </w:tblCellMar>
        <w:tblLook w:val="0000" w:firstRow="0" w:lastRow="0" w:firstColumn="0" w:lastColumn="0" w:noHBand="0" w:noVBand="0"/>
      </w:tblPr>
      <w:tblGrid>
        <w:gridCol w:w="1901"/>
        <w:gridCol w:w="2126"/>
        <w:gridCol w:w="3029"/>
        <w:gridCol w:w="2659"/>
        <w:gridCol w:w="1032"/>
        <w:gridCol w:w="1032"/>
        <w:gridCol w:w="1032"/>
        <w:gridCol w:w="1032"/>
      </w:tblGrid>
      <w:tr w:rsidR="007B0F67" w14:paraId="4B96D0D2" w14:textId="77777777">
        <w:trPr>
          <w:trHeight w:val="348"/>
        </w:trPr>
        <w:tc>
          <w:tcPr>
            <w:tcW w:w="1901" w:type="dxa"/>
            <w:tcBorders>
              <w:top w:val="nil"/>
              <w:left w:val="nil"/>
              <w:bottom w:val="nil"/>
              <w:right w:val="nil"/>
            </w:tcBorders>
          </w:tcPr>
          <w:p w14:paraId="178D03C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2126" w:type="dxa"/>
            <w:tcBorders>
              <w:top w:val="nil"/>
              <w:left w:val="nil"/>
              <w:bottom w:val="nil"/>
              <w:right w:val="nil"/>
            </w:tcBorders>
          </w:tcPr>
          <w:p w14:paraId="17D60677"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3029" w:type="dxa"/>
            <w:tcBorders>
              <w:top w:val="nil"/>
              <w:left w:val="nil"/>
              <w:bottom w:val="nil"/>
              <w:right w:val="nil"/>
            </w:tcBorders>
          </w:tcPr>
          <w:p w14:paraId="08C2C6AB"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2659" w:type="dxa"/>
            <w:tcBorders>
              <w:top w:val="nil"/>
              <w:left w:val="nil"/>
              <w:bottom w:val="nil"/>
              <w:right w:val="nil"/>
            </w:tcBorders>
          </w:tcPr>
          <w:p w14:paraId="334C53E1"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1032" w:type="dxa"/>
            <w:tcBorders>
              <w:top w:val="nil"/>
              <w:left w:val="nil"/>
              <w:bottom w:val="nil"/>
              <w:right w:val="nil"/>
            </w:tcBorders>
          </w:tcPr>
          <w:p w14:paraId="123ABCB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265F052"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BC17D10"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58E7B1A4"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53A461DE" w14:textId="77777777">
        <w:trPr>
          <w:trHeight w:val="682"/>
        </w:trPr>
        <w:tc>
          <w:tcPr>
            <w:tcW w:w="1901" w:type="dxa"/>
            <w:tcBorders>
              <w:top w:val="single" w:sz="12" w:space="0" w:color="auto"/>
              <w:left w:val="single" w:sz="12" w:space="0" w:color="auto"/>
              <w:bottom w:val="single" w:sz="12" w:space="0" w:color="auto"/>
              <w:right w:val="single" w:sz="12" w:space="0" w:color="auto"/>
            </w:tcBorders>
            <w:shd w:val="solid" w:color="C0C0C0" w:fill="auto"/>
          </w:tcPr>
          <w:p w14:paraId="73D5E5DF"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province</w:t>
            </w:r>
          </w:p>
        </w:tc>
        <w:tc>
          <w:tcPr>
            <w:tcW w:w="2126" w:type="dxa"/>
            <w:tcBorders>
              <w:top w:val="single" w:sz="12" w:space="0" w:color="auto"/>
              <w:left w:val="nil"/>
              <w:bottom w:val="nil"/>
              <w:right w:val="single" w:sz="18" w:space="0" w:color="000000"/>
            </w:tcBorders>
            <w:shd w:val="solid" w:color="C0C0C0" w:fill="auto"/>
          </w:tcPr>
          <w:p w14:paraId="6FE09731"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village</w:t>
            </w:r>
          </w:p>
        </w:tc>
        <w:tc>
          <w:tcPr>
            <w:tcW w:w="3029" w:type="dxa"/>
            <w:tcBorders>
              <w:top w:val="single" w:sz="12" w:space="0" w:color="auto"/>
              <w:left w:val="nil"/>
              <w:bottom w:val="nil"/>
              <w:right w:val="nil"/>
            </w:tcBorders>
            <w:shd w:val="solid" w:color="C0C0C0" w:fill="auto"/>
          </w:tcPr>
          <w:p w14:paraId="16152452" w14:textId="77777777" w:rsidR="007B0F67" w:rsidRDefault="007B0F67">
            <w:pPr>
              <w:autoSpaceDE w:val="0"/>
              <w:autoSpaceDN w:val="0"/>
              <w:adjustRightInd w:val="0"/>
              <w:spacing w:after="0" w:line="240" w:lineRule="auto"/>
              <w:jc w:val="center"/>
              <w:rPr>
                <w:rFonts w:ascii="Calibri" w:hAnsi="Calibri" w:cs="Calibri"/>
                <w:b/>
                <w:bCs/>
                <w:color w:val="000000"/>
                <w:szCs w:val="22"/>
              </w:rPr>
            </w:pPr>
            <w:r>
              <w:rPr>
                <w:rFonts w:ascii="Calibri" w:hAnsi="Calibri" w:cs="Calibri"/>
                <w:b/>
                <w:bCs/>
                <w:color w:val="000000"/>
                <w:szCs w:val="22"/>
              </w:rPr>
              <w:t>Number of Respondents</w:t>
            </w:r>
          </w:p>
        </w:tc>
        <w:tc>
          <w:tcPr>
            <w:tcW w:w="2659" w:type="dxa"/>
            <w:tcBorders>
              <w:top w:val="single" w:sz="12" w:space="0" w:color="auto"/>
              <w:left w:val="single" w:sz="6" w:space="0" w:color="000000"/>
              <w:bottom w:val="nil"/>
              <w:right w:val="single" w:sz="12" w:space="0" w:color="auto"/>
            </w:tcBorders>
            <w:shd w:val="solid" w:color="C0C0C0" w:fill="auto"/>
          </w:tcPr>
          <w:p w14:paraId="441F1875"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Percent</w:t>
            </w:r>
          </w:p>
        </w:tc>
        <w:tc>
          <w:tcPr>
            <w:tcW w:w="1032" w:type="dxa"/>
            <w:tcBorders>
              <w:top w:val="nil"/>
              <w:left w:val="nil"/>
              <w:bottom w:val="nil"/>
              <w:right w:val="nil"/>
            </w:tcBorders>
          </w:tcPr>
          <w:p w14:paraId="77FA22F5"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521C04C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7EFC57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4776681"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39F3045F" w14:textId="77777777">
        <w:trPr>
          <w:trHeight w:val="290"/>
        </w:trPr>
        <w:tc>
          <w:tcPr>
            <w:tcW w:w="1901" w:type="dxa"/>
            <w:tcBorders>
              <w:top w:val="single" w:sz="12" w:space="0" w:color="auto"/>
              <w:left w:val="single" w:sz="12" w:space="0" w:color="auto"/>
              <w:bottom w:val="nil"/>
              <w:right w:val="single" w:sz="12" w:space="0" w:color="auto"/>
            </w:tcBorders>
          </w:tcPr>
          <w:p w14:paraId="644B56EA" w14:textId="77777777" w:rsidR="007B0F67" w:rsidRDefault="007B0F6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Battambang</w:t>
            </w:r>
          </w:p>
        </w:tc>
        <w:tc>
          <w:tcPr>
            <w:tcW w:w="2126" w:type="dxa"/>
            <w:tcBorders>
              <w:top w:val="single" w:sz="12" w:space="0" w:color="auto"/>
              <w:left w:val="nil"/>
              <w:bottom w:val="nil"/>
              <w:right w:val="single" w:sz="18" w:space="0" w:color="000000"/>
            </w:tcBorders>
          </w:tcPr>
          <w:p w14:paraId="395243F9"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Prey Pen</w:t>
            </w:r>
          </w:p>
        </w:tc>
        <w:tc>
          <w:tcPr>
            <w:tcW w:w="3029" w:type="dxa"/>
            <w:tcBorders>
              <w:top w:val="single" w:sz="12" w:space="0" w:color="auto"/>
              <w:left w:val="single" w:sz="18" w:space="0" w:color="000000"/>
              <w:bottom w:val="nil"/>
              <w:right w:val="single" w:sz="6" w:space="0" w:color="000000"/>
            </w:tcBorders>
          </w:tcPr>
          <w:p w14:paraId="24066FB1"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2659" w:type="dxa"/>
            <w:tcBorders>
              <w:top w:val="single" w:sz="12" w:space="0" w:color="auto"/>
              <w:left w:val="single" w:sz="6" w:space="0" w:color="000000"/>
              <w:bottom w:val="nil"/>
              <w:right w:val="single" w:sz="12" w:space="0" w:color="auto"/>
            </w:tcBorders>
          </w:tcPr>
          <w:p w14:paraId="25F790AD"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1032" w:type="dxa"/>
            <w:tcBorders>
              <w:top w:val="nil"/>
              <w:left w:val="nil"/>
              <w:bottom w:val="nil"/>
              <w:right w:val="nil"/>
            </w:tcBorders>
          </w:tcPr>
          <w:p w14:paraId="2575F93E"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9E7826F"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183BE0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61E0D5A"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4E4096CD" w14:textId="77777777">
        <w:trPr>
          <w:trHeight w:val="290"/>
        </w:trPr>
        <w:tc>
          <w:tcPr>
            <w:tcW w:w="1901" w:type="dxa"/>
            <w:tcBorders>
              <w:top w:val="nil"/>
              <w:left w:val="single" w:sz="12" w:space="0" w:color="auto"/>
              <w:bottom w:val="nil"/>
              <w:right w:val="single" w:sz="12" w:space="0" w:color="auto"/>
            </w:tcBorders>
          </w:tcPr>
          <w:p w14:paraId="3AFB8B2D"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5F170EF1"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Kilo</w:t>
            </w:r>
          </w:p>
        </w:tc>
        <w:tc>
          <w:tcPr>
            <w:tcW w:w="3029" w:type="dxa"/>
            <w:tcBorders>
              <w:top w:val="nil"/>
              <w:left w:val="single" w:sz="18" w:space="0" w:color="000000"/>
              <w:bottom w:val="nil"/>
              <w:right w:val="single" w:sz="6" w:space="0" w:color="000000"/>
            </w:tcBorders>
          </w:tcPr>
          <w:p w14:paraId="12A52C57"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2659" w:type="dxa"/>
            <w:tcBorders>
              <w:top w:val="nil"/>
              <w:left w:val="single" w:sz="6" w:space="0" w:color="000000"/>
              <w:bottom w:val="nil"/>
              <w:right w:val="single" w:sz="12" w:space="0" w:color="auto"/>
            </w:tcBorders>
          </w:tcPr>
          <w:p w14:paraId="65A2B196"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1032" w:type="dxa"/>
            <w:tcBorders>
              <w:top w:val="nil"/>
              <w:left w:val="nil"/>
              <w:bottom w:val="nil"/>
              <w:right w:val="nil"/>
            </w:tcBorders>
          </w:tcPr>
          <w:p w14:paraId="2D83B93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166024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172ECB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0F0BAF2"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46970682" w14:textId="77777777">
        <w:trPr>
          <w:trHeight w:val="290"/>
        </w:trPr>
        <w:tc>
          <w:tcPr>
            <w:tcW w:w="1901" w:type="dxa"/>
            <w:tcBorders>
              <w:top w:val="nil"/>
              <w:left w:val="single" w:sz="12" w:space="0" w:color="auto"/>
              <w:bottom w:val="nil"/>
              <w:right w:val="single" w:sz="12" w:space="0" w:color="auto"/>
            </w:tcBorders>
          </w:tcPr>
          <w:p w14:paraId="1EE61BDA"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7CC74AD1"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Pchev</w:t>
            </w:r>
            <w:proofErr w:type="spellEnd"/>
          </w:p>
        </w:tc>
        <w:tc>
          <w:tcPr>
            <w:tcW w:w="3029" w:type="dxa"/>
            <w:tcBorders>
              <w:top w:val="nil"/>
              <w:left w:val="single" w:sz="18" w:space="0" w:color="000000"/>
              <w:bottom w:val="nil"/>
              <w:right w:val="single" w:sz="6" w:space="0" w:color="000000"/>
            </w:tcBorders>
          </w:tcPr>
          <w:p w14:paraId="048E1EDA"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2659" w:type="dxa"/>
            <w:tcBorders>
              <w:top w:val="nil"/>
              <w:left w:val="single" w:sz="6" w:space="0" w:color="000000"/>
              <w:bottom w:val="nil"/>
              <w:right w:val="single" w:sz="12" w:space="0" w:color="auto"/>
            </w:tcBorders>
          </w:tcPr>
          <w:p w14:paraId="5B424C76"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1032" w:type="dxa"/>
            <w:tcBorders>
              <w:top w:val="nil"/>
              <w:left w:val="nil"/>
              <w:bottom w:val="nil"/>
              <w:right w:val="nil"/>
            </w:tcBorders>
          </w:tcPr>
          <w:p w14:paraId="197C3EB6"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E7E788D"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4E3880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7E71180"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0D00B2E6" w14:textId="77777777">
        <w:trPr>
          <w:trHeight w:val="290"/>
        </w:trPr>
        <w:tc>
          <w:tcPr>
            <w:tcW w:w="1901" w:type="dxa"/>
            <w:tcBorders>
              <w:top w:val="nil"/>
              <w:left w:val="single" w:sz="12" w:space="0" w:color="auto"/>
              <w:bottom w:val="nil"/>
              <w:right w:val="single" w:sz="12" w:space="0" w:color="auto"/>
            </w:tcBorders>
          </w:tcPr>
          <w:p w14:paraId="2AE18D1C"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29EF2385"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O </w:t>
            </w:r>
            <w:proofErr w:type="spellStart"/>
            <w:r>
              <w:rPr>
                <w:rFonts w:ascii="Arial" w:hAnsi="Arial" w:cs="Arial"/>
                <w:color w:val="000000"/>
                <w:sz w:val="18"/>
                <w:szCs w:val="18"/>
              </w:rPr>
              <w:t>Trav</w:t>
            </w:r>
            <w:proofErr w:type="spellEnd"/>
            <w:r>
              <w:rPr>
                <w:rFonts w:ascii="Arial" w:hAnsi="Arial" w:cs="Arial"/>
                <w:color w:val="000000"/>
                <w:sz w:val="18"/>
                <w:szCs w:val="18"/>
              </w:rPr>
              <w:t xml:space="preserve"> </w:t>
            </w:r>
            <w:proofErr w:type="spellStart"/>
            <w:r>
              <w:rPr>
                <w:rFonts w:ascii="Arial" w:hAnsi="Arial" w:cs="Arial"/>
                <w:color w:val="000000"/>
                <w:sz w:val="18"/>
                <w:szCs w:val="18"/>
              </w:rPr>
              <w:t>chou</w:t>
            </w:r>
            <w:proofErr w:type="spellEnd"/>
          </w:p>
        </w:tc>
        <w:tc>
          <w:tcPr>
            <w:tcW w:w="3029" w:type="dxa"/>
            <w:tcBorders>
              <w:top w:val="nil"/>
              <w:left w:val="single" w:sz="18" w:space="0" w:color="000000"/>
              <w:bottom w:val="nil"/>
              <w:right w:val="single" w:sz="6" w:space="0" w:color="000000"/>
            </w:tcBorders>
          </w:tcPr>
          <w:p w14:paraId="56326F92"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2659" w:type="dxa"/>
            <w:tcBorders>
              <w:top w:val="nil"/>
              <w:left w:val="single" w:sz="6" w:space="0" w:color="000000"/>
              <w:bottom w:val="nil"/>
              <w:right w:val="single" w:sz="12" w:space="0" w:color="auto"/>
            </w:tcBorders>
          </w:tcPr>
          <w:p w14:paraId="67EF0E1A"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1032" w:type="dxa"/>
            <w:tcBorders>
              <w:top w:val="nil"/>
              <w:left w:val="nil"/>
              <w:bottom w:val="nil"/>
              <w:right w:val="nil"/>
            </w:tcBorders>
          </w:tcPr>
          <w:p w14:paraId="58FCE205"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877CD3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708399B"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196B093"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02A16330" w14:textId="77777777">
        <w:trPr>
          <w:trHeight w:val="290"/>
        </w:trPr>
        <w:tc>
          <w:tcPr>
            <w:tcW w:w="1901" w:type="dxa"/>
            <w:tcBorders>
              <w:top w:val="nil"/>
              <w:left w:val="single" w:sz="12" w:space="0" w:color="auto"/>
              <w:bottom w:val="nil"/>
              <w:right w:val="single" w:sz="12" w:space="0" w:color="auto"/>
            </w:tcBorders>
          </w:tcPr>
          <w:p w14:paraId="6EDBDD92"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03D02257"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Chrang</w:t>
            </w:r>
            <w:proofErr w:type="spellEnd"/>
            <w:r>
              <w:rPr>
                <w:rFonts w:ascii="Arial" w:hAnsi="Arial" w:cs="Arial"/>
                <w:color w:val="000000"/>
                <w:sz w:val="18"/>
                <w:szCs w:val="18"/>
              </w:rPr>
              <w:t xml:space="preserve"> </w:t>
            </w:r>
            <w:proofErr w:type="spellStart"/>
            <w:r>
              <w:rPr>
                <w:rFonts w:ascii="Arial" w:hAnsi="Arial" w:cs="Arial"/>
                <w:color w:val="000000"/>
                <w:sz w:val="18"/>
                <w:szCs w:val="18"/>
              </w:rPr>
              <w:t>Kpos</w:t>
            </w:r>
            <w:proofErr w:type="spellEnd"/>
          </w:p>
        </w:tc>
        <w:tc>
          <w:tcPr>
            <w:tcW w:w="3029" w:type="dxa"/>
            <w:tcBorders>
              <w:top w:val="nil"/>
              <w:left w:val="single" w:sz="18" w:space="0" w:color="000000"/>
              <w:bottom w:val="nil"/>
              <w:right w:val="single" w:sz="6" w:space="0" w:color="000000"/>
            </w:tcBorders>
          </w:tcPr>
          <w:p w14:paraId="62C21BE0"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2659" w:type="dxa"/>
            <w:tcBorders>
              <w:top w:val="nil"/>
              <w:left w:val="single" w:sz="6" w:space="0" w:color="000000"/>
              <w:bottom w:val="nil"/>
              <w:right w:val="single" w:sz="12" w:space="0" w:color="auto"/>
            </w:tcBorders>
          </w:tcPr>
          <w:p w14:paraId="4BB44A06"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1032" w:type="dxa"/>
            <w:tcBorders>
              <w:top w:val="nil"/>
              <w:left w:val="nil"/>
              <w:bottom w:val="nil"/>
              <w:right w:val="nil"/>
            </w:tcBorders>
          </w:tcPr>
          <w:p w14:paraId="5E88A65D"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B6323FD"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5687175"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2D57975"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37B557AE" w14:textId="77777777">
        <w:trPr>
          <w:trHeight w:val="290"/>
        </w:trPr>
        <w:tc>
          <w:tcPr>
            <w:tcW w:w="1901" w:type="dxa"/>
            <w:tcBorders>
              <w:top w:val="nil"/>
              <w:left w:val="single" w:sz="12" w:space="0" w:color="auto"/>
              <w:bottom w:val="nil"/>
              <w:right w:val="single" w:sz="12" w:space="0" w:color="auto"/>
            </w:tcBorders>
          </w:tcPr>
          <w:p w14:paraId="0466C849"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761E5390"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Ta </w:t>
            </w:r>
            <w:proofErr w:type="spellStart"/>
            <w:r>
              <w:rPr>
                <w:rFonts w:ascii="Arial" w:hAnsi="Arial" w:cs="Arial"/>
                <w:color w:val="000000"/>
                <w:sz w:val="18"/>
                <w:szCs w:val="18"/>
              </w:rPr>
              <w:t>Toak</w:t>
            </w:r>
            <w:proofErr w:type="spellEnd"/>
          </w:p>
        </w:tc>
        <w:tc>
          <w:tcPr>
            <w:tcW w:w="3029" w:type="dxa"/>
            <w:tcBorders>
              <w:top w:val="nil"/>
              <w:left w:val="single" w:sz="18" w:space="0" w:color="000000"/>
              <w:bottom w:val="nil"/>
              <w:right w:val="single" w:sz="6" w:space="0" w:color="000000"/>
            </w:tcBorders>
          </w:tcPr>
          <w:p w14:paraId="0478B13F"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2659" w:type="dxa"/>
            <w:tcBorders>
              <w:top w:val="nil"/>
              <w:left w:val="single" w:sz="6" w:space="0" w:color="000000"/>
              <w:bottom w:val="nil"/>
              <w:right w:val="single" w:sz="12" w:space="0" w:color="auto"/>
            </w:tcBorders>
          </w:tcPr>
          <w:p w14:paraId="25345E7C"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1032" w:type="dxa"/>
            <w:tcBorders>
              <w:top w:val="nil"/>
              <w:left w:val="nil"/>
              <w:bottom w:val="nil"/>
              <w:right w:val="nil"/>
            </w:tcBorders>
          </w:tcPr>
          <w:p w14:paraId="65196F0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BC5FB7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54C275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58D45A3"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4BC48501" w14:textId="77777777">
        <w:trPr>
          <w:trHeight w:val="290"/>
        </w:trPr>
        <w:tc>
          <w:tcPr>
            <w:tcW w:w="1901" w:type="dxa"/>
            <w:tcBorders>
              <w:top w:val="nil"/>
              <w:left w:val="single" w:sz="12" w:space="0" w:color="auto"/>
              <w:bottom w:val="nil"/>
              <w:right w:val="single" w:sz="12" w:space="0" w:color="auto"/>
            </w:tcBorders>
          </w:tcPr>
          <w:p w14:paraId="42F18368"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464AF46A"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Veal </w:t>
            </w:r>
            <w:proofErr w:type="spellStart"/>
            <w:r>
              <w:rPr>
                <w:rFonts w:ascii="Arial" w:hAnsi="Arial" w:cs="Arial"/>
                <w:color w:val="000000"/>
                <w:sz w:val="18"/>
                <w:szCs w:val="18"/>
              </w:rPr>
              <w:t>Rolim</w:t>
            </w:r>
            <w:proofErr w:type="spellEnd"/>
          </w:p>
        </w:tc>
        <w:tc>
          <w:tcPr>
            <w:tcW w:w="3029" w:type="dxa"/>
            <w:tcBorders>
              <w:top w:val="nil"/>
              <w:left w:val="single" w:sz="18" w:space="0" w:color="000000"/>
              <w:bottom w:val="nil"/>
              <w:right w:val="single" w:sz="6" w:space="0" w:color="000000"/>
            </w:tcBorders>
          </w:tcPr>
          <w:p w14:paraId="448F52DC"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2659" w:type="dxa"/>
            <w:tcBorders>
              <w:top w:val="nil"/>
              <w:left w:val="single" w:sz="6" w:space="0" w:color="000000"/>
              <w:bottom w:val="nil"/>
              <w:right w:val="single" w:sz="12" w:space="0" w:color="auto"/>
            </w:tcBorders>
          </w:tcPr>
          <w:p w14:paraId="496A9F48"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1032" w:type="dxa"/>
            <w:tcBorders>
              <w:top w:val="nil"/>
              <w:left w:val="nil"/>
              <w:bottom w:val="nil"/>
              <w:right w:val="nil"/>
            </w:tcBorders>
          </w:tcPr>
          <w:p w14:paraId="1A6D7370"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3F240D6"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FAE57F1"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E707850"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015743B8" w14:textId="77777777">
        <w:trPr>
          <w:trHeight w:val="290"/>
        </w:trPr>
        <w:tc>
          <w:tcPr>
            <w:tcW w:w="1901" w:type="dxa"/>
            <w:tcBorders>
              <w:top w:val="nil"/>
              <w:left w:val="single" w:sz="12" w:space="0" w:color="auto"/>
              <w:bottom w:val="nil"/>
              <w:right w:val="single" w:sz="12" w:space="0" w:color="auto"/>
            </w:tcBorders>
          </w:tcPr>
          <w:p w14:paraId="4D2F5F70"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2D6D30FE"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O </w:t>
            </w:r>
            <w:proofErr w:type="spellStart"/>
            <w:r>
              <w:rPr>
                <w:rFonts w:ascii="Arial" w:hAnsi="Arial" w:cs="Arial"/>
                <w:color w:val="000000"/>
                <w:sz w:val="18"/>
                <w:szCs w:val="18"/>
              </w:rPr>
              <w:t>Nonoang</w:t>
            </w:r>
            <w:proofErr w:type="spellEnd"/>
          </w:p>
        </w:tc>
        <w:tc>
          <w:tcPr>
            <w:tcW w:w="3029" w:type="dxa"/>
            <w:tcBorders>
              <w:top w:val="nil"/>
              <w:left w:val="single" w:sz="18" w:space="0" w:color="000000"/>
              <w:bottom w:val="nil"/>
              <w:right w:val="single" w:sz="6" w:space="0" w:color="000000"/>
            </w:tcBorders>
          </w:tcPr>
          <w:p w14:paraId="50FD49ED"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2659" w:type="dxa"/>
            <w:tcBorders>
              <w:top w:val="nil"/>
              <w:left w:val="single" w:sz="6" w:space="0" w:color="000000"/>
              <w:bottom w:val="nil"/>
              <w:right w:val="single" w:sz="12" w:space="0" w:color="auto"/>
            </w:tcBorders>
          </w:tcPr>
          <w:p w14:paraId="2009F825"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1032" w:type="dxa"/>
            <w:tcBorders>
              <w:top w:val="nil"/>
              <w:left w:val="nil"/>
              <w:bottom w:val="nil"/>
              <w:right w:val="nil"/>
            </w:tcBorders>
          </w:tcPr>
          <w:p w14:paraId="39815E4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309FA5F"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0D6D3A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C833A0F"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187809C1" w14:textId="77777777">
        <w:trPr>
          <w:trHeight w:val="290"/>
        </w:trPr>
        <w:tc>
          <w:tcPr>
            <w:tcW w:w="1901" w:type="dxa"/>
            <w:tcBorders>
              <w:top w:val="nil"/>
              <w:left w:val="single" w:sz="12" w:space="0" w:color="auto"/>
              <w:bottom w:val="nil"/>
              <w:right w:val="single" w:sz="12" w:space="0" w:color="auto"/>
            </w:tcBorders>
          </w:tcPr>
          <w:p w14:paraId="0BCD9D79"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6A1EE434"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Plov</w:t>
            </w:r>
            <w:proofErr w:type="spellEnd"/>
            <w:r>
              <w:rPr>
                <w:rFonts w:ascii="Arial" w:hAnsi="Arial" w:cs="Arial"/>
                <w:color w:val="000000"/>
                <w:sz w:val="18"/>
                <w:szCs w:val="18"/>
              </w:rPr>
              <w:t xml:space="preserve"> Meas</w:t>
            </w:r>
          </w:p>
        </w:tc>
        <w:tc>
          <w:tcPr>
            <w:tcW w:w="3029" w:type="dxa"/>
            <w:tcBorders>
              <w:top w:val="nil"/>
              <w:left w:val="single" w:sz="18" w:space="0" w:color="000000"/>
              <w:bottom w:val="nil"/>
              <w:right w:val="single" w:sz="6" w:space="0" w:color="000000"/>
            </w:tcBorders>
          </w:tcPr>
          <w:p w14:paraId="3E257B8A"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2659" w:type="dxa"/>
            <w:tcBorders>
              <w:top w:val="nil"/>
              <w:left w:val="single" w:sz="6" w:space="0" w:color="000000"/>
              <w:bottom w:val="nil"/>
              <w:right w:val="single" w:sz="12" w:space="0" w:color="auto"/>
            </w:tcBorders>
          </w:tcPr>
          <w:p w14:paraId="3F013ACB"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1032" w:type="dxa"/>
            <w:tcBorders>
              <w:top w:val="nil"/>
              <w:left w:val="nil"/>
              <w:bottom w:val="nil"/>
              <w:right w:val="nil"/>
            </w:tcBorders>
          </w:tcPr>
          <w:p w14:paraId="2D39598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C2CA3CE"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794D0CE"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31B46CE"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16849FA5" w14:textId="77777777">
        <w:trPr>
          <w:trHeight w:val="290"/>
        </w:trPr>
        <w:tc>
          <w:tcPr>
            <w:tcW w:w="1901" w:type="dxa"/>
            <w:tcBorders>
              <w:top w:val="nil"/>
              <w:left w:val="single" w:sz="12" w:space="0" w:color="auto"/>
              <w:bottom w:val="nil"/>
              <w:right w:val="single" w:sz="12" w:space="0" w:color="auto"/>
            </w:tcBorders>
          </w:tcPr>
          <w:p w14:paraId="501AFE70"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369FF9E9"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Kork</w:t>
            </w:r>
            <w:proofErr w:type="spellEnd"/>
            <w:r>
              <w:rPr>
                <w:rFonts w:ascii="Arial" w:hAnsi="Arial" w:cs="Arial"/>
                <w:color w:val="000000"/>
                <w:sz w:val="18"/>
                <w:szCs w:val="18"/>
              </w:rPr>
              <w:t xml:space="preserve"> Roka</w:t>
            </w:r>
          </w:p>
        </w:tc>
        <w:tc>
          <w:tcPr>
            <w:tcW w:w="3029" w:type="dxa"/>
            <w:tcBorders>
              <w:top w:val="nil"/>
              <w:left w:val="single" w:sz="18" w:space="0" w:color="000000"/>
              <w:bottom w:val="nil"/>
              <w:right w:val="single" w:sz="6" w:space="0" w:color="000000"/>
            </w:tcBorders>
          </w:tcPr>
          <w:p w14:paraId="324336B6"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2659" w:type="dxa"/>
            <w:tcBorders>
              <w:top w:val="nil"/>
              <w:left w:val="single" w:sz="6" w:space="0" w:color="000000"/>
              <w:bottom w:val="nil"/>
              <w:right w:val="single" w:sz="12" w:space="0" w:color="auto"/>
            </w:tcBorders>
          </w:tcPr>
          <w:p w14:paraId="5796C081"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1032" w:type="dxa"/>
            <w:tcBorders>
              <w:top w:val="nil"/>
              <w:left w:val="nil"/>
              <w:bottom w:val="nil"/>
              <w:right w:val="nil"/>
            </w:tcBorders>
          </w:tcPr>
          <w:p w14:paraId="4D63ED47"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D92A386"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D980047"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5B4F9143"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3F681012" w14:textId="77777777">
        <w:trPr>
          <w:trHeight w:val="290"/>
        </w:trPr>
        <w:tc>
          <w:tcPr>
            <w:tcW w:w="1901" w:type="dxa"/>
            <w:tcBorders>
              <w:top w:val="nil"/>
              <w:left w:val="single" w:sz="12" w:space="0" w:color="auto"/>
              <w:bottom w:val="single" w:sz="12" w:space="0" w:color="auto"/>
              <w:right w:val="single" w:sz="12" w:space="0" w:color="auto"/>
            </w:tcBorders>
          </w:tcPr>
          <w:p w14:paraId="78ED2A6B"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single" w:sz="12" w:space="0" w:color="auto"/>
              <w:right w:val="single" w:sz="18" w:space="0" w:color="000000"/>
            </w:tcBorders>
          </w:tcPr>
          <w:p w14:paraId="3D8154E4" w14:textId="77777777" w:rsidR="007B0F67" w:rsidRDefault="007B0F6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3029" w:type="dxa"/>
            <w:tcBorders>
              <w:top w:val="nil"/>
              <w:left w:val="single" w:sz="18" w:space="0" w:color="000000"/>
              <w:bottom w:val="single" w:sz="12" w:space="0" w:color="auto"/>
              <w:right w:val="single" w:sz="6" w:space="0" w:color="000000"/>
            </w:tcBorders>
          </w:tcPr>
          <w:p w14:paraId="25A278C9"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281</w:t>
            </w:r>
          </w:p>
        </w:tc>
        <w:tc>
          <w:tcPr>
            <w:tcW w:w="2659" w:type="dxa"/>
            <w:tcBorders>
              <w:top w:val="nil"/>
              <w:left w:val="single" w:sz="6" w:space="0" w:color="000000"/>
              <w:bottom w:val="single" w:sz="12" w:space="0" w:color="auto"/>
              <w:right w:val="single" w:sz="12" w:space="0" w:color="auto"/>
            </w:tcBorders>
          </w:tcPr>
          <w:p w14:paraId="65007535"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032" w:type="dxa"/>
            <w:tcBorders>
              <w:top w:val="nil"/>
              <w:left w:val="nil"/>
              <w:bottom w:val="nil"/>
              <w:right w:val="nil"/>
            </w:tcBorders>
          </w:tcPr>
          <w:p w14:paraId="5D9D6950"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ADE13F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4B0551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BBCA738"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18EC4ED5" w14:textId="77777777">
        <w:trPr>
          <w:trHeight w:val="290"/>
        </w:trPr>
        <w:tc>
          <w:tcPr>
            <w:tcW w:w="1901" w:type="dxa"/>
            <w:tcBorders>
              <w:top w:val="single" w:sz="12" w:space="0" w:color="auto"/>
              <w:left w:val="single" w:sz="12" w:space="0" w:color="auto"/>
              <w:bottom w:val="nil"/>
              <w:right w:val="single" w:sz="12" w:space="0" w:color="auto"/>
            </w:tcBorders>
          </w:tcPr>
          <w:p w14:paraId="163D5EC7" w14:textId="77777777" w:rsidR="007B0F67" w:rsidRDefault="007B0F6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Banteay Meanchey</w:t>
            </w:r>
          </w:p>
        </w:tc>
        <w:tc>
          <w:tcPr>
            <w:tcW w:w="2126" w:type="dxa"/>
            <w:tcBorders>
              <w:top w:val="single" w:sz="12" w:space="0" w:color="auto"/>
              <w:left w:val="nil"/>
              <w:bottom w:val="nil"/>
              <w:right w:val="single" w:sz="18" w:space="0" w:color="000000"/>
            </w:tcBorders>
          </w:tcPr>
          <w:p w14:paraId="4B69C2C5"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Tamang</w:t>
            </w:r>
            <w:proofErr w:type="spellEnd"/>
          </w:p>
        </w:tc>
        <w:tc>
          <w:tcPr>
            <w:tcW w:w="3029" w:type="dxa"/>
            <w:tcBorders>
              <w:top w:val="single" w:sz="12" w:space="0" w:color="auto"/>
              <w:left w:val="single" w:sz="18" w:space="0" w:color="000000"/>
              <w:bottom w:val="nil"/>
              <w:right w:val="single" w:sz="6" w:space="0" w:color="000000"/>
            </w:tcBorders>
          </w:tcPr>
          <w:p w14:paraId="3361EE89"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2659" w:type="dxa"/>
            <w:tcBorders>
              <w:top w:val="single" w:sz="12" w:space="0" w:color="auto"/>
              <w:left w:val="single" w:sz="6" w:space="0" w:color="000000"/>
              <w:bottom w:val="nil"/>
              <w:right w:val="single" w:sz="12" w:space="0" w:color="auto"/>
            </w:tcBorders>
          </w:tcPr>
          <w:p w14:paraId="4F08D7FC"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032" w:type="dxa"/>
            <w:tcBorders>
              <w:top w:val="nil"/>
              <w:left w:val="nil"/>
              <w:bottom w:val="nil"/>
              <w:right w:val="nil"/>
            </w:tcBorders>
          </w:tcPr>
          <w:p w14:paraId="2152ACB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BB813CF"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5FDCE2A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7F04DFA"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360894EE" w14:textId="77777777">
        <w:trPr>
          <w:trHeight w:val="290"/>
        </w:trPr>
        <w:tc>
          <w:tcPr>
            <w:tcW w:w="1901" w:type="dxa"/>
            <w:tcBorders>
              <w:top w:val="nil"/>
              <w:left w:val="single" w:sz="12" w:space="0" w:color="auto"/>
              <w:bottom w:val="nil"/>
              <w:right w:val="single" w:sz="12" w:space="0" w:color="auto"/>
            </w:tcBorders>
          </w:tcPr>
          <w:p w14:paraId="3C990125"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54CDB205"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Prasat</w:t>
            </w:r>
            <w:proofErr w:type="spellEnd"/>
            <w:r>
              <w:rPr>
                <w:rFonts w:ascii="Arial" w:hAnsi="Arial" w:cs="Arial"/>
                <w:color w:val="000000"/>
                <w:sz w:val="18"/>
                <w:szCs w:val="18"/>
              </w:rPr>
              <w:t xml:space="preserve"> </w:t>
            </w:r>
            <w:proofErr w:type="spellStart"/>
            <w:r>
              <w:rPr>
                <w:rFonts w:ascii="Arial" w:hAnsi="Arial" w:cs="Arial"/>
                <w:color w:val="000000"/>
                <w:sz w:val="18"/>
                <w:szCs w:val="18"/>
              </w:rPr>
              <w:t>Tbeng</w:t>
            </w:r>
            <w:proofErr w:type="spellEnd"/>
          </w:p>
        </w:tc>
        <w:tc>
          <w:tcPr>
            <w:tcW w:w="3029" w:type="dxa"/>
            <w:tcBorders>
              <w:top w:val="nil"/>
              <w:left w:val="single" w:sz="18" w:space="0" w:color="000000"/>
              <w:bottom w:val="nil"/>
              <w:right w:val="single" w:sz="6" w:space="0" w:color="000000"/>
            </w:tcBorders>
          </w:tcPr>
          <w:p w14:paraId="723351E4"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2659" w:type="dxa"/>
            <w:tcBorders>
              <w:top w:val="nil"/>
              <w:left w:val="single" w:sz="6" w:space="0" w:color="000000"/>
              <w:bottom w:val="nil"/>
              <w:right w:val="single" w:sz="12" w:space="0" w:color="auto"/>
            </w:tcBorders>
          </w:tcPr>
          <w:p w14:paraId="35D97D22"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1032" w:type="dxa"/>
            <w:tcBorders>
              <w:top w:val="nil"/>
              <w:left w:val="nil"/>
              <w:bottom w:val="nil"/>
              <w:right w:val="nil"/>
            </w:tcBorders>
          </w:tcPr>
          <w:p w14:paraId="73A24B01"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4245468"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0C6FB1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C9C5F81"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408B7F4A" w14:textId="77777777">
        <w:trPr>
          <w:trHeight w:val="290"/>
        </w:trPr>
        <w:tc>
          <w:tcPr>
            <w:tcW w:w="1901" w:type="dxa"/>
            <w:tcBorders>
              <w:top w:val="nil"/>
              <w:left w:val="single" w:sz="12" w:space="0" w:color="auto"/>
              <w:bottom w:val="nil"/>
              <w:right w:val="single" w:sz="12" w:space="0" w:color="auto"/>
            </w:tcBorders>
          </w:tcPr>
          <w:p w14:paraId="024649BA"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5D872130"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Dong </w:t>
            </w:r>
            <w:proofErr w:type="spellStart"/>
            <w:r>
              <w:rPr>
                <w:rFonts w:ascii="Arial" w:hAnsi="Arial" w:cs="Arial"/>
                <w:color w:val="000000"/>
                <w:sz w:val="18"/>
                <w:szCs w:val="18"/>
              </w:rPr>
              <w:t>Rek</w:t>
            </w:r>
            <w:proofErr w:type="spellEnd"/>
          </w:p>
        </w:tc>
        <w:tc>
          <w:tcPr>
            <w:tcW w:w="3029" w:type="dxa"/>
            <w:tcBorders>
              <w:top w:val="nil"/>
              <w:left w:val="single" w:sz="18" w:space="0" w:color="000000"/>
              <w:bottom w:val="nil"/>
              <w:right w:val="single" w:sz="6" w:space="0" w:color="000000"/>
            </w:tcBorders>
          </w:tcPr>
          <w:p w14:paraId="24110642"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2659" w:type="dxa"/>
            <w:tcBorders>
              <w:top w:val="nil"/>
              <w:left w:val="single" w:sz="6" w:space="0" w:color="000000"/>
              <w:bottom w:val="nil"/>
              <w:right w:val="single" w:sz="12" w:space="0" w:color="auto"/>
            </w:tcBorders>
          </w:tcPr>
          <w:p w14:paraId="3C29D7F6"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1032" w:type="dxa"/>
            <w:tcBorders>
              <w:top w:val="nil"/>
              <w:left w:val="nil"/>
              <w:bottom w:val="nil"/>
              <w:right w:val="nil"/>
            </w:tcBorders>
          </w:tcPr>
          <w:p w14:paraId="2C4EC4DF"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4E363F2"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27E18F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A8FFA8B"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010A8E3A" w14:textId="77777777">
        <w:trPr>
          <w:trHeight w:val="290"/>
        </w:trPr>
        <w:tc>
          <w:tcPr>
            <w:tcW w:w="1901" w:type="dxa"/>
            <w:tcBorders>
              <w:top w:val="nil"/>
              <w:left w:val="single" w:sz="12" w:space="0" w:color="auto"/>
              <w:bottom w:val="nil"/>
              <w:right w:val="single" w:sz="12" w:space="0" w:color="auto"/>
            </w:tcBorders>
          </w:tcPr>
          <w:p w14:paraId="429F0DBA"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6ADE7C39"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Khvav</w:t>
            </w:r>
            <w:proofErr w:type="spellEnd"/>
            <w:r>
              <w:rPr>
                <w:rFonts w:ascii="Arial" w:hAnsi="Arial" w:cs="Arial"/>
                <w:color w:val="000000"/>
                <w:sz w:val="18"/>
                <w:szCs w:val="18"/>
              </w:rPr>
              <w:t xml:space="preserve"> Lech</w:t>
            </w:r>
          </w:p>
        </w:tc>
        <w:tc>
          <w:tcPr>
            <w:tcW w:w="3029" w:type="dxa"/>
            <w:tcBorders>
              <w:top w:val="nil"/>
              <w:left w:val="single" w:sz="18" w:space="0" w:color="000000"/>
              <w:bottom w:val="nil"/>
              <w:right w:val="single" w:sz="6" w:space="0" w:color="000000"/>
            </w:tcBorders>
          </w:tcPr>
          <w:p w14:paraId="745086DF"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2659" w:type="dxa"/>
            <w:tcBorders>
              <w:top w:val="nil"/>
              <w:left w:val="single" w:sz="6" w:space="0" w:color="000000"/>
              <w:bottom w:val="nil"/>
              <w:right w:val="single" w:sz="12" w:space="0" w:color="auto"/>
            </w:tcBorders>
          </w:tcPr>
          <w:p w14:paraId="50531611"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1032" w:type="dxa"/>
            <w:tcBorders>
              <w:top w:val="nil"/>
              <w:left w:val="nil"/>
              <w:bottom w:val="nil"/>
              <w:right w:val="nil"/>
            </w:tcBorders>
          </w:tcPr>
          <w:p w14:paraId="1E826A2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C2F7486"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395F30D"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A9A004D"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7B585824" w14:textId="77777777">
        <w:trPr>
          <w:trHeight w:val="290"/>
        </w:trPr>
        <w:tc>
          <w:tcPr>
            <w:tcW w:w="1901" w:type="dxa"/>
            <w:tcBorders>
              <w:top w:val="nil"/>
              <w:left w:val="single" w:sz="12" w:space="0" w:color="auto"/>
              <w:bottom w:val="nil"/>
              <w:right w:val="single" w:sz="12" w:space="0" w:color="auto"/>
            </w:tcBorders>
          </w:tcPr>
          <w:p w14:paraId="0CFEEB1D"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2A8E792D"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Domnak</w:t>
            </w:r>
            <w:proofErr w:type="spellEnd"/>
            <w:r>
              <w:rPr>
                <w:rFonts w:ascii="Arial" w:hAnsi="Arial" w:cs="Arial"/>
                <w:color w:val="000000"/>
                <w:sz w:val="18"/>
                <w:szCs w:val="18"/>
              </w:rPr>
              <w:t xml:space="preserve"> </w:t>
            </w:r>
            <w:proofErr w:type="spellStart"/>
            <w:r>
              <w:rPr>
                <w:rFonts w:ascii="Arial" w:hAnsi="Arial" w:cs="Arial"/>
                <w:color w:val="000000"/>
                <w:sz w:val="18"/>
                <w:szCs w:val="18"/>
              </w:rPr>
              <w:t>Kokos</w:t>
            </w:r>
            <w:proofErr w:type="spellEnd"/>
          </w:p>
        </w:tc>
        <w:tc>
          <w:tcPr>
            <w:tcW w:w="3029" w:type="dxa"/>
            <w:tcBorders>
              <w:top w:val="nil"/>
              <w:left w:val="single" w:sz="18" w:space="0" w:color="000000"/>
              <w:bottom w:val="nil"/>
              <w:right w:val="single" w:sz="6" w:space="0" w:color="000000"/>
            </w:tcBorders>
          </w:tcPr>
          <w:p w14:paraId="36CB76D2"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2659" w:type="dxa"/>
            <w:tcBorders>
              <w:top w:val="nil"/>
              <w:left w:val="single" w:sz="6" w:space="0" w:color="000000"/>
              <w:bottom w:val="nil"/>
              <w:right w:val="single" w:sz="12" w:space="0" w:color="auto"/>
            </w:tcBorders>
          </w:tcPr>
          <w:p w14:paraId="369A32B7"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1032" w:type="dxa"/>
            <w:tcBorders>
              <w:top w:val="nil"/>
              <w:left w:val="nil"/>
              <w:bottom w:val="nil"/>
              <w:right w:val="nil"/>
            </w:tcBorders>
          </w:tcPr>
          <w:p w14:paraId="54985F2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487891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EA28E4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D39BEC6"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7CADBC99" w14:textId="77777777">
        <w:trPr>
          <w:trHeight w:val="290"/>
        </w:trPr>
        <w:tc>
          <w:tcPr>
            <w:tcW w:w="1901" w:type="dxa"/>
            <w:tcBorders>
              <w:top w:val="nil"/>
              <w:left w:val="single" w:sz="12" w:space="0" w:color="auto"/>
              <w:bottom w:val="nil"/>
              <w:right w:val="single" w:sz="12" w:space="0" w:color="auto"/>
            </w:tcBorders>
          </w:tcPr>
          <w:p w14:paraId="073A4F59"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6302BCF5"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Banteay </w:t>
            </w:r>
            <w:proofErr w:type="spellStart"/>
            <w:r>
              <w:rPr>
                <w:rFonts w:ascii="Arial" w:hAnsi="Arial" w:cs="Arial"/>
                <w:color w:val="000000"/>
                <w:sz w:val="18"/>
                <w:szCs w:val="18"/>
              </w:rPr>
              <w:t>Timuy</w:t>
            </w:r>
            <w:proofErr w:type="spellEnd"/>
          </w:p>
        </w:tc>
        <w:tc>
          <w:tcPr>
            <w:tcW w:w="3029" w:type="dxa"/>
            <w:tcBorders>
              <w:top w:val="nil"/>
              <w:left w:val="single" w:sz="18" w:space="0" w:color="000000"/>
              <w:bottom w:val="nil"/>
              <w:right w:val="single" w:sz="6" w:space="0" w:color="000000"/>
            </w:tcBorders>
          </w:tcPr>
          <w:p w14:paraId="7B17E29C"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2659" w:type="dxa"/>
            <w:tcBorders>
              <w:top w:val="nil"/>
              <w:left w:val="single" w:sz="6" w:space="0" w:color="000000"/>
              <w:bottom w:val="nil"/>
              <w:right w:val="single" w:sz="12" w:space="0" w:color="auto"/>
            </w:tcBorders>
          </w:tcPr>
          <w:p w14:paraId="5E5D722E"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1032" w:type="dxa"/>
            <w:tcBorders>
              <w:top w:val="nil"/>
              <w:left w:val="nil"/>
              <w:bottom w:val="nil"/>
              <w:right w:val="nil"/>
            </w:tcBorders>
          </w:tcPr>
          <w:p w14:paraId="41F24420"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62C4B4E"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C51B458"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58078FA"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2975F980" w14:textId="77777777">
        <w:trPr>
          <w:trHeight w:val="290"/>
        </w:trPr>
        <w:tc>
          <w:tcPr>
            <w:tcW w:w="1901" w:type="dxa"/>
            <w:tcBorders>
              <w:top w:val="nil"/>
              <w:left w:val="single" w:sz="12" w:space="0" w:color="auto"/>
              <w:bottom w:val="nil"/>
              <w:right w:val="single" w:sz="12" w:space="0" w:color="auto"/>
            </w:tcBorders>
          </w:tcPr>
          <w:p w14:paraId="3029391C"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3880C702"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Don </w:t>
            </w:r>
            <w:proofErr w:type="spellStart"/>
            <w:r>
              <w:rPr>
                <w:rFonts w:ascii="Arial" w:hAnsi="Arial" w:cs="Arial"/>
                <w:color w:val="000000"/>
                <w:sz w:val="18"/>
                <w:szCs w:val="18"/>
              </w:rPr>
              <w:t>Noy</w:t>
            </w:r>
            <w:proofErr w:type="spellEnd"/>
          </w:p>
        </w:tc>
        <w:tc>
          <w:tcPr>
            <w:tcW w:w="3029" w:type="dxa"/>
            <w:tcBorders>
              <w:top w:val="nil"/>
              <w:left w:val="single" w:sz="18" w:space="0" w:color="000000"/>
              <w:bottom w:val="nil"/>
              <w:right w:val="single" w:sz="6" w:space="0" w:color="000000"/>
            </w:tcBorders>
          </w:tcPr>
          <w:p w14:paraId="3F5F576A"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2659" w:type="dxa"/>
            <w:tcBorders>
              <w:top w:val="nil"/>
              <w:left w:val="single" w:sz="6" w:space="0" w:color="000000"/>
              <w:bottom w:val="nil"/>
              <w:right w:val="single" w:sz="12" w:space="0" w:color="auto"/>
            </w:tcBorders>
          </w:tcPr>
          <w:p w14:paraId="47A9667B"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1032" w:type="dxa"/>
            <w:tcBorders>
              <w:top w:val="nil"/>
              <w:left w:val="nil"/>
              <w:bottom w:val="nil"/>
              <w:right w:val="nil"/>
            </w:tcBorders>
          </w:tcPr>
          <w:p w14:paraId="48CD68E1"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B3D64A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D4BC14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E435DE5"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79A08B49" w14:textId="77777777">
        <w:trPr>
          <w:trHeight w:val="290"/>
        </w:trPr>
        <w:tc>
          <w:tcPr>
            <w:tcW w:w="1901" w:type="dxa"/>
            <w:tcBorders>
              <w:top w:val="nil"/>
              <w:left w:val="single" w:sz="12" w:space="0" w:color="auto"/>
              <w:bottom w:val="single" w:sz="12" w:space="0" w:color="auto"/>
              <w:right w:val="single" w:sz="12" w:space="0" w:color="auto"/>
            </w:tcBorders>
          </w:tcPr>
          <w:p w14:paraId="2DF17F24"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single" w:sz="12" w:space="0" w:color="auto"/>
              <w:right w:val="single" w:sz="18" w:space="0" w:color="000000"/>
            </w:tcBorders>
          </w:tcPr>
          <w:p w14:paraId="24A7412D" w14:textId="77777777" w:rsidR="007B0F67" w:rsidRDefault="007B0F6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3029" w:type="dxa"/>
            <w:tcBorders>
              <w:top w:val="nil"/>
              <w:left w:val="single" w:sz="18" w:space="0" w:color="000000"/>
              <w:bottom w:val="single" w:sz="12" w:space="0" w:color="auto"/>
              <w:right w:val="single" w:sz="6" w:space="0" w:color="000000"/>
            </w:tcBorders>
          </w:tcPr>
          <w:p w14:paraId="3F7C1E8F"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128</w:t>
            </w:r>
          </w:p>
        </w:tc>
        <w:tc>
          <w:tcPr>
            <w:tcW w:w="2659" w:type="dxa"/>
            <w:tcBorders>
              <w:top w:val="nil"/>
              <w:left w:val="single" w:sz="6" w:space="0" w:color="000000"/>
              <w:bottom w:val="single" w:sz="12" w:space="0" w:color="auto"/>
              <w:right w:val="single" w:sz="12" w:space="0" w:color="auto"/>
            </w:tcBorders>
          </w:tcPr>
          <w:p w14:paraId="17AD2B2B"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032" w:type="dxa"/>
            <w:tcBorders>
              <w:top w:val="nil"/>
              <w:left w:val="nil"/>
              <w:bottom w:val="nil"/>
              <w:right w:val="nil"/>
            </w:tcBorders>
          </w:tcPr>
          <w:p w14:paraId="695DD49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FB1284D"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5A63F97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86584B2"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3494D986" w14:textId="77777777">
        <w:trPr>
          <w:trHeight w:val="290"/>
        </w:trPr>
        <w:tc>
          <w:tcPr>
            <w:tcW w:w="1901" w:type="dxa"/>
            <w:tcBorders>
              <w:top w:val="nil"/>
              <w:left w:val="single" w:sz="12" w:space="0" w:color="auto"/>
              <w:bottom w:val="nil"/>
              <w:right w:val="single" w:sz="12" w:space="0" w:color="auto"/>
            </w:tcBorders>
          </w:tcPr>
          <w:p w14:paraId="1F0C5B92" w14:textId="77777777" w:rsidR="007B0F67" w:rsidRDefault="007B0F6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Pailin</w:t>
            </w:r>
          </w:p>
        </w:tc>
        <w:tc>
          <w:tcPr>
            <w:tcW w:w="2126" w:type="dxa"/>
            <w:tcBorders>
              <w:top w:val="nil"/>
              <w:left w:val="nil"/>
              <w:bottom w:val="nil"/>
              <w:right w:val="single" w:sz="18" w:space="0" w:color="000000"/>
            </w:tcBorders>
          </w:tcPr>
          <w:p w14:paraId="3821A0D1"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Veal Cheng</w:t>
            </w:r>
          </w:p>
        </w:tc>
        <w:tc>
          <w:tcPr>
            <w:tcW w:w="3029" w:type="dxa"/>
            <w:tcBorders>
              <w:top w:val="nil"/>
              <w:left w:val="single" w:sz="18" w:space="0" w:color="000000"/>
              <w:bottom w:val="nil"/>
              <w:right w:val="single" w:sz="6" w:space="0" w:color="000000"/>
            </w:tcBorders>
          </w:tcPr>
          <w:p w14:paraId="7D235547"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2659" w:type="dxa"/>
            <w:tcBorders>
              <w:top w:val="nil"/>
              <w:left w:val="single" w:sz="6" w:space="0" w:color="000000"/>
              <w:bottom w:val="nil"/>
              <w:right w:val="single" w:sz="6" w:space="0" w:color="000000"/>
            </w:tcBorders>
          </w:tcPr>
          <w:p w14:paraId="4F8B7F73"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28.2</w:t>
            </w:r>
          </w:p>
        </w:tc>
        <w:tc>
          <w:tcPr>
            <w:tcW w:w="1032" w:type="dxa"/>
            <w:tcBorders>
              <w:top w:val="nil"/>
              <w:left w:val="nil"/>
              <w:bottom w:val="nil"/>
              <w:right w:val="nil"/>
            </w:tcBorders>
          </w:tcPr>
          <w:p w14:paraId="35A545F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079800D"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0324777"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53EC8AC7"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06A2938B" w14:textId="77777777">
        <w:trPr>
          <w:trHeight w:val="290"/>
        </w:trPr>
        <w:tc>
          <w:tcPr>
            <w:tcW w:w="1901" w:type="dxa"/>
            <w:tcBorders>
              <w:top w:val="nil"/>
              <w:left w:val="single" w:sz="12" w:space="0" w:color="auto"/>
              <w:bottom w:val="nil"/>
              <w:right w:val="single" w:sz="12" w:space="0" w:color="auto"/>
            </w:tcBorders>
          </w:tcPr>
          <w:p w14:paraId="4D69AC5E"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6A065EF3"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Kon</w:t>
            </w:r>
            <w:proofErr w:type="spellEnd"/>
            <w:r>
              <w:rPr>
                <w:rFonts w:ascii="Arial" w:hAnsi="Arial" w:cs="Arial"/>
                <w:color w:val="000000"/>
                <w:sz w:val="18"/>
                <w:szCs w:val="18"/>
              </w:rPr>
              <w:t xml:space="preserve"> </w:t>
            </w:r>
            <w:proofErr w:type="spellStart"/>
            <w:r>
              <w:rPr>
                <w:rFonts w:ascii="Arial" w:hAnsi="Arial" w:cs="Arial"/>
                <w:color w:val="000000"/>
                <w:sz w:val="18"/>
                <w:szCs w:val="18"/>
              </w:rPr>
              <w:t>Damrei</w:t>
            </w:r>
            <w:proofErr w:type="spellEnd"/>
          </w:p>
        </w:tc>
        <w:tc>
          <w:tcPr>
            <w:tcW w:w="3029" w:type="dxa"/>
            <w:tcBorders>
              <w:top w:val="nil"/>
              <w:left w:val="single" w:sz="18" w:space="0" w:color="000000"/>
              <w:bottom w:val="nil"/>
              <w:right w:val="single" w:sz="6" w:space="0" w:color="000000"/>
            </w:tcBorders>
          </w:tcPr>
          <w:p w14:paraId="11757116"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2659" w:type="dxa"/>
            <w:tcBorders>
              <w:top w:val="nil"/>
              <w:left w:val="single" w:sz="6" w:space="0" w:color="000000"/>
              <w:bottom w:val="nil"/>
              <w:right w:val="single" w:sz="6" w:space="0" w:color="000000"/>
            </w:tcBorders>
          </w:tcPr>
          <w:p w14:paraId="6180268B"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1032" w:type="dxa"/>
            <w:tcBorders>
              <w:top w:val="nil"/>
              <w:left w:val="nil"/>
              <w:bottom w:val="nil"/>
              <w:right w:val="nil"/>
            </w:tcBorders>
          </w:tcPr>
          <w:p w14:paraId="0C537C43"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9D2E10A"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A104082"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C878914"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1BBEF0D4" w14:textId="77777777">
        <w:trPr>
          <w:trHeight w:val="290"/>
        </w:trPr>
        <w:tc>
          <w:tcPr>
            <w:tcW w:w="1901" w:type="dxa"/>
            <w:tcBorders>
              <w:top w:val="nil"/>
              <w:left w:val="single" w:sz="12" w:space="0" w:color="auto"/>
              <w:bottom w:val="nil"/>
              <w:right w:val="single" w:sz="12" w:space="0" w:color="auto"/>
            </w:tcBorders>
          </w:tcPr>
          <w:p w14:paraId="2602F5B8"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5A994C7D"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Sre</w:t>
            </w:r>
            <w:proofErr w:type="spellEnd"/>
            <w:r>
              <w:rPr>
                <w:rFonts w:ascii="Arial" w:hAnsi="Arial" w:cs="Arial"/>
                <w:color w:val="000000"/>
                <w:sz w:val="18"/>
                <w:szCs w:val="18"/>
              </w:rPr>
              <w:t xml:space="preserve"> </w:t>
            </w:r>
            <w:proofErr w:type="spellStart"/>
            <w:r>
              <w:rPr>
                <w:rFonts w:ascii="Arial" w:hAnsi="Arial" w:cs="Arial"/>
                <w:color w:val="000000"/>
                <w:sz w:val="18"/>
                <w:szCs w:val="18"/>
              </w:rPr>
              <w:t>Anteak</w:t>
            </w:r>
            <w:proofErr w:type="spellEnd"/>
          </w:p>
        </w:tc>
        <w:tc>
          <w:tcPr>
            <w:tcW w:w="3029" w:type="dxa"/>
            <w:tcBorders>
              <w:top w:val="nil"/>
              <w:left w:val="single" w:sz="18" w:space="0" w:color="000000"/>
              <w:bottom w:val="nil"/>
              <w:right w:val="single" w:sz="6" w:space="0" w:color="000000"/>
            </w:tcBorders>
          </w:tcPr>
          <w:p w14:paraId="46183D8A"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2659" w:type="dxa"/>
            <w:tcBorders>
              <w:top w:val="nil"/>
              <w:left w:val="single" w:sz="6" w:space="0" w:color="000000"/>
              <w:bottom w:val="nil"/>
              <w:right w:val="single" w:sz="6" w:space="0" w:color="000000"/>
            </w:tcBorders>
          </w:tcPr>
          <w:p w14:paraId="2AFDA0B7"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1032" w:type="dxa"/>
            <w:tcBorders>
              <w:top w:val="nil"/>
              <w:left w:val="nil"/>
              <w:bottom w:val="nil"/>
              <w:right w:val="nil"/>
            </w:tcBorders>
          </w:tcPr>
          <w:p w14:paraId="5F0B4E31"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FC3931A"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CEF3C77"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20EF69EA"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10703CD1" w14:textId="77777777">
        <w:trPr>
          <w:trHeight w:val="290"/>
        </w:trPr>
        <w:tc>
          <w:tcPr>
            <w:tcW w:w="1901" w:type="dxa"/>
            <w:tcBorders>
              <w:top w:val="nil"/>
              <w:left w:val="single" w:sz="12" w:space="0" w:color="auto"/>
              <w:bottom w:val="nil"/>
              <w:right w:val="single" w:sz="12" w:space="0" w:color="auto"/>
            </w:tcBorders>
          </w:tcPr>
          <w:p w14:paraId="0729BF0C"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nil"/>
              <w:right w:val="single" w:sz="18" w:space="0" w:color="000000"/>
            </w:tcBorders>
          </w:tcPr>
          <w:p w14:paraId="6792F484" w14:textId="77777777" w:rsidR="007B0F67" w:rsidRDefault="007B0F6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Kro</w:t>
            </w:r>
            <w:proofErr w:type="spellEnd"/>
            <w:r>
              <w:rPr>
                <w:rFonts w:ascii="Arial" w:hAnsi="Arial" w:cs="Arial"/>
                <w:color w:val="000000"/>
                <w:sz w:val="18"/>
                <w:szCs w:val="18"/>
              </w:rPr>
              <w:t xml:space="preserve"> </w:t>
            </w:r>
            <w:proofErr w:type="spellStart"/>
            <w:r>
              <w:rPr>
                <w:rFonts w:ascii="Arial" w:hAnsi="Arial" w:cs="Arial"/>
                <w:color w:val="000000"/>
                <w:sz w:val="18"/>
                <w:szCs w:val="18"/>
              </w:rPr>
              <w:t>Chab</w:t>
            </w:r>
            <w:proofErr w:type="spellEnd"/>
          </w:p>
        </w:tc>
        <w:tc>
          <w:tcPr>
            <w:tcW w:w="3029" w:type="dxa"/>
            <w:tcBorders>
              <w:top w:val="nil"/>
              <w:left w:val="single" w:sz="18" w:space="0" w:color="000000"/>
              <w:bottom w:val="nil"/>
              <w:right w:val="single" w:sz="6" w:space="0" w:color="000000"/>
            </w:tcBorders>
          </w:tcPr>
          <w:p w14:paraId="0BBB5EE6"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2659" w:type="dxa"/>
            <w:tcBorders>
              <w:top w:val="nil"/>
              <w:left w:val="single" w:sz="6" w:space="0" w:color="000000"/>
              <w:bottom w:val="nil"/>
              <w:right w:val="single" w:sz="6" w:space="0" w:color="000000"/>
            </w:tcBorders>
          </w:tcPr>
          <w:p w14:paraId="2E344318" w14:textId="77777777" w:rsidR="007B0F67" w:rsidRDefault="007B0F6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42.3</w:t>
            </w:r>
          </w:p>
        </w:tc>
        <w:tc>
          <w:tcPr>
            <w:tcW w:w="1032" w:type="dxa"/>
            <w:tcBorders>
              <w:top w:val="nil"/>
              <w:left w:val="nil"/>
              <w:bottom w:val="nil"/>
              <w:right w:val="nil"/>
            </w:tcBorders>
          </w:tcPr>
          <w:p w14:paraId="25FEC9A2"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A8A247E"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60A6CB0A"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9C83398"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34640BB1" w14:textId="77777777">
        <w:trPr>
          <w:trHeight w:val="305"/>
        </w:trPr>
        <w:tc>
          <w:tcPr>
            <w:tcW w:w="1901" w:type="dxa"/>
            <w:tcBorders>
              <w:top w:val="nil"/>
              <w:left w:val="single" w:sz="12" w:space="0" w:color="auto"/>
              <w:bottom w:val="single" w:sz="12" w:space="0" w:color="auto"/>
              <w:right w:val="single" w:sz="12" w:space="0" w:color="auto"/>
            </w:tcBorders>
          </w:tcPr>
          <w:p w14:paraId="3CD9D54C" w14:textId="77777777" w:rsidR="007B0F67" w:rsidRDefault="007B0F67">
            <w:pPr>
              <w:autoSpaceDE w:val="0"/>
              <w:autoSpaceDN w:val="0"/>
              <w:adjustRightInd w:val="0"/>
              <w:spacing w:after="0" w:line="240" w:lineRule="auto"/>
              <w:rPr>
                <w:rFonts w:ascii="Arial" w:hAnsi="Arial" w:cs="Arial"/>
                <w:b/>
                <w:bCs/>
                <w:color w:val="000000"/>
                <w:sz w:val="18"/>
                <w:szCs w:val="18"/>
              </w:rPr>
            </w:pPr>
          </w:p>
        </w:tc>
        <w:tc>
          <w:tcPr>
            <w:tcW w:w="2126" w:type="dxa"/>
            <w:tcBorders>
              <w:top w:val="nil"/>
              <w:left w:val="nil"/>
              <w:bottom w:val="single" w:sz="18" w:space="0" w:color="000000"/>
              <w:right w:val="single" w:sz="18" w:space="0" w:color="000000"/>
            </w:tcBorders>
          </w:tcPr>
          <w:p w14:paraId="0BD8A75E" w14:textId="77777777" w:rsidR="007B0F67" w:rsidRDefault="007B0F6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3029" w:type="dxa"/>
            <w:tcBorders>
              <w:top w:val="nil"/>
              <w:left w:val="single" w:sz="18" w:space="0" w:color="000000"/>
              <w:bottom w:val="single" w:sz="18" w:space="0" w:color="000000"/>
              <w:right w:val="single" w:sz="6" w:space="0" w:color="000000"/>
            </w:tcBorders>
          </w:tcPr>
          <w:p w14:paraId="11998410"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71</w:t>
            </w:r>
          </w:p>
        </w:tc>
        <w:tc>
          <w:tcPr>
            <w:tcW w:w="2659" w:type="dxa"/>
            <w:tcBorders>
              <w:top w:val="nil"/>
              <w:left w:val="single" w:sz="6" w:space="0" w:color="000000"/>
              <w:bottom w:val="single" w:sz="18" w:space="0" w:color="000000"/>
              <w:right w:val="single" w:sz="6" w:space="0" w:color="000000"/>
            </w:tcBorders>
          </w:tcPr>
          <w:p w14:paraId="496C1528" w14:textId="77777777" w:rsidR="007B0F67" w:rsidRDefault="007B0F6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032" w:type="dxa"/>
            <w:tcBorders>
              <w:top w:val="nil"/>
              <w:left w:val="nil"/>
              <w:bottom w:val="nil"/>
              <w:right w:val="nil"/>
            </w:tcBorders>
          </w:tcPr>
          <w:p w14:paraId="527473FA"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58920C7E"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5F63355"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11C43DC"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12E2D215" w14:textId="77777777">
        <w:trPr>
          <w:trHeight w:val="290"/>
        </w:trPr>
        <w:tc>
          <w:tcPr>
            <w:tcW w:w="1901" w:type="dxa"/>
            <w:tcBorders>
              <w:top w:val="nil"/>
              <w:left w:val="nil"/>
              <w:bottom w:val="nil"/>
              <w:right w:val="nil"/>
            </w:tcBorders>
          </w:tcPr>
          <w:p w14:paraId="7D2144B0"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2126" w:type="dxa"/>
            <w:tcBorders>
              <w:top w:val="nil"/>
              <w:left w:val="nil"/>
              <w:bottom w:val="nil"/>
              <w:right w:val="nil"/>
            </w:tcBorders>
          </w:tcPr>
          <w:p w14:paraId="005512E8"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3029" w:type="dxa"/>
            <w:tcBorders>
              <w:top w:val="nil"/>
              <w:left w:val="nil"/>
              <w:bottom w:val="nil"/>
              <w:right w:val="nil"/>
            </w:tcBorders>
          </w:tcPr>
          <w:p w14:paraId="5AC30CFF"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2659" w:type="dxa"/>
            <w:tcBorders>
              <w:top w:val="nil"/>
              <w:left w:val="nil"/>
              <w:bottom w:val="nil"/>
              <w:right w:val="nil"/>
            </w:tcBorders>
          </w:tcPr>
          <w:p w14:paraId="07D66DC1"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1032" w:type="dxa"/>
            <w:tcBorders>
              <w:top w:val="nil"/>
              <w:left w:val="nil"/>
              <w:bottom w:val="nil"/>
              <w:right w:val="nil"/>
            </w:tcBorders>
          </w:tcPr>
          <w:p w14:paraId="483D422E"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120B9F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F8B6871"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2326893"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57AC6740" w14:textId="77777777">
        <w:trPr>
          <w:trHeight w:val="290"/>
        </w:trPr>
        <w:tc>
          <w:tcPr>
            <w:tcW w:w="1901" w:type="dxa"/>
            <w:tcBorders>
              <w:top w:val="nil"/>
              <w:left w:val="nil"/>
              <w:bottom w:val="nil"/>
              <w:right w:val="nil"/>
            </w:tcBorders>
          </w:tcPr>
          <w:p w14:paraId="22A21AB7"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2126" w:type="dxa"/>
            <w:tcBorders>
              <w:top w:val="nil"/>
              <w:left w:val="nil"/>
              <w:bottom w:val="nil"/>
              <w:right w:val="nil"/>
            </w:tcBorders>
          </w:tcPr>
          <w:p w14:paraId="3FE7A2F7"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3029" w:type="dxa"/>
            <w:tcBorders>
              <w:top w:val="nil"/>
              <w:left w:val="nil"/>
              <w:bottom w:val="nil"/>
              <w:right w:val="nil"/>
            </w:tcBorders>
          </w:tcPr>
          <w:p w14:paraId="3463B852"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2659" w:type="dxa"/>
            <w:tcBorders>
              <w:top w:val="nil"/>
              <w:left w:val="nil"/>
              <w:bottom w:val="nil"/>
              <w:right w:val="nil"/>
            </w:tcBorders>
          </w:tcPr>
          <w:p w14:paraId="70A2EC6A"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1032" w:type="dxa"/>
            <w:tcBorders>
              <w:top w:val="nil"/>
              <w:left w:val="nil"/>
              <w:bottom w:val="nil"/>
              <w:right w:val="nil"/>
            </w:tcBorders>
          </w:tcPr>
          <w:p w14:paraId="35549B6A"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09DB038F"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224347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1FD2620"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1B4B2C4B" w14:textId="77777777">
        <w:trPr>
          <w:trHeight w:val="290"/>
        </w:trPr>
        <w:tc>
          <w:tcPr>
            <w:tcW w:w="1901" w:type="dxa"/>
            <w:tcBorders>
              <w:top w:val="nil"/>
              <w:left w:val="nil"/>
              <w:bottom w:val="nil"/>
              <w:right w:val="nil"/>
            </w:tcBorders>
          </w:tcPr>
          <w:p w14:paraId="0C01E2F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2126" w:type="dxa"/>
            <w:tcBorders>
              <w:top w:val="nil"/>
              <w:left w:val="nil"/>
              <w:bottom w:val="nil"/>
              <w:right w:val="nil"/>
            </w:tcBorders>
          </w:tcPr>
          <w:p w14:paraId="3F6DA421"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3029" w:type="dxa"/>
            <w:tcBorders>
              <w:top w:val="nil"/>
              <w:left w:val="nil"/>
              <w:bottom w:val="nil"/>
              <w:right w:val="nil"/>
            </w:tcBorders>
          </w:tcPr>
          <w:p w14:paraId="6C3E63DF"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2659" w:type="dxa"/>
            <w:tcBorders>
              <w:top w:val="nil"/>
              <w:left w:val="nil"/>
              <w:bottom w:val="nil"/>
              <w:right w:val="nil"/>
            </w:tcBorders>
          </w:tcPr>
          <w:p w14:paraId="308A52B5"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1032" w:type="dxa"/>
            <w:tcBorders>
              <w:top w:val="nil"/>
              <w:left w:val="nil"/>
              <w:bottom w:val="nil"/>
              <w:right w:val="nil"/>
            </w:tcBorders>
          </w:tcPr>
          <w:p w14:paraId="4593A46C"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C17A5B1"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23C44B4"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1D247938"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5281BEF6" w14:textId="77777777">
        <w:trPr>
          <w:trHeight w:val="290"/>
        </w:trPr>
        <w:tc>
          <w:tcPr>
            <w:tcW w:w="1901" w:type="dxa"/>
            <w:tcBorders>
              <w:top w:val="nil"/>
              <w:left w:val="nil"/>
              <w:bottom w:val="nil"/>
              <w:right w:val="nil"/>
            </w:tcBorders>
          </w:tcPr>
          <w:p w14:paraId="2DEEEFA5"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2126" w:type="dxa"/>
            <w:tcBorders>
              <w:top w:val="nil"/>
              <w:left w:val="nil"/>
              <w:bottom w:val="nil"/>
              <w:right w:val="nil"/>
            </w:tcBorders>
          </w:tcPr>
          <w:p w14:paraId="426C61D6"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3029" w:type="dxa"/>
            <w:tcBorders>
              <w:top w:val="nil"/>
              <w:left w:val="nil"/>
              <w:bottom w:val="nil"/>
              <w:right w:val="nil"/>
            </w:tcBorders>
          </w:tcPr>
          <w:p w14:paraId="52F220DD"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2659" w:type="dxa"/>
            <w:tcBorders>
              <w:top w:val="nil"/>
              <w:left w:val="nil"/>
              <w:bottom w:val="nil"/>
              <w:right w:val="nil"/>
            </w:tcBorders>
          </w:tcPr>
          <w:p w14:paraId="2DE39B1F"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1032" w:type="dxa"/>
            <w:tcBorders>
              <w:top w:val="nil"/>
              <w:left w:val="nil"/>
              <w:bottom w:val="nil"/>
              <w:right w:val="nil"/>
            </w:tcBorders>
          </w:tcPr>
          <w:p w14:paraId="0FC2D021"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FB729A0"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70C4BC55"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67A0795"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r w:rsidR="007B0F67" w14:paraId="16A0CBCE" w14:textId="77777777">
        <w:trPr>
          <w:trHeight w:val="290"/>
        </w:trPr>
        <w:tc>
          <w:tcPr>
            <w:tcW w:w="1901" w:type="dxa"/>
            <w:tcBorders>
              <w:top w:val="nil"/>
              <w:left w:val="nil"/>
              <w:bottom w:val="nil"/>
              <w:right w:val="nil"/>
            </w:tcBorders>
          </w:tcPr>
          <w:p w14:paraId="5687C96B"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2126" w:type="dxa"/>
            <w:tcBorders>
              <w:top w:val="nil"/>
              <w:left w:val="nil"/>
              <w:bottom w:val="nil"/>
              <w:right w:val="nil"/>
            </w:tcBorders>
          </w:tcPr>
          <w:p w14:paraId="3246F6D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3029" w:type="dxa"/>
            <w:tcBorders>
              <w:top w:val="nil"/>
              <w:left w:val="nil"/>
              <w:bottom w:val="nil"/>
              <w:right w:val="nil"/>
            </w:tcBorders>
          </w:tcPr>
          <w:p w14:paraId="6778A8AA"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2659" w:type="dxa"/>
            <w:tcBorders>
              <w:top w:val="nil"/>
              <w:left w:val="nil"/>
              <w:bottom w:val="nil"/>
              <w:right w:val="nil"/>
            </w:tcBorders>
          </w:tcPr>
          <w:p w14:paraId="1AEB66B0" w14:textId="77777777" w:rsidR="007B0F67" w:rsidRDefault="007B0F67">
            <w:pPr>
              <w:autoSpaceDE w:val="0"/>
              <w:autoSpaceDN w:val="0"/>
              <w:adjustRightInd w:val="0"/>
              <w:spacing w:after="0" w:line="240" w:lineRule="auto"/>
              <w:jc w:val="center"/>
              <w:rPr>
                <w:rFonts w:ascii="Calibri" w:hAnsi="Calibri" w:cs="Calibri"/>
                <w:color w:val="000000"/>
                <w:szCs w:val="22"/>
              </w:rPr>
            </w:pPr>
          </w:p>
        </w:tc>
        <w:tc>
          <w:tcPr>
            <w:tcW w:w="1032" w:type="dxa"/>
            <w:tcBorders>
              <w:top w:val="nil"/>
              <w:left w:val="nil"/>
              <w:bottom w:val="nil"/>
              <w:right w:val="nil"/>
            </w:tcBorders>
          </w:tcPr>
          <w:p w14:paraId="53CF3B1D"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501BA4D2"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4F8EEB99" w14:textId="77777777" w:rsidR="007B0F67" w:rsidRDefault="007B0F67">
            <w:pPr>
              <w:autoSpaceDE w:val="0"/>
              <w:autoSpaceDN w:val="0"/>
              <w:adjustRightInd w:val="0"/>
              <w:spacing w:after="0" w:line="240" w:lineRule="auto"/>
              <w:jc w:val="right"/>
              <w:rPr>
                <w:rFonts w:ascii="Calibri" w:hAnsi="Calibri" w:cs="Calibri"/>
                <w:color w:val="000000"/>
                <w:szCs w:val="22"/>
              </w:rPr>
            </w:pPr>
          </w:p>
        </w:tc>
        <w:tc>
          <w:tcPr>
            <w:tcW w:w="1032" w:type="dxa"/>
            <w:tcBorders>
              <w:top w:val="nil"/>
              <w:left w:val="nil"/>
              <w:bottom w:val="nil"/>
              <w:right w:val="nil"/>
            </w:tcBorders>
          </w:tcPr>
          <w:p w14:paraId="38F12838" w14:textId="77777777" w:rsidR="007B0F67" w:rsidRDefault="007B0F67">
            <w:pPr>
              <w:autoSpaceDE w:val="0"/>
              <w:autoSpaceDN w:val="0"/>
              <w:adjustRightInd w:val="0"/>
              <w:spacing w:after="0" w:line="240" w:lineRule="auto"/>
              <w:jc w:val="right"/>
              <w:rPr>
                <w:rFonts w:ascii="Calibri" w:hAnsi="Calibri" w:cs="Calibri"/>
                <w:color w:val="000000"/>
                <w:szCs w:val="22"/>
              </w:rPr>
            </w:pPr>
          </w:p>
        </w:tc>
      </w:tr>
    </w:tbl>
    <w:p w14:paraId="31B7610C" w14:textId="77777777" w:rsidR="00DE362F" w:rsidRPr="004C6941" w:rsidRDefault="00DE362F" w:rsidP="00142D14">
      <w:pPr>
        <w:jc w:val="both"/>
        <w:rPr>
          <w:rFonts w:ascii="Arial" w:hAnsi="Arial" w:cs="Arial"/>
          <w:sz w:val="20"/>
          <w:szCs w:val="20"/>
        </w:rPr>
      </w:pPr>
    </w:p>
    <w:p w14:paraId="6312E093" w14:textId="77777777" w:rsidR="00DE362F" w:rsidRPr="004C6941" w:rsidRDefault="00DE362F" w:rsidP="00142D14">
      <w:pPr>
        <w:jc w:val="both"/>
        <w:rPr>
          <w:rFonts w:ascii="Arial" w:hAnsi="Arial" w:cs="Arial"/>
          <w:sz w:val="20"/>
          <w:szCs w:val="20"/>
        </w:rPr>
      </w:pPr>
    </w:p>
    <w:p w14:paraId="663E51B9" w14:textId="77777777" w:rsidR="00DE362F" w:rsidRPr="004C6941" w:rsidRDefault="00DE362F" w:rsidP="00142D14">
      <w:pPr>
        <w:jc w:val="both"/>
        <w:rPr>
          <w:rFonts w:ascii="Arial" w:hAnsi="Arial" w:cs="Arial"/>
          <w:sz w:val="20"/>
          <w:szCs w:val="20"/>
        </w:rPr>
      </w:pPr>
    </w:p>
    <w:p w14:paraId="7FD21CBD" w14:textId="77777777" w:rsidR="00DE362F" w:rsidRPr="004C6941" w:rsidRDefault="00DE362F" w:rsidP="00142D14">
      <w:pPr>
        <w:jc w:val="both"/>
        <w:rPr>
          <w:rFonts w:ascii="Arial" w:hAnsi="Arial" w:cs="Arial"/>
          <w:sz w:val="20"/>
          <w:szCs w:val="20"/>
        </w:rPr>
      </w:pPr>
    </w:p>
    <w:p w14:paraId="3AA58C80" w14:textId="77777777" w:rsidR="00DE362F" w:rsidRPr="004C6941" w:rsidRDefault="00DE362F" w:rsidP="00142D14">
      <w:pPr>
        <w:jc w:val="both"/>
        <w:rPr>
          <w:rFonts w:ascii="Arial" w:hAnsi="Arial" w:cs="Arial"/>
          <w:sz w:val="20"/>
          <w:szCs w:val="20"/>
        </w:rPr>
      </w:pPr>
    </w:p>
    <w:p w14:paraId="7C0BDE7E" w14:textId="77777777" w:rsidR="00E6117F" w:rsidRPr="004C6941" w:rsidRDefault="00E6117F" w:rsidP="00142D14">
      <w:pPr>
        <w:jc w:val="both"/>
        <w:rPr>
          <w:rFonts w:ascii="Arial" w:hAnsi="Arial" w:cs="Arial"/>
          <w:sz w:val="20"/>
          <w:szCs w:val="20"/>
        </w:rPr>
      </w:pPr>
    </w:p>
    <w:sectPr w:rsidR="00E6117F" w:rsidRPr="004C6941" w:rsidSect="004D42B6">
      <w:footerReference w:type="default" r:id="rId37"/>
      <w:pgSz w:w="12240" w:h="15840"/>
      <w:pgMar w:top="1440" w:right="1440" w:bottom="1440" w:left="1440" w:header="720" w:footer="720" w:gutter="0"/>
      <w:pgNumType w:start="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ul Davies" w:date="2015-12-13T11:47:00Z" w:initials="PD">
    <w:p w14:paraId="0D7175DA" w14:textId="77777777" w:rsidR="00762306" w:rsidRDefault="00762306">
      <w:pPr>
        <w:pStyle w:val="CommentText"/>
      </w:pPr>
      <w:r>
        <w:rPr>
          <w:rStyle w:val="CommentReference"/>
        </w:rPr>
        <w:annotationRef/>
      </w:r>
      <w:r>
        <w:t>The latest figures at end of October just under 96km2, with a further 43 km2 from the Land Reclamation NTS survey</w:t>
      </w:r>
    </w:p>
  </w:comment>
  <w:comment w:id="1" w:author="Paul Davies" w:date="2015-12-13T11:47:00Z" w:initials="PD">
    <w:p w14:paraId="54C2E776" w14:textId="77777777" w:rsidR="00762306" w:rsidRDefault="00762306">
      <w:pPr>
        <w:pStyle w:val="CommentText"/>
      </w:pPr>
      <w:r>
        <w:rPr>
          <w:rStyle w:val="CommentReference"/>
        </w:rPr>
        <w:annotationRef/>
      </w:r>
      <w:r>
        <w:t>I don’t think we can claim this – will send you a copy of the abridged version of my report where this is stated in the effectiveness section</w:t>
      </w:r>
    </w:p>
  </w:comment>
  <w:comment w:id="2" w:author="Paul Davies" w:date="2015-12-13T12:02:00Z" w:initials="PD">
    <w:p w14:paraId="76220EEA" w14:textId="15A3A913" w:rsidR="00762306" w:rsidRDefault="00762306">
      <w:pPr>
        <w:pStyle w:val="CommentText"/>
      </w:pPr>
      <w:r>
        <w:rPr>
          <w:rStyle w:val="CommentReference"/>
        </w:rPr>
        <w:annotationRef/>
      </w:r>
      <w:r>
        <w:t>What evidence do you have that the villagers participated in choosing the sites – we heard everywhere that beneficiaries were mostly informed that their land had been selected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59054" w15:done="0"/>
  <w15:commentEx w15:paraId="610C1C9E" w15:done="0"/>
  <w15:commentEx w15:paraId="05F56D79" w15:done="0"/>
  <w15:commentEx w15:paraId="3B6A5594" w15:done="0"/>
  <w15:commentEx w15:paraId="7A990081" w15:done="0"/>
  <w15:commentEx w15:paraId="21F7E49E" w15:done="0"/>
  <w15:commentEx w15:paraId="762D631C" w15:done="0"/>
  <w15:commentEx w15:paraId="338588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0F038" w14:textId="77777777" w:rsidR="00762306" w:rsidRDefault="00762306" w:rsidP="00BA195D">
      <w:pPr>
        <w:spacing w:after="0" w:line="240" w:lineRule="auto"/>
      </w:pPr>
      <w:r>
        <w:separator/>
      </w:r>
    </w:p>
  </w:endnote>
  <w:endnote w:type="continuationSeparator" w:id="0">
    <w:p w14:paraId="20B13D5F" w14:textId="77777777" w:rsidR="00762306" w:rsidRDefault="00762306" w:rsidP="00BA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aunPenh">
    <w:altName w:val="Cambria Math"/>
    <w:panose1 w:val="02000500000000020004"/>
    <w:charset w:val="00"/>
    <w:family w:val="auto"/>
    <w:pitch w:val="variable"/>
    <w:sig w:usb0="A00000EF" w:usb1="5000204A" w:usb2="00010000" w:usb3="00000000" w:csb0="00000111"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3564" w14:textId="77777777" w:rsidR="00762306" w:rsidRDefault="00762306">
    <w:pPr>
      <w:pStyle w:val="Footer"/>
      <w:jc w:val="right"/>
    </w:pPr>
  </w:p>
  <w:p w14:paraId="5A302A0C" w14:textId="77777777" w:rsidR="00762306" w:rsidRDefault="00762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080"/>
      <w:docPartObj>
        <w:docPartGallery w:val="Page Numbers (Bottom of Page)"/>
        <w:docPartUnique/>
      </w:docPartObj>
    </w:sdtPr>
    <w:sdtEndPr/>
    <w:sdtContent>
      <w:p w14:paraId="541998F4" w14:textId="77777777" w:rsidR="00762306" w:rsidRDefault="00762306">
        <w:pPr>
          <w:pStyle w:val="Footer"/>
          <w:jc w:val="right"/>
        </w:pPr>
        <w:r>
          <w:fldChar w:fldCharType="begin"/>
        </w:r>
        <w:r>
          <w:instrText xml:space="preserve"> PAGE   \* MERGEFORMAT </w:instrText>
        </w:r>
        <w:r>
          <w:fldChar w:fldCharType="separate"/>
        </w:r>
        <w:r w:rsidR="00BB651C">
          <w:rPr>
            <w:noProof/>
          </w:rPr>
          <w:t>2</w:t>
        </w:r>
        <w:r>
          <w:rPr>
            <w:noProof/>
          </w:rPr>
          <w:fldChar w:fldCharType="end"/>
        </w:r>
      </w:p>
    </w:sdtContent>
  </w:sdt>
  <w:p w14:paraId="750DA46D" w14:textId="77777777" w:rsidR="00762306" w:rsidRDefault="00762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754B" w14:textId="77777777" w:rsidR="00762306" w:rsidRDefault="00762306" w:rsidP="00BA195D">
      <w:pPr>
        <w:spacing w:after="0" w:line="240" w:lineRule="auto"/>
      </w:pPr>
      <w:r>
        <w:separator/>
      </w:r>
    </w:p>
  </w:footnote>
  <w:footnote w:type="continuationSeparator" w:id="0">
    <w:p w14:paraId="7DA4E3AF" w14:textId="77777777" w:rsidR="00762306" w:rsidRDefault="00762306" w:rsidP="00BA195D">
      <w:pPr>
        <w:spacing w:after="0" w:line="240" w:lineRule="auto"/>
      </w:pPr>
      <w:r>
        <w:continuationSeparator/>
      </w:r>
    </w:p>
  </w:footnote>
  <w:footnote w:id="1">
    <w:p w14:paraId="5002C9DF" w14:textId="77777777" w:rsidR="00762306" w:rsidRPr="00E93985" w:rsidRDefault="00762306" w:rsidP="00CC50DA">
      <w:pPr>
        <w:pStyle w:val="FootnoteText"/>
        <w:jc w:val="both"/>
        <w:rPr>
          <w:rFonts w:asciiTheme="minorHAnsi" w:hAnsiTheme="minorHAnsi"/>
          <w:sz w:val="18"/>
          <w:szCs w:val="18"/>
        </w:rPr>
      </w:pPr>
      <w:r w:rsidRPr="00E93985">
        <w:rPr>
          <w:rStyle w:val="FootnoteReference"/>
          <w:rFonts w:asciiTheme="minorHAnsi" w:hAnsiTheme="minorHAnsi"/>
          <w:sz w:val="18"/>
          <w:szCs w:val="18"/>
        </w:rPr>
        <w:footnoteRef/>
      </w:r>
      <w:r w:rsidRPr="00E93985">
        <w:rPr>
          <w:rFonts w:asciiTheme="minorHAnsi" w:hAnsiTheme="minorHAnsi"/>
          <w:sz w:val="18"/>
          <w:szCs w:val="18"/>
        </w:rPr>
        <w:t xml:space="preserve"> In Chaeng Village</w:t>
      </w:r>
      <w:r>
        <w:rPr>
          <w:rFonts w:asciiTheme="minorHAnsi" w:hAnsiTheme="minorHAnsi"/>
          <w:sz w:val="18"/>
          <w:szCs w:val="18"/>
        </w:rPr>
        <w:t xml:space="preserve">, Chay </w:t>
      </w:r>
      <w:proofErr w:type="spellStart"/>
      <w:r>
        <w:rPr>
          <w:rFonts w:asciiTheme="minorHAnsi" w:hAnsiTheme="minorHAnsi"/>
          <w:sz w:val="18"/>
          <w:szCs w:val="18"/>
        </w:rPr>
        <w:t>Meanchay</w:t>
      </w:r>
      <w:proofErr w:type="spellEnd"/>
      <w:r>
        <w:rPr>
          <w:rFonts w:asciiTheme="minorHAnsi" w:hAnsiTheme="minorHAnsi"/>
          <w:sz w:val="18"/>
          <w:szCs w:val="18"/>
        </w:rPr>
        <w:t xml:space="preserve">, </w:t>
      </w:r>
      <w:proofErr w:type="spellStart"/>
      <w:r>
        <w:rPr>
          <w:rFonts w:asciiTheme="minorHAnsi" w:hAnsiTheme="minorHAnsi"/>
          <w:sz w:val="18"/>
          <w:szCs w:val="18"/>
        </w:rPr>
        <w:t>Banan</w:t>
      </w:r>
      <w:proofErr w:type="spellEnd"/>
      <w:r>
        <w:rPr>
          <w:rFonts w:asciiTheme="minorHAnsi" w:hAnsiTheme="minorHAnsi"/>
          <w:sz w:val="18"/>
          <w:szCs w:val="18"/>
        </w:rPr>
        <w:t>,</w:t>
      </w:r>
      <w:r w:rsidRPr="00E93985">
        <w:rPr>
          <w:rFonts w:asciiTheme="minorHAnsi" w:hAnsiTheme="minorHAnsi"/>
          <w:sz w:val="18"/>
          <w:szCs w:val="18"/>
        </w:rPr>
        <w:t xml:space="preserve"> a local official suggested that land was given ‘to the handicapped, the rich and the poor with no discrimination’</w:t>
      </w:r>
      <w:r>
        <w:rPr>
          <w:rFonts w:asciiTheme="minorHAnsi" w:hAnsiTheme="minorHAnsi"/>
          <w:sz w:val="18"/>
          <w:szCs w:val="18"/>
        </w:rPr>
        <w:t xml:space="preserve"> which was taken to be evidence of some form of distribution of cleared land for the poor, but in fact appears possible to read as another statement of the fact that clearance tasks are typically selected on technical, and not socio-economic factors, and that even in mine-affected areas there is no free land, apart from at extremities of what remains of the ‘frontier’.</w:t>
      </w:r>
    </w:p>
  </w:footnote>
  <w:footnote w:id="2">
    <w:p w14:paraId="16074D00" w14:textId="77777777" w:rsidR="00762306" w:rsidRPr="00E93985" w:rsidRDefault="00762306" w:rsidP="00CC50DA">
      <w:pPr>
        <w:pStyle w:val="FootnoteText"/>
        <w:jc w:val="both"/>
        <w:rPr>
          <w:rFonts w:asciiTheme="minorHAnsi" w:hAnsiTheme="minorHAnsi"/>
          <w:sz w:val="18"/>
          <w:szCs w:val="18"/>
        </w:rPr>
      </w:pPr>
      <w:r w:rsidRPr="00E93985">
        <w:rPr>
          <w:rStyle w:val="FootnoteReference"/>
          <w:rFonts w:asciiTheme="minorHAnsi" w:hAnsiTheme="minorHAnsi"/>
          <w:sz w:val="18"/>
          <w:szCs w:val="18"/>
        </w:rPr>
        <w:footnoteRef/>
      </w:r>
      <w:r w:rsidRPr="00E93985">
        <w:rPr>
          <w:rFonts w:asciiTheme="minorHAnsi" w:hAnsiTheme="minorHAnsi"/>
          <w:sz w:val="18"/>
          <w:szCs w:val="18"/>
        </w:rPr>
        <w:t xml:space="preserve"> The poorest typically constitute 5-10% of village populations in the target areas of the project, and these were the proportions observed during the course of field work, although in some villages – such as </w:t>
      </w:r>
      <w:proofErr w:type="spellStart"/>
      <w:r w:rsidRPr="00E93985">
        <w:rPr>
          <w:rFonts w:asciiTheme="minorHAnsi" w:hAnsiTheme="minorHAnsi"/>
          <w:sz w:val="18"/>
          <w:szCs w:val="18"/>
        </w:rPr>
        <w:t>Tamang</w:t>
      </w:r>
      <w:proofErr w:type="spellEnd"/>
      <w:r w:rsidRPr="00E93985">
        <w:rPr>
          <w:rFonts w:asciiTheme="minorHAnsi" w:hAnsiTheme="minorHAnsi"/>
          <w:sz w:val="18"/>
          <w:szCs w:val="18"/>
        </w:rPr>
        <w:t xml:space="preserve">, in </w:t>
      </w:r>
      <w:proofErr w:type="spellStart"/>
      <w:r w:rsidRPr="00E93985">
        <w:rPr>
          <w:rFonts w:asciiTheme="minorHAnsi" w:hAnsiTheme="minorHAnsi"/>
          <w:sz w:val="18"/>
          <w:szCs w:val="18"/>
        </w:rPr>
        <w:t>Thmar</w:t>
      </w:r>
      <w:proofErr w:type="spellEnd"/>
      <w:r w:rsidRPr="00E93985">
        <w:rPr>
          <w:rFonts w:asciiTheme="minorHAnsi" w:hAnsiTheme="minorHAnsi"/>
          <w:sz w:val="18"/>
          <w:szCs w:val="18"/>
        </w:rPr>
        <w:t xml:space="preserve"> Pouk district, Banteay-</w:t>
      </w:r>
      <w:proofErr w:type="spellStart"/>
      <w:r w:rsidRPr="00E93985">
        <w:rPr>
          <w:rFonts w:asciiTheme="minorHAnsi" w:hAnsiTheme="minorHAnsi"/>
          <w:sz w:val="18"/>
          <w:szCs w:val="18"/>
        </w:rPr>
        <w:t>Meanchay</w:t>
      </w:r>
      <w:proofErr w:type="spellEnd"/>
      <w:r w:rsidRPr="00E93985">
        <w:rPr>
          <w:rFonts w:asciiTheme="minorHAnsi" w:hAnsiTheme="minorHAnsi"/>
          <w:sz w:val="18"/>
          <w:szCs w:val="18"/>
        </w:rPr>
        <w:t xml:space="preserve"> – as many as 45-50% of families were described as having no or not enough land, and having to make a living by foraging in risky areas.</w:t>
      </w:r>
    </w:p>
  </w:footnote>
  <w:footnote w:id="3">
    <w:p w14:paraId="3121BC70" w14:textId="77777777" w:rsidR="00762306" w:rsidRDefault="00762306" w:rsidP="00CC50DA">
      <w:pPr>
        <w:pStyle w:val="FootnoteText"/>
        <w:jc w:val="both"/>
      </w:pPr>
      <w:r w:rsidRPr="00F54E75">
        <w:rPr>
          <w:rStyle w:val="FootnoteReference"/>
          <w:rFonts w:asciiTheme="minorHAnsi" w:hAnsiTheme="minorHAnsi"/>
          <w:sz w:val="18"/>
          <w:szCs w:val="18"/>
        </w:rPr>
        <w:footnoteRef/>
      </w:r>
      <w:r w:rsidRPr="00F54E75">
        <w:rPr>
          <w:rFonts w:asciiTheme="minorHAnsi" w:hAnsiTheme="minorHAnsi"/>
          <w:sz w:val="18"/>
          <w:szCs w:val="18"/>
        </w:rPr>
        <w:t xml:space="preserve"> </w:t>
      </w:r>
      <w:r w:rsidRPr="00F54E75">
        <w:rPr>
          <w:rFonts w:asciiTheme="minorHAnsi" w:hAnsiTheme="minorHAnsi" w:cs="Arial"/>
          <w:i/>
          <w:sz w:val="18"/>
          <w:szCs w:val="18"/>
        </w:rPr>
        <w:t xml:space="preserve">Mostly cash crops (corn and </w:t>
      </w:r>
      <w:proofErr w:type="gramStart"/>
      <w:r w:rsidRPr="00F54E75">
        <w:rPr>
          <w:rFonts w:asciiTheme="minorHAnsi" w:hAnsiTheme="minorHAnsi" w:cs="Arial"/>
          <w:i/>
          <w:sz w:val="18"/>
          <w:szCs w:val="18"/>
        </w:rPr>
        <w:t>cassava</w:t>
      </w:r>
      <w:r>
        <w:rPr>
          <w:rFonts w:asciiTheme="minorHAnsi" w:hAnsiTheme="minorHAnsi" w:cs="Arial"/>
          <w:i/>
          <w:sz w:val="18"/>
          <w:szCs w:val="18"/>
        </w:rPr>
        <w:t xml:space="preserve"> </w:t>
      </w:r>
      <w:r w:rsidRPr="00F54E75">
        <w:rPr>
          <w:rFonts w:asciiTheme="minorHAnsi" w:hAnsiTheme="minorHAnsi" w:cs="Arial"/>
          <w:i/>
          <w:sz w:val="18"/>
          <w:szCs w:val="18"/>
        </w:rPr>
        <w:t xml:space="preserve"> are</w:t>
      </w:r>
      <w:proofErr w:type="gramEnd"/>
      <w:r w:rsidRPr="00F54E75">
        <w:rPr>
          <w:rFonts w:asciiTheme="minorHAnsi" w:hAnsiTheme="minorHAnsi" w:cs="Arial"/>
          <w:i/>
          <w:sz w:val="18"/>
          <w:szCs w:val="18"/>
        </w:rPr>
        <w:t xml:space="preserve"> being cultivated in decontaminated and released land and most of the produce is being sold into the Thai market through local traders. The increase in available land is also said to be providing higher profit to traders and to </w:t>
      </w:r>
      <w:proofErr w:type="spellStart"/>
      <w:r w:rsidRPr="00F54E75">
        <w:rPr>
          <w:rFonts w:asciiTheme="minorHAnsi" w:hAnsiTheme="minorHAnsi" w:cs="Arial"/>
          <w:i/>
          <w:sz w:val="18"/>
          <w:szCs w:val="18"/>
        </w:rPr>
        <w:t>agri</w:t>
      </w:r>
      <w:proofErr w:type="spellEnd"/>
      <w:r w:rsidRPr="00F54E75">
        <w:rPr>
          <w:rFonts w:asciiTheme="minorHAnsi" w:hAnsiTheme="minorHAnsi" w:cs="Arial"/>
          <w:i/>
          <w:sz w:val="18"/>
          <w:szCs w:val="18"/>
        </w:rPr>
        <w:t xml:space="preserve">-shops who are local retailers of agribusiness products. The people surveyed believed that the “middle class” and “rich families” are the ones who are benefitting most from this development. Poor households are seen to be receiving indirect benefit through increased opportunities for agricultural </w:t>
      </w:r>
      <w:proofErr w:type="spellStart"/>
      <w:r w:rsidRPr="00F54E75">
        <w:rPr>
          <w:rFonts w:asciiTheme="minorHAnsi" w:hAnsiTheme="minorHAnsi" w:cs="Arial"/>
          <w:i/>
          <w:sz w:val="18"/>
          <w:szCs w:val="18"/>
        </w:rPr>
        <w:t>labour</w:t>
      </w:r>
      <w:proofErr w:type="spellEnd"/>
      <w:r w:rsidRPr="00F54E75">
        <w:rPr>
          <w:rFonts w:asciiTheme="minorHAnsi" w:hAnsiTheme="minorHAnsi" w:cs="Arial"/>
          <w:i/>
          <w:sz w:val="18"/>
          <w:szCs w:val="18"/>
        </w:rPr>
        <w:t xml:space="preserve">, closer to their homes. </w:t>
      </w:r>
      <w:proofErr w:type="spellStart"/>
      <w:r w:rsidRPr="00F54E75">
        <w:rPr>
          <w:rFonts w:asciiTheme="minorHAnsi" w:hAnsiTheme="minorHAnsi" w:cs="Arial"/>
          <w:i/>
          <w:sz w:val="18"/>
          <w:szCs w:val="18"/>
        </w:rPr>
        <w:t>Labourers</w:t>
      </w:r>
      <w:proofErr w:type="spellEnd"/>
      <w:r w:rsidRPr="00F54E75">
        <w:rPr>
          <w:rFonts w:asciiTheme="minorHAnsi" w:hAnsiTheme="minorHAnsi" w:cs="Arial"/>
          <w:i/>
          <w:sz w:val="18"/>
          <w:szCs w:val="18"/>
        </w:rPr>
        <w:t xml:space="preserve"> were also said to have benefitted from the demining of the land of “middle class” families because they see their exposure to risk of mine accidents diminish’</w:t>
      </w:r>
      <w:r>
        <w:rPr>
          <w:rFonts w:asciiTheme="minorHAnsi" w:hAnsiTheme="minorHAnsi" w:cs="Arial"/>
          <w:sz w:val="18"/>
          <w:szCs w:val="18"/>
        </w:rPr>
        <w:t xml:space="preserve">, 3. Community Impact of MA Programme, 3.1 Key </w:t>
      </w:r>
      <w:proofErr w:type="spellStart"/>
      <w:r>
        <w:rPr>
          <w:rFonts w:asciiTheme="minorHAnsi" w:hAnsiTheme="minorHAnsi" w:cs="Arial"/>
          <w:sz w:val="18"/>
          <w:szCs w:val="18"/>
        </w:rPr>
        <w:t>Fundings</w:t>
      </w:r>
      <w:proofErr w:type="spellEnd"/>
      <w:r>
        <w:rPr>
          <w:rFonts w:asciiTheme="minorHAnsi" w:hAnsiTheme="minorHAnsi" w:cs="Arial"/>
          <w:sz w:val="18"/>
          <w:szCs w:val="18"/>
        </w:rPr>
        <w:t>, Cambodia DFID Country Mission Report, 2013.</w:t>
      </w:r>
    </w:p>
  </w:footnote>
  <w:footnote w:id="4">
    <w:p w14:paraId="7646DA71" w14:textId="77777777" w:rsidR="00762306" w:rsidRPr="002B3921" w:rsidRDefault="00762306" w:rsidP="00CC50DA">
      <w:pPr>
        <w:pStyle w:val="FootnoteText"/>
        <w:jc w:val="both"/>
        <w:rPr>
          <w:rFonts w:asciiTheme="minorHAnsi" w:hAnsiTheme="minorHAnsi"/>
          <w:sz w:val="18"/>
          <w:szCs w:val="18"/>
        </w:rPr>
      </w:pPr>
      <w:r w:rsidRPr="002B3921">
        <w:rPr>
          <w:rStyle w:val="FootnoteReference"/>
          <w:rFonts w:asciiTheme="minorHAnsi" w:hAnsiTheme="minorHAnsi"/>
          <w:sz w:val="18"/>
          <w:szCs w:val="18"/>
        </w:rPr>
        <w:footnoteRef/>
      </w:r>
      <w:r w:rsidRPr="002B3921">
        <w:rPr>
          <w:rFonts w:asciiTheme="minorHAnsi" w:hAnsiTheme="minorHAnsi"/>
          <w:sz w:val="18"/>
          <w:szCs w:val="18"/>
        </w:rPr>
        <w:t xml:space="preserve"> </w:t>
      </w:r>
      <w:r w:rsidRPr="002B3921">
        <w:rPr>
          <w:rFonts w:asciiTheme="minorHAnsi" w:hAnsiTheme="minorHAnsi"/>
          <w:i/>
          <w:sz w:val="18"/>
          <w:szCs w:val="18"/>
        </w:rPr>
        <w:t>‘</w:t>
      </w:r>
      <w:r w:rsidRPr="002B3921">
        <w:rPr>
          <w:rFonts w:asciiTheme="minorHAnsi" w:eastAsiaTheme="minorEastAsia" w:hAnsiTheme="minorHAnsi" w:cs="Arial"/>
          <w:i/>
          <w:color w:val="000000"/>
          <w:sz w:val="18"/>
          <w:szCs w:val="18"/>
        </w:rPr>
        <w:t xml:space="preserve">There are instances where land is released but remains unused despite handover to poor and/or landless beneficiaries. In some cases, beneficiaries engage in seasonal </w:t>
      </w:r>
      <w:proofErr w:type="spellStart"/>
      <w:r w:rsidRPr="002B3921">
        <w:rPr>
          <w:rFonts w:asciiTheme="minorHAnsi" w:eastAsiaTheme="minorEastAsia" w:hAnsiTheme="minorHAnsi" w:cs="Arial"/>
          <w:i/>
          <w:color w:val="000000"/>
          <w:sz w:val="18"/>
          <w:szCs w:val="18"/>
        </w:rPr>
        <w:t>labour</w:t>
      </w:r>
      <w:proofErr w:type="spellEnd"/>
      <w:r w:rsidRPr="002B3921">
        <w:rPr>
          <w:rFonts w:asciiTheme="minorHAnsi" w:eastAsiaTheme="minorEastAsia" w:hAnsiTheme="minorHAnsi" w:cs="Arial"/>
          <w:i/>
          <w:color w:val="000000"/>
          <w:sz w:val="18"/>
          <w:szCs w:val="18"/>
        </w:rPr>
        <w:t xml:space="preserve"> migration, leaving the land temporarily due to, for example, a lack of irrigation or developmental support, and then return when weather conditions are more conducive to cultivation. In other cases, households opt to move permanently due to the lack of infrastructure or other agricultural support in place, post-land release. These households are simply too poor to cultivate or otherwise use the released land to sustain their livelihoods. The vacated land is left vulnerable to seizure or competing claims by the State or third parties’.</w:t>
      </w:r>
      <w:r>
        <w:rPr>
          <w:rFonts w:asciiTheme="minorHAnsi" w:eastAsiaTheme="minorEastAsia" w:hAnsiTheme="minorHAnsi" w:cs="Arial"/>
          <w:i/>
          <w:color w:val="000000"/>
          <w:sz w:val="18"/>
          <w:szCs w:val="18"/>
        </w:rPr>
        <w:t xml:space="preserve"> </w:t>
      </w:r>
      <w:proofErr w:type="gramStart"/>
      <w:r>
        <w:rPr>
          <w:rFonts w:asciiTheme="minorHAnsi" w:eastAsiaTheme="minorEastAsia" w:hAnsiTheme="minorHAnsi" w:cs="Arial"/>
          <w:color w:val="000000"/>
          <w:sz w:val="18"/>
          <w:szCs w:val="18"/>
        </w:rPr>
        <w:t xml:space="preserve">p. 14, </w:t>
      </w:r>
      <w:r w:rsidRPr="002B3921">
        <w:rPr>
          <w:rFonts w:asciiTheme="minorHAnsi" w:eastAsiaTheme="minorEastAsia" w:hAnsiTheme="minorHAnsi" w:cs="Arial"/>
          <w:i/>
          <w:color w:val="000000"/>
          <w:sz w:val="18"/>
          <w:szCs w:val="18"/>
        </w:rPr>
        <w:t>Doing No Harm?</w:t>
      </w:r>
      <w:proofErr w:type="gramEnd"/>
      <w:r w:rsidRPr="002B3921">
        <w:rPr>
          <w:rFonts w:asciiTheme="minorHAnsi" w:eastAsiaTheme="minorEastAsia" w:hAnsiTheme="minorHAnsi" w:cs="Arial"/>
          <w:i/>
          <w:color w:val="000000"/>
          <w:sz w:val="18"/>
          <w:szCs w:val="18"/>
        </w:rPr>
        <w:t xml:space="preserve"> Mine Action and Land Issues in Cambodia</w:t>
      </w:r>
      <w:r>
        <w:rPr>
          <w:rFonts w:asciiTheme="minorHAnsi" w:eastAsiaTheme="minorEastAsia" w:hAnsiTheme="minorHAnsi" w:cs="Arial"/>
          <w:color w:val="000000"/>
          <w:sz w:val="18"/>
          <w:szCs w:val="18"/>
        </w:rPr>
        <w:t xml:space="preserve">  GICHD</w:t>
      </w:r>
      <w:r w:rsidRPr="002B3921">
        <w:rPr>
          <w:rFonts w:asciiTheme="minorHAnsi" w:eastAsiaTheme="minorEastAsia" w:hAnsiTheme="minorHAnsi" w:cs="Arial"/>
          <w:color w:val="000000"/>
          <w:sz w:val="18"/>
          <w:szCs w:val="18"/>
        </w:rPr>
        <w:t xml:space="preserve"> </w:t>
      </w:r>
      <w:r>
        <w:rPr>
          <w:rFonts w:asciiTheme="minorHAnsi" w:eastAsiaTheme="minorEastAsia" w:hAnsiTheme="minorHAnsi" w:cs="Arial"/>
          <w:color w:val="000000"/>
          <w:sz w:val="18"/>
          <w:szCs w:val="18"/>
        </w:rPr>
        <w:t>Report, September 2014</w:t>
      </w:r>
    </w:p>
  </w:footnote>
  <w:footnote w:id="5">
    <w:p w14:paraId="17372561" w14:textId="77777777" w:rsidR="00762306" w:rsidRPr="00241829" w:rsidRDefault="00762306" w:rsidP="00CC50DA">
      <w:pPr>
        <w:pStyle w:val="FootnoteText"/>
        <w:jc w:val="both"/>
        <w:rPr>
          <w:rFonts w:asciiTheme="minorHAnsi" w:hAnsiTheme="minorHAnsi"/>
          <w:sz w:val="18"/>
          <w:szCs w:val="18"/>
        </w:rPr>
      </w:pPr>
      <w:r w:rsidRPr="00241829">
        <w:rPr>
          <w:rStyle w:val="FootnoteReference"/>
          <w:rFonts w:asciiTheme="minorHAnsi" w:hAnsiTheme="minorHAnsi"/>
          <w:sz w:val="18"/>
          <w:szCs w:val="18"/>
        </w:rPr>
        <w:footnoteRef/>
      </w:r>
      <w:r w:rsidRPr="00241829">
        <w:rPr>
          <w:rFonts w:asciiTheme="minorHAnsi" w:hAnsiTheme="minorHAnsi"/>
          <w:sz w:val="18"/>
          <w:szCs w:val="18"/>
        </w:rPr>
        <w:t xml:space="preserve"> </w:t>
      </w:r>
      <w:r w:rsidRPr="00241829">
        <w:rPr>
          <w:rFonts w:asciiTheme="minorHAnsi" w:eastAsiaTheme="minorEastAsia" w:hAnsiTheme="minorHAnsi" w:cs="Times"/>
          <w:sz w:val="18"/>
          <w:szCs w:val="18"/>
        </w:rPr>
        <w:t xml:space="preserve">It is possible that the Phnom </w:t>
      </w:r>
      <w:proofErr w:type="spellStart"/>
      <w:r w:rsidRPr="00241829">
        <w:rPr>
          <w:rFonts w:asciiTheme="minorHAnsi" w:eastAsiaTheme="minorEastAsia" w:hAnsiTheme="minorHAnsi" w:cs="Times"/>
          <w:sz w:val="18"/>
          <w:szCs w:val="18"/>
        </w:rPr>
        <w:t>Teckar</w:t>
      </w:r>
      <w:proofErr w:type="spellEnd"/>
      <w:r w:rsidRPr="00241829">
        <w:rPr>
          <w:rFonts w:asciiTheme="minorHAnsi" w:eastAsiaTheme="minorEastAsia" w:hAnsiTheme="minorHAnsi" w:cs="Times"/>
          <w:sz w:val="18"/>
          <w:szCs w:val="18"/>
        </w:rPr>
        <w:t xml:space="preserve"> Phnom </w:t>
      </w:r>
      <w:proofErr w:type="spellStart"/>
      <w:r w:rsidRPr="00241829">
        <w:rPr>
          <w:rFonts w:asciiTheme="minorHAnsi" w:eastAsiaTheme="minorEastAsia" w:hAnsiTheme="minorHAnsi" w:cs="Times"/>
          <w:sz w:val="18"/>
          <w:szCs w:val="18"/>
        </w:rPr>
        <w:t>Chaa</w:t>
      </w:r>
      <w:proofErr w:type="spellEnd"/>
      <w:r w:rsidRPr="00241829">
        <w:rPr>
          <w:rFonts w:asciiTheme="minorHAnsi" w:eastAsiaTheme="minorEastAsia" w:hAnsiTheme="minorHAnsi" w:cs="Times"/>
          <w:sz w:val="18"/>
          <w:szCs w:val="18"/>
        </w:rPr>
        <w:t xml:space="preserve"> 317 site in </w:t>
      </w:r>
      <w:proofErr w:type="spellStart"/>
      <w:r w:rsidRPr="00241829">
        <w:rPr>
          <w:rFonts w:asciiTheme="minorHAnsi" w:eastAsiaTheme="minorEastAsia" w:hAnsiTheme="minorHAnsi" w:cs="Times"/>
          <w:sz w:val="18"/>
          <w:szCs w:val="18"/>
        </w:rPr>
        <w:t>Svay</w:t>
      </w:r>
      <w:proofErr w:type="spellEnd"/>
      <w:r w:rsidRPr="00241829">
        <w:rPr>
          <w:rFonts w:asciiTheme="minorHAnsi" w:eastAsiaTheme="minorEastAsia" w:hAnsiTheme="minorHAnsi" w:cs="Times"/>
          <w:sz w:val="18"/>
          <w:szCs w:val="18"/>
        </w:rPr>
        <w:t xml:space="preserve"> </w:t>
      </w:r>
      <w:proofErr w:type="spellStart"/>
      <w:r w:rsidRPr="00241829">
        <w:rPr>
          <w:rFonts w:asciiTheme="minorHAnsi" w:eastAsiaTheme="minorEastAsia" w:hAnsiTheme="minorHAnsi" w:cs="Times"/>
          <w:sz w:val="18"/>
          <w:szCs w:val="18"/>
        </w:rPr>
        <w:t>Chek</w:t>
      </w:r>
      <w:proofErr w:type="spellEnd"/>
      <w:r w:rsidRPr="00241829">
        <w:rPr>
          <w:rFonts w:asciiTheme="minorHAnsi" w:eastAsiaTheme="minorEastAsia" w:hAnsiTheme="minorHAnsi" w:cs="Times"/>
          <w:sz w:val="18"/>
          <w:szCs w:val="18"/>
        </w:rPr>
        <w:t xml:space="preserve"> District, Banteay-</w:t>
      </w:r>
      <w:proofErr w:type="spellStart"/>
      <w:r w:rsidRPr="00241829">
        <w:rPr>
          <w:rFonts w:asciiTheme="minorHAnsi" w:eastAsiaTheme="minorEastAsia" w:hAnsiTheme="minorHAnsi" w:cs="Times"/>
          <w:sz w:val="18"/>
          <w:szCs w:val="18"/>
        </w:rPr>
        <w:t>Meanchay</w:t>
      </w:r>
      <w:proofErr w:type="spellEnd"/>
      <w:r w:rsidRPr="00241829">
        <w:rPr>
          <w:rFonts w:asciiTheme="minorHAnsi" w:eastAsiaTheme="minorEastAsia" w:hAnsiTheme="minorHAnsi" w:cs="Times"/>
          <w:sz w:val="18"/>
          <w:szCs w:val="18"/>
        </w:rPr>
        <w:t xml:space="preserve"> province, that has consumed so many </w:t>
      </w:r>
      <w:proofErr w:type="spellStart"/>
      <w:r w:rsidRPr="00241829">
        <w:rPr>
          <w:rFonts w:asciiTheme="minorHAnsi" w:eastAsiaTheme="minorEastAsia" w:hAnsiTheme="minorHAnsi" w:cs="Times"/>
          <w:sz w:val="18"/>
          <w:szCs w:val="18"/>
        </w:rPr>
        <w:t>CfR</w:t>
      </w:r>
      <w:proofErr w:type="spellEnd"/>
      <w:r w:rsidRPr="00241829">
        <w:rPr>
          <w:rFonts w:asciiTheme="minorHAnsi" w:eastAsiaTheme="minorEastAsia" w:hAnsiTheme="minorHAnsi" w:cs="Times"/>
          <w:sz w:val="18"/>
          <w:szCs w:val="18"/>
        </w:rPr>
        <w:t xml:space="preserve"> II resources, is such a SLC, although it appears to be still under the control of the military</w:t>
      </w:r>
      <w:r w:rsidRPr="008A4FED">
        <w:rPr>
          <w:rFonts w:asciiTheme="minorHAnsi" w:eastAsiaTheme="minorEastAsia" w:hAnsiTheme="minorHAnsi" w:cs="Times"/>
          <w:sz w:val="18"/>
          <w:szCs w:val="18"/>
        </w:rPr>
        <w:t>. See discussion of this in Annex 6</w:t>
      </w:r>
    </w:p>
  </w:footnote>
  <w:footnote w:id="6">
    <w:p w14:paraId="39A1A553" w14:textId="77777777" w:rsidR="00762306" w:rsidRPr="00886387" w:rsidRDefault="00762306" w:rsidP="00CC50DA">
      <w:pPr>
        <w:pStyle w:val="FootnoteText"/>
        <w:jc w:val="both"/>
        <w:rPr>
          <w:rFonts w:asciiTheme="minorHAnsi" w:hAnsiTheme="minorHAnsi"/>
          <w:sz w:val="18"/>
          <w:szCs w:val="18"/>
        </w:rPr>
      </w:pPr>
      <w:r>
        <w:rPr>
          <w:rStyle w:val="FootnoteReference"/>
        </w:rPr>
        <w:footnoteRef/>
      </w:r>
      <w:r>
        <w:t xml:space="preserve"> </w:t>
      </w:r>
      <w:r w:rsidRPr="00886387">
        <w:rPr>
          <w:rFonts w:asciiTheme="minorHAnsi" w:eastAsiaTheme="minorEastAsia" w:hAnsiTheme="minorHAnsi" w:cs="Arial"/>
          <w:i/>
          <w:color w:val="000000"/>
          <w:sz w:val="18"/>
          <w:szCs w:val="18"/>
        </w:rPr>
        <w:t xml:space="preserve">There are cases where landless families have settled on State property that is contaminated. They reside on and/or cultivate the land despite knowing the risk of mine/ERW contamination, in order to meet their socio-economic needs. People who have settled on State private property after the legislative cut-off date (i.e. August </w:t>
      </w:r>
      <w:proofErr w:type="gramStart"/>
      <w:r w:rsidRPr="00886387">
        <w:rPr>
          <w:rFonts w:asciiTheme="minorHAnsi" w:eastAsiaTheme="minorEastAsia" w:hAnsiTheme="minorHAnsi" w:cs="Arial"/>
          <w:i/>
          <w:color w:val="000000"/>
          <w:sz w:val="18"/>
          <w:szCs w:val="18"/>
        </w:rPr>
        <w:t>2001</w:t>
      </w:r>
      <w:r>
        <w:rPr>
          <w:rFonts w:asciiTheme="minorHAnsi" w:eastAsiaTheme="minorEastAsia" w:hAnsiTheme="minorHAnsi" w:cs="Arial"/>
          <w:i/>
          <w:color w:val="000000"/>
          <w:sz w:val="18"/>
          <w:szCs w:val="18"/>
        </w:rPr>
        <w:t xml:space="preserve"> </w:t>
      </w:r>
      <w:r w:rsidRPr="00886387">
        <w:rPr>
          <w:rFonts w:asciiTheme="minorHAnsi" w:eastAsiaTheme="minorEastAsia" w:hAnsiTheme="minorHAnsi" w:cs="Arial"/>
          <w:i/>
          <w:color w:val="000000"/>
          <w:sz w:val="18"/>
          <w:szCs w:val="18"/>
        </w:rPr>
        <w:t xml:space="preserve"> cannot</w:t>
      </w:r>
      <w:proofErr w:type="gramEnd"/>
      <w:r w:rsidRPr="00886387">
        <w:rPr>
          <w:rFonts w:asciiTheme="minorHAnsi" w:eastAsiaTheme="minorEastAsia" w:hAnsiTheme="minorHAnsi" w:cs="Arial"/>
          <w:i/>
          <w:color w:val="000000"/>
          <w:sz w:val="18"/>
          <w:szCs w:val="18"/>
        </w:rPr>
        <w:t xml:space="preserve"> claim possession/ownership rights. In other cases, people have settled on contaminated land that is classified under the Land Law as State public property, such as forests or riverbanks, which means it cannot be privately owned. Mine actors continue to encounter problems in releasing this type of land only to find it cannot be officially allocated to intended beneficiaries during the handover process. The beneficiaries thus remain highly insecure and vulnerable to forced eviction despite the considerable survey/clearance assets used to provide them with safe land for their housing and/or livelihood needs.</w:t>
      </w:r>
      <w:r>
        <w:rPr>
          <w:rFonts w:asciiTheme="minorHAnsi" w:eastAsiaTheme="minorEastAsia" w:hAnsiTheme="minorHAnsi" w:cs="Arial"/>
          <w:i/>
          <w:color w:val="000000"/>
          <w:sz w:val="18"/>
          <w:szCs w:val="18"/>
        </w:rPr>
        <w:t xml:space="preserve"> </w:t>
      </w:r>
      <w:r w:rsidRPr="00886387">
        <w:rPr>
          <w:rFonts w:asciiTheme="minorHAnsi" w:eastAsiaTheme="minorEastAsia" w:hAnsiTheme="minorHAnsi" w:cs="Arial"/>
          <w:b/>
          <w:i/>
          <w:color w:val="000000"/>
          <w:sz w:val="18"/>
          <w:szCs w:val="18"/>
        </w:rPr>
        <w:t>In rare instances, State property has been allocated to landless households through a Social Land Concession (</w:t>
      </w:r>
      <w:proofErr w:type="gramStart"/>
      <w:r w:rsidRPr="00886387">
        <w:rPr>
          <w:rFonts w:asciiTheme="minorHAnsi" w:eastAsiaTheme="minorEastAsia" w:hAnsiTheme="minorHAnsi" w:cs="Arial"/>
          <w:b/>
          <w:i/>
          <w:color w:val="000000"/>
          <w:sz w:val="18"/>
          <w:szCs w:val="18"/>
        </w:rPr>
        <w:t>SLC</w:t>
      </w:r>
      <w:r>
        <w:rPr>
          <w:rFonts w:asciiTheme="minorHAnsi" w:eastAsiaTheme="minorEastAsia" w:hAnsiTheme="minorHAnsi" w:cs="Arial"/>
          <w:b/>
          <w:i/>
          <w:color w:val="000000"/>
          <w:sz w:val="18"/>
          <w:szCs w:val="18"/>
        </w:rPr>
        <w:t xml:space="preserve"> </w:t>
      </w:r>
      <w:r w:rsidRPr="00886387">
        <w:rPr>
          <w:rFonts w:asciiTheme="minorHAnsi" w:eastAsiaTheme="minorEastAsia" w:hAnsiTheme="minorHAnsi" w:cs="Arial"/>
          <w:b/>
          <w:i/>
          <w:color w:val="000000"/>
          <w:sz w:val="18"/>
          <w:szCs w:val="18"/>
        </w:rPr>
        <w:t>.</w:t>
      </w:r>
      <w:proofErr w:type="gramEnd"/>
      <w:r w:rsidRPr="00886387">
        <w:rPr>
          <w:rFonts w:asciiTheme="minorHAnsi" w:eastAsiaTheme="minorEastAsia" w:hAnsiTheme="minorHAnsi" w:cs="Arial"/>
          <w:i/>
          <w:color w:val="000000"/>
          <w:sz w:val="18"/>
          <w:szCs w:val="18"/>
        </w:rPr>
        <w:t xml:space="preserve"> For State public property, it is necessary to first reclassify the land as State private property – an additional slow administrative step. While CMAA has intervened in a small number of cases to have State property reclassified and allocated as an SLC to intended beneficiaries of clearance, this mechanism has been used only in exceptional circumstances and is not standard practice. Indeed, few SLCs have been granted in Cambodia to date due to lack of political will and the high cost of supporting poor families to productively use newly allocated land. SLCs could, however, be granted more systematically to provide tenure security post clearance for households already using the land in question, as it is unlikely to require the same level of developmental support as would be necessary for families newly resettled on allocated land.</w:t>
      </w:r>
      <w:r w:rsidRPr="00886387">
        <w:rPr>
          <w:rFonts w:asciiTheme="minorHAnsi" w:eastAsiaTheme="minorEastAsia" w:hAnsiTheme="minorHAnsi" w:cs="Arial"/>
          <w:color w:val="000000"/>
          <w:sz w:val="18"/>
          <w:szCs w:val="18"/>
        </w:rPr>
        <w:t xml:space="preserve"> </w:t>
      </w:r>
      <w:proofErr w:type="gramStart"/>
      <w:r>
        <w:rPr>
          <w:rFonts w:asciiTheme="minorHAnsi" w:eastAsiaTheme="minorEastAsia" w:hAnsiTheme="minorHAnsi" w:cs="Arial"/>
          <w:color w:val="000000"/>
          <w:sz w:val="18"/>
          <w:szCs w:val="18"/>
        </w:rPr>
        <w:t xml:space="preserve">p. 12, </w:t>
      </w:r>
      <w:r w:rsidRPr="002B3921">
        <w:rPr>
          <w:rFonts w:asciiTheme="minorHAnsi" w:eastAsiaTheme="minorEastAsia" w:hAnsiTheme="minorHAnsi" w:cs="Arial"/>
          <w:i/>
          <w:color w:val="000000"/>
          <w:sz w:val="18"/>
          <w:szCs w:val="18"/>
        </w:rPr>
        <w:t>Doing No Harm?</w:t>
      </w:r>
      <w:proofErr w:type="gramEnd"/>
      <w:r w:rsidRPr="002B3921">
        <w:rPr>
          <w:rFonts w:asciiTheme="minorHAnsi" w:eastAsiaTheme="minorEastAsia" w:hAnsiTheme="minorHAnsi" w:cs="Arial"/>
          <w:i/>
          <w:color w:val="000000"/>
          <w:sz w:val="18"/>
          <w:szCs w:val="18"/>
        </w:rPr>
        <w:t xml:space="preserve"> Mine Action and Land Issues in Cambodia</w:t>
      </w:r>
      <w:r>
        <w:rPr>
          <w:rFonts w:asciiTheme="minorHAnsi" w:eastAsiaTheme="minorEastAsia" w:hAnsiTheme="minorHAnsi" w:cs="Arial"/>
          <w:color w:val="000000"/>
          <w:sz w:val="18"/>
          <w:szCs w:val="18"/>
        </w:rPr>
        <w:t xml:space="preserve">  GICHD</w:t>
      </w:r>
      <w:r w:rsidRPr="002B3921">
        <w:rPr>
          <w:rFonts w:asciiTheme="minorHAnsi" w:eastAsiaTheme="minorEastAsia" w:hAnsiTheme="minorHAnsi" w:cs="Arial"/>
          <w:color w:val="000000"/>
          <w:sz w:val="18"/>
          <w:szCs w:val="18"/>
        </w:rPr>
        <w:t xml:space="preserve"> </w:t>
      </w:r>
      <w:r>
        <w:rPr>
          <w:rFonts w:asciiTheme="minorHAnsi" w:eastAsiaTheme="minorEastAsia" w:hAnsiTheme="minorHAnsi" w:cs="Arial"/>
          <w:color w:val="000000"/>
          <w:sz w:val="18"/>
          <w:szCs w:val="18"/>
        </w:rPr>
        <w:t>Report, September 2014</w:t>
      </w:r>
    </w:p>
  </w:footnote>
  <w:footnote w:id="7">
    <w:p w14:paraId="095025A4" w14:textId="77777777" w:rsidR="00762306" w:rsidRPr="00F54E75" w:rsidRDefault="00762306" w:rsidP="00CC50DA">
      <w:pPr>
        <w:pStyle w:val="FootnoteText"/>
        <w:jc w:val="both"/>
        <w:rPr>
          <w:rFonts w:asciiTheme="minorHAnsi" w:hAnsiTheme="minorHAnsi"/>
          <w:sz w:val="18"/>
          <w:szCs w:val="18"/>
        </w:rPr>
      </w:pPr>
      <w:r w:rsidRPr="00F54E75">
        <w:rPr>
          <w:rStyle w:val="FootnoteReference"/>
          <w:rFonts w:asciiTheme="minorHAnsi" w:hAnsiTheme="minorHAnsi"/>
          <w:sz w:val="18"/>
          <w:szCs w:val="18"/>
        </w:rPr>
        <w:footnoteRef/>
      </w:r>
      <w:r w:rsidRPr="00F54E75">
        <w:rPr>
          <w:rFonts w:asciiTheme="minorHAnsi" w:hAnsiTheme="minorHAnsi"/>
          <w:sz w:val="18"/>
          <w:szCs w:val="18"/>
        </w:rPr>
        <w:t xml:space="preserve"> Distance of SHA from the residential area was the most important criteria mentioned</w:t>
      </w:r>
      <w:r>
        <w:rPr>
          <w:rFonts w:asciiTheme="minorHAnsi" w:hAnsiTheme="minorHAnsi"/>
          <w:sz w:val="18"/>
          <w:szCs w:val="18"/>
        </w:rPr>
        <w:t>, although as the DFID study reveals as well, issues of operator access, safety and site suitability for technical assets seemed to be more important than community need in determining actual allocation of tasks.</w:t>
      </w:r>
    </w:p>
  </w:footnote>
  <w:footnote w:id="8">
    <w:p w14:paraId="21669B0C" w14:textId="77777777" w:rsidR="00202DD0" w:rsidRPr="0067649F" w:rsidRDefault="00202DD0" w:rsidP="00202DD0">
      <w:pPr>
        <w:spacing w:after="0" w:line="240" w:lineRule="auto"/>
        <w:jc w:val="both"/>
        <w:rPr>
          <w:rFonts w:ascii="Cambria" w:eastAsiaTheme="majorEastAsia" w:hAnsi="Cambria" w:cstheme="majorBidi"/>
          <w:sz w:val="18"/>
          <w:szCs w:val="18"/>
        </w:rPr>
      </w:pPr>
      <w:r w:rsidRPr="0067649F">
        <w:rPr>
          <w:rStyle w:val="FootnoteReference"/>
          <w:rFonts w:ascii="Cambria" w:hAnsi="Cambria"/>
          <w:sz w:val="18"/>
          <w:szCs w:val="18"/>
        </w:rPr>
        <w:footnoteRef/>
      </w:r>
      <w:r w:rsidRPr="0067649F">
        <w:rPr>
          <w:rFonts w:ascii="Cambria" w:hAnsi="Cambria"/>
          <w:sz w:val="18"/>
          <w:szCs w:val="18"/>
        </w:rPr>
        <w:t xml:space="preserve"> </w:t>
      </w:r>
      <w:r w:rsidRPr="0067649F">
        <w:rPr>
          <w:rFonts w:ascii="Cambria" w:eastAsiaTheme="majorEastAsia" w:hAnsi="Cambria" w:cstheme="majorBidi"/>
          <w:sz w:val="18"/>
          <w:szCs w:val="18"/>
        </w:rPr>
        <w:t xml:space="preserve">Threat reduction is used here in reference to the work of the ‘informal private’ mine action sector (individual private de-miners, sometimes called village deminers, and more organized groups working commercially within a low-priced Cambodian market place for mine action services . Threat-reduction refers to the physical elimination of threat items (mines and items of </w:t>
      </w:r>
      <w:proofErr w:type="gramStart"/>
      <w:r w:rsidRPr="0067649F">
        <w:rPr>
          <w:rFonts w:ascii="Cambria" w:eastAsiaTheme="majorEastAsia" w:hAnsi="Cambria" w:cstheme="majorBidi"/>
          <w:sz w:val="18"/>
          <w:szCs w:val="18"/>
        </w:rPr>
        <w:t>ERW  from</w:t>
      </w:r>
      <w:proofErr w:type="gramEnd"/>
      <w:r w:rsidRPr="0067649F">
        <w:rPr>
          <w:rFonts w:ascii="Cambria" w:eastAsiaTheme="majorEastAsia" w:hAnsi="Cambria" w:cstheme="majorBidi"/>
          <w:sz w:val="18"/>
          <w:szCs w:val="18"/>
        </w:rPr>
        <w:t xml:space="preserve"> an area, but without the level of confidence that comes from clearance to national standards. Threat-reduction in mine action was the way HALO Trust referred to its mobile teams focused on reducing the risks of travel on roads in Angola and elsewhere in the mid-2000s. The did not claim their processes were road clearance as such, but rather sought to reduce the number of threat items on the roads, and therefore the overall risk, to broadly acceptable levels, whilst accepting there remains a residual risk. The advantage of this type of process is that it can make a rapid difference risk levels over a far greater amount of road network, in a relative short period of time. </w:t>
      </w:r>
    </w:p>
    <w:p w14:paraId="7856D93F" w14:textId="77777777" w:rsidR="00202DD0" w:rsidRPr="00305728" w:rsidRDefault="00202DD0" w:rsidP="00202DD0">
      <w:pPr>
        <w:spacing w:after="0" w:line="240" w:lineRule="auto"/>
        <w:jc w:val="both"/>
        <w:rPr>
          <w:rFonts w:eastAsiaTheme="majorEastAsia" w:cstheme="majorBidi"/>
          <w:b/>
        </w:rPr>
      </w:pPr>
    </w:p>
    <w:p w14:paraId="2C19D7C2" w14:textId="4B053247" w:rsidR="00202DD0" w:rsidRDefault="00202D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85"/>
    <w:multiLevelType w:val="hybridMultilevel"/>
    <w:tmpl w:val="83E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1276C"/>
    <w:multiLevelType w:val="hybridMultilevel"/>
    <w:tmpl w:val="F9EC6756"/>
    <w:lvl w:ilvl="0" w:tplc="366E714C">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7B05"/>
    <w:multiLevelType w:val="hybridMultilevel"/>
    <w:tmpl w:val="8A4029B0"/>
    <w:lvl w:ilvl="0" w:tplc="EC9A6C34">
      <w:start w:val="7"/>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50824F6E"/>
    <w:multiLevelType w:val="hybridMultilevel"/>
    <w:tmpl w:val="DECCC04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F400F"/>
    <w:multiLevelType w:val="hybridMultilevel"/>
    <w:tmpl w:val="782C98C8"/>
    <w:lvl w:ilvl="0" w:tplc="EC9A6C34">
      <w:start w:val="7"/>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87BA6"/>
    <w:multiLevelType w:val="hybridMultilevel"/>
    <w:tmpl w:val="B376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E698D"/>
    <w:multiLevelType w:val="hybridMultilevel"/>
    <w:tmpl w:val="E8E8AAD6"/>
    <w:lvl w:ilvl="0" w:tplc="63682850">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C1ED6"/>
    <w:multiLevelType w:val="hybridMultilevel"/>
    <w:tmpl w:val="22EE6F28"/>
    <w:lvl w:ilvl="0" w:tplc="AD123EA8">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45088"/>
    <w:multiLevelType w:val="hybridMultilevel"/>
    <w:tmpl w:val="9EC8D0BC"/>
    <w:lvl w:ilvl="0" w:tplc="1710475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C22D7"/>
    <w:multiLevelType w:val="hybridMultilevel"/>
    <w:tmpl w:val="8F94ACF6"/>
    <w:lvl w:ilvl="0" w:tplc="6DB4036C">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 w:numId="8">
    <w:abstractNumId w:val="7"/>
  </w:num>
  <w:num w:numId="9">
    <w:abstractNumId w:val="8"/>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khshona Rajabova">
    <w15:presenceInfo w15:providerId="AD" w15:userId="S-1-5-21-2143131137-3231602891-3891068239-7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56"/>
    <w:rsid w:val="0001068B"/>
    <w:rsid w:val="00012824"/>
    <w:rsid w:val="00014E79"/>
    <w:rsid w:val="00030B83"/>
    <w:rsid w:val="00057C59"/>
    <w:rsid w:val="00061281"/>
    <w:rsid w:val="0007595D"/>
    <w:rsid w:val="000771F3"/>
    <w:rsid w:val="0007744D"/>
    <w:rsid w:val="00080367"/>
    <w:rsid w:val="0008642E"/>
    <w:rsid w:val="00090502"/>
    <w:rsid w:val="00092121"/>
    <w:rsid w:val="000973E4"/>
    <w:rsid w:val="000A6415"/>
    <w:rsid w:val="000B60F4"/>
    <w:rsid w:val="000B62BB"/>
    <w:rsid w:val="000C0854"/>
    <w:rsid w:val="000C3795"/>
    <w:rsid w:val="000C483D"/>
    <w:rsid w:val="000C53D0"/>
    <w:rsid w:val="000C5C87"/>
    <w:rsid w:val="000D39B0"/>
    <w:rsid w:val="000D6F5A"/>
    <w:rsid w:val="000E0FEC"/>
    <w:rsid w:val="000E7C67"/>
    <w:rsid w:val="000F3DC3"/>
    <w:rsid w:val="000F6063"/>
    <w:rsid w:val="0010091A"/>
    <w:rsid w:val="001026F5"/>
    <w:rsid w:val="00105BB6"/>
    <w:rsid w:val="00106B54"/>
    <w:rsid w:val="001103AF"/>
    <w:rsid w:val="00121113"/>
    <w:rsid w:val="001212A6"/>
    <w:rsid w:val="0013324B"/>
    <w:rsid w:val="00135561"/>
    <w:rsid w:val="00142D14"/>
    <w:rsid w:val="00144DE7"/>
    <w:rsid w:val="0014796E"/>
    <w:rsid w:val="001506CB"/>
    <w:rsid w:val="00150F8D"/>
    <w:rsid w:val="001545D7"/>
    <w:rsid w:val="00160273"/>
    <w:rsid w:val="00170FC4"/>
    <w:rsid w:val="001A5AAA"/>
    <w:rsid w:val="001A6CCD"/>
    <w:rsid w:val="001B1A1D"/>
    <w:rsid w:val="001B5BD3"/>
    <w:rsid w:val="001B612D"/>
    <w:rsid w:val="001D4289"/>
    <w:rsid w:val="001F2295"/>
    <w:rsid w:val="00202DD0"/>
    <w:rsid w:val="00204370"/>
    <w:rsid w:val="002045D6"/>
    <w:rsid w:val="00207393"/>
    <w:rsid w:val="00210946"/>
    <w:rsid w:val="00216F76"/>
    <w:rsid w:val="00225AB2"/>
    <w:rsid w:val="0023353D"/>
    <w:rsid w:val="00240714"/>
    <w:rsid w:val="0024757B"/>
    <w:rsid w:val="0025750E"/>
    <w:rsid w:val="00261C37"/>
    <w:rsid w:val="00272973"/>
    <w:rsid w:val="00274F5E"/>
    <w:rsid w:val="00275667"/>
    <w:rsid w:val="00280197"/>
    <w:rsid w:val="0028387A"/>
    <w:rsid w:val="00283C85"/>
    <w:rsid w:val="00284ED9"/>
    <w:rsid w:val="00295A83"/>
    <w:rsid w:val="002B1622"/>
    <w:rsid w:val="002B1808"/>
    <w:rsid w:val="002C03F2"/>
    <w:rsid w:val="002C19FA"/>
    <w:rsid w:val="002D0B26"/>
    <w:rsid w:val="002D51B4"/>
    <w:rsid w:val="002E2985"/>
    <w:rsid w:val="002F1CF0"/>
    <w:rsid w:val="002F7019"/>
    <w:rsid w:val="002F7A7C"/>
    <w:rsid w:val="0030039E"/>
    <w:rsid w:val="00302DAF"/>
    <w:rsid w:val="00305342"/>
    <w:rsid w:val="00305998"/>
    <w:rsid w:val="003103CF"/>
    <w:rsid w:val="0031068E"/>
    <w:rsid w:val="00317B36"/>
    <w:rsid w:val="00323DB8"/>
    <w:rsid w:val="003255E1"/>
    <w:rsid w:val="00326465"/>
    <w:rsid w:val="00327355"/>
    <w:rsid w:val="00330B8A"/>
    <w:rsid w:val="00340C16"/>
    <w:rsid w:val="00346781"/>
    <w:rsid w:val="00357D05"/>
    <w:rsid w:val="0036410B"/>
    <w:rsid w:val="003700D7"/>
    <w:rsid w:val="003721EC"/>
    <w:rsid w:val="00374F76"/>
    <w:rsid w:val="00375CFF"/>
    <w:rsid w:val="003826DF"/>
    <w:rsid w:val="00385636"/>
    <w:rsid w:val="00390C53"/>
    <w:rsid w:val="00391BC6"/>
    <w:rsid w:val="0039640B"/>
    <w:rsid w:val="003A74C2"/>
    <w:rsid w:val="003B6499"/>
    <w:rsid w:val="003B6647"/>
    <w:rsid w:val="003B79FE"/>
    <w:rsid w:val="003C255D"/>
    <w:rsid w:val="003C3F51"/>
    <w:rsid w:val="003D478C"/>
    <w:rsid w:val="003E3D80"/>
    <w:rsid w:val="003F269B"/>
    <w:rsid w:val="003F4AAB"/>
    <w:rsid w:val="003F7BCB"/>
    <w:rsid w:val="00403E4E"/>
    <w:rsid w:val="00413513"/>
    <w:rsid w:val="004171E8"/>
    <w:rsid w:val="00417944"/>
    <w:rsid w:val="00430B38"/>
    <w:rsid w:val="0044318A"/>
    <w:rsid w:val="00447079"/>
    <w:rsid w:val="00447466"/>
    <w:rsid w:val="004533DF"/>
    <w:rsid w:val="0045693F"/>
    <w:rsid w:val="00465FF5"/>
    <w:rsid w:val="004662F2"/>
    <w:rsid w:val="0046746D"/>
    <w:rsid w:val="004712A6"/>
    <w:rsid w:val="00476F33"/>
    <w:rsid w:val="00480E55"/>
    <w:rsid w:val="00483A0F"/>
    <w:rsid w:val="00493350"/>
    <w:rsid w:val="00493447"/>
    <w:rsid w:val="0049410E"/>
    <w:rsid w:val="004947E7"/>
    <w:rsid w:val="004A24A1"/>
    <w:rsid w:val="004A664B"/>
    <w:rsid w:val="004B14CD"/>
    <w:rsid w:val="004B4973"/>
    <w:rsid w:val="004C21BB"/>
    <w:rsid w:val="004C58D8"/>
    <w:rsid w:val="004C6941"/>
    <w:rsid w:val="004C7357"/>
    <w:rsid w:val="004D1D86"/>
    <w:rsid w:val="004D42B6"/>
    <w:rsid w:val="004E6788"/>
    <w:rsid w:val="004F156C"/>
    <w:rsid w:val="004F2B5E"/>
    <w:rsid w:val="004F42B2"/>
    <w:rsid w:val="00512E9F"/>
    <w:rsid w:val="0051479A"/>
    <w:rsid w:val="00522E6B"/>
    <w:rsid w:val="00530E51"/>
    <w:rsid w:val="00535836"/>
    <w:rsid w:val="00537699"/>
    <w:rsid w:val="0054723E"/>
    <w:rsid w:val="0055624C"/>
    <w:rsid w:val="00560803"/>
    <w:rsid w:val="00566CBA"/>
    <w:rsid w:val="00570FF1"/>
    <w:rsid w:val="00573088"/>
    <w:rsid w:val="005744D1"/>
    <w:rsid w:val="00574639"/>
    <w:rsid w:val="0058241E"/>
    <w:rsid w:val="005825E9"/>
    <w:rsid w:val="00590B6B"/>
    <w:rsid w:val="00590C0D"/>
    <w:rsid w:val="00595E25"/>
    <w:rsid w:val="00596159"/>
    <w:rsid w:val="005A52EA"/>
    <w:rsid w:val="005B2542"/>
    <w:rsid w:val="005B666C"/>
    <w:rsid w:val="005C1082"/>
    <w:rsid w:val="005C6D23"/>
    <w:rsid w:val="005E36DB"/>
    <w:rsid w:val="005E6531"/>
    <w:rsid w:val="005F21CA"/>
    <w:rsid w:val="005F784C"/>
    <w:rsid w:val="00607065"/>
    <w:rsid w:val="0061665F"/>
    <w:rsid w:val="00625B65"/>
    <w:rsid w:val="0063252C"/>
    <w:rsid w:val="00633E67"/>
    <w:rsid w:val="0063481E"/>
    <w:rsid w:val="00634EC7"/>
    <w:rsid w:val="00635784"/>
    <w:rsid w:val="00641767"/>
    <w:rsid w:val="00642A0A"/>
    <w:rsid w:val="00647875"/>
    <w:rsid w:val="00657034"/>
    <w:rsid w:val="00661B74"/>
    <w:rsid w:val="00665DB2"/>
    <w:rsid w:val="00673053"/>
    <w:rsid w:val="0067649F"/>
    <w:rsid w:val="006870FC"/>
    <w:rsid w:val="0069378D"/>
    <w:rsid w:val="00696331"/>
    <w:rsid w:val="006971A4"/>
    <w:rsid w:val="0069790A"/>
    <w:rsid w:val="006A420F"/>
    <w:rsid w:val="006B037D"/>
    <w:rsid w:val="006B0C4F"/>
    <w:rsid w:val="006B3289"/>
    <w:rsid w:val="006B34D3"/>
    <w:rsid w:val="006B4F3A"/>
    <w:rsid w:val="006C08E0"/>
    <w:rsid w:val="006C7A73"/>
    <w:rsid w:val="006D032D"/>
    <w:rsid w:val="006E2D15"/>
    <w:rsid w:val="006E7F2C"/>
    <w:rsid w:val="0070289B"/>
    <w:rsid w:val="007118A6"/>
    <w:rsid w:val="0071378F"/>
    <w:rsid w:val="007139E5"/>
    <w:rsid w:val="007155BA"/>
    <w:rsid w:val="0072418F"/>
    <w:rsid w:val="0074089F"/>
    <w:rsid w:val="007470DA"/>
    <w:rsid w:val="00760077"/>
    <w:rsid w:val="0076140D"/>
    <w:rsid w:val="00762306"/>
    <w:rsid w:val="00765BA8"/>
    <w:rsid w:val="00772AE5"/>
    <w:rsid w:val="00775938"/>
    <w:rsid w:val="0077680D"/>
    <w:rsid w:val="00780AA9"/>
    <w:rsid w:val="00781CEB"/>
    <w:rsid w:val="00791158"/>
    <w:rsid w:val="00796C32"/>
    <w:rsid w:val="007A06CF"/>
    <w:rsid w:val="007A0B8D"/>
    <w:rsid w:val="007A1778"/>
    <w:rsid w:val="007A1DE4"/>
    <w:rsid w:val="007A5E56"/>
    <w:rsid w:val="007B0F67"/>
    <w:rsid w:val="007B1035"/>
    <w:rsid w:val="007C1AF9"/>
    <w:rsid w:val="007C4F5D"/>
    <w:rsid w:val="007D460E"/>
    <w:rsid w:val="007D5774"/>
    <w:rsid w:val="007E1EEB"/>
    <w:rsid w:val="007E519D"/>
    <w:rsid w:val="007E5414"/>
    <w:rsid w:val="00803688"/>
    <w:rsid w:val="00806107"/>
    <w:rsid w:val="008153F9"/>
    <w:rsid w:val="008225FC"/>
    <w:rsid w:val="008226D3"/>
    <w:rsid w:val="00831990"/>
    <w:rsid w:val="00844292"/>
    <w:rsid w:val="00864980"/>
    <w:rsid w:val="00870AEA"/>
    <w:rsid w:val="00877343"/>
    <w:rsid w:val="008853D4"/>
    <w:rsid w:val="00885E4E"/>
    <w:rsid w:val="0088661F"/>
    <w:rsid w:val="008A1E58"/>
    <w:rsid w:val="008A5873"/>
    <w:rsid w:val="008B1A95"/>
    <w:rsid w:val="008B1FF0"/>
    <w:rsid w:val="008B2B5A"/>
    <w:rsid w:val="008D0144"/>
    <w:rsid w:val="008D1621"/>
    <w:rsid w:val="008D1A05"/>
    <w:rsid w:val="008D4FE6"/>
    <w:rsid w:val="008D744C"/>
    <w:rsid w:val="008F51CC"/>
    <w:rsid w:val="00905E49"/>
    <w:rsid w:val="009066E8"/>
    <w:rsid w:val="00912FBD"/>
    <w:rsid w:val="009169B2"/>
    <w:rsid w:val="009235DF"/>
    <w:rsid w:val="009302E6"/>
    <w:rsid w:val="009359A2"/>
    <w:rsid w:val="00940962"/>
    <w:rsid w:val="009516D0"/>
    <w:rsid w:val="009601AF"/>
    <w:rsid w:val="0096744E"/>
    <w:rsid w:val="00976EB7"/>
    <w:rsid w:val="00985931"/>
    <w:rsid w:val="00991AE9"/>
    <w:rsid w:val="009B1046"/>
    <w:rsid w:val="009B109C"/>
    <w:rsid w:val="009B301A"/>
    <w:rsid w:val="009B7FF5"/>
    <w:rsid w:val="009C1832"/>
    <w:rsid w:val="009C1AD3"/>
    <w:rsid w:val="009C3975"/>
    <w:rsid w:val="009C7EAB"/>
    <w:rsid w:val="009D08BB"/>
    <w:rsid w:val="009D4F04"/>
    <w:rsid w:val="009E4820"/>
    <w:rsid w:val="009F072E"/>
    <w:rsid w:val="009F198D"/>
    <w:rsid w:val="009F2C66"/>
    <w:rsid w:val="00A0021E"/>
    <w:rsid w:val="00A055EF"/>
    <w:rsid w:val="00A117DC"/>
    <w:rsid w:val="00A20EE8"/>
    <w:rsid w:val="00A3733C"/>
    <w:rsid w:val="00A40D90"/>
    <w:rsid w:val="00A42B3A"/>
    <w:rsid w:val="00A43F57"/>
    <w:rsid w:val="00A504D4"/>
    <w:rsid w:val="00A53A72"/>
    <w:rsid w:val="00A72E36"/>
    <w:rsid w:val="00A82C36"/>
    <w:rsid w:val="00A8512B"/>
    <w:rsid w:val="00A859BF"/>
    <w:rsid w:val="00A97CEE"/>
    <w:rsid w:val="00AA1786"/>
    <w:rsid w:val="00AA17C2"/>
    <w:rsid w:val="00AB6567"/>
    <w:rsid w:val="00AD1F70"/>
    <w:rsid w:val="00AE4593"/>
    <w:rsid w:val="00AE6680"/>
    <w:rsid w:val="00AE6D47"/>
    <w:rsid w:val="00AE78E5"/>
    <w:rsid w:val="00AF0F18"/>
    <w:rsid w:val="00AF16F3"/>
    <w:rsid w:val="00AF4564"/>
    <w:rsid w:val="00AF508D"/>
    <w:rsid w:val="00AF757D"/>
    <w:rsid w:val="00B008BE"/>
    <w:rsid w:val="00B014D2"/>
    <w:rsid w:val="00B13413"/>
    <w:rsid w:val="00B2280D"/>
    <w:rsid w:val="00B27B96"/>
    <w:rsid w:val="00B32086"/>
    <w:rsid w:val="00B32EA1"/>
    <w:rsid w:val="00B40807"/>
    <w:rsid w:val="00B501C6"/>
    <w:rsid w:val="00B540B3"/>
    <w:rsid w:val="00B5475A"/>
    <w:rsid w:val="00B7396A"/>
    <w:rsid w:val="00B876DB"/>
    <w:rsid w:val="00B90C13"/>
    <w:rsid w:val="00B914DD"/>
    <w:rsid w:val="00B96A49"/>
    <w:rsid w:val="00BA1955"/>
    <w:rsid w:val="00BA195D"/>
    <w:rsid w:val="00BA6D18"/>
    <w:rsid w:val="00BB651C"/>
    <w:rsid w:val="00BC1271"/>
    <w:rsid w:val="00BF5CD2"/>
    <w:rsid w:val="00C118F3"/>
    <w:rsid w:val="00C12A4D"/>
    <w:rsid w:val="00C13F43"/>
    <w:rsid w:val="00C22682"/>
    <w:rsid w:val="00C25014"/>
    <w:rsid w:val="00C30812"/>
    <w:rsid w:val="00C31FA2"/>
    <w:rsid w:val="00C405BA"/>
    <w:rsid w:val="00C40B28"/>
    <w:rsid w:val="00C4203D"/>
    <w:rsid w:val="00C42DA7"/>
    <w:rsid w:val="00C45821"/>
    <w:rsid w:val="00C47F1D"/>
    <w:rsid w:val="00C51E77"/>
    <w:rsid w:val="00C71227"/>
    <w:rsid w:val="00C72819"/>
    <w:rsid w:val="00C739D9"/>
    <w:rsid w:val="00C76092"/>
    <w:rsid w:val="00C77FF1"/>
    <w:rsid w:val="00C82544"/>
    <w:rsid w:val="00C82E3A"/>
    <w:rsid w:val="00C90B5E"/>
    <w:rsid w:val="00CA33AA"/>
    <w:rsid w:val="00CA710E"/>
    <w:rsid w:val="00CB7145"/>
    <w:rsid w:val="00CC402D"/>
    <w:rsid w:val="00CC50DA"/>
    <w:rsid w:val="00CC64D1"/>
    <w:rsid w:val="00CD134E"/>
    <w:rsid w:val="00CD4CE0"/>
    <w:rsid w:val="00CE793B"/>
    <w:rsid w:val="00CF198F"/>
    <w:rsid w:val="00D00296"/>
    <w:rsid w:val="00D03AD3"/>
    <w:rsid w:val="00D06F78"/>
    <w:rsid w:val="00D07C6A"/>
    <w:rsid w:val="00D27FC2"/>
    <w:rsid w:val="00D319FA"/>
    <w:rsid w:val="00D31FE7"/>
    <w:rsid w:val="00D32884"/>
    <w:rsid w:val="00D46925"/>
    <w:rsid w:val="00D63FC2"/>
    <w:rsid w:val="00D6721B"/>
    <w:rsid w:val="00D76115"/>
    <w:rsid w:val="00D82108"/>
    <w:rsid w:val="00D823CE"/>
    <w:rsid w:val="00D84662"/>
    <w:rsid w:val="00D847A8"/>
    <w:rsid w:val="00D9363E"/>
    <w:rsid w:val="00D97AD5"/>
    <w:rsid w:val="00DA0A79"/>
    <w:rsid w:val="00DA2503"/>
    <w:rsid w:val="00DA4A66"/>
    <w:rsid w:val="00DB6B1E"/>
    <w:rsid w:val="00DC4152"/>
    <w:rsid w:val="00DC7C6E"/>
    <w:rsid w:val="00DD089F"/>
    <w:rsid w:val="00DD0B9A"/>
    <w:rsid w:val="00DD0BF3"/>
    <w:rsid w:val="00DD38CD"/>
    <w:rsid w:val="00DD64F9"/>
    <w:rsid w:val="00DE3253"/>
    <w:rsid w:val="00DE331E"/>
    <w:rsid w:val="00DE3444"/>
    <w:rsid w:val="00DE362F"/>
    <w:rsid w:val="00DF0D50"/>
    <w:rsid w:val="00DF3B45"/>
    <w:rsid w:val="00E03A29"/>
    <w:rsid w:val="00E105ED"/>
    <w:rsid w:val="00E14E11"/>
    <w:rsid w:val="00E151F1"/>
    <w:rsid w:val="00E1707A"/>
    <w:rsid w:val="00E21E7F"/>
    <w:rsid w:val="00E31D68"/>
    <w:rsid w:val="00E332D6"/>
    <w:rsid w:val="00E35AC5"/>
    <w:rsid w:val="00E4065A"/>
    <w:rsid w:val="00E43D81"/>
    <w:rsid w:val="00E45C10"/>
    <w:rsid w:val="00E52AFE"/>
    <w:rsid w:val="00E6117F"/>
    <w:rsid w:val="00E64C37"/>
    <w:rsid w:val="00E719B8"/>
    <w:rsid w:val="00E814B1"/>
    <w:rsid w:val="00E8753D"/>
    <w:rsid w:val="00E957FE"/>
    <w:rsid w:val="00EA3E2E"/>
    <w:rsid w:val="00EA4A62"/>
    <w:rsid w:val="00EB6417"/>
    <w:rsid w:val="00EB7528"/>
    <w:rsid w:val="00EC3032"/>
    <w:rsid w:val="00EC7C38"/>
    <w:rsid w:val="00EF08E3"/>
    <w:rsid w:val="00EF3D76"/>
    <w:rsid w:val="00EF6BB2"/>
    <w:rsid w:val="00F0249E"/>
    <w:rsid w:val="00F03280"/>
    <w:rsid w:val="00F071BE"/>
    <w:rsid w:val="00F101ED"/>
    <w:rsid w:val="00F13B1D"/>
    <w:rsid w:val="00F24FA0"/>
    <w:rsid w:val="00F26358"/>
    <w:rsid w:val="00F265FF"/>
    <w:rsid w:val="00F27418"/>
    <w:rsid w:val="00F33DB7"/>
    <w:rsid w:val="00F447B5"/>
    <w:rsid w:val="00F477C8"/>
    <w:rsid w:val="00F5548F"/>
    <w:rsid w:val="00F5767B"/>
    <w:rsid w:val="00F658CC"/>
    <w:rsid w:val="00F71078"/>
    <w:rsid w:val="00F71BC7"/>
    <w:rsid w:val="00F71D42"/>
    <w:rsid w:val="00F71F80"/>
    <w:rsid w:val="00F76C8C"/>
    <w:rsid w:val="00F9517D"/>
    <w:rsid w:val="00FB1F76"/>
    <w:rsid w:val="00FB2D1E"/>
    <w:rsid w:val="00FB3402"/>
    <w:rsid w:val="00FB3784"/>
    <w:rsid w:val="00FC055B"/>
    <w:rsid w:val="00FC2B04"/>
    <w:rsid w:val="00FC3032"/>
    <w:rsid w:val="00FD021C"/>
    <w:rsid w:val="00FD439B"/>
    <w:rsid w:val="00FD5AD9"/>
    <w:rsid w:val="00FD5AE1"/>
    <w:rsid w:val="00FF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58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FF"/>
    <w:pPr>
      <w:ind w:left="720"/>
      <w:contextualSpacing/>
    </w:pPr>
  </w:style>
  <w:style w:type="table" w:styleId="TableGrid">
    <w:name w:val="Table Grid"/>
    <w:basedOn w:val="TableNormal"/>
    <w:uiPriority w:val="59"/>
    <w:rsid w:val="00FB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18A6"/>
    <w:rPr>
      <w:sz w:val="16"/>
      <w:szCs w:val="16"/>
    </w:rPr>
  </w:style>
  <w:style w:type="paragraph" w:styleId="CommentText">
    <w:name w:val="annotation text"/>
    <w:basedOn w:val="Normal"/>
    <w:link w:val="CommentTextChar"/>
    <w:uiPriority w:val="99"/>
    <w:semiHidden/>
    <w:unhideWhenUsed/>
    <w:rsid w:val="007118A6"/>
    <w:pPr>
      <w:spacing w:line="240" w:lineRule="auto"/>
    </w:pPr>
    <w:rPr>
      <w:sz w:val="20"/>
      <w:szCs w:val="32"/>
    </w:rPr>
  </w:style>
  <w:style w:type="character" w:customStyle="1" w:styleId="CommentTextChar">
    <w:name w:val="Comment Text Char"/>
    <w:basedOn w:val="DefaultParagraphFont"/>
    <w:link w:val="CommentText"/>
    <w:uiPriority w:val="99"/>
    <w:semiHidden/>
    <w:rsid w:val="007118A6"/>
    <w:rPr>
      <w:sz w:val="20"/>
      <w:szCs w:val="32"/>
    </w:rPr>
  </w:style>
  <w:style w:type="paragraph" w:styleId="CommentSubject">
    <w:name w:val="annotation subject"/>
    <w:basedOn w:val="CommentText"/>
    <w:next w:val="CommentText"/>
    <w:link w:val="CommentSubjectChar"/>
    <w:uiPriority w:val="99"/>
    <w:semiHidden/>
    <w:unhideWhenUsed/>
    <w:rsid w:val="007118A6"/>
    <w:rPr>
      <w:b/>
      <w:bCs/>
    </w:rPr>
  </w:style>
  <w:style w:type="character" w:customStyle="1" w:styleId="CommentSubjectChar">
    <w:name w:val="Comment Subject Char"/>
    <w:basedOn w:val="CommentTextChar"/>
    <w:link w:val="CommentSubject"/>
    <w:uiPriority w:val="99"/>
    <w:semiHidden/>
    <w:rsid w:val="007118A6"/>
    <w:rPr>
      <w:b/>
      <w:bCs/>
      <w:sz w:val="20"/>
      <w:szCs w:val="32"/>
    </w:rPr>
  </w:style>
  <w:style w:type="paragraph" w:styleId="BalloonText">
    <w:name w:val="Balloon Text"/>
    <w:basedOn w:val="Normal"/>
    <w:link w:val="BalloonTextChar"/>
    <w:uiPriority w:val="99"/>
    <w:semiHidden/>
    <w:unhideWhenUsed/>
    <w:rsid w:val="007118A6"/>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7118A6"/>
    <w:rPr>
      <w:rFonts w:ascii="Segoe UI" w:hAnsi="Segoe UI" w:cs="Segoe UI"/>
      <w:sz w:val="18"/>
      <w:szCs w:val="29"/>
    </w:rPr>
  </w:style>
  <w:style w:type="paragraph" w:customStyle="1" w:styleId="MediumGrid21">
    <w:name w:val="Medium Grid 21"/>
    <w:uiPriority w:val="1"/>
    <w:qFormat/>
    <w:rsid w:val="00C51E77"/>
    <w:pPr>
      <w:spacing w:after="0" w:line="240" w:lineRule="auto"/>
    </w:pPr>
    <w:rPr>
      <w:rFonts w:ascii="Times New Roman" w:eastAsia="Calibri" w:hAnsi="Times New Roman" w:cs="DaunPenh"/>
      <w:szCs w:val="22"/>
      <w:lang w:bidi="ar-SA"/>
    </w:rPr>
  </w:style>
  <w:style w:type="paragraph" w:styleId="NoSpacing">
    <w:name w:val="No Spacing"/>
    <w:uiPriority w:val="1"/>
    <w:qFormat/>
    <w:rsid w:val="00FB1F76"/>
    <w:pPr>
      <w:spacing w:after="0" w:line="240" w:lineRule="auto"/>
    </w:pPr>
  </w:style>
  <w:style w:type="paragraph" w:styleId="Header">
    <w:name w:val="header"/>
    <w:basedOn w:val="Normal"/>
    <w:link w:val="HeaderChar"/>
    <w:uiPriority w:val="99"/>
    <w:unhideWhenUsed/>
    <w:rsid w:val="00BA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5D"/>
  </w:style>
  <w:style w:type="paragraph" w:styleId="Footer">
    <w:name w:val="footer"/>
    <w:basedOn w:val="Normal"/>
    <w:link w:val="FooterChar"/>
    <w:uiPriority w:val="99"/>
    <w:unhideWhenUsed/>
    <w:rsid w:val="00BA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5D"/>
  </w:style>
  <w:style w:type="character" w:styleId="Hyperlink">
    <w:name w:val="Hyperlink"/>
    <w:basedOn w:val="DefaultParagraphFont"/>
    <w:uiPriority w:val="99"/>
    <w:unhideWhenUsed/>
    <w:rsid w:val="0096744E"/>
    <w:rPr>
      <w:color w:val="0563C1" w:themeColor="hyperlink"/>
      <w:u w:val="single"/>
    </w:rPr>
  </w:style>
  <w:style w:type="paragraph" w:styleId="FootnoteText">
    <w:name w:val="footnote text"/>
    <w:aliases w:val="LM Footnote,LM Note de bas de page,Note de bas de page LM,LM footnote,Footnote Text LM,single space,LM fo...,LM fo... Char,Footnote Text Char Char Char Char Char Char Char,Char Char,Footnote Text1,LM Footnote1,LM Note de bas de page1, Car"/>
    <w:basedOn w:val="Normal"/>
    <w:link w:val="FootnoteTextChar"/>
    <w:uiPriority w:val="99"/>
    <w:unhideWhenUsed/>
    <w:rsid w:val="00CC50DA"/>
    <w:pPr>
      <w:spacing w:after="0" w:line="240" w:lineRule="auto"/>
    </w:pPr>
    <w:rPr>
      <w:rFonts w:ascii="Myriad Pro" w:eastAsia="Times New Roman" w:hAnsi="Myriad Pro" w:cs="Times New Roman"/>
      <w:sz w:val="24"/>
      <w:szCs w:val="24"/>
      <w:lang w:bidi="ar-SA"/>
    </w:rPr>
  </w:style>
  <w:style w:type="character" w:customStyle="1" w:styleId="FootnoteTextChar">
    <w:name w:val="Footnote Text Char"/>
    <w:aliases w:val="LM Footnote Char,LM Note de bas de page Char,Note de bas de page LM Char,LM footnote Char,Footnote Text LM Char,single space Char,LM fo... Char1,LM fo... Char Char,Footnote Text Char Char Char Char Char Char Char Char,Char Char Char"/>
    <w:basedOn w:val="DefaultParagraphFont"/>
    <w:link w:val="FootnoteText"/>
    <w:uiPriority w:val="99"/>
    <w:rsid w:val="00CC50DA"/>
    <w:rPr>
      <w:rFonts w:ascii="Myriad Pro" w:eastAsia="Times New Roman" w:hAnsi="Myriad Pro" w:cs="Times New Roman"/>
      <w:sz w:val="24"/>
      <w:szCs w:val="24"/>
      <w:lang w:bidi="ar-SA"/>
    </w:rPr>
  </w:style>
  <w:style w:type="character" w:styleId="FootnoteReference">
    <w:name w:val="footnote reference"/>
    <w:aliases w:val="16 Point,Superscript 6 Point,ftref, Carattere Char1, Carattere Char Char Carattere Carattere Char Char,Footnote Reference Char Char Char,Carattere Char Carattere Carattere Char Carattere Char Carattere Char Char Char1 Char,16 Poin"/>
    <w:basedOn w:val="DefaultParagraphFont"/>
    <w:link w:val="BVIfnrCharCharChar"/>
    <w:uiPriority w:val="99"/>
    <w:unhideWhenUsed/>
    <w:qFormat/>
    <w:rsid w:val="00CC50DA"/>
    <w:rPr>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rsid w:val="00CC50DA"/>
    <w:pPr>
      <w:spacing w:before="120" w:line="240" w:lineRule="exact"/>
    </w:pPr>
    <w:rPr>
      <w:vertAlign w:val="superscript"/>
    </w:rPr>
  </w:style>
  <w:style w:type="paragraph" w:styleId="BodyText">
    <w:name w:val="Body Text"/>
    <w:basedOn w:val="Normal"/>
    <w:link w:val="BodyTextChar"/>
    <w:rsid w:val="00E332D6"/>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E332D6"/>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FF"/>
    <w:pPr>
      <w:ind w:left="720"/>
      <w:contextualSpacing/>
    </w:pPr>
  </w:style>
  <w:style w:type="table" w:styleId="TableGrid">
    <w:name w:val="Table Grid"/>
    <w:basedOn w:val="TableNormal"/>
    <w:uiPriority w:val="59"/>
    <w:rsid w:val="00FB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18A6"/>
    <w:rPr>
      <w:sz w:val="16"/>
      <w:szCs w:val="16"/>
    </w:rPr>
  </w:style>
  <w:style w:type="paragraph" w:styleId="CommentText">
    <w:name w:val="annotation text"/>
    <w:basedOn w:val="Normal"/>
    <w:link w:val="CommentTextChar"/>
    <w:uiPriority w:val="99"/>
    <w:semiHidden/>
    <w:unhideWhenUsed/>
    <w:rsid w:val="007118A6"/>
    <w:pPr>
      <w:spacing w:line="240" w:lineRule="auto"/>
    </w:pPr>
    <w:rPr>
      <w:sz w:val="20"/>
      <w:szCs w:val="32"/>
    </w:rPr>
  </w:style>
  <w:style w:type="character" w:customStyle="1" w:styleId="CommentTextChar">
    <w:name w:val="Comment Text Char"/>
    <w:basedOn w:val="DefaultParagraphFont"/>
    <w:link w:val="CommentText"/>
    <w:uiPriority w:val="99"/>
    <w:semiHidden/>
    <w:rsid w:val="007118A6"/>
    <w:rPr>
      <w:sz w:val="20"/>
      <w:szCs w:val="32"/>
    </w:rPr>
  </w:style>
  <w:style w:type="paragraph" w:styleId="CommentSubject">
    <w:name w:val="annotation subject"/>
    <w:basedOn w:val="CommentText"/>
    <w:next w:val="CommentText"/>
    <w:link w:val="CommentSubjectChar"/>
    <w:uiPriority w:val="99"/>
    <w:semiHidden/>
    <w:unhideWhenUsed/>
    <w:rsid w:val="007118A6"/>
    <w:rPr>
      <w:b/>
      <w:bCs/>
    </w:rPr>
  </w:style>
  <w:style w:type="character" w:customStyle="1" w:styleId="CommentSubjectChar">
    <w:name w:val="Comment Subject Char"/>
    <w:basedOn w:val="CommentTextChar"/>
    <w:link w:val="CommentSubject"/>
    <w:uiPriority w:val="99"/>
    <w:semiHidden/>
    <w:rsid w:val="007118A6"/>
    <w:rPr>
      <w:b/>
      <w:bCs/>
      <w:sz w:val="20"/>
      <w:szCs w:val="32"/>
    </w:rPr>
  </w:style>
  <w:style w:type="paragraph" w:styleId="BalloonText">
    <w:name w:val="Balloon Text"/>
    <w:basedOn w:val="Normal"/>
    <w:link w:val="BalloonTextChar"/>
    <w:uiPriority w:val="99"/>
    <w:semiHidden/>
    <w:unhideWhenUsed/>
    <w:rsid w:val="007118A6"/>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7118A6"/>
    <w:rPr>
      <w:rFonts w:ascii="Segoe UI" w:hAnsi="Segoe UI" w:cs="Segoe UI"/>
      <w:sz w:val="18"/>
      <w:szCs w:val="29"/>
    </w:rPr>
  </w:style>
  <w:style w:type="paragraph" w:customStyle="1" w:styleId="MediumGrid21">
    <w:name w:val="Medium Grid 21"/>
    <w:uiPriority w:val="1"/>
    <w:qFormat/>
    <w:rsid w:val="00C51E77"/>
    <w:pPr>
      <w:spacing w:after="0" w:line="240" w:lineRule="auto"/>
    </w:pPr>
    <w:rPr>
      <w:rFonts w:ascii="Times New Roman" w:eastAsia="Calibri" w:hAnsi="Times New Roman" w:cs="DaunPenh"/>
      <w:szCs w:val="22"/>
      <w:lang w:bidi="ar-SA"/>
    </w:rPr>
  </w:style>
  <w:style w:type="paragraph" w:styleId="NoSpacing">
    <w:name w:val="No Spacing"/>
    <w:uiPriority w:val="1"/>
    <w:qFormat/>
    <w:rsid w:val="00FB1F76"/>
    <w:pPr>
      <w:spacing w:after="0" w:line="240" w:lineRule="auto"/>
    </w:pPr>
  </w:style>
  <w:style w:type="paragraph" w:styleId="Header">
    <w:name w:val="header"/>
    <w:basedOn w:val="Normal"/>
    <w:link w:val="HeaderChar"/>
    <w:uiPriority w:val="99"/>
    <w:unhideWhenUsed/>
    <w:rsid w:val="00BA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5D"/>
  </w:style>
  <w:style w:type="paragraph" w:styleId="Footer">
    <w:name w:val="footer"/>
    <w:basedOn w:val="Normal"/>
    <w:link w:val="FooterChar"/>
    <w:uiPriority w:val="99"/>
    <w:unhideWhenUsed/>
    <w:rsid w:val="00BA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5D"/>
  </w:style>
  <w:style w:type="character" w:styleId="Hyperlink">
    <w:name w:val="Hyperlink"/>
    <w:basedOn w:val="DefaultParagraphFont"/>
    <w:uiPriority w:val="99"/>
    <w:unhideWhenUsed/>
    <w:rsid w:val="0096744E"/>
    <w:rPr>
      <w:color w:val="0563C1" w:themeColor="hyperlink"/>
      <w:u w:val="single"/>
    </w:rPr>
  </w:style>
  <w:style w:type="paragraph" w:styleId="FootnoteText">
    <w:name w:val="footnote text"/>
    <w:aliases w:val="LM Footnote,LM Note de bas de page,Note de bas de page LM,LM footnote,Footnote Text LM,single space,LM fo...,LM fo... Char,Footnote Text Char Char Char Char Char Char Char,Char Char,Footnote Text1,LM Footnote1,LM Note de bas de page1, Car"/>
    <w:basedOn w:val="Normal"/>
    <w:link w:val="FootnoteTextChar"/>
    <w:uiPriority w:val="99"/>
    <w:unhideWhenUsed/>
    <w:rsid w:val="00CC50DA"/>
    <w:pPr>
      <w:spacing w:after="0" w:line="240" w:lineRule="auto"/>
    </w:pPr>
    <w:rPr>
      <w:rFonts w:ascii="Myriad Pro" w:eastAsia="Times New Roman" w:hAnsi="Myriad Pro" w:cs="Times New Roman"/>
      <w:sz w:val="24"/>
      <w:szCs w:val="24"/>
      <w:lang w:bidi="ar-SA"/>
    </w:rPr>
  </w:style>
  <w:style w:type="character" w:customStyle="1" w:styleId="FootnoteTextChar">
    <w:name w:val="Footnote Text Char"/>
    <w:aliases w:val="LM Footnote Char,LM Note de bas de page Char,Note de bas de page LM Char,LM footnote Char,Footnote Text LM Char,single space Char,LM fo... Char1,LM fo... Char Char,Footnote Text Char Char Char Char Char Char Char Char,Char Char Char"/>
    <w:basedOn w:val="DefaultParagraphFont"/>
    <w:link w:val="FootnoteText"/>
    <w:uiPriority w:val="99"/>
    <w:rsid w:val="00CC50DA"/>
    <w:rPr>
      <w:rFonts w:ascii="Myriad Pro" w:eastAsia="Times New Roman" w:hAnsi="Myriad Pro" w:cs="Times New Roman"/>
      <w:sz w:val="24"/>
      <w:szCs w:val="24"/>
      <w:lang w:bidi="ar-SA"/>
    </w:rPr>
  </w:style>
  <w:style w:type="character" w:styleId="FootnoteReference">
    <w:name w:val="footnote reference"/>
    <w:aliases w:val="16 Point,Superscript 6 Point,ftref, Carattere Char1, Carattere Char Char Carattere Carattere Char Char,Footnote Reference Char Char Char,Carattere Char Carattere Carattere Char Carattere Char Carattere Char Char Char1 Char,16 Poin"/>
    <w:basedOn w:val="DefaultParagraphFont"/>
    <w:link w:val="BVIfnrCharCharChar"/>
    <w:uiPriority w:val="99"/>
    <w:unhideWhenUsed/>
    <w:qFormat/>
    <w:rsid w:val="00CC50DA"/>
    <w:rPr>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rsid w:val="00CC50DA"/>
    <w:pPr>
      <w:spacing w:before="120" w:line="240" w:lineRule="exact"/>
    </w:pPr>
    <w:rPr>
      <w:vertAlign w:val="superscript"/>
    </w:rPr>
  </w:style>
  <w:style w:type="paragraph" w:styleId="BodyText">
    <w:name w:val="Body Text"/>
    <w:basedOn w:val="Normal"/>
    <w:link w:val="BodyTextChar"/>
    <w:rsid w:val="00E332D6"/>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E332D6"/>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9453">
      <w:bodyDiv w:val="1"/>
      <w:marLeft w:val="0"/>
      <w:marRight w:val="0"/>
      <w:marTop w:val="0"/>
      <w:marBottom w:val="0"/>
      <w:divBdr>
        <w:top w:val="none" w:sz="0" w:space="0" w:color="auto"/>
        <w:left w:val="none" w:sz="0" w:space="0" w:color="auto"/>
        <w:bottom w:val="none" w:sz="0" w:space="0" w:color="auto"/>
        <w:right w:val="none" w:sz="0" w:space="0" w:color="auto"/>
      </w:divBdr>
    </w:div>
    <w:div w:id="273102135">
      <w:bodyDiv w:val="1"/>
      <w:marLeft w:val="0"/>
      <w:marRight w:val="0"/>
      <w:marTop w:val="0"/>
      <w:marBottom w:val="0"/>
      <w:divBdr>
        <w:top w:val="none" w:sz="0" w:space="0" w:color="auto"/>
        <w:left w:val="none" w:sz="0" w:space="0" w:color="auto"/>
        <w:bottom w:val="none" w:sz="0" w:space="0" w:color="auto"/>
        <w:right w:val="none" w:sz="0" w:space="0" w:color="auto"/>
      </w:divBdr>
    </w:div>
    <w:div w:id="569584088">
      <w:bodyDiv w:val="1"/>
      <w:marLeft w:val="0"/>
      <w:marRight w:val="0"/>
      <w:marTop w:val="0"/>
      <w:marBottom w:val="0"/>
      <w:divBdr>
        <w:top w:val="none" w:sz="0" w:space="0" w:color="auto"/>
        <w:left w:val="none" w:sz="0" w:space="0" w:color="auto"/>
        <w:bottom w:val="none" w:sz="0" w:space="0" w:color="auto"/>
        <w:right w:val="none" w:sz="0" w:space="0" w:color="auto"/>
      </w:divBdr>
    </w:div>
    <w:div w:id="742408666">
      <w:bodyDiv w:val="1"/>
      <w:marLeft w:val="0"/>
      <w:marRight w:val="0"/>
      <w:marTop w:val="0"/>
      <w:marBottom w:val="0"/>
      <w:divBdr>
        <w:top w:val="none" w:sz="0" w:space="0" w:color="auto"/>
        <w:left w:val="none" w:sz="0" w:space="0" w:color="auto"/>
        <w:bottom w:val="none" w:sz="0" w:space="0" w:color="auto"/>
        <w:right w:val="none" w:sz="0" w:space="0" w:color="auto"/>
      </w:divBdr>
    </w:div>
    <w:div w:id="1114330763">
      <w:bodyDiv w:val="1"/>
      <w:marLeft w:val="0"/>
      <w:marRight w:val="0"/>
      <w:marTop w:val="0"/>
      <w:marBottom w:val="0"/>
      <w:divBdr>
        <w:top w:val="none" w:sz="0" w:space="0" w:color="auto"/>
        <w:left w:val="none" w:sz="0" w:space="0" w:color="auto"/>
        <w:bottom w:val="none" w:sz="0" w:space="0" w:color="auto"/>
        <w:right w:val="none" w:sz="0" w:space="0" w:color="auto"/>
      </w:divBdr>
    </w:div>
    <w:div w:id="1286693492">
      <w:bodyDiv w:val="1"/>
      <w:marLeft w:val="0"/>
      <w:marRight w:val="0"/>
      <w:marTop w:val="0"/>
      <w:marBottom w:val="0"/>
      <w:divBdr>
        <w:top w:val="none" w:sz="0" w:space="0" w:color="auto"/>
        <w:left w:val="none" w:sz="0" w:space="0" w:color="auto"/>
        <w:bottom w:val="none" w:sz="0" w:space="0" w:color="auto"/>
        <w:right w:val="none" w:sz="0" w:space="0" w:color="auto"/>
      </w:divBdr>
    </w:div>
    <w:div w:id="1607999481">
      <w:bodyDiv w:val="1"/>
      <w:marLeft w:val="0"/>
      <w:marRight w:val="0"/>
      <w:marTop w:val="0"/>
      <w:marBottom w:val="0"/>
      <w:divBdr>
        <w:top w:val="none" w:sz="0" w:space="0" w:color="auto"/>
        <w:left w:val="none" w:sz="0" w:space="0" w:color="auto"/>
        <w:bottom w:val="none" w:sz="0" w:space="0" w:color="auto"/>
        <w:right w:val="none" w:sz="0" w:space="0" w:color="auto"/>
      </w:divBdr>
    </w:div>
    <w:div w:id="2031762989">
      <w:bodyDiv w:val="1"/>
      <w:marLeft w:val="0"/>
      <w:marRight w:val="0"/>
      <w:marTop w:val="0"/>
      <w:marBottom w:val="0"/>
      <w:divBdr>
        <w:top w:val="none" w:sz="0" w:space="0" w:color="auto"/>
        <w:left w:val="none" w:sz="0" w:space="0" w:color="auto"/>
        <w:bottom w:val="none" w:sz="0" w:space="0" w:color="auto"/>
        <w:right w:val="none" w:sz="0" w:space="0" w:color="auto"/>
      </w:divBdr>
    </w:div>
    <w:div w:id="2035761505">
      <w:bodyDiv w:val="1"/>
      <w:marLeft w:val="0"/>
      <w:marRight w:val="0"/>
      <w:marTop w:val="0"/>
      <w:marBottom w:val="0"/>
      <w:divBdr>
        <w:top w:val="none" w:sz="0" w:space="0" w:color="auto"/>
        <w:left w:val="none" w:sz="0" w:space="0" w:color="auto"/>
        <w:bottom w:val="none" w:sz="0" w:space="0" w:color="auto"/>
        <w:right w:val="none" w:sz="0" w:space="0" w:color="auto"/>
      </w:divBdr>
    </w:div>
    <w:div w:id="20505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omments" Target="comments.xml"/><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_R\Desktop\RUKSHONA_BASE\&#1050;&#1085;&#1080;&#1075;&#1072;1.xls"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Ruslan_PK\Desktop\Section%201..xlsm"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_R\Desktop\RUKSHONA_BASE\&#1050;&#1085;&#1080;&#1075;&#107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C:\Users\Ruslan_PK\Desktop\Section%201..xlsm" TargetMode="External"/><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uslan_PK\Desktop\Section%201..xlsm"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_R\Desktop\&#1051;&#1080;&#1089;&#1090;%20Microsoft%20Exce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_R\Desktop\&#1051;&#1080;&#1089;&#1090;%20Microsoft%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Ruslan_PK\Desktop\Section%201..xlsm"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_R\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_R\Desktop\&#1051;&#1080;&#1089;&#1090;%20Microsoft%20Excel.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Ruslan_PK\Desktop\Section%201..xlsm"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uslan_PK\Desktop\Section%201..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32239862204724501"/>
                  <c:y val="-2.2399023038786801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59141076115486"/>
                  <c:y val="-3.0362350539515901E-3"/>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Лист4!$C$8:$C$9</c:f>
              <c:strCache>
                <c:ptCount val="2"/>
                <c:pt idx="0">
                  <c:v>Yes</c:v>
                </c:pt>
                <c:pt idx="1">
                  <c:v>No</c:v>
                </c:pt>
              </c:strCache>
            </c:strRef>
          </c:cat>
          <c:val>
            <c:numRef>
              <c:f>Лист4!$D$8:$D$9</c:f>
              <c:numCache>
                <c:formatCode>0.0%</c:formatCode>
                <c:ptCount val="2"/>
                <c:pt idx="0">
                  <c:v>0.97800000000000098</c:v>
                </c:pt>
                <c:pt idx="1">
                  <c:v>2.1999999999999999E-2</c:v>
                </c:pt>
              </c:numCache>
            </c:numRef>
          </c:val>
        </c:ser>
        <c:dLbls>
          <c:showLegendKey val="0"/>
          <c:showVal val="1"/>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Лист1!$B$609</c:f>
              <c:strCache>
                <c:ptCount val="1"/>
                <c:pt idx="0">
                  <c:v> Rice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Лист1!$C$608:$F$608</c:f>
              <c:strCache>
                <c:ptCount val="4"/>
                <c:pt idx="0">
                  <c:v>Battambang (Mean)</c:v>
                </c:pt>
                <c:pt idx="1">
                  <c:v>Banteay Meanchey (Mean)</c:v>
                </c:pt>
                <c:pt idx="2">
                  <c:v>Pailin (Mean)</c:v>
                </c:pt>
                <c:pt idx="3">
                  <c:v>Total all provinces  (Mean)</c:v>
                </c:pt>
              </c:strCache>
            </c:strRef>
          </c:cat>
          <c:val>
            <c:numRef>
              <c:f>Лист1!$C$609:$F$609</c:f>
              <c:numCache>
                <c:formatCode>###0</c:formatCode>
                <c:ptCount val="4"/>
                <c:pt idx="0">
                  <c:v>1362.9761904761911</c:v>
                </c:pt>
                <c:pt idx="1">
                  <c:v>1085.25</c:v>
                </c:pt>
                <c:pt idx="2">
                  <c:v>1407.1428571428571</c:v>
                </c:pt>
                <c:pt idx="3">
                  <c:v>1255.5086206896549</c:v>
                </c:pt>
              </c:numCache>
            </c:numRef>
          </c:val>
        </c:ser>
        <c:ser>
          <c:idx val="1"/>
          <c:order val="1"/>
          <c:tx>
            <c:strRef>
              <c:f>Лист1!$B$610</c:f>
              <c:strCache>
                <c:ptCount val="1"/>
                <c:pt idx="0">
                  <c:v> Cassava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Лист1!$C$608:$F$608</c:f>
              <c:strCache>
                <c:ptCount val="4"/>
                <c:pt idx="0">
                  <c:v>Battambang (Mean)</c:v>
                </c:pt>
                <c:pt idx="1">
                  <c:v>Banteay Meanchey (Mean)</c:v>
                </c:pt>
                <c:pt idx="2">
                  <c:v>Pailin (Mean)</c:v>
                </c:pt>
                <c:pt idx="3">
                  <c:v>Total all provinces  (Mean)</c:v>
                </c:pt>
              </c:strCache>
            </c:strRef>
          </c:cat>
          <c:val>
            <c:numRef>
              <c:f>Лист1!$C$610:$F$610</c:f>
              <c:numCache>
                <c:formatCode>###0</c:formatCode>
                <c:ptCount val="4"/>
                <c:pt idx="0">
                  <c:v>21.07142857142858</c:v>
                </c:pt>
                <c:pt idx="1">
                  <c:v>0</c:v>
                </c:pt>
                <c:pt idx="2">
                  <c:v>0</c:v>
                </c:pt>
                <c:pt idx="3">
                  <c:v>7.4213836477987396</c:v>
                </c:pt>
              </c:numCache>
            </c:numRef>
          </c:val>
        </c:ser>
        <c:ser>
          <c:idx val="2"/>
          <c:order val="2"/>
          <c:tx>
            <c:strRef>
              <c:f>Лист1!$B$611</c:f>
              <c:strCache>
                <c:ptCount val="1"/>
                <c:pt idx="0">
                  <c:v> Maize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Лист1!$C$608:$F$608</c:f>
              <c:strCache>
                <c:ptCount val="4"/>
                <c:pt idx="0">
                  <c:v>Battambang (Mean)</c:v>
                </c:pt>
                <c:pt idx="1">
                  <c:v>Banteay Meanchey (Mean)</c:v>
                </c:pt>
                <c:pt idx="2">
                  <c:v>Pailin (Mean)</c:v>
                </c:pt>
                <c:pt idx="3">
                  <c:v>Total all provinces  (Mean)</c:v>
                </c:pt>
              </c:strCache>
            </c:strRef>
          </c:cat>
          <c:val>
            <c:numRef>
              <c:f>Лист1!$C$611:$F$611</c:f>
              <c:numCache>
                <c:formatCode>###0</c:formatCode>
                <c:ptCount val="4"/>
                <c:pt idx="0">
                  <c:v>15.63829787234042</c:v>
                </c:pt>
                <c:pt idx="1">
                  <c:v>56.66666666666648</c:v>
                </c:pt>
                <c:pt idx="2">
                  <c:v>0</c:v>
                </c:pt>
                <c:pt idx="3">
                  <c:v>14.13793103448276</c:v>
                </c:pt>
              </c:numCache>
            </c:numRef>
          </c:val>
        </c:ser>
        <c:ser>
          <c:idx val="3"/>
          <c:order val="3"/>
          <c:tx>
            <c:strRef>
              <c:f>Лист1!$B$612</c:f>
              <c:strCache>
                <c:ptCount val="1"/>
                <c:pt idx="0">
                  <c:v> Sesame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Лист1!$C$608:$F$608</c:f>
              <c:strCache>
                <c:ptCount val="4"/>
                <c:pt idx="0">
                  <c:v>Battambang (Mean)</c:v>
                </c:pt>
                <c:pt idx="1">
                  <c:v>Banteay Meanchey (Mean)</c:v>
                </c:pt>
                <c:pt idx="2">
                  <c:v>Pailin (Mean)</c:v>
                </c:pt>
                <c:pt idx="3">
                  <c:v>Total all provinces  (Mean)</c:v>
                </c:pt>
              </c:strCache>
            </c:strRef>
          </c:cat>
          <c:val>
            <c:numRef>
              <c:f>Лист1!$C$612:$F$612</c:f>
              <c:numCache>
                <c:formatCode>General</c:formatCode>
                <c:ptCount val="4"/>
                <c:pt idx="0" formatCode="###0">
                  <c:v>2.8571428571428572</c:v>
                </c:pt>
                <c:pt idx="2" formatCode="###0">
                  <c:v>10</c:v>
                </c:pt>
                <c:pt idx="3" formatCode="###0">
                  <c:v>4.4444444444444464</c:v>
                </c:pt>
              </c:numCache>
            </c:numRef>
          </c:val>
        </c:ser>
        <c:ser>
          <c:idx val="4"/>
          <c:order val="4"/>
          <c:tx>
            <c:strRef>
              <c:f>Лист1!$B$613</c:f>
              <c:strCache>
                <c:ptCount val="1"/>
                <c:pt idx="0">
                  <c:v> Fruit tree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Лист1!$C$608:$F$608</c:f>
              <c:strCache>
                <c:ptCount val="4"/>
                <c:pt idx="0">
                  <c:v>Battambang (Mean)</c:v>
                </c:pt>
                <c:pt idx="1">
                  <c:v>Banteay Meanchey (Mean)</c:v>
                </c:pt>
                <c:pt idx="2">
                  <c:v>Pailin (Mean)</c:v>
                </c:pt>
                <c:pt idx="3">
                  <c:v>Total all provinces  (Mean)</c:v>
                </c:pt>
              </c:strCache>
            </c:strRef>
          </c:cat>
          <c:val>
            <c:numRef>
              <c:f>Лист1!$C$613:$F$613</c:f>
              <c:numCache>
                <c:formatCode>###0</c:formatCode>
                <c:ptCount val="4"/>
                <c:pt idx="0">
                  <c:v>54.192307692307701</c:v>
                </c:pt>
                <c:pt idx="1">
                  <c:v>71.181818181818173</c:v>
                </c:pt>
                <c:pt idx="2">
                  <c:v>71.624999999999986</c:v>
                </c:pt>
                <c:pt idx="3">
                  <c:v>59.896774193548353</c:v>
                </c:pt>
              </c:numCache>
            </c:numRef>
          </c:val>
        </c:ser>
        <c:ser>
          <c:idx val="5"/>
          <c:order val="5"/>
          <c:tx>
            <c:strRef>
              <c:f>Лист1!$B$614</c:f>
              <c:strCache>
                <c:ptCount val="1"/>
                <c:pt idx="0">
                  <c:v> 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Лист1!$C$608:$F$608</c:f>
              <c:strCache>
                <c:ptCount val="4"/>
                <c:pt idx="0">
                  <c:v>Battambang (Mean)</c:v>
                </c:pt>
                <c:pt idx="1">
                  <c:v>Banteay Meanchey (Mean)</c:v>
                </c:pt>
                <c:pt idx="2">
                  <c:v>Pailin (Mean)</c:v>
                </c:pt>
                <c:pt idx="3">
                  <c:v>Total all provinces  (Mean)</c:v>
                </c:pt>
              </c:strCache>
            </c:strRef>
          </c:cat>
          <c:val>
            <c:numRef>
              <c:f>Лист1!$C$614:$F$614</c:f>
              <c:numCache>
                <c:formatCode>###0</c:formatCode>
                <c:ptCount val="4"/>
                <c:pt idx="0">
                  <c:v>24.16</c:v>
                </c:pt>
                <c:pt idx="1">
                  <c:v>33.333333333333343</c:v>
                </c:pt>
                <c:pt idx="2">
                  <c:v>22</c:v>
                </c:pt>
                <c:pt idx="3">
                  <c:v>24.072072072072029</c:v>
                </c:pt>
              </c:numCache>
            </c:numRef>
          </c:val>
        </c:ser>
        <c:dLbls>
          <c:showLegendKey val="0"/>
          <c:showVal val="1"/>
          <c:showCatName val="0"/>
          <c:showSerName val="0"/>
          <c:showPercent val="0"/>
          <c:showBubbleSize val="0"/>
        </c:dLbls>
        <c:gapWidth val="219"/>
        <c:overlap val="-27"/>
        <c:axId val="130319104"/>
        <c:axId val="130320640"/>
      </c:barChart>
      <c:catAx>
        <c:axId val="130319104"/>
        <c:scaling>
          <c:orientation val="minMax"/>
        </c:scaling>
        <c:delete val="0"/>
        <c:axPos val="b"/>
        <c:numFmt formatCode="General" sourceLinked="1"/>
        <c:majorTickMark val="none"/>
        <c:minorTickMark val="none"/>
        <c:tickLblPos val="nextTo"/>
        <c:spPr>
          <a:noFill/>
          <a:ln w="9525" cap="flat" cmpd="sng" algn="ctr">
            <a:solidFill>
              <a:schemeClr val="tx2">
                <a:lumMod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0320640"/>
        <c:crosses val="autoZero"/>
        <c:auto val="1"/>
        <c:lblAlgn val="ctr"/>
        <c:lblOffset val="100"/>
        <c:noMultiLvlLbl val="0"/>
      </c:catAx>
      <c:valAx>
        <c:axId val="130320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30319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Лист6!$C$5:$C$13</c:f>
              <c:strCache>
                <c:ptCount val="9"/>
                <c:pt idx="0">
                  <c:v> For food </c:v>
                </c:pt>
                <c:pt idx="1">
                  <c:v> for clothes</c:v>
                </c:pt>
                <c:pt idx="2">
                  <c:v> for health care for female family members</c:v>
                </c:pt>
                <c:pt idx="3">
                  <c:v> for health care for male family members</c:v>
                </c:pt>
                <c:pt idx="4">
                  <c:v> Other Expenses(water, electricity, soap, brush, non-production cost and etc</c:v>
                </c:pt>
                <c:pt idx="5">
                  <c:v> for social events </c:v>
                </c:pt>
                <c:pt idx="6">
                  <c:v> for education for your daughter/daughter’s</c:v>
                </c:pt>
                <c:pt idx="7">
                  <c:v> for education for your children – son/sons</c:v>
                </c:pt>
                <c:pt idx="8">
                  <c:v> for jewellery</c:v>
                </c:pt>
              </c:strCache>
            </c:strRef>
          </c:cat>
          <c:val>
            <c:numRef>
              <c:f>Лист6!$D$5:$D$13</c:f>
              <c:numCache>
                <c:formatCode>0.0%</c:formatCode>
                <c:ptCount val="9"/>
                <c:pt idx="0">
                  <c:v>0.97600000000000098</c:v>
                </c:pt>
                <c:pt idx="1">
                  <c:v>0.48299999999999998</c:v>
                </c:pt>
                <c:pt idx="2">
                  <c:v>0.43</c:v>
                </c:pt>
                <c:pt idx="3">
                  <c:v>0.42699999999999999</c:v>
                </c:pt>
                <c:pt idx="4">
                  <c:v>0.29399999999999998</c:v>
                </c:pt>
                <c:pt idx="5">
                  <c:v>0.26500000000000001</c:v>
                </c:pt>
                <c:pt idx="6">
                  <c:v>0.252</c:v>
                </c:pt>
                <c:pt idx="7">
                  <c:v>0.22800000000000001</c:v>
                </c:pt>
                <c:pt idx="8">
                  <c:v>3.6999999999999998E-2</c:v>
                </c:pt>
              </c:numCache>
            </c:numRef>
          </c:val>
        </c:ser>
        <c:dLbls>
          <c:showLegendKey val="0"/>
          <c:showVal val="1"/>
          <c:showCatName val="0"/>
          <c:showSerName val="0"/>
          <c:showPercent val="0"/>
          <c:showBubbleSize val="0"/>
        </c:dLbls>
        <c:gapWidth val="70"/>
        <c:axId val="152389504"/>
        <c:axId val="153211648"/>
      </c:barChart>
      <c:catAx>
        <c:axId val="152389504"/>
        <c:scaling>
          <c:orientation val="maxMin"/>
        </c:scaling>
        <c:delete val="0"/>
        <c:axPos val="l"/>
        <c:numFmt formatCode="General" sourceLinked="0"/>
        <c:majorTickMark val="out"/>
        <c:minorTickMark val="none"/>
        <c:tickLblPos val="nextTo"/>
        <c:spPr>
          <a:ln>
            <a:solidFill>
              <a:srgbClr val="FF0000"/>
            </a:solidFill>
          </a:ln>
        </c:spPr>
        <c:txPr>
          <a:bodyPr/>
          <a:lstStyle/>
          <a:p>
            <a:pPr>
              <a:defRPr sz="900"/>
            </a:pPr>
            <a:endParaRPr lang="en-US"/>
          </a:p>
        </c:txPr>
        <c:crossAx val="153211648"/>
        <c:crosses val="autoZero"/>
        <c:auto val="1"/>
        <c:lblAlgn val="ctr"/>
        <c:lblOffset val="100"/>
        <c:noMultiLvlLbl val="0"/>
      </c:catAx>
      <c:valAx>
        <c:axId val="153211648"/>
        <c:scaling>
          <c:orientation val="minMax"/>
          <c:max val="1"/>
        </c:scaling>
        <c:delete val="0"/>
        <c:axPos val="b"/>
        <c:majorGridlines/>
        <c:numFmt formatCode="0.0%" sourceLinked="1"/>
        <c:majorTickMark val="out"/>
        <c:minorTickMark val="none"/>
        <c:tickLblPos val="nextTo"/>
        <c:txPr>
          <a:bodyPr/>
          <a:lstStyle/>
          <a:p>
            <a:pPr>
              <a:defRPr sz="800"/>
            </a:pPr>
            <a:endParaRPr lang="en-US"/>
          </a:p>
        </c:txPr>
        <c:crossAx val="152389504"/>
        <c:crosses val="max"/>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9"/>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3.4181756161346201E-2"/>
                  <c:y val="-0.1438196118094519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8.3369434416365795E-2"/>
                  <c:y val="0.1900266467685270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Лист1!$B$891:$B$892</c:f>
              <c:strCache>
                <c:ptCount val="2"/>
                <c:pt idx="0">
                  <c:v>Yes</c:v>
                </c:pt>
                <c:pt idx="1">
                  <c:v>No</c:v>
                </c:pt>
              </c:strCache>
            </c:strRef>
          </c:cat>
          <c:val>
            <c:numRef>
              <c:f>Лист1!$C$891:$C$892</c:f>
              <c:numCache>
                <c:formatCode>0.0%</c:formatCode>
                <c:ptCount val="2"/>
                <c:pt idx="0">
                  <c:v>0.4</c:v>
                </c:pt>
                <c:pt idx="1">
                  <c:v>0.60000000000000098</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Лист1!$C$54:$C$71</c:f>
              <c:strCache>
                <c:ptCount val="18"/>
                <c:pt idx="0">
                  <c:v>Motorcycle</c:v>
                </c:pt>
                <c:pt idx="1">
                  <c:v>Telephone</c:v>
                </c:pt>
                <c:pt idx="2">
                  <c:v>Television</c:v>
                </c:pt>
                <c:pt idx="3">
                  <c:v>Bicycle</c:v>
                </c:pt>
                <c:pt idx="4">
                  <c:v>Radio/Stereo</c:v>
                </c:pt>
                <c:pt idx="5">
                  <c:v>House</c:v>
                </c:pt>
                <c:pt idx="6">
                  <c:v>Water pump</c:v>
                </c:pt>
                <c:pt idx="7">
                  <c:v>Land</c:v>
                </c:pt>
                <c:pt idx="8">
                  <c:v>Fan</c:v>
                </c:pt>
                <c:pt idx="9">
                  <c:v>Jewelleries</c:v>
                </c:pt>
                <c:pt idx="10">
                  <c:v>Tractor</c:v>
                </c:pt>
                <c:pt idx="11">
                  <c:v>Car</c:v>
                </c:pt>
                <c:pt idx="12">
                  <c:v>Cart (animal)</c:v>
                </c:pt>
                <c:pt idx="13">
                  <c:v>Generator</c:v>
                </c:pt>
                <c:pt idx="14">
                  <c:v>Sewing machine</c:v>
                </c:pt>
                <c:pt idx="15">
                  <c:v>Rowing boat</c:v>
                </c:pt>
                <c:pt idx="16">
                  <c:v>Motorboat</c:v>
                </c:pt>
                <c:pt idx="17">
                  <c:v>Karaoke</c:v>
                </c:pt>
              </c:strCache>
            </c:strRef>
          </c:cat>
          <c:val>
            <c:numRef>
              <c:f>Лист1!$D$54:$D$71</c:f>
              <c:numCache>
                <c:formatCode>###0.0%</c:formatCode>
                <c:ptCount val="18"/>
                <c:pt idx="0">
                  <c:v>0.139583333333334</c:v>
                </c:pt>
                <c:pt idx="1">
                  <c:v>0.116666666666667</c:v>
                </c:pt>
                <c:pt idx="2">
                  <c:v>7.0833333333333595E-2</c:v>
                </c:pt>
                <c:pt idx="3">
                  <c:v>5.2083333333333502E-2</c:v>
                </c:pt>
                <c:pt idx="4">
                  <c:v>3.3333333333333298E-2</c:v>
                </c:pt>
                <c:pt idx="5">
                  <c:v>3.125E-2</c:v>
                </c:pt>
                <c:pt idx="6">
                  <c:v>2.70833333333334E-2</c:v>
                </c:pt>
                <c:pt idx="7">
                  <c:v>2.5000000000000001E-2</c:v>
                </c:pt>
                <c:pt idx="8">
                  <c:v>2.0833333333333402E-2</c:v>
                </c:pt>
                <c:pt idx="9">
                  <c:v>2.0833333333333402E-2</c:v>
                </c:pt>
                <c:pt idx="10">
                  <c:v>1.0416666666666701E-2</c:v>
                </c:pt>
                <c:pt idx="11" formatCode="####.0%">
                  <c:v>6.2500000000000099E-3</c:v>
                </c:pt>
                <c:pt idx="12" formatCode="####.0%">
                  <c:v>4.1666666666666701E-3</c:v>
                </c:pt>
                <c:pt idx="13" formatCode="####.0%">
                  <c:v>2.0833333333333398E-3</c:v>
                </c:pt>
                <c:pt idx="14" formatCode="####.0%">
                  <c:v>2.0833333333333398E-3</c:v>
                </c:pt>
                <c:pt idx="15">
                  <c:v>0</c:v>
                </c:pt>
                <c:pt idx="16">
                  <c:v>0</c:v>
                </c:pt>
                <c:pt idx="17">
                  <c:v>0</c:v>
                </c:pt>
              </c:numCache>
            </c:numRef>
          </c:val>
        </c:ser>
        <c:dLbls>
          <c:showLegendKey val="0"/>
          <c:showVal val="1"/>
          <c:showCatName val="0"/>
          <c:showSerName val="0"/>
          <c:showPercent val="0"/>
          <c:showBubbleSize val="0"/>
        </c:dLbls>
        <c:gapWidth val="122"/>
        <c:axId val="154581248"/>
        <c:axId val="154666112"/>
      </c:barChart>
      <c:catAx>
        <c:axId val="154581248"/>
        <c:scaling>
          <c:orientation val="maxMin"/>
        </c:scaling>
        <c:delete val="0"/>
        <c:axPos val="l"/>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54666112"/>
        <c:crosses val="autoZero"/>
        <c:auto val="1"/>
        <c:lblAlgn val="ctr"/>
        <c:lblOffset val="100"/>
        <c:noMultiLvlLbl val="0"/>
      </c:catAx>
      <c:valAx>
        <c:axId val="154666112"/>
        <c:scaling>
          <c:orientation val="minMax"/>
          <c:max val="0.5"/>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5458124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Лист1!$B$972:$B$973</c:f>
              <c:strCache>
                <c:ptCount val="2"/>
                <c:pt idx="0">
                  <c:v>Head of HH only</c:v>
                </c:pt>
                <c:pt idx="1">
                  <c:v>Joint Decision with Spouse</c:v>
                </c:pt>
              </c:strCache>
            </c:strRef>
          </c:cat>
          <c:val>
            <c:numRef>
              <c:f>Лист1!$C$972:$C$973</c:f>
              <c:numCache>
                <c:formatCode>0.0%</c:formatCode>
                <c:ptCount val="2"/>
                <c:pt idx="0">
                  <c:v>0.140625</c:v>
                </c:pt>
                <c:pt idx="1">
                  <c:v>0.859375000000001</c:v>
                </c:pt>
              </c:numCache>
            </c:numRef>
          </c:val>
        </c:ser>
        <c:dLbls>
          <c:showLegendKey val="0"/>
          <c:showVal val="1"/>
          <c:showCatName val="0"/>
          <c:showSerName val="0"/>
          <c:showPercent val="0"/>
          <c:showBubbleSize val="0"/>
        </c:dLbls>
        <c:gapWidth val="219"/>
        <c:overlap val="-27"/>
        <c:axId val="154672512"/>
        <c:axId val="154867968"/>
      </c:barChart>
      <c:catAx>
        <c:axId val="154672512"/>
        <c:scaling>
          <c:orientation val="minMax"/>
        </c:scaling>
        <c:delete val="0"/>
        <c:axPos val="b"/>
        <c:numFmt formatCode="General" sourceLinked="1"/>
        <c:majorTickMark val="none"/>
        <c:minorTickMark val="none"/>
        <c:tickLblPos val="nextTo"/>
        <c:spPr>
          <a:noFill/>
          <a:ln w="9525" cap="flat" cmpd="sng" algn="ctr">
            <a:solidFill>
              <a:srgbClr val="C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54867968"/>
        <c:crosses val="autoZero"/>
        <c:auto val="1"/>
        <c:lblAlgn val="ctr"/>
        <c:lblOffset val="100"/>
        <c:noMultiLvlLbl val="0"/>
      </c:catAx>
      <c:valAx>
        <c:axId val="154867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467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714996348634702"/>
          <c:y val="6.4950977780713806E-2"/>
          <c:w val="0.48277609657297899"/>
          <c:h val="0.82494773875557603"/>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Лист1!$B$1185:$B$1191</c:f>
              <c:strCache>
                <c:ptCount val="7"/>
                <c:pt idx="0">
                  <c:v> Started to grow different types of crops</c:v>
                </c:pt>
                <c:pt idx="1">
                  <c:v> Started to harvest more rice</c:v>
                </c:pt>
                <c:pt idx="2">
                  <c:v> Started to raise more  livestock (cow, goat, chicken and etc)</c:v>
                </c:pt>
                <c:pt idx="3">
                  <c:v> Started to grow more vegetables</c:v>
                </c:pt>
                <c:pt idx="4">
                  <c:v> Started to plant  more fruits</c:v>
                </c:pt>
                <c:pt idx="5">
                  <c:v> Started to raise fish</c:v>
                </c:pt>
                <c:pt idx="6">
                  <c:v> Other</c:v>
                </c:pt>
              </c:strCache>
            </c:strRef>
          </c:cat>
          <c:val>
            <c:numRef>
              <c:f>Лист1!$C$1185:$C$1191</c:f>
              <c:numCache>
                <c:formatCode>###0.0%</c:formatCode>
                <c:ptCount val="7"/>
                <c:pt idx="0">
                  <c:v>0.74937343358396202</c:v>
                </c:pt>
                <c:pt idx="1">
                  <c:v>0.38596491228070301</c:v>
                </c:pt>
                <c:pt idx="2">
                  <c:v>0.30075187969924899</c:v>
                </c:pt>
                <c:pt idx="3">
                  <c:v>0.25313283208019999</c:v>
                </c:pt>
                <c:pt idx="4">
                  <c:v>0.24561403508772001</c:v>
                </c:pt>
                <c:pt idx="5">
                  <c:v>2.00501253132832E-2</c:v>
                </c:pt>
                <c:pt idx="6">
                  <c:v>1.2531328320802001E-2</c:v>
                </c:pt>
              </c:numCache>
            </c:numRef>
          </c:val>
        </c:ser>
        <c:dLbls>
          <c:showLegendKey val="0"/>
          <c:showVal val="1"/>
          <c:showCatName val="0"/>
          <c:showSerName val="0"/>
          <c:showPercent val="0"/>
          <c:showBubbleSize val="0"/>
        </c:dLbls>
        <c:gapWidth val="182"/>
        <c:axId val="154919680"/>
        <c:axId val="154922368"/>
      </c:barChart>
      <c:catAx>
        <c:axId val="154919680"/>
        <c:scaling>
          <c:orientation val="maxMin"/>
        </c:scaling>
        <c:delete val="0"/>
        <c:axPos val="l"/>
        <c:numFmt formatCode="General" sourceLinked="1"/>
        <c:majorTickMark val="none"/>
        <c:minorTickMark val="none"/>
        <c:tickLblPos val="nextTo"/>
        <c:spPr>
          <a:noFill/>
          <a:ln w="9525" cap="flat" cmpd="sng" algn="ctr">
            <a:solidFill>
              <a:srgbClr val="C00000"/>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54922368"/>
        <c:crosses val="autoZero"/>
        <c:auto val="1"/>
        <c:lblAlgn val="ctr"/>
        <c:lblOffset val="100"/>
        <c:noMultiLvlLbl val="0"/>
      </c:catAx>
      <c:valAx>
        <c:axId val="1549223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5491968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Лист1!$B$1146:$B$1152</c:f>
              <c:strCache>
                <c:ptCount val="7"/>
                <c:pt idx="0">
                  <c:v>Use for farming</c:v>
                </c:pt>
                <c:pt idx="1">
                  <c:v>Change type of cultivated crops</c:v>
                </c:pt>
                <c:pt idx="2">
                  <c:v>Raise livestock or poultry</c:v>
                </c:pt>
                <c:pt idx="3">
                  <c:v>Other</c:v>
                </c:pt>
                <c:pt idx="4">
                  <c:v>Lease the land</c:v>
                </c:pt>
                <c:pt idx="5">
                  <c:v>Sell to repay loan</c:v>
                </c:pt>
                <c:pt idx="6">
                  <c:v>Build a house</c:v>
                </c:pt>
              </c:strCache>
            </c:strRef>
          </c:cat>
          <c:val>
            <c:numRef>
              <c:f>Лист1!$C$1146:$C$1152</c:f>
              <c:numCache>
                <c:formatCode>###0.0%</c:formatCode>
                <c:ptCount val="7"/>
                <c:pt idx="0">
                  <c:v>0.83958333333333302</c:v>
                </c:pt>
                <c:pt idx="1">
                  <c:v>0.55000000000000004</c:v>
                </c:pt>
                <c:pt idx="2">
                  <c:v>0.37291666666666801</c:v>
                </c:pt>
                <c:pt idx="3">
                  <c:v>7.4999999999999997E-2</c:v>
                </c:pt>
                <c:pt idx="4">
                  <c:v>4.5833333333333497E-2</c:v>
                </c:pt>
                <c:pt idx="5">
                  <c:v>1.4583333333333301E-2</c:v>
                </c:pt>
                <c:pt idx="6">
                  <c:v>0.15</c:v>
                </c:pt>
              </c:numCache>
            </c:numRef>
          </c:val>
        </c:ser>
        <c:dLbls>
          <c:showLegendKey val="0"/>
          <c:showVal val="1"/>
          <c:showCatName val="0"/>
          <c:showSerName val="0"/>
          <c:showPercent val="0"/>
          <c:showBubbleSize val="0"/>
        </c:dLbls>
        <c:gapWidth val="82"/>
        <c:axId val="159410048"/>
        <c:axId val="159412992"/>
      </c:barChart>
      <c:catAx>
        <c:axId val="159410048"/>
        <c:scaling>
          <c:orientation val="maxMin"/>
        </c:scaling>
        <c:delete val="0"/>
        <c:axPos val="l"/>
        <c:numFmt formatCode="General" sourceLinked="1"/>
        <c:majorTickMark val="none"/>
        <c:minorTickMark val="none"/>
        <c:tickLblPos val="nextTo"/>
        <c:spPr>
          <a:noFill/>
          <a:ln w="9525" cap="flat" cmpd="sng" algn="ctr">
            <a:solidFill>
              <a:srgbClr val="FF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9412992"/>
        <c:crosses val="autoZero"/>
        <c:auto val="1"/>
        <c:lblAlgn val="ctr"/>
        <c:lblOffset val="100"/>
        <c:noMultiLvlLbl val="0"/>
      </c:catAx>
      <c:valAx>
        <c:axId val="1594129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1004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Лист1!$B$85</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Лист1!$A$86:$A$88</c:f>
              <c:strCache>
                <c:ptCount val="3"/>
                <c:pt idx="0">
                  <c:v>Battambang</c:v>
                </c:pt>
                <c:pt idx="1">
                  <c:v>Banteay Meanchey</c:v>
                </c:pt>
                <c:pt idx="2">
                  <c:v>Pailin</c:v>
                </c:pt>
              </c:strCache>
            </c:strRef>
          </c:cat>
          <c:val>
            <c:numRef>
              <c:f>Лист1!$B$86:$B$88</c:f>
              <c:numCache>
                <c:formatCode>0.0%</c:formatCode>
                <c:ptCount val="3"/>
                <c:pt idx="0">
                  <c:v>0.96800000000000097</c:v>
                </c:pt>
                <c:pt idx="1">
                  <c:v>0.97700000000000098</c:v>
                </c:pt>
                <c:pt idx="2">
                  <c:v>1</c:v>
                </c:pt>
              </c:numCache>
            </c:numRef>
          </c:val>
        </c:ser>
        <c:ser>
          <c:idx val="1"/>
          <c:order val="1"/>
          <c:tx>
            <c:strRef>
              <c:f>Лист1!$C$85</c:f>
              <c:strCache>
                <c:ptCount val="1"/>
                <c:pt idx="0">
                  <c:v>No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Лист1!$A$86:$A$88</c:f>
              <c:strCache>
                <c:ptCount val="3"/>
                <c:pt idx="0">
                  <c:v>Battambang</c:v>
                </c:pt>
                <c:pt idx="1">
                  <c:v>Banteay Meanchey</c:v>
                </c:pt>
                <c:pt idx="2">
                  <c:v>Pailin</c:v>
                </c:pt>
              </c:strCache>
            </c:strRef>
          </c:cat>
          <c:val>
            <c:numRef>
              <c:f>Лист1!$C$86:$C$88</c:f>
              <c:numCache>
                <c:formatCode>0.0%</c:formatCode>
                <c:ptCount val="3"/>
                <c:pt idx="0">
                  <c:v>3.2000000000000001E-2</c:v>
                </c:pt>
                <c:pt idx="1">
                  <c:v>2.3E-2</c:v>
                </c:pt>
                <c:pt idx="2">
                  <c:v>0</c:v>
                </c:pt>
              </c:numCache>
            </c:numRef>
          </c:val>
        </c:ser>
        <c:dLbls>
          <c:showLegendKey val="0"/>
          <c:showVal val="1"/>
          <c:showCatName val="0"/>
          <c:showSerName val="0"/>
          <c:showPercent val="0"/>
          <c:showBubbleSize val="0"/>
        </c:dLbls>
        <c:gapWidth val="150"/>
        <c:overlap val="100"/>
        <c:axId val="159426048"/>
        <c:axId val="159427584"/>
      </c:barChart>
      <c:catAx>
        <c:axId val="159426048"/>
        <c:scaling>
          <c:orientation val="minMax"/>
        </c:scaling>
        <c:delete val="0"/>
        <c:axPos val="b"/>
        <c:numFmt formatCode="General" sourceLinked="1"/>
        <c:majorTickMark val="none"/>
        <c:minorTickMark val="none"/>
        <c:tickLblPos val="nextTo"/>
        <c:spPr>
          <a:noFill/>
          <a:ln w="9525" cap="flat" cmpd="sng" algn="ctr">
            <a:solidFill>
              <a:srgbClr val="0070C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59427584"/>
        <c:crosses val="autoZero"/>
        <c:auto val="1"/>
        <c:lblAlgn val="ctr"/>
        <c:lblOffset val="100"/>
        <c:noMultiLvlLbl val="0"/>
      </c:catAx>
      <c:valAx>
        <c:axId val="1594275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942604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Лист1!$C$35:$C$39</c:f>
              <c:strCache>
                <c:ptCount val="5"/>
                <c:pt idx="0">
                  <c:v>Mine clearance operators</c:v>
                </c:pt>
                <c:pt idx="1">
                  <c:v>Village chiefs/commune councillors</c:v>
                </c:pt>
                <c:pt idx="2">
                  <c:v>Relatives/friends</c:v>
                </c:pt>
                <c:pt idx="3">
                  <c:v>Posters, signposts, leaflets</c:v>
                </c:pt>
                <c:pt idx="4">
                  <c:v>Other</c:v>
                </c:pt>
              </c:strCache>
            </c:strRef>
          </c:cat>
          <c:val>
            <c:numRef>
              <c:f>Лист1!$D$35:$D$39</c:f>
              <c:numCache>
                <c:formatCode>###0.0%</c:formatCode>
                <c:ptCount val="5"/>
                <c:pt idx="0">
                  <c:v>0.76495726495726402</c:v>
                </c:pt>
                <c:pt idx="1">
                  <c:v>0.60683760683760701</c:v>
                </c:pt>
                <c:pt idx="2">
                  <c:v>0.32051282051282198</c:v>
                </c:pt>
                <c:pt idx="3">
                  <c:v>0.31837606837607002</c:v>
                </c:pt>
                <c:pt idx="4">
                  <c:v>0.16239316239316201</c:v>
                </c:pt>
              </c:numCache>
            </c:numRef>
          </c:val>
        </c:ser>
        <c:dLbls>
          <c:showLegendKey val="0"/>
          <c:showVal val="1"/>
          <c:showCatName val="0"/>
          <c:showSerName val="0"/>
          <c:showPercent val="0"/>
          <c:showBubbleSize val="0"/>
        </c:dLbls>
        <c:gapWidth val="182"/>
        <c:axId val="159443200"/>
        <c:axId val="159659136"/>
      </c:barChart>
      <c:catAx>
        <c:axId val="159443200"/>
        <c:scaling>
          <c:orientation val="maxMin"/>
        </c:scaling>
        <c:delete val="0"/>
        <c:axPos val="l"/>
        <c:numFmt formatCode="General" sourceLinked="1"/>
        <c:majorTickMark val="none"/>
        <c:minorTickMark val="none"/>
        <c:tickLblPos val="nextTo"/>
        <c:spPr>
          <a:noFill/>
          <a:ln w="9525" cap="flat" cmpd="sng" algn="ctr">
            <a:solidFill>
              <a:srgbClr val="0070C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59659136"/>
        <c:crosses val="autoZero"/>
        <c:auto val="1"/>
        <c:lblAlgn val="ctr"/>
        <c:lblOffset val="100"/>
        <c:noMultiLvlLbl val="0"/>
      </c:catAx>
      <c:valAx>
        <c:axId val="15965913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5944320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2.0768340556854101E-2"/>
                  <c:y val="0.30218446842946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6858789625360199E-2"/>
                  <c:y val="-0.2261609953232520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Лист1!$B$216:$B$217</c:f>
              <c:strCache>
                <c:ptCount val="2"/>
                <c:pt idx="0">
                  <c:v>Yes</c:v>
                </c:pt>
                <c:pt idx="1">
                  <c:v>No</c:v>
                </c:pt>
              </c:strCache>
            </c:strRef>
          </c:cat>
          <c:val>
            <c:numRef>
              <c:f>Лист1!$D$216:$D$217</c:f>
              <c:numCache>
                <c:formatCode>0.0%</c:formatCode>
                <c:ptCount val="2"/>
                <c:pt idx="0">
                  <c:v>0.51323828920570302</c:v>
                </c:pt>
                <c:pt idx="1">
                  <c:v>0.46435845213849303</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777855793503597"/>
          <c:y val="0.19757603828933101"/>
          <c:w val="0.33930487988364799"/>
          <c:h val="0.69635119139519397"/>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106846019247594"/>
                  <c:y val="1.2033391659375899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13783573928259"/>
                  <c:y val="-7.1191309419655902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3.323687664042E-2"/>
                  <c:y val="5.00433799941674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6.5878718285214397E-2"/>
                  <c:y val="-5.0088582677165303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6.2000936188708999E-2"/>
                  <c:y val="-0.1188942068515950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3.8766237022920001E-2"/>
                  <c:y val="-0.1289389806666330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8.0061186619188499E-2"/>
                  <c:y val="-8.163141372034379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Лист1!$B$147:$B$153</c:f>
              <c:strCache>
                <c:ptCount val="7"/>
                <c:pt idx="0">
                  <c:v> Safe land for housing</c:v>
                </c:pt>
                <c:pt idx="1">
                  <c:v> Safe land for farming</c:v>
                </c:pt>
                <c:pt idx="2">
                  <c:v> Safe access to collect water from lake and streams</c:v>
                </c:pt>
                <c:pt idx="3">
                  <c:v> Children go to school safely</c:v>
                </c:pt>
                <c:pt idx="4">
                  <c:v> Safe playground for children</c:v>
                </c:pt>
                <c:pt idx="5">
                  <c:v> Safe grazing animals</c:v>
                </c:pt>
                <c:pt idx="6">
                  <c:v> Safe transportation of the harvest</c:v>
                </c:pt>
              </c:strCache>
            </c:strRef>
          </c:cat>
          <c:val>
            <c:numRef>
              <c:f>Лист1!$D$147:$D$153</c:f>
              <c:numCache>
                <c:formatCode>###0.0%</c:formatCode>
                <c:ptCount val="7"/>
                <c:pt idx="0">
                  <c:v>0.41875000000000001</c:v>
                </c:pt>
                <c:pt idx="1">
                  <c:v>0.85208333333333397</c:v>
                </c:pt>
                <c:pt idx="2">
                  <c:v>0.110416666666667</c:v>
                </c:pt>
                <c:pt idx="3">
                  <c:v>7.7083333333333601E-2</c:v>
                </c:pt>
                <c:pt idx="4">
                  <c:v>0.16041666666666701</c:v>
                </c:pt>
                <c:pt idx="5">
                  <c:v>0.10625</c:v>
                </c:pt>
                <c:pt idx="6">
                  <c:v>0.30833333333333302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905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1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1905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6.2034558180227503E-2"/>
                  <c:y val="-2.288167104111999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7.1064523184601894E-2"/>
                  <c:y val="2.5127588218139402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Лист1!$C$99:$C$100</c:f>
              <c:strCache>
                <c:ptCount val="2"/>
                <c:pt idx="0">
                  <c:v>Yes</c:v>
                </c:pt>
                <c:pt idx="1">
                  <c:v>No</c:v>
                </c:pt>
              </c:strCache>
            </c:strRef>
          </c:cat>
          <c:val>
            <c:numRef>
              <c:f>Лист1!$D$99:$D$100</c:f>
              <c:numCache>
                <c:formatCode>0.0%</c:formatCode>
                <c:ptCount val="2"/>
                <c:pt idx="0">
                  <c:v>0.83507853403141497</c:v>
                </c:pt>
                <c:pt idx="1">
                  <c:v>0.16492146596858601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Лист1!$C$1297</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Лист1!$B$1314:$B$1317</c:f>
              <c:strCache>
                <c:ptCount val="4"/>
                <c:pt idx="0">
                  <c:v>Battambang</c:v>
                </c:pt>
                <c:pt idx="1">
                  <c:v>Banteay Meanchey</c:v>
                </c:pt>
                <c:pt idx="2">
                  <c:v>Pailin</c:v>
                </c:pt>
                <c:pt idx="3">
                  <c:v>Total all provinces </c:v>
                </c:pt>
              </c:strCache>
            </c:strRef>
          </c:cat>
          <c:val>
            <c:numRef>
              <c:f>Лист1!$C$1314:$C$1317</c:f>
              <c:numCache>
                <c:formatCode>###0.0%</c:formatCode>
                <c:ptCount val="4"/>
                <c:pt idx="0">
                  <c:v>0.73665480427046404</c:v>
                </c:pt>
                <c:pt idx="1">
                  <c:v>0.828125000000002</c:v>
                </c:pt>
                <c:pt idx="2">
                  <c:v>0.87323943661972203</c:v>
                </c:pt>
                <c:pt idx="3">
                  <c:v>0.78125</c:v>
                </c:pt>
              </c:numCache>
            </c:numRef>
          </c:val>
        </c:ser>
        <c:ser>
          <c:idx val="1"/>
          <c:order val="1"/>
          <c:tx>
            <c:strRef>
              <c:f>Лист1!$D$1297</c:f>
              <c:strCache>
                <c:ptCount val="1"/>
                <c:pt idx="0">
                  <c:v>No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Лист1!$B$1314:$B$1317</c:f>
              <c:strCache>
                <c:ptCount val="4"/>
                <c:pt idx="0">
                  <c:v>Battambang</c:v>
                </c:pt>
                <c:pt idx="1">
                  <c:v>Banteay Meanchey</c:v>
                </c:pt>
                <c:pt idx="2">
                  <c:v>Pailin</c:v>
                </c:pt>
                <c:pt idx="3">
                  <c:v>Total all provinces </c:v>
                </c:pt>
              </c:strCache>
            </c:strRef>
          </c:cat>
          <c:val>
            <c:numRef>
              <c:f>Лист1!$D$1314:$D$1317</c:f>
              <c:numCache>
                <c:formatCode>###0.0%</c:formatCode>
                <c:ptCount val="4"/>
                <c:pt idx="0">
                  <c:v>0.26334519572953702</c:v>
                </c:pt>
                <c:pt idx="1">
                  <c:v>0.171875</c:v>
                </c:pt>
                <c:pt idx="2">
                  <c:v>0.12676056338028199</c:v>
                </c:pt>
                <c:pt idx="3">
                  <c:v>0.21875</c:v>
                </c:pt>
              </c:numCache>
            </c:numRef>
          </c:val>
        </c:ser>
        <c:dLbls>
          <c:showLegendKey val="0"/>
          <c:showVal val="1"/>
          <c:showCatName val="0"/>
          <c:showSerName val="0"/>
          <c:showPercent val="0"/>
          <c:showBubbleSize val="0"/>
        </c:dLbls>
        <c:gapWidth val="150"/>
        <c:overlap val="100"/>
        <c:axId val="159996544"/>
        <c:axId val="160010624"/>
      </c:barChart>
      <c:catAx>
        <c:axId val="159996544"/>
        <c:scaling>
          <c:orientation val="minMax"/>
        </c:scaling>
        <c:delete val="0"/>
        <c:axPos val="l"/>
        <c:numFmt formatCode="General" sourceLinked="1"/>
        <c:majorTickMark val="none"/>
        <c:minorTickMark val="none"/>
        <c:tickLblPos val="nextTo"/>
        <c:spPr>
          <a:noFill/>
          <a:ln w="9525" cap="flat" cmpd="sng" algn="ctr">
            <a:solidFill>
              <a:srgbClr val="C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0010624"/>
        <c:crosses val="autoZero"/>
        <c:auto val="1"/>
        <c:lblAlgn val="ctr"/>
        <c:lblOffset val="100"/>
        <c:noMultiLvlLbl val="0"/>
      </c:catAx>
      <c:valAx>
        <c:axId val="1600106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599965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Лист1!$B$1332:$B$1342</c:f>
              <c:strCache>
                <c:ptCount val="11"/>
                <c:pt idx="0">
                  <c:v> To buy agricultural inputs (seed, tools)</c:v>
                </c:pt>
                <c:pt idx="1">
                  <c:v> Hire agricultural labour</c:v>
                </c:pt>
                <c:pt idx="2">
                  <c:v> To cover health expenses</c:v>
                </c:pt>
                <c:pt idx="3">
                  <c:v> To buy food for household</c:v>
                </c:pt>
                <c:pt idx="4">
                  <c:v> Business development</c:v>
                </c:pt>
                <c:pt idx="5">
                  <c:v> To repair/reconstruct house</c:v>
                </c:pt>
                <c:pt idx="6">
                  <c:v> To pay school/education cost for the children</c:v>
                </c:pt>
                <c:pt idx="7">
                  <c:v> To pay back original loan</c:v>
                </c:pt>
                <c:pt idx="8">
                  <c:v> For social ceremonies, annual celebrations</c:v>
                </c:pt>
                <c:pt idx="9">
                  <c:v> Other</c:v>
                </c:pt>
                <c:pt idx="10">
                  <c:v> To buy/rent land</c:v>
                </c:pt>
              </c:strCache>
            </c:strRef>
          </c:cat>
          <c:val>
            <c:numRef>
              <c:f>Лист1!$C$1332:$C$1342</c:f>
              <c:numCache>
                <c:formatCode>###0.0%</c:formatCode>
                <c:ptCount val="11"/>
                <c:pt idx="0">
                  <c:v>0.8</c:v>
                </c:pt>
                <c:pt idx="1">
                  <c:v>0.224</c:v>
                </c:pt>
                <c:pt idx="2">
                  <c:v>0.2</c:v>
                </c:pt>
                <c:pt idx="3">
                  <c:v>0.19466666666666699</c:v>
                </c:pt>
                <c:pt idx="4">
                  <c:v>6.1333333333333503E-2</c:v>
                </c:pt>
                <c:pt idx="5">
                  <c:v>5.6000000000000001E-2</c:v>
                </c:pt>
                <c:pt idx="6">
                  <c:v>0.04</c:v>
                </c:pt>
                <c:pt idx="7">
                  <c:v>3.7333333333333399E-2</c:v>
                </c:pt>
                <c:pt idx="8">
                  <c:v>1.6E-2</c:v>
                </c:pt>
                <c:pt idx="9">
                  <c:v>1.6E-2</c:v>
                </c:pt>
                <c:pt idx="10" formatCode="####.0%">
                  <c:v>2.66666666666667E-3</c:v>
                </c:pt>
              </c:numCache>
            </c:numRef>
          </c:val>
        </c:ser>
        <c:dLbls>
          <c:showLegendKey val="0"/>
          <c:showVal val="1"/>
          <c:showCatName val="0"/>
          <c:showSerName val="0"/>
          <c:showPercent val="0"/>
          <c:showBubbleSize val="0"/>
        </c:dLbls>
        <c:gapWidth val="102"/>
        <c:axId val="160025984"/>
        <c:axId val="160188672"/>
      </c:barChart>
      <c:catAx>
        <c:axId val="160025984"/>
        <c:scaling>
          <c:orientation val="maxMin"/>
        </c:scaling>
        <c:delete val="0"/>
        <c:axPos val="l"/>
        <c:numFmt formatCode="General" sourceLinked="1"/>
        <c:majorTickMark val="none"/>
        <c:minorTickMark val="none"/>
        <c:tickLblPos val="nextTo"/>
        <c:spPr>
          <a:noFill/>
          <a:ln w="9525" cap="flat" cmpd="sng" algn="ctr">
            <a:solidFill>
              <a:srgbClr val="C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0188672"/>
        <c:crosses val="autoZero"/>
        <c:auto val="1"/>
        <c:lblAlgn val="ctr"/>
        <c:lblOffset val="100"/>
        <c:noMultiLvlLbl val="0"/>
      </c:catAx>
      <c:valAx>
        <c:axId val="1601886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60025984"/>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1"/>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layout>
                <c:manualLayout>
                  <c:x val="3.2292949362638101E-2"/>
                  <c:y val="3.931401310829409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7.0857638122337696E-2"/>
                  <c:y val="-2.493401881958159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Лист1!$B$1354:$B$1355</c:f>
              <c:strCache>
                <c:ptCount val="2"/>
                <c:pt idx="0">
                  <c:v>Yes</c:v>
                </c:pt>
                <c:pt idx="1">
                  <c:v>No</c:v>
                </c:pt>
              </c:strCache>
            </c:strRef>
          </c:cat>
          <c:val>
            <c:numRef>
              <c:f>Лист1!$C$1354:$C$1355</c:f>
              <c:numCache>
                <c:formatCode>0.0%</c:formatCode>
                <c:ptCount val="2"/>
                <c:pt idx="0">
                  <c:v>0.81866666666666699</c:v>
                </c:pt>
                <c:pt idx="1">
                  <c:v>0.18133333333333301</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152343227354402"/>
          <c:y val="0.206349206349207"/>
          <c:w val="0.31533926713674798"/>
          <c:h val="0.6765873015873009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8.6552826717953002E-2"/>
                  <c:y val="9.632428758905139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8411434843907801"/>
                  <c:y val="-6.272301899762550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6557841840686601E-2"/>
                  <c:y val="1.479971253593300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19456673799488"/>
                  <c:y val="-2.090598050243720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3754160685988701"/>
                  <c:y val="-4.78893263342084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'12,2'!$D$22:$D$26</c:f>
              <c:strCache>
                <c:ptCount val="5"/>
                <c:pt idx="0">
                  <c:v>Land ownership certificate (hard title)</c:v>
                </c:pt>
                <c:pt idx="1">
                  <c:v>Land ownership certificate (soft title)</c:v>
                </c:pt>
                <c:pt idx="2">
                  <c:v>Other</c:v>
                </c:pt>
                <c:pt idx="3">
                  <c:v>Mortgage over house</c:v>
                </c:pt>
                <c:pt idx="4">
                  <c:v>Assets as collateral</c:v>
                </c:pt>
              </c:strCache>
            </c:strRef>
          </c:cat>
          <c:val>
            <c:numRef>
              <c:f>'12,2'!$E$22:$E$26</c:f>
              <c:numCache>
                <c:formatCode>0.0%</c:formatCode>
                <c:ptCount val="5"/>
                <c:pt idx="0">
                  <c:v>0.36799999999999999</c:v>
                </c:pt>
                <c:pt idx="1">
                  <c:v>0.32000000000000101</c:v>
                </c:pt>
                <c:pt idx="2">
                  <c:v>0.25333333333333302</c:v>
                </c:pt>
                <c:pt idx="3">
                  <c:v>5.6000000000000001E-2</c:v>
                </c:pt>
                <c:pt idx="4">
                  <c:v>2.66666666666668E-3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Лист5!$C$8</c:f>
              <c:strCache>
                <c:ptCount val="1"/>
                <c:pt idx="0">
                  <c:v>No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0"/>
                  <c:y val="-1.75438596491229E-2"/>
                </c:manualLayout>
              </c:layout>
              <c:dLblPos val="ctr"/>
              <c:showLegendKey val="0"/>
              <c:showVal val="1"/>
              <c:showCatName val="0"/>
              <c:showSerName val="0"/>
              <c:showPercent val="0"/>
              <c:showBubbleSize val="0"/>
            </c:dLbl>
            <c:dLbl>
              <c:idx val="2"/>
              <c:delete val="1"/>
            </c:dLbl>
            <c:dLblPos val="ctr"/>
            <c:showLegendKey val="0"/>
            <c:showVal val="1"/>
            <c:showCatName val="0"/>
            <c:showSerName val="0"/>
            <c:showPercent val="0"/>
            <c:showBubbleSize val="0"/>
            <c:showLeaderLines val="0"/>
          </c:dLbls>
          <c:cat>
            <c:strRef>
              <c:f>Лист5!$D$7:$G$7</c:f>
              <c:strCache>
                <c:ptCount val="4"/>
                <c:pt idx="0">
                  <c:v>Battambang</c:v>
                </c:pt>
                <c:pt idx="1">
                  <c:v>Banteay Meanchey</c:v>
                </c:pt>
                <c:pt idx="2">
                  <c:v>Pailin</c:v>
                </c:pt>
                <c:pt idx="3">
                  <c:v>Total all province</c:v>
                </c:pt>
              </c:strCache>
            </c:strRef>
          </c:cat>
          <c:val>
            <c:numRef>
              <c:f>Лист5!$D$8:$G$8</c:f>
              <c:numCache>
                <c:formatCode>###0.0%</c:formatCode>
                <c:ptCount val="4"/>
                <c:pt idx="0">
                  <c:v>0.15238095238095201</c:v>
                </c:pt>
                <c:pt idx="1">
                  <c:v>2.9850746268656799E-2</c:v>
                </c:pt>
                <c:pt idx="2">
                  <c:v>0</c:v>
                </c:pt>
                <c:pt idx="3">
                  <c:v>9.0452261306532597E-2</c:v>
                </c:pt>
              </c:numCache>
            </c:numRef>
          </c:val>
        </c:ser>
        <c:ser>
          <c:idx val="1"/>
          <c:order val="1"/>
          <c:tx>
            <c:strRef>
              <c:f>Лист5!$C$9</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Лист5!$D$7:$G$7</c:f>
              <c:strCache>
                <c:ptCount val="4"/>
                <c:pt idx="0">
                  <c:v>Battambang</c:v>
                </c:pt>
                <c:pt idx="1">
                  <c:v>Banteay Meanchey</c:v>
                </c:pt>
                <c:pt idx="2">
                  <c:v>Pailin</c:v>
                </c:pt>
                <c:pt idx="3">
                  <c:v>Total all province</c:v>
                </c:pt>
              </c:strCache>
            </c:strRef>
          </c:cat>
          <c:val>
            <c:numRef>
              <c:f>Лист5!$D$9:$G$9</c:f>
              <c:numCache>
                <c:formatCode>###0.0%</c:formatCode>
                <c:ptCount val="4"/>
                <c:pt idx="0">
                  <c:v>0.84761904761904905</c:v>
                </c:pt>
                <c:pt idx="1">
                  <c:v>0.97014925373134397</c:v>
                </c:pt>
                <c:pt idx="2">
                  <c:v>1</c:v>
                </c:pt>
                <c:pt idx="3">
                  <c:v>0.90954773869346806</c:v>
                </c:pt>
              </c:numCache>
            </c:numRef>
          </c:val>
        </c:ser>
        <c:dLbls>
          <c:showLegendKey val="0"/>
          <c:showVal val="1"/>
          <c:showCatName val="0"/>
          <c:showSerName val="0"/>
          <c:showPercent val="0"/>
          <c:showBubbleSize val="0"/>
        </c:dLbls>
        <c:gapWidth val="150"/>
        <c:overlap val="100"/>
        <c:axId val="179382528"/>
        <c:axId val="179388416"/>
      </c:barChart>
      <c:catAx>
        <c:axId val="179382528"/>
        <c:scaling>
          <c:orientation val="minMax"/>
        </c:scaling>
        <c:delete val="0"/>
        <c:axPos val="b"/>
        <c:majorTickMark val="out"/>
        <c:minorTickMark val="none"/>
        <c:tickLblPos val="nextTo"/>
        <c:crossAx val="179388416"/>
        <c:crosses val="autoZero"/>
        <c:auto val="1"/>
        <c:lblAlgn val="ctr"/>
        <c:lblOffset val="100"/>
        <c:noMultiLvlLbl val="0"/>
      </c:catAx>
      <c:valAx>
        <c:axId val="179388416"/>
        <c:scaling>
          <c:orientation val="minMax"/>
        </c:scaling>
        <c:delete val="0"/>
        <c:axPos val="l"/>
        <c:majorGridlines/>
        <c:numFmt formatCode="0%" sourceLinked="1"/>
        <c:majorTickMark val="out"/>
        <c:minorTickMark val="none"/>
        <c:tickLblPos val="nextTo"/>
        <c:txPr>
          <a:bodyPr/>
          <a:lstStyle/>
          <a:p>
            <a:pPr>
              <a:defRPr sz="800"/>
            </a:pPr>
            <a:endParaRPr lang="en-US"/>
          </a:p>
        </c:txPr>
        <c:crossAx val="1793825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Лист5!$C$22</c:f>
              <c:strCache>
                <c:ptCount val="1"/>
                <c:pt idx="0">
                  <c:v>No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2.29392555868373E-3"/>
                  <c:y val="9.9229514190497995E-17"/>
                </c:manualLayout>
              </c:layout>
              <c:dLblPos val="ctr"/>
              <c:showLegendKey val="0"/>
              <c:showVal val="1"/>
              <c:showCatName val="0"/>
              <c:showSerName val="0"/>
              <c:showPercent val="0"/>
              <c:showBubbleSize val="0"/>
            </c:dLbl>
            <c:dLbl>
              <c:idx val="2"/>
              <c:delete val="1"/>
            </c:dLbl>
            <c:dLblPos val="ctr"/>
            <c:showLegendKey val="0"/>
            <c:showVal val="1"/>
            <c:showCatName val="0"/>
            <c:showSerName val="0"/>
            <c:showPercent val="0"/>
            <c:showBubbleSize val="0"/>
            <c:showLeaderLines val="0"/>
          </c:dLbls>
          <c:cat>
            <c:strRef>
              <c:f>Лист5!$D$7:$G$7</c:f>
              <c:strCache>
                <c:ptCount val="4"/>
                <c:pt idx="0">
                  <c:v>Battambang</c:v>
                </c:pt>
                <c:pt idx="1">
                  <c:v>Banteay Meanchey</c:v>
                </c:pt>
                <c:pt idx="2">
                  <c:v>Pailin</c:v>
                </c:pt>
                <c:pt idx="3">
                  <c:v>Total all province</c:v>
                </c:pt>
              </c:strCache>
            </c:strRef>
          </c:cat>
          <c:val>
            <c:numRef>
              <c:f>Лист5!$D$22:$G$22</c:f>
              <c:numCache>
                <c:formatCode>###0.0%</c:formatCode>
                <c:ptCount val="4"/>
                <c:pt idx="0">
                  <c:v>0.15730337078651699</c:v>
                </c:pt>
                <c:pt idx="1">
                  <c:v>1.5384615384615399E-2</c:v>
                </c:pt>
                <c:pt idx="2">
                  <c:v>0</c:v>
                </c:pt>
                <c:pt idx="3">
                  <c:v>8.2872928176795604E-2</c:v>
                </c:pt>
              </c:numCache>
            </c:numRef>
          </c:val>
        </c:ser>
        <c:ser>
          <c:idx val="1"/>
          <c:order val="1"/>
          <c:tx>
            <c:strRef>
              <c:f>Лист5!$C$23</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Лист5!$D$7:$G$7</c:f>
              <c:strCache>
                <c:ptCount val="4"/>
                <c:pt idx="0">
                  <c:v>Battambang</c:v>
                </c:pt>
                <c:pt idx="1">
                  <c:v>Banteay Meanchey</c:v>
                </c:pt>
                <c:pt idx="2">
                  <c:v>Pailin</c:v>
                </c:pt>
                <c:pt idx="3">
                  <c:v>Total all province</c:v>
                </c:pt>
              </c:strCache>
            </c:strRef>
          </c:cat>
          <c:val>
            <c:numRef>
              <c:f>Лист5!$D$23:$G$23</c:f>
              <c:numCache>
                <c:formatCode>###0.0%</c:formatCode>
                <c:ptCount val="4"/>
                <c:pt idx="0">
                  <c:v>0.84269662921348498</c:v>
                </c:pt>
                <c:pt idx="1">
                  <c:v>0.984615384615385</c:v>
                </c:pt>
                <c:pt idx="2">
                  <c:v>1</c:v>
                </c:pt>
                <c:pt idx="3">
                  <c:v>0.91712707182320397</c:v>
                </c:pt>
              </c:numCache>
            </c:numRef>
          </c:val>
        </c:ser>
        <c:dLbls>
          <c:showLegendKey val="0"/>
          <c:showVal val="1"/>
          <c:showCatName val="0"/>
          <c:showSerName val="0"/>
          <c:showPercent val="0"/>
          <c:showBubbleSize val="0"/>
        </c:dLbls>
        <c:gapWidth val="150"/>
        <c:overlap val="100"/>
        <c:axId val="179418624"/>
        <c:axId val="179420160"/>
      </c:barChart>
      <c:catAx>
        <c:axId val="179418624"/>
        <c:scaling>
          <c:orientation val="minMax"/>
        </c:scaling>
        <c:delete val="0"/>
        <c:axPos val="b"/>
        <c:majorTickMark val="out"/>
        <c:minorTickMark val="none"/>
        <c:tickLblPos val="nextTo"/>
        <c:crossAx val="179420160"/>
        <c:crosses val="autoZero"/>
        <c:auto val="1"/>
        <c:lblAlgn val="ctr"/>
        <c:lblOffset val="100"/>
        <c:noMultiLvlLbl val="0"/>
      </c:catAx>
      <c:valAx>
        <c:axId val="179420160"/>
        <c:scaling>
          <c:orientation val="minMax"/>
        </c:scaling>
        <c:delete val="0"/>
        <c:axPos val="l"/>
        <c:majorGridlines/>
        <c:numFmt formatCode="0%" sourceLinked="1"/>
        <c:majorTickMark val="out"/>
        <c:minorTickMark val="none"/>
        <c:tickLblPos val="nextTo"/>
        <c:txPr>
          <a:bodyPr/>
          <a:lstStyle/>
          <a:p>
            <a:pPr>
              <a:defRPr sz="800"/>
            </a:pPr>
            <a:endParaRPr lang="en-US"/>
          </a:p>
        </c:txPr>
        <c:crossAx val="1794186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06846019247594"/>
                  <c:y val="1.2033391659375899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9549650043744499E-2"/>
                  <c:y val="5.3808690580344098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3601465441819799"/>
                  <c:y val="5.00433799941674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6.5878718285214397E-2"/>
                  <c:y val="-5.0088582677165303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2.1661307961504901E-2"/>
                  <c:y val="-6.660651793525809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1.32886045494313E-2"/>
                  <c:y val="-0.128938830562847"/>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7.7938101487314101E-2"/>
                  <c:y val="1.1574074074074099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Лист1!$B$162:$B$164</c:f>
              <c:strCache>
                <c:ptCount val="3"/>
                <c:pt idx="0">
                  <c:v>Confidence investing in land</c:v>
                </c:pt>
                <c:pt idx="1">
                  <c:v>Raising more animals</c:v>
                </c:pt>
                <c:pt idx="2">
                  <c:v>Other</c:v>
                </c:pt>
              </c:strCache>
            </c:strRef>
          </c:cat>
          <c:val>
            <c:numRef>
              <c:f>Лист1!$D$162:$D$164</c:f>
              <c:numCache>
                <c:formatCode>###0.0%</c:formatCode>
                <c:ptCount val="3"/>
                <c:pt idx="0">
                  <c:v>0.55038759689922501</c:v>
                </c:pt>
                <c:pt idx="1">
                  <c:v>0.45736434108527202</c:v>
                </c:pt>
                <c:pt idx="2">
                  <c:v>0.10077519379845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Лист2!$E$4</c:f>
              <c:strCache>
                <c:ptCount val="1"/>
                <c:pt idx="0">
                  <c:v>Households having Soft Titles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Лист2!$D$5:$D$8</c:f>
              <c:strCache>
                <c:ptCount val="4"/>
                <c:pt idx="0">
                  <c:v>Battambang</c:v>
                </c:pt>
                <c:pt idx="1">
                  <c:v>Banteay Meanchey</c:v>
                </c:pt>
                <c:pt idx="2">
                  <c:v>Pailin</c:v>
                </c:pt>
                <c:pt idx="3">
                  <c:v>Total all province</c:v>
                </c:pt>
              </c:strCache>
            </c:strRef>
          </c:cat>
          <c:val>
            <c:numRef>
              <c:f>Лист2!$E$5:$E$8</c:f>
              <c:numCache>
                <c:formatCode>###0.0%</c:formatCode>
                <c:ptCount val="4"/>
                <c:pt idx="0">
                  <c:v>0.39857651245551701</c:v>
                </c:pt>
                <c:pt idx="1">
                  <c:v>0.679687500000001</c:v>
                </c:pt>
                <c:pt idx="2">
                  <c:v>0.50704225352112697</c:v>
                </c:pt>
                <c:pt idx="3">
                  <c:v>0.48958333333333298</c:v>
                </c:pt>
              </c:numCache>
            </c:numRef>
          </c:val>
        </c:ser>
        <c:ser>
          <c:idx val="1"/>
          <c:order val="1"/>
          <c:tx>
            <c:strRef>
              <c:f>Лист2!$F$4</c:f>
              <c:strCache>
                <c:ptCount val="1"/>
                <c:pt idx="0">
                  <c:v>Households having Hard Title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Лист2!$D$5:$D$8</c:f>
              <c:strCache>
                <c:ptCount val="4"/>
                <c:pt idx="0">
                  <c:v>Battambang</c:v>
                </c:pt>
                <c:pt idx="1">
                  <c:v>Banteay Meanchey</c:v>
                </c:pt>
                <c:pt idx="2">
                  <c:v>Pailin</c:v>
                </c:pt>
                <c:pt idx="3">
                  <c:v>Total all province</c:v>
                </c:pt>
              </c:strCache>
            </c:strRef>
          </c:cat>
          <c:val>
            <c:numRef>
              <c:f>Лист2!$F$5:$F$8</c:f>
              <c:numCache>
                <c:formatCode>###0.0%</c:formatCode>
                <c:ptCount val="4"/>
                <c:pt idx="0">
                  <c:v>0.69395017793594205</c:v>
                </c:pt>
                <c:pt idx="1">
                  <c:v>7.8125E-2</c:v>
                </c:pt>
                <c:pt idx="2">
                  <c:v>9.8591549295775002E-2</c:v>
                </c:pt>
                <c:pt idx="3">
                  <c:v>0.44166666666666698</c:v>
                </c:pt>
              </c:numCache>
            </c:numRef>
          </c:val>
        </c:ser>
        <c:dLbls>
          <c:showLegendKey val="0"/>
          <c:showVal val="1"/>
          <c:showCatName val="0"/>
          <c:showSerName val="0"/>
          <c:showPercent val="0"/>
          <c:showBubbleSize val="0"/>
        </c:dLbls>
        <c:gapWidth val="150"/>
        <c:axId val="124923264"/>
        <c:axId val="125113472"/>
      </c:barChart>
      <c:catAx>
        <c:axId val="124923264"/>
        <c:scaling>
          <c:orientation val="minMax"/>
        </c:scaling>
        <c:delete val="0"/>
        <c:axPos val="b"/>
        <c:majorTickMark val="out"/>
        <c:minorTickMark val="none"/>
        <c:tickLblPos val="nextTo"/>
        <c:txPr>
          <a:bodyPr/>
          <a:lstStyle/>
          <a:p>
            <a:pPr>
              <a:defRPr>
                <a:solidFill>
                  <a:schemeClr val="tx1"/>
                </a:solidFill>
              </a:defRPr>
            </a:pPr>
            <a:endParaRPr lang="en-US"/>
          </a:p>
        </c:txPr>
        <c:crossAx val="125113472"/>
        <c:crosses val="autoZero"/>
        <c:auto val="1"/>
        <c:lblAlgn val="ctr"/>
        <c:lblOffset val="100"/>
        <c:noMultiLvlLbl val="0"/>
      </c:catAx>
      <c:valAx>
        <c:axId val="125113472"/>
        <c:scaling>
          <c:orientation val="minMax"/>
        </c:scaling>
        <c:delete val="0"/>
        <c:axPos val="l"/>
        <c:majorGridlines/>
        <c:numFmt formatCode="###0.0%" sourceLinked="1"/>
        <c:majorTickMark val="out"/>
        <c:minorTickMark val="none"/>
        <c:tickLblPos val="nextTo"/>
        <c:txPr>
          <a:bodyPr/>
          <a:lstStyle/>
          <a:p>
            <a:pPr>
              <a:defRPr sz="800"/>
            </a:pPr>
            <a:endParaRPr lang="en-US"/>
          </a:p>
        </c:txPr>
        <c:crossAx val="124923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8055555555556"/>
          <c:y val="0.203848580275102"/>
          <c:w val="0.66388888888889097"/>
          <c:h val="0.62528554195559705"/>
        </c:manualLayout>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0412182852143501"/>
                  <c:y val="-0.12110552047701"/>
                </c:manualLayout>
              </c:layout>
              <c:showLegendKey val="0"/>
              <c:showVal val="1"/>
              <c:showCatName val="1"/>
              <c:showSerName val="0"/>
              <c:showPercent val="0"/>
              <c:showBubbleSize val="0"/>
            </c:dLbl>
            <c:dLbl>
              <c:idx val="1"/>
              <c:layout>
                <c:manualLayout>
                  <c:x val="-0.11575809273840799"/>
                  <c:y val="0.103434950282573"/>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Лист2!$C$20:$C$21</c:f>
              <c:strCache>
                <c:ptCount val="2"/>
                <c:pt idx="0">
                  <c:v>Households with Hard and Soft Titles</c:v>
                </c:pt>
                <c:pt idx="1">
                  <c:v>Households without land certificates</c:v>
                </c:pt>
              </c:strCache>
            </c:strRef>
          </c:cat>
          <c:val>
            <c:numRef>
              <c:f>Лист2!$D$20:$D$21</c:f>
              <c:numCache>
                <c:formatCode>###0.0%</c:formatCode>
                <c:ptCount val="2"/>
                <c:pt idx="0">
                  <c:v>0.80800000000000005</c:v>
                </c:pt>
                <c:pt idx="1">
                  <c:v>0.192</c:v>
                </c:pt>
              </c:numCache>
            </c:numRef>
          </c:val>
        </c:ser>
        <c:dLbls>
          <c:showLegendKey val="0"/>
          <c:showVal val="1"/>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2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96343332418568"/>
                  <c:y val="-1.839241925745200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4066327499947199"/>
                  <c:y val="1.76506105750866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Лист1!$B$1114:$B$1115</c:f>
              <c:strCache>
                <c:ptCount val="2"/>
                <c:pt idx="0">
                  <c:v>Yes</c:v>
                </c:pt>
                <c:pt idx="1">
                  <c:v>No</c:v>
                </c:pt>
              </c:strCache>
            </c:strRef>
          </c:cat>
          <c:val>
            <c:numRef>
              <c:f>Лист1!$C$1114:$C$1115</c:f>
              <c:numCache>
                <c:formatCode>0.0%</c:formatCode>
                <c:ptCount val="2"/>
                <c:pt idx="0">
                  <c:v>0.92340425531914905</c:v>
                </c:pt>
                <c:pt idx="1">
                  <c:v>7.6595744680851105E-2</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833333333333"/>
          <c:y val="0.15046296296296399"/>
          <c:w val="0.73055555555555596"/>
          <c:h val="0.69444444444444497"/>
        </c:manualLayout>
      </c:layout>
      <c:pie3DChart>
        <c:varyColors val="1"/>
        <c:ser>
          <c:idx val="0"/>
          <c:order val="0"/>
          <c:dPt>
            <c:idx val="0"/>
            <c:bubble3D val="0"/>
            <c:explosion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73193350831146E-2"/>
                  <c:y val="0.20763305628463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5.1391732283464601E-2"/>
                  <c:y val="-0.1170264654418199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Лист1!$B$1129:$B$1130</c:f>
              <c:strCache>
                <c:ptCount val="2"/>
                <c:pt idx="0">
                  <c:v>Yes</c:v>
                </c:pt>
                <c:pt idx="1">
                  <c:v>No</c:v>
                </c:pt>
              </c:strCache>
            </c:strRef>
          </c:cat>
          <c:val>
            <c:numRef>
              <c:f>Лист1!$C$1129:$C$1130</c:f>
              <c:numCache>
                <c:formatCode>0.0%</c:formatCode>
                <c:ptCount val="2"/>
                <c:pt idx="0">
                  <c:v>0.58750000000000002</c:v>
                </c:pt>
                <c:pt idx="1">
                  <c:v>0.41249999999999998</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Лист1!$C$980</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1.04004160166407E-2"/>
                  <c:y val="-5.9259259259258996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Лист1!$B$981:$B$984</c:f>
              <c:strCache>
                <c:ptCount val="4"/>
                <c:pt idx="0">
                  <c:v>Battambang</c:v>
                </c:pt>
                <c:pt idx="1">
                  <c:v>Banteay Meanchey</c:v>
                </c:pt>
                <c:pt idx="2">
                  <c:v>Pailin</c:v>
                </c:pt>
                <c:pt idx="3">
                  <c:v>Total all provinces </c:v>
                </c:pt>
              </c:strCache>
            </c:strRef>
          </c:cat>
          <c:val>
            <c:numRef>
              <c:f>Лист1!$C$981:$C$984</c:f>
              <c:numCache>
                <c:formatCode>###0.0%</c:formatCode>
                <c:ptCount val="4"/>
                <c:pt idx="0">
                  <c:v>3.5587188612099703E-2</c:v>
                </c:pt>
                <c:pt idx="1">
                  <c:v>5.46875E-2</c:v>
                </c:pt>
                <c:pt idx="2">
                  <c:v>4.2253521126760597E-2</c:v>
                </c:pt>
                <c:pt idx="3">
                  <c:v>4.1666666666666699E-2</c:v>
                </c:pt>
              </c:numCache>
            </c:numRef>
          </c:val>
        </c:ser>
        <c:ser>
          <c:idx val="1"/>
          <c:order val="1"/>
          <c:tx>
            <c:strRef>
              <c:f>Лист1!$D$980</c:f>
              <c:strCache>
                <c:ptCount val="1"/>
                <c:pt idx="0">
                  <c:v>No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Лист1!$B$981:$B$984</c:f>
              <c:strCache>
                <c:ptCount val="4"/>
                <c:pt idx="0">
                  <c:v>Battambang</c:v>
                </c:pt>
                <c:pt idx="1">
                  <c:v>Banteay Meanchey</c:v>
                </c:pt>
                <c:pt idx="2">
                  <c:v>Pailin</c:v>
                </c:pt>
                <c:pt idx="3">
                  <c:v>Total all provinces </c:v>
                </c:pt>
              </c:strCache>
            </c:strRef>
          </c:cat>
          <c:val>
            <c:numRef>
              <c:f>Лист1!$D$981:$D$984</c:f>
              <c:numCache>
                <c:formatCode>###0.0%</c:formatCode>
                <c:ptCount val="4"/>
                <c:pt idx="0">
                  <c:v>0.96441281138790003</c:v>
                </c:pt>
                <c:pt idx="1">
                  <c:v>0.9453125</c:v>
                </c:pt>
                <c:pt idx="2">
                  <c:v>0.95774647887324005</c:v>
                </c:pt>
                <c:pt idx="3">
                  <c:v>0.95833333333333404</c:v>
                </c:pt>
              </c:numCache>
            </c:numRef>
          </c:val>
        </c:ser>
        <c:dLbls>
          <c:showLegendKey val="0"/>
          <c:showVal val="1"/>
          <c:showCatName val="0"/>
          <c:showSerName val="0"/>
          <c:showPercent val="0"/>
          <c:showBubbleSize val="0"/>
        </c:dLbls>
        <c:gapWidth val="150"/>
        <c:overlap val="100"/>
        <c:axId val="127634816"/>
        <c:axId val="127734912"/>
      </c:barChart>
      <c:catAx>
        <c:axId val="12763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7734912"/>
        <c:crosses val="autoZero"/>
        <c:auto val="1"/>
        <c:lblAlgn val="ctr"/>
        <c:lblOffset val="100"/>
        <c:noMultiLvlLbl val="0"/>
      </c:catAx>
      <c:valAx>
        <c:axId val="127734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2763481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a:latin typeface="+mn-lt"/>
                <a:cs typeface="Arial" pitchFamily="34" charset="0"/>
              </a:rPr>
              <a:t>Total all provinces</a:t>
            </a:r>
          </a:p>
        </c:rich>
      </c:tx>
      <c:layout>
        <c:manualLayout>
          <c:xMode val="edge"/>
          <c:yMode val="edge"/>
          <c:x val="0.38750331758533102"/>
          <c:y val="9.8153353900805498E-2"/>
        </c:manualLayout>
      </c:layout>
      <c:overlay val="0"/>
      <c:spPr>
        <a:noFill/>
        <a:ln>
          <a:noFill/>
        </a:ln>
        <a:effectLst/>
      </c:spPr>
    </c:title>
    <c:autoTitleDeleted val="0"/>
    <c:plotArea>
      <c:layout/>
      <c:barChart>
        <c:barDir val="bar"/>
        <c:grouping val="clustered"/>
        <c:varyColors val="0"/>
        <c:ser>
          <c:idx val="0"/>
          <c:order val="0"/>
          <c:tx>
            <c:strRef>
              <c:f>'5,3'!$D$48</c:f>
              <c:strCache>
                <c:ptCount val="1"/>
                <c:pt idx="0">
                  <c:v>Total all provinces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'5,3'!$C$49:$C$54</c:f>
              <c:strCache>
                <c:ptCount val="6"/>
                <c:pt idx="0">
                  <c:v>Rice</c:v>
                </c:pt>
                <c:pt idx="1">
                  <c:v>Cassava</c:v>
                </c:pt>
                <c:pt idx="2">
                  <c:v>Fruit tree</c:v>
                </c:pt>
                <c:pt idx="3">
                  <c:v>Maize</c:v>
                </c:pt>
                <c:pt idx="4">
                  <c:v>Other</c:v>
                </c:pt>
                <c:pt idx="5">
                  <c:v>Sesame</c:v>
                </c:pt>
              </c:strCache>
            </c:strRef>
          </c:cat>
          <c:val>
            <c:numRef>
              <c:f>'5,3'!$D$49:$D$54</c:f>
              <c:numCache>
                <c:formatCode>0.0%</c:formatCode>
                <c:ptCount val="6"/>
                <c:pt idx="0">
                  <c:v>0.48299999999999998</c:v>
                </c:pt>
                <c:pt idx="1">
                  <c:v>0.33100000000000102</c:v>
                </c:pt>
                <c:pt idx="2">
                  <c:v>0.32300000000000101</c:v>
                </c:pt>
                <c:pt idx="3">
                  <c:v>0.24199999999999999</c:v>
                </c:pt>
                <c:pt idx="4">
                  <c:v>0.23100000000000001</c:v>
                </c:pt>
                <c:pt idx="5">
                  <c:v>1.9E-2</c:v>
                </c:pt>
              </c:numCache>
            </c:numRef>
          </c:val>
        </c:ser>
        <c:dLbls>
          <c:showLegendKey val="0"/>
          <c:showVal val="1"/>
          <c:showCatName val="0"/>
          <c:showSerName val="0"/>
          <c:showPercent val="0"/>
          <c:showBubbleSize val="0"/>
        </c:dLbls>
        <c:gapWidth val="122"/>
        <c:axId val="127758336"/>
        <c:axId val="127761024"/>
      </c:barChart>
      <c:catAx>
        <c:axId val="127758336"/>
        <c:scaling>
          <c:orientation val="maxMin"/>
        </c:scaling>
        <c:delete val="0"/>
        <c:axPos val="l"/>
        <c:numFmt formatCode="General" sourceLinked="1"/>
        <c:majorTickMark val="none"/>
        <c:minorTickMark val="none"/>
        <c:tickLblPos val="nextTo"/>
        <c:spPr>
          <a:noFill/>
          <a:ln w="9525" cap="flat" cmpd="sng" algn="ctr">
            <a:solidFill>
              <a:srgbClr val="C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7761024"/>
        <c:crosses val="autoZero"/>
        <c:auto val="1"/>
        <c:lblAlgn val="ctr"/>
        <c:lblOffset val="100"/>
        <c:noMultiLvlLbl val="0"/>
      </c:catAx>
      <c:valAx>
        <c:axId val="12776102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7758336"/>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417E-A405-4AD3-A9ED-2A3978BC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7765</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UNDP Cambodia</Company>
  <LinksUpToDate>false</LinksUpToDate>
  <CharactersWithSpaces>51923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Rukhshona Rajabova</dc:creator>
  <cp:lastModifiedBy>David Horrocks</cp:lastModifiedBy>
  <cp:revision>8</cp:revision>
  <cp:lastPrinted>2015-11-20T08:46:00Z</cp:lastPrinted>
  <dcterms:created xsi:type="dcterms:W3CDTF">2015-12-13T04:54:00Z</dcterms:created>
  <dcterms:modified xsi:type="dcterms:W3CDTF">2015-12-15T01:41:00Z</dcterms:modified>
</cp:coreProperties>
</file>