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DD59B3" w:rsidRDefault="00D6638C" w:rsidP="00DD59B3">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sz w:val="28"/>
          <w:szCs w:val="28"/>
        </w:rPr>
      </w:pPr>
      <w:bookmarkStart w:id="0" w:name="_Toc321341546"/>
      <w:bookmarkStart w:id="1" w:name="_Toc323119582"/>
      <w:r w:rsidRPr="00DD59B3">
        <w:rPr>
          <w:rFonts w:ascii="Calibri" w:eastAsia="Times New Roman" w:hAnsi="Calibri" w:cs="Times New Roman"/>
          <w:b/>
          <w:caps/>
          <w:spacing w:val="15"/>
          <w:sz w:val="28"/>
          <w:szCs w:val="28"/>
        </w:rPr>
        <w:t>Terminal Evaluation Terms of Reference</w:t>
      </w:r>
      <w:bookmarkEnd w:id="0"/>
      <w:bookmarkEnd w:id="1"/>
    </w:p>
    <w:p w:rsidR="006C1964" w:rsidRDefault="00B913F1" w:rsidP="00F05366">
      <w:pPr>
        <w:pStyle w:val="Heading51"/>
      </w:pPr>
      <w:bookmarkStart w:id="2" w:name="_Toc299126613"/>
      <w:r>
        <w:t>INTRODUCTION</w:t>
      </w:r>
    </w:p>
    <w:p w:rsidR="00D6638C" w:rsidRPr="00D6638C" w:rsidRDefault="00D6638C" w:rsidP="00D6638C">
      <w:pPr>
        <w:spacing w:before="200"/>
        <w:rPr>
          <w:rFonts w:ascii="Calibri" w:eastAsia="Times New Roman" w:hAnsi="Calibri" w:cs="Times New Roman"/>
          <w:sz w:val="20"/>
          <w:szCs w:val="20"/>
        </w:rPr>
      </w:pPr>
      <w:r w:rsidRPr="006C59AF">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6C59AF">
        <w:rPr>
          <w:rFonts w:ascii="Calibri" w:eastAsia="Times New Roman" w:hAnsi="Calibri" w:cs="Times New Roman"/>
          <w:sz w:val="20"/>
          <w:szCs w:val="20"/>
          <w:lang w:val="en-GB"/>
        </w:rPr>
        <w:t xml:space="preserve">These terms </w:t>
      </w:r>
      <w:r w:rsidRPr="006C59AF">
        <w:rPr>
          <w:rFonts w:ascii="Calibri" w:eastAsia="Times New Roman" w:hAnsi="Calibri" w:cs="Times New Roman"/>
          <w:sz w:val="20"/>
          <w:szCs w:val="20"/>
        </w:rPr>
        <w:t xml:space="preserve">of </w:t>
      </w:r>
      <w:r w:rsidRPr="006C59AF">
        <w:rPr>
          <w:rFonts w:ascii="Calibri" w:eastAsia="Times New Roman" w:hAnsi="Calibri" w:cs="Times New Roman"/>
          <w:sz w:val="20"/>
          <w:szCs w:val="20"/>
          <w:lang w:val="en-GB"/>
        </w:rPr>
        <w:t>reference</w:t>
      </w:r>
      <w:r w:rsidRPr="006C59AF">
        <w:rPr>
          <w:rFonts w:ascii="Calibri" w:eastAsia="Times New Roman" w:hAnsi="Calibri" w:cs="Times New Roman"/>
          <w:sz w:val="20"/>
          <w:szCs w:val="20"/>
        </w:rPr>
        <w:t xml:space="preserve"> (TO</w:t>
      </w:r>
      <w:r w:rsidRPr="00544590">
        <w:rPr>
          <w:rFonts w:ascii="Calibri" w:eastAsia="Times New Roman" w:hAnsi="Calibri" w:cs="Times New Roman"/>
          <w:sz w:val="20"/>
          <w:szCs w:val="20"/>
        </w:rPr>
        <w:t xml:space="preserve">R) sets </w:t>
      </w:r>
      <w:r w:rsidRPr="00544590">
        <w:rPr>
          <w:rFonts w:ascii="Calibri" w:eastAsia="Times New Roman" w:hAnsi="Calibri" w:cs="Times New Roman"/>
          <w:sz w:val="20"/>
          <w:szCs w:val="20"/>
          <w:lang w:val="en-GB"/>
        </w:rPr>
        <w:t xml:space="preserve">out the </w:t>
      </w:r>
      <w:r w:rsidRPr="00544590">
        <w:rPr>
          <w:rFonts w:ascii="Calibri" w:eastAsia="Times New Roman" w:hAnsi="Calibri" w:cs="Times New Roman"/>
          <w:sz w:val="20"/>
          <w:szCs w:val="20"/>
        </w:rPr>
        <w:t>expectations for a Terminal Evaluation (TE) of the</w:t>
      </w:r>
      <w:r w:rsidRPr="00544590">
        <w:rPr>
          <w:rFonts w:ascii="Calibri" w:eastAsia="Times New Roman" w:hAnsi="Calibri" w:cs="Times New Roman"/>
          <w:i/>
          <w:sz w:val="20"/>
          <w:szCs w:val="20"/>
        </w:rPr>
        <w:t xml:space="preserve"> </w:t>
      </w:r>
      <w:r w:rsidR="006C59AF" w:rsidRPr="00544590">
        <w:rPr>
          <w:rFonts w:eastAsia="Calibri"/>
          <w:sz w:val="20"/>
          <w:szCs w:val="20"/>
        </w:rPr>
        <w:t>“Integrating Climate Change Risks into Water and Flood Management by Vulnerable Mountainous Communities in the Greater Caucasus Region”</w:t>
      </w:r>
      <w:r w:rsidRPr="00544590">
        <w:rPr>
          <w:rFonts w:ascii="Calibri" w:eastAsia="Times New Roman" w:hAnsi="Calibri" w:cs="Times New Roman"/>
          <w:sz w:val="20"/>
          <w:szCs w:val="20"/>
        </w:rPr>
        <w:t xml:space="preserve"> (PIMS </w:t>
      </w:r>
      <w:r w:rsidR="00BE5960" w:rsidRPr="00544590">
        <w:rPr>
          <w:rFonts w:ascii="Calibri" w:eastAsia="Times New Roman" w:hAnsi="Calibri" w:cs="Times New Roman"/>
          <w:sz w:val="20"/>
          <w:szCs w:val="20"/>
          <w:highlight w:val="lightGray"/>
        </w:rPr>
        <w:t>3929</w:t>
      </w:r>
      <w:r w:rsidRPr="00544590">
        <w:rPr>
          <w:rFonts w:ascii="Calibri" w:eastAsia="Times New Roman" w:hAnsi="Calibri" w:cs="Times New Roman"/>
          <w:sz w:val="20"/>
          <w:szCs w:val="20"/>
          <w:highlight w:val="lightGray"/>
        </w:rPr>
        <w:t>.)</w:t>
      </w:r>
      <w:r w:rsidR="00BE5960" w:rsidRPr="00544590">
        <w:t xml:space="preserve"> </w:t>
      </w: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178"/>
        <w:gridCol w:w="751"/>
        <w:gridCol w:w="2698"/>
        <w:gridCol w:w="2999"/>
        <w:gridCol w:w="500"/>
        <w:gridCol w:w="2286"/>
        <w:gridCol w:w="2535"/>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6C59AF" w:rsidRDefault="00630691" w:rsidP="00D6638C">
            <w:pPr>
              <w:spacing w:after="0"/>
              <w:contextualSpacing/>
              <w:rPr>
                <w:rFonts w:ascii="Calibri" w:eastAsia="Times New Roman" w:hAnsi="Calibri" w:cs="Calibri"/>
                <w:bCs/>
                <w:sz w:val="20"/>
                <w:szCs w:val="20"/>
              </w:rPr>
            </w:pPr>
            <w:r w:rsidRPr="006C59AF">
              <w:rPr>
                <w:rFonts w:eastAsia="Calibri"/>
                <w:sz w:val="20"/>
                <w:szCs w:val="20"/>
              </w:rPr>
              <w:t>“Integrating Climate Change Risks into Water and Flood Management by Vulnerable Mountainous Communities in the Greater Caucasus Region”</w:t>
            </w:r>
            <w:r>
              <w:rPr>
                <w:rFonts w:eastAsia="Calibri"/>
                <w:sz w:val="20"/>
                <w:szCs w:val="20"/>
              </w:rPr>
              <w:t xml:space="preserve"> </w:t>
            </w:r>
          </w:p>
        </w:tc>
      </w:tr>
      <w:tr w:rsidR="00D6638C" w:rsidRPr="00D6638C" w:rsidTr="009905F0">
        <w:tblPrEx>
          <w:shd w:val="clear" w:color="auto" w:fill="auto"/>
        </w:tblPrEx>
        <w:trPr>
          <w:trHeight w:val="553"/>
        </w:trPr>
        <w:tc>
          <w:tcPr>
            <w:tcW w:w="745"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042" w:type="pct"/>
            <w:vAlign w:val="center"/>
          </w:tcPr>
          <w:p w:rsidR="00D6638C" w:rsidRPr="00940ECB" w:rsidRDefault="00940ECB" w:rsidP="00D6638C">
            <w:pPr>
              <w:tabs>
                <w:tab w:val="right" w:pos="0"/>
              </w:tabs>
              <w:spacing w:after="0"/>
              <w:rPr>
                <w:rFonts w:eastAsia="Times New Roman" w:cs="Times New Roman"/>
                <w:sz w:val="20"/>
                <w:szCs w:val="20"/>
              </w:rPr>
            </w:pPr>
            <w:r w:rsidRPr="00940ECB">
              <w:rPr>
                <w:rFonts w:cs="Arial"/>
                <w:color w:val="333333"/>
                <w:sz w:val="20"/>
                <w:szCs w:val="20"/>
                <w:shd w:val="clear" w:color="auto" w:fill="F8F8F6"/>
              </w:rPr>
              <w:t>4261</w:t>
            </w:r>
          </w:p>
        </w:tc>
        <w:tc>
          <w:tcPr>
            <w:tcW w:w="1158"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6"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79"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9905F0">
        <w:tblPrEx>
          <w:shd w:val="clear" w:color="auto" w:fill="auto"/>
        </w:tblPrEx>
        <w:trPr>
          <w:trHeight w:val="278"/>
        </w:trPr>
        <w:tc>
          <w:tcPr>
            <w:tcW w:w="745"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042" w:type="pct"/>
            <w:vAlign w:val="center"/>
          </w:tcPr>
          <w:p w:rsidR="00D6638C" w:rsidRPr="00D6638C" w:rsidRDefault="008F4268" w:rsidP="00D6638C">
            <w:pPr>
              <w:tabs>
                <w:tab w:val="right" w:pos="0"/>
              </w:tabs>
              <w:spacing w:after="0"/>
              <w:rPr>
                <w:rFonts w:ascii="Calibri" w:eastAsia="Times New Roman" w:hAnsi="Calibri" w:cs="Times New Roman"/>
                <w:bCs/>
                <w:color w:val="000000"/>
                <w:sz w:val="20"/>
                <w:szCs w:val="20"/>
              </w:rPr>
            </w:pPr>
            <w:r w:rsidRPr="00544590">
              <w:rPr>
                <w:rFonts w:ascii="Calibri" w:eastAsia="Times New Roman" w:hAnsi="Calibri" w:cs="Times New Roman"/>
                <w:sz w:val="20"/>
                <w:szCs w:val="20"/>
              </w:rPr>
              <w:t xml:space="preserve">PIMS </w:t>
            </w:r>
            <w:r w:rsidRPr="00544590">
              <w:rPr>
                <w:rFonts w:ascii="Calibri" w:eastAsia="Times New Roman" w:hAnsi="Calibri" w:cs="Times New Roman"/>
                <w:sz w:val="20"/>
                <w:szCs w:val="20"/>
                <w:highlight w:val="lightGray"/>
              </w:rPr>
              <w:t>3929</w:t>
            </w:r>
          </w:p>
        </w:tc>
        <w:tc>
          <w:tcPr>
            <w:tcW w:w="1158" w:type="pct"/>
          </w:tcPr>
          <w:p w:rsidR="00B80408" w:rsidRDefault="00B80408" w:rsidP="00D6638C">
            <w:pPr>
              <w:spacing w:after="0"/>
              <w:jc w:val="right"/>
              <w:rPr>
                <w:rFonts w:ascii="Calibri" w:eastAsia="Times New Roman" w:hAnsi="Calibri" w:cs="Times New Roman"/>
                <w:color w:val="000000"/>
                <w:sz w:val="20"/>
                <w:szCs w:val="20"/>
              </w:rPr>
            </w:pPr>
          </w:p>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6" w:type="pct"/>
            <w:gridSpan w:val="2"/>
            <w:vAlign w:val="center"/>
          </w:tcPr>
          <w:p w:rsidR="00B80408" w:rsidRDefault="00B80408" w:rsidP="00B80408">
            <w:pPr>
              <w:spacing w:after="0"/>
              <w:jc w:val="center"/>
              <w:rPr>
                <w:rFonts w:ascii="Arial Narrow" w:hAnsi="Arial Narrow"/>
                <w:sz w:val="20"/>
                <w:szCs w:val="20"/>
              </w:rPr>
            </w:pPr>
          </w:p>
          <w:p w:rsidR="00D6638C" w:rsidRPr="00D6638C" w:rsidRDefault="00B80408" w:rsidP="009905F0">
            <w:pPr>
              <w:spacing w:after="0"/>
              <w:rPr>
                <w:rFonts w:ascii="Calibri" w:eastAsia="Arial Unicode MS" w:hAnsi="Calibri" w:cs="Times New Roman"/>
                <w:sz w:val="20"/>
                <w:szCs w:val="20"/>
              </w:rPr>
            </w:pPr>
            <w:r>
              <w:rPr>
                <w:rFonts w:ascii="Arial Narrow" w:hAnsi="Arial Narrow"/>
                <w:sz w:val="20"/>
                <w:szCs w:val="20"/>
              </w:rPr>
              <w:t>2,700,000</w:t>
            </w:r>
          </w:p>
        </w:tc>
        <w:tc>
          <w:tcPr>
            <w:tcW w:w="979" w:type="pct"/>
          </w:tcPr>
          <w:p w:rsidR="00B80408" w:rsidRDefault="00B80408" w:rsidP="00B80408">
            <w:pPr>
              <w:spacing w:after="0"/>
              <w:jc w:val="center"/>
              <w:rPr>
                <w:rFonts w:ascii="Arial Narrow" w:hAnsi="Arial Narrow"/>
                <w:sz w:val="20"/>
                <w:szCs w:val="20"/>
              </w:rPr>
            </w:pPr>
          </w:p>
          <w:p w:rsidR="00D6638C" w:rsidRPr="00D6638C" w:rsidRDefault="00B80408" w:rsidP="009905F0">
            <w:pPr>
              <w:spacing w:after="0"/>
              <w:rPr>
                <w:rFonts w:ascii="Calibri" w:eastAsia="Arial Unicode MS" w:hAnsi="Calibri" w:cs="Times New Roman"/>
                <w:sz w:val="20"/>
                <w:szCs w:val="20"/>
              </w:rPr>
            </w:pPr>
            <w:r>
              <w:rPr>
                <w:rFonts w:ascii="Arial Narrow" w:hAnsi="Arial Narrow"/>
                <w:sz w:val="20"/>
                <w:szCs w:val="20"/>
              </w:rPr>
              <w:t>2,700,000</w:t>
            </w:r>
          </w:p>
        </w:tc>
      </w:tr>
      <w:tr w:rsidR="00D6638C" w:rsidRPr="00D6638C" w:rsidTr="009905F0">
        <w:tblPrEx>
          <w:shd w:val="clear" w:color="auto" w:fill="auto"/>
        </w:tblPrEx>
        <w:trPr>
          <w:trHeight w:val="269"/>
        </w:trPr>
        <w:tc>
          <w:tcPr>
            <w:tcW w:w="745"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042" w:type="pct"/>
            <w:vAlign w:val="center"/>
          </w:tcPr>
          <w:p w:rsidR="00D6638C" w:rsidRPr="00D6638C" w:rsidRDefault="00FB6EC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 xml:space="preserve">(AZE) </w:t>
            </w:r>
            <w:r w:rsidR="006C59AF">
              <w:rPr>
                <w:rFonts w:ascii="Calibri" w:eastAsia="Times New Roman" w:hAnsi="Calibri" w:cs="Times New Roman"/>
                <w:sz w:val="20"/>
                <w:szCs w:val="20"/>
              </w:rPr>
              <w:t>Azerbaijan</w:t>
            </w:r>
          </w:p>
        </w:tc>
        <w:tc>
          <w:tcPr>
            <w:tcW w:w="1158" w:type="pct"/>
          </w:tcPr>
          <w:p w:rsidR="009905F0" w:rsidRDefault="009905F0" w:rsidP="00D6638C">
            <w:pPr>
              <w:spacing w:after="0"/>
              <w:jc w:val="right"/>
              <w:rPr>
                <w:rFonts w:ascii="Calibri" w:eastAsia="Times New Roman" w:hAnsi="Calibri" w:cs="Times New Roman"/>
                <w:bCs/>
                <w:sz w:val="20"/>
                <w:szCs w:val="20"/>
              </w:rPr>
            </w:pPr>
          </w:p>
          <w:p w:rsidR="00D6638C" w:rsidRPr="00D6638C" w:rsidRDefault="00D6638C" w:rsidP="00D6638C">
            <w:pPr>
              <w:spacing w:after="0"/>
              <w:jc w:val="right"/>
              <w:rPr>
                <w:rFonts w:ascii="Calibri" w:eastAsia="Times New Roman" w:hAnsi="Calibri" w:cs="Times New Roman"/>
                <w:color w:val="000000"/>
                <w:sz w:val="20"/>
                <w:szCs w:val="20"/>
              </w:rPr>
            </w:pPr>
            <w:r w:rsidRPr="005345E2">
              <w:rPr>
                <w:rFonts w:ascii="Calibri" w:eastAsia="Times New Roman" w:hAnsi="Calibri" w:cs="Times New Roman"/>
                <w:bCs/>
                <w:sz w:val="20"/>
                <w:szCs w:val="20"/>
              </w:rPr>
              <w:t>IA/EA own:</w:t>
            </w:r>
          </w:p>
        </w:tc>
        <w:tc>
          <w:tcPr>
            <w:tcW w:w="1076" w:type="pct"/>
            <w:gridSpan w:val="2"/>
            <w:vAlign w:val="center"/>
          </w:tcPr>
          <w:p w:rsidR="00D6638C" w:rsidRPr="00D6638C" w:rsidRDefault="00D6638C" w:rsidP="00D6638C">
            <w:pPr>
              <w:spacing w:after="0"/>
              <w:rPr>
                <w:rFonts w:ascii="Calibri" w:eastAsia="Arial Unicode MS" w:hAnsi="Calibri" w:cs="Times New Roman"/>
                <w:sz w:val="20"/>
                <w:szCs w:val="20"/>
              </w:rPr>
            </w:pPr>
          </w:p>
        </w:tc>
        <w:tc>
          <w:tcPr>
            <w:tcW w:w="979" w:type="pct"/>
          </w:tcPr>
          <w:p w:rsidR="009905F0" w:rsidRDefault="009905F0" w:rsidP="00D6638C">
            <w:pPr>
              <w:spacing w:after="0"/>
              <w:jc w:val="both"/>
              <w:rPr>
                <w:rFonts w:ascii="Calibri" w:eastAsia="Times New Roman" w:hAnsi="Calibri" w:cs="Times New Roman"/>
                <w:sz w:val="20"/>
                <w:szCs w:val="20"/>
              </w:rPr>
            </w:pPr>
          </w:p>
          <w:p w:rsidR="00D6638C" w:rsidRPr="00D6638C" w:rsidRDefault="00D6638C" w:rsidP="00D6638C">
            <w:pPr>
              <w:spacing w:after="0"/>
              <w:jc w:val="both"/>
              <w:rPr>
                <w:rFonts w:ascii="Calibri" w:eastAsia="Arial Unicode MS" w:hAnsi="Calibri" w:cs="Times New Roman"/>
                <w:sz w:val="20"/>
                <w:szCs w:val="20"/>
              </w:rPr>
            </w:pPr>
          </w:p>
        </w:tc>
      </w:tr>
      <w:tr w:rsidR="00D6638C" w:rsidRPr="00D6638C" w:rsidTr="009905F0">
        <w:tblPrEx>
          <w:shd w:val="clear" w:color="auto" w:fill="auto"/>
        </w:tblPrEx>
        <w:trPr>
          <w:trHeight w:val="296"/>
        </w:trPr>
        <w:tc>
          <w:tcPr>
            <w:tcW w:w="745"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042" w:type="pct"/>
            <w:vAlign w:val="center"/>
          </w:tcPr>
          <w:p w:rsidR="00D6638C" w:rsidRPr="00D6638C" w:rsidRDefault="006C59AF" w:rsidP="00D6638C">
            <w:pPr>
              <w:tabs>
                <w:tab w:val="right" w:pos="0"/>
              </w:tabs>
              <w:spacing w:after="0"/>
              <w:rPr>
                <w:rFonts w:ascii="Calibri" w:eastAsia="Times New Roman" w:hAnsi="Calibri" w:cs="Times New Roman"/>
                <w:sz w:val="20"/>
                <w:szCs w:val="20"/>
                <w:lang w:val="es-ES_tradnl"/>
              </w:rPr>
            </w:pPr>
            <w:r w:rsidRPr="006C59AF">
              <w:rPr>
                <w:rFonts w:eastAsia="Calibri"/>
                <w:sz w:val="20"/>
                <w:szCs w:val="20"/>
              </w:rPr>
              <w:t>Greater Caucasus Region</w:t>
            </w:r>
            <w:r>
              <w:rPr>
                <w:rFonts w:eastAsia="Calibri"/>
                <w:sz w:val="20"/>
                <w:szCs w:val="20"/>
              </w:rPr>
              <w:t xml:space="preserve"> </w:t>
            </w:r>
          </w:p>
        </w:tc>
        <w:tc>
          <w:tcPr>
            <w:tcW w:w="1158"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6" w:type="pct"/>
            <w:gridSpan w:val="2"/>
            <w:vAlign w:val="center"/>
          </w:tcPr>
          <w:p w:rsidR="00B80408" w:rsidRPr="009905F0" w:rsidRDefault="00DE6665" w:rsidP="00B80408">
            <w:pPr>
              <w:tabs>
                <w:tab w:val="num" w:pos="1260"/>
                <w:tab w:val="right" w:pos="4140"/>
              </w:tabs>
              <w:spacing w:after="0" w:line="240" w:lineRule="auto"/>
              <w:rPr>
                <w:sz w:val="20"/>
                <w:szCs w:val="20"/>
              </w:rPr>
            </w:pPr>
            <w:r>
              <w:rPr>
                <w:sz w:val="20"/>
                <w:szCs w:val="20"/>
              </w:rPr>
              <w:t>0</w:t>
            </w:r>
          </w:p>
          <w:p w:rsidR="00D6638C" w:rsidRPr="009905F0" w:rsidRDefault="00D6638C" w:rsidP="00D6638C">
            <w:pPr>
              <w:spacing w:after="0"/>
              <w:rPr>
                <w:rFonts w:eastAsia="Arial Unicode MS" w:cs="Times New Roman"/>
                <w:sz w:val="20"/>
                <w:szCs w:val="20"/>
              </w:rPr>
            </w:pPr>
          </w:p>
        </w:tc>
        <w:tc>
          <w:tcPr>
            <w:tcW w:w="979" w:type="pct"/>
          </w:tcPr>
          <w:p w:rsidR="00B80408" w:rsidRPr="009905F0" w:rsidRDefault="00DE6665" w:rsidP="00B80408">
            <w:pPr>
              <w:tabs>
                <w:tab w:val="num" w:pos="1260"/>
                <w:tab w:val="right" w:pos="4140"/>
              </w:tabs>
              <w:spacing w:after="0" w:line="240" w:lineRule="auto"/>
              <w:rPr>
                <w:sz w:val="20"/>
                <w:szCs w:val="20"/>
              </w:rPr>
            </w:pPr>
            <w:r>
              <w:rPr>
                <w:sz w:val="20"/>
                <w:szCs w:val="20"/>
              </w:rPr>
              <w:t>0</w:t>
            </w:r>
          </w:p>
          <w:p w:rsidR="00D6638C" w:rsidRPr="009905F0" w:rsidRDefault="00D6638C" w:rsidP="00D6638C">
            <w:pPr>
              <w:spacing w:after="0"/>
              <w:jc w:val="both"/>
              <w:rPr>
                <w:rFonts w:eastAsia="Times New Roman" w:cs="Times New Roman"/>
                <w:sz w:val="20"/>
                <w:szCs w:val="20"/>
              </w:rPr>
            </w:pPr>
          </w:p>
        </w:tc>
      </w:tr>
      <w:tr w:rsidR="00D6638C" w:rsidRPr="00D6638C" w:rsidTr="009905F0">
        <w:tblPrEx>
          <w:shd w:val="clear" w:color="auto" w:fill="auto"/>
        </w:tblPrEx>
        <w:trPr>
          <w:trHeight w:val="314"/>
        </w:trPr>
        <w:tc>
          <w:tcPr>
            <w:tcW w:w="745"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042" w:type="pct"/>
            <w:vAlign w:val="center"/>
          </w:tcPr>
          <w:p w:rsidR="00D6638C" w:rsidRPr="00FB6ECC" w:rsidRDefault="00940ECB" w:rsidP="00D6638C">
            <w:pPr>
              <w:tabs>
                <w:tab w:val="right" w:pos="0"/>
              </w:tabs>
              <w:spacing w:after="0"/>
              <w:rPr>
                <w:rFonts w:ascii="Calibri" w:eastAsia="Times New Roman" w:hAnsi="Calibri" w:cs="Times New Roman"/>
                <w:sz w:val="20"/>
                <w:szCs w:val="20"/>
              </w:rPr>
            </w:pPr>
            <w:r>
              <w:rPr>
                <w:sz w:val="20"/>
                <w:szCs w:val="20"/>
              </w:rPr>
              <w:t>Climate Change</w:t>
            </w:r>
          </w:p>
        </w:tc>
        <w:tc>
          <w:tcPr>
            <w:tcW w:w="1158" w:type="pct"/>
          </w:tcPr>
          <w:p w:rsidR="009905F0" w:rsidRDefault="009905F0" w:rsidP="00D6638C">
            <w:pPr>
              <w:spacing w:after="0"/>
              <w:jc w:val="right"/>
              <w:rPr>
                <w:rFonts w:ascii="Calibri" w:eastAsia="Times New Roman" w:hAnsi="Calibri" w:cs="Times New Roman"/>
                <w:bCs/>
                <w:sz w:val="20"/>
                <w:szCs w:val="20"/>
              </w:rPr>
            </w:pPr>
          </w:p>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r w:rsidR="009905F0">
              <w:rPr>
                <w:rFonts w:ascii="Calibri" w:eastAsia="Times New Roman" w:hAnsi="Calibri" w:cs="Times New Roman"/>
                <w:bCs/>
                <w:sz w:val="20"/>
                <w:szCs w:val="20"/>
              </w:rPr>
              <w:t xml:space="preserve"> (UNDP)</w:t>
            </w:r>
          </w:p>
        </w:tc>
        <w:tc>
          <w:tcPr>
            <w:tcW w:w="1076" w:type="pct"/>
            <w:gridSpan w:val="2"/>
            <w:vAlign w:val="center"/>
          </w:tcPr>
          <w:p w:rsidR="009905F0" w:rsidRDefault="009905F0" w:rsidP="00D6638C">
            <w:pPr>
              <w:spacing w:after="0"/>
              <w:rPr>
                <w:bCs/>
                <w:color w:val="000000"/>
                <w:sz w:val="20"/>
                <w:szCs w:val="20"/>
              </w:rPr>
            </w:pPr>
          </w:p>
          <w:p w:rsidR="00D6638C" w:rsidRPr="009905F0" w:rsidRDefault="009905F0" w:rsidP="00D6638C">
            <w:pPr>
              <w:spacing w:after="0"/>
              <w:rPr>
                <w:rFonts w:eastAsia="Times New Roman" w:cs="Times New Roman"/>
                <w:sz w:val="20"/>
                <w:szCs w:val="20"/>
              </w:rPr>
            </w:pPr>
            <w:r w:rsidRPr="009905F0">
              <w:rPr>
                <w:bCs/>
                <w:color w:val="000000"/>
                <w:sz w:val="20"/>
                <w:szCs w:val="20"/>
              </w:rPr>
              <w:t>260,000</w:t>
            </w:r>
          </w:p>
        </w:tc>
        <w:tc>
          <w:tcPr>
            <w:tcW w:w="979" w:type="pct"/>
          </w:tcPr>
          <w:p w:rsidR="009905F0" w:rsidRPr="009905F0" w:rsidRDefault="009905F0" w:rsidP="00D6638C">
            <w:pPr>
              <w:spacing w:after="0"/>
              <w:jc w:val="both"/>
              <w:rPr>
                <w:bCs/>
                <w:color w:val="000000"/>
                <w:sz w:val="20"/>
                <w:szCs w:val="20"/>
              </w:rPr>
            </w:pPr>
          </w:p>
          <w:p w:rsidR="00D6638C" w:rsidRPr="009905F0" w:rsidRDefault="009905F0" w:rsidP="00D6638C">
            <w:pPr>
              <w:spacing w:after="0"/>
              <w:jc w:val="both"/>
              <w:rPr>
                <w:rFonts w:eastAsia="Times New Roman" w:cs="Times New Roman"/>
                <w:sz w:val="20"/>
                <w:szCs w:val="20"/>
              </w:rPr>
            </w:pPr>
            <w:r w:rsidRPr="009905F0">
              <w:rPr>
                <w:bCs/>
                <w:color w:val="000000"/>
                <w:sz w:val="20"/>
                <w:szCs w:val="20"/>
              </w:rPr>
              <w:t>260,000</w:t>
            </w:r>
          </w:p>
        </w:tc>
      </w:tr>
      <w:tr w:rsidR="00D6638C" w:rsidRPr="00D6638C" w:rsidTr="009905F0">
        <w:tblPrEx>
          <w:shd w:val="clear" w:color="auto" w:fill="auto"/>
        </w:tblPrEx>
        <w:trPr>
          <w:trHeight w:val="553"/>
        </w:trPr>
        <w:tc>
          <w:tcPr>
            <w:tcW w:w="745"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5345E2">
              <w:rPr>
                <w:rFonts w:ascii="Calibri" w:eastAsia="Times New Roman" w:hAnsi="Calibri" w:cs="Times New Roman"/>
                <w:sz w:val="20"/>
                <w:szCs w:val="20"/>
              </w:rPr>
              <w:t>FA Objectives, (OP/SP):</w:t>
            </w:r>
          </w:p>
        </w:tc>
        <w:tc>
          <w:tcPr>
            <w:tcW w:w="1042" w:type="pct"/>
            <w:vAlign w:val="center"/>
          </w:tcPr>
          <w:p w:rsidR="00D6638C" w:rsidRPr="00D6638C" w:rsidRDefault="00D6638C" w:rsidP="00D6638C">
            <w:pPr>
              <w:tabs>
                <w:tab w:val="right" w:pos="0"/>
              </w:tabs>
              <w:spacing w:after="0"/>
              <w:rPr>
                <w:rFonts w:ascii="Calibri" w:eastAsia="Times New Roman" w:hAnsi="Calibri" w:cs="Times New Roman"/>
                <w:sz w:val="20"/>
                <w:szCs w:val="20"/>
              </w:rPr>
            </w:pPr>
          </w:p>
        </w:tc>
        <w:tc>
          <w:tcPr>
            <w:tcW w:w="1158" w:type="pct"/>
          </w:tcPr>
          <w:p w:rsidR="00313C94" w:rsidRDefault="00313C94" w:rsidP="00D6638C">
            <w:pPr>
              <w:spacing w:after="0"/>
              <w:jc w:val="right"/>
              <w:rPr>
                <w:rFonts w:ascii="Calibri" w:eastAsia="Times New Roman" w:hAnsi="Calibri" w:cs="Times New Roman"/>
                <w:color w:val="000000"/>
                <w:sz w:val="20"/>
                <w:szCs w:val="20"/>
              </w:rPr>
            </w:pPr>
          </w:p>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6" w:type="pct"/>
            <w:gridSpan w:val="2"/>
            <w:vAlign w:val="center"/>
          </w:tcPr>
          <w:p w:rsidR="00D6638C" w:rsidRPr="00D6638C" w:rsidRDefault="00DE6665" w:rsidP="00D6638C">
            <w:pPr>
              <w:spacing w:after="0"/>
              <w:rPr>
                <w:rFonts w:ascii="Calibri" w:eastAsia="Arial Unicode MS" w:hAnsi="Calibri" w:cs="Times New Roman"/>
                <w:sz w:val="20"/>
                <w:szCs w:val="20"/>
              </w:rPr>
            </w:pPr>
            <w:r w:rsidRPr="009905F0">
              <w:rPr>
                <w:bCs/>
                <w:color w:val="000000"/>
                <w:sz w:val="20"/>
                <w:szCs w:val="20"/>
              </w:rPr>
              <w:t>260,000</w:t>
            </w:r>
            <w:r>
              <w:rPr>
                <w:bCs/>
                <w:color w:val="000000"/>
                <w:sz w:val="20"/>
                <w:szCs w:val="20"/>
              </w:rPr>
              <w:t xml:space="preserve"> </w:t>
            </w:r>
          </w:p>
        </w:tc>
        <w:tc>
          <w:tcPr>
            <w:tcW w:w="979" w:type="pct"/>
          </w:tcPr>
          <w:p w:rsidR="00313C94" w:rsidRPr="00D6638C" w:rsidRDefault="00DE6665" w:rsidP="00D6638C">
            <w:pPr>
              <w:spacing w:after="0"/>
              <w:jc w:val="both"/>
              <w:rPr>
                <w:rFonts w:ascii="Calibri" w:eastAsia="Times New Roman" w:hAnsi="Calibri" w:cs="Times New Roman"/>
                <w:sz w:val="20"/>
                <w:szCs w:val="20"/>
              </w:rPr>
            </w:pPr>
            <w:r w:rsidRPr="009905F0">
              <w:rPr>
                <w:bCs/>
                <w:color w:val="000000"/>
                <w:sz w:val="20"/>
                <w:szCs w:val="20"/>
              </w:rPr>
              <w:t>260,000</w:t>
            </w:r>
          </w:p>
        </w:tc>
      </w:tr>
      <w:tr w:rsidR="00D6638C" w:rsidRPr="00D6638C" w:rsidTr="009905F0">
        <w:tblPrEx>
          <w:shd w:val="clear" w:color="auto" w:fill="auto"/>
        </w:tblPrEx>
        <w:trPr>
          <w:trHeight w:val="341"/>
        </w:trPr>
        <w:tc>
          <w:tcPr>
            <w:tcW w:w="745"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042" w:type="pct"/>
            <w:vAlign w:val="center"/>
          </w:tcPr>
          <w:p w:rsidR="00D6638C" w:rsidRPr="009905F0" w:rsidRDefault="009905F0" w:rsidP="00D6638C">
            <w:pPr>
              <w:tabs>
                <w:tab w:val="right" w:pos="0"/>
              </w:tabs>
              <w:spacing w:after="0"/>
              <w:rPr>
                <w:rFonts w:eastAsia="Times New Roman" w:cs="Times New Roman"/>
                <w:sz w:val="20"/>
                <w:szCs w:val="20"/>
              </w:rPr>
            </w:pPr>
            <w:r w:rsidRPr="009905F0">
              <w:rPr>
                <w:rFonts w:cs="Calibri"/>
                <w:bCs/>
                <w:sz w:val="20"/>
                <w:szCs w:val="30"/>
              </w:rPr>
              <w:t>Ministry of Emergency Situations</w:t>
            </w:r>
          </w:p>
        </w:tc>
        <w:tc>
          <w:tcPr>
            <w:tcW w:w="1158" w:type="pct"/>
          </w:tcPr>
          <w:p w:rsidR="009905F0" w:rsidRDefault="009905F0" w:rsidP="00D6638C">
            <w:pPr>
              <w:spacing w:after="0"/>
              <w:jc w:val="right"/>
              <w:rPr>
                <w:rFonts w:ascii="Calibri" w:eastAsia="Times New Roman" w:hAnsi="Calibri" w:cs="Times New Roman"/>
                <w:color w:val="000000"/>
                <w:sz w:val="20"/>
                <w:szCs w:val="20"/>
              </w:rPr>
            </w:pPr>
          </w:p>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6" w:type="pct"/>
            <w:gridSpan w:val="2"/>
            <w:vAlign w:val="center"/>
          </w:tcPr>
          <w:p w:rsidR="009905F0" w:rsidRDefault="009905F0" w:rsidP="00D6638C">
            <w:pPr>
              <w:spacing w:after="0"/>
              <w:rPr>
                <w:rFonts w:ascii="Times New Roman" w:hAnsi="Times New Roman"/>
                <w:sz w:val="20"/>
              </w:rPr>
            </w:pPr>
          </w:p>
          <w:p w:rsidR="00D6638C" w:rsidRPr="00D6638C" w:rsidRDefault="00DE6665" w:rsidP="00D6638C">
            <w:pPr>
              <w:spacing w:after="0"/>
              <w:rPr>
                <w:rFonts w:ascii="Calibri" w:eastAsia="Arial Unicode MS" w:hAnsi="Calibri" w:cs="Times New Roman"/>
                <w:sz w:val="20"/>
                <w:szCs w:val="20"/>
              </w:rPr>
            </w:pPr>
            <w:r>
              <w:rPr>
                <w:rFonts w:ascii="Calibri" w:eastAsia="Arial Unicode MS" w:hAnsi="Calibri" w:cs="Times New Roman"/>
                <w:sz w:val="20"/>
                <w:szCs w:val="20"/>
              </w:rPr>
              <w:t>2960,000</w:t>
            </w:r>
          </w:p>
        </w:tc>
        <w:tc>
          <w:tcPr>
            <w:tcW w:w="979" w:type="pct"/>
          </w:tcPr>
          <w:p w:rsidR="00B80408" w:rsidRDefault="00B80408" w:rsidP="00B80408">
            <w:pPr>
              <w:spacing w:after="0"/>
              <w:jc w:val="both"/>
              <w:rPr>
                <w:rFonts w:ascii="Times New Roman" w:hAnsi="Times New Roman"/>
                <w:sz w:val="20"/>
              </w:rPr>
            </w:pPr>
          </w:p>
          <w:p w:rsidR="00D6638C" w:rsidRPr="00D6638C" w:rsidRDefault="00DE6665" w:rsidP="00B80408">
            <w:pPr>
              <w:spacing w:after="0"/>
              <w:jc w:val="both"/>
              <w:rPr>
                <w:rFonts w:ascii="Calibri" w:eastAsia="Arial Unicode MS" w:hAnsi="Calibri" w:cs="Times New Roman"/>
                <w:sz w:val="20"/>
                <w:szCs w:val="20"/>
              </w:rPr>
            </w:pPr>
            <w:r>
              <w:rPr>
                <w:rFonts w:ascii="Calibri" w:eastAsia="Arial Unicode MS" w:hAnsi="Calibri" w:cs="Times New Roman"/>
                <w:sz w:val="20"/>
                <w:szCs w:val="20"/>
              </w:rPr>
              <w:t>2960,000</w:t>
            </w:r>
          </w:p>
        </w:tc>
      </w:tr>
      <w:tr w:rsidR="00D6638C" w:rsidRPr="00D6638C" w:rsidTr="009905F0">
        <w:tblPrEx>
          <w:shd w:val="clear" w:color="auto" w:fill="auto"/>
        </w:tblPrEx>
        <w:trPr>
          <w:trHeight w:val="368"/>
        </w:trPr>
        <w:tc>
          <w:tcPr>
            <w:tcW w:w="745"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042" w:type="pct"/>
            <w:vMerge w:val="restart"/>
            <w:vAlign w:val="center"/>
          </w:tcPr>
          <w:p w:rsidR="00D6638C" w:rsidRPr="007C62FB" w:rsidRDefault="009905F0" w:rsidP="00D6638C">
            <w:pPr>
              <w:tabs>
                <w:tab w:val="right" w:pos="0"/>
              </w:tabs>
              <w:spacing w:after="0"/>
              <w:rPr>
                <w:rFonts w:ascii="Calibri" w:eastAsia="Times New Roman" w:hAnsi="Calibri" w:cs="Times New Roman"/>
                <w:color w:val="000000"/>
                <w:sz w:val="20"/>
                <w:szCs w:val="20"/>
              </w:rPr>
            </w:pPr>
            <w:r w:rsidRPr="007C62FB">
              <w:rPr>
                <w:rFonts w:cs="Arial"/>
                <w:sz w:val="18"/>
                <w:szCs w:val="18"/>
              </w:rPr>
              <w:t>Implementing entity/Responsible Partner: UNDP</w:t>
            </w:r>
          </w:p>
        </w:tc>
        <w:tc>
          <w:tcPr>
            <w:tcW w:w="2234" w:type="pct"/>
            <w:gridSpan w:val="3"/>
          </w:tcPr>
          <w:p w:rsidR="00D6638C" w:rsidRPr="00313C94" w:rsidRDefault="00D6638C" w:rsidP="00D6638C">
            <w:pPr>
              <w:tabs>
                <w:tab w:val="right" w:pos="0"/>
              </w:tabs>
              <w:spacing w:after="0"/>
              <w:jc w:val="right"/>
              <w:rPr>
                <w:rFonts w:ascii="Calibri" w:eastAsia="Times New Roman" w:hAnsi="Calibri" w:cs="Times New Roman"/>
                <w:sz w:val="20"/>
                <w:szCs w:val="20"/>
              </w:rPr>
            </w:pPr>
            <w:proofErr w:type="spellStart"/>
            <w:r w:rsidRPr="00313C94">
              <w:rPr>
                <w:rFonts w:ascii="Calibri" w:eastAsia="Times New Roman" w:hAnsi="Calibri" w:cs="Times New Roman"/>
                <w:sz w:val="20"/>
                <w:szCs w:val="20"/>
              </w:rPr>
              <w:t>ProDoc</w:t>
            </w:r>
            <w:proofErr w:type="spellEnd"/>
            <w:r w:rsidRPr="00313C94">
              <w:rPr>
                <w:rFonts w:ascii="Calibri" w:eastAsia="Times New Roman" w:hAnsi="Calibri" w:cs="Times New Roman"/>
                <w:sz w:val="20"/>
                <w:szCs w:val="20"/>
              </w:rPr>
              <w:t xml:space="preserve"> Signature (date project began): </w:t>
            </w:r>
          </w:p>
        </w:tc>
        <w:tc>
          <w:tcPr>
            <w:tcW w:w="979" w:type="pct"/>
            <w:vAlign w:val="center"/>
          </w:tcPr>
          <w:p w:rsidR="00D6638C" w:rsidRPr="00313C94" w:rsidRDefault="00DD59B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09 March 2012</w:t>
            </w:r>
          </w:p>
        </w:tc>
      </w:tr>
      <w:tr w:rsidR="00D6638C" w:rsidRPr="00D6638C" w:rsidTr="009905F0">
        <w:tblPrEx>
          <w:shd w:val="clear" w:color="auto" w:fill="auto"/>
        </w:tblPrEx>
        <w:trPr>
          <w:trHeight w:val="144"/>
        </w:trPr>
        <w:tc>
          <w:tcPr>
            <w:tcW w:w="745"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042"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351"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r w:rsidR="00DD59B3">
              <w:rPr>
                <w:rFonts w:ascii="Calibri" w:eastAsia="Times New Roman" w:hAnsi="Calibri" w:cs="Times New Roman"/>
                <w:color w:val="000000"/>
                <w:sz w:val="20"/>
                <w:szCs w:val="20"/>
              </w:rPr>
              <w:t xml:space="preserve"> March 2017</w:t>
            </w:r>
          </w:p>
          <w:p w:rsidR="00D6638C" w:rsidRPr="00D6638C" w:rsidRDefault="00D6638C" w:rsidP="00D6638C">
            <w:pPr>
              <w:tabs>
                <w:tab w:val="right" w:pos="0"/>
              </w:tabs>
              <w:spacing w:after="0"/>
              <w:rPr>
                <w:rFonts w:ascii="Calibri" w:eastAsia="Times New Roman" w:hAnsi="Calibri" w:cs="Times New Roman"/>
                <w:color w:val="000000"/>
                <w:sz w:val="20"/>
                <w:szCs w:val="20"/>
              </w:rPr>
            </w:pPr>
          </w:p>
        </w:tc>
        <w:tc>
          <w:tcPr>
            <w:tcW w:w="979"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r w:rsidR="00DD59B3">
              <w:rPr>
                <w:rFonts w:ascii="Calibri" w:eastAsia="Times New Roman" w:hAnsi="Calibri" w:cs="Times New Roman"/>
                <w:color w:val="000000"/>
                <w:sz w:val="20"/>
                <w:szCs w:val="20"/>
              </w:rPr>
              <w:t xml:space="preserve"> August 2017</w:t>
            </w:r>
          </w:p>
          <w:p w:rsidR="00D6638C" w:rsidRPr="00D6638C" w:rsidRDefault="00D6638C" w:rsidP="00D6638C">
            <w:pPr>
              <w:tabs>
                <w:tab w:val="right" w:pos="0"/>
              </w:tabs>
              <w:spacing w:after="0"/>
              <w:rPr>
                <w:rFonts w:ascii="Calibri" w:eastAsia="Times New Roman" w:hAnsi="Calibri" w:cs="Times New Roman"/>
                <w:color w:val="000000"/>
                <w:sz w:val="20"/>
                <w:szCs w:val="20"/>
              </w:rPr>
            </w:pPr>
          </w:p>
        </w:tc>
      </w:tr>
    </w:tbl>
    <w:p w:rsidR="00D6638C" w:rsidRPr="00B913F1" w:rsidRDefault="00D6638C" w:rsidP="00F05366">
      <w:pPr>
        <w:pStyle w:val="Heading51"/>
      </w:pPr>
      <w:bookmarkStart w:id="4" w:name="_Toc321341549"/>
      <w:r w:rsidRPr="00B913F1">
        <w:lastRenderedPageBreak/>
        <w:t>Objective and Scope</w:t>
      </w:r>
      <w:bookmarkEnd w:id="4"/>
    </w:p>
    <w:p w:rsidR="007C62FB"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project was designed to:</w:t>
      </w:r>
      <w:r w:rsidR="000C676C">
        <w:rPr>
          <w:rFonts w:ascii="Calibri" w:eastAsia="Times New Roman" w:hAnsi="Calibri" w:cs="Times New Roman"/>
          <w:sz w:val="20"/>
          <w:szCs w:val="20"/>
        </w:rPr>
        <w:t xml:space="preserve"> </w:t>
      </w:r>
    </w:p>
    <w:p w:rsidR="00E171B1" w:rsidRPr="00B4397E" w:rsidRDefault="00E171B1" w:rsidP="00E171B1">
      <w:pPr>
        <w:pStyle w:val="NormalWeb"/>
        <w:shd w:val="clear" w:color="auto" w:fill="FFFFFF"/>
        <w:rPr>
          <w:rFonts w:asciiTheme="minorHAnsi" w:hAnsiTheme="minorHAnsi"/>
          <w:sz w:val="20"/>
          <w:szCs w:val="20"/>
        </w:rPr>
      </w:pPr>
      <w:r w:rsidRPr="00B4397E">
        <w:rPr>
          <w:rFonts w:asciiTheme="minorHAnsi" w:hAnsiTheme="minorHAnsi"/>
          <w:sz w:val="20"/>
          <w:szCs w:val="20"/>
        </w:rPr>
        <w:t>Azerbaijan belongs to the world’s water stress countries. With current deficit of water resources being about 5 km</w:t>
      </w:r>
      <w:r w:rsidRPr="00B4397E">
        <w:rPr>
          <w:rFonts w:asciiTheme="minorHAnsi" w:hAnsiTheme="minorHAnsi"/>
          <w:sz w:val="20"/>
          <w:szCs w:val="20"/>
          <w:vertAlign w:val="superscript"/>
        </w:rPr>
        <w:t>3</w:t>
      </w:r>
      <w:r w:rsidRPr="00B4397E">
        <w:rPr>
          <w:rFonts w:asciiTheme="minorHAnsi" w:hAnsiTheme="minorHAnsi"/>
          <w:sz w:val="20"/>
          <w:szCs w:val="20"/>
        </w:rPr>
        <w:t>, the additional pressures on water resources due to climate change will seriously affect the rural water supply. The region of Greater Caucasus has been identified as particularly vulnerable in this regard.</w:t>
      </w:r>
    </w:p>
    <w:p w:rsidR="00E171B1" w:rsidRPr="00B4397E" w:rsidRDefault="00E171B1" w:rsidP="00E171B1">
      <w:pPr>
        <w:pStyle w:val="NormalWeb"/>
        <w:shd w:val="clear" w:color="auto" w:fill="FFFFFF"/>
        <w:rPr>
          <w:rFonts w:asciiTheme="minorHAnsi" w:hAnsiTheme="minorHAnsi"/>
          <w:sz w:val="20"/>
          <w:szCs w:val="20"/>
        </w:rPr>
      </w:pPr>
      <w:r w:rsidRPr="00B4397E">
        <w:rPr>
          <w:rFonts w:asciiTheme="minorHAnsi" w:hAnsiTheme="minorHAnsi"/>
          <w:sz w:val="20"/>
          <w:szCs w:val="20"/>
        </w:rPr>
        <w:t>Water is unevenly distributed across the seasons and geographic areas in Azerbaijan. Despite an overall trend of rainfall reductions in the country, the mountainous regions of Greater Caucasus experience increasingly prolonged inundations and flash floods during the wet season and extended dry spells during the dry seasons. Variation of water flow may reach 30% between the dry and wet seasons. Paradoxically, most of the quality ground waters are formed in foothills of the Greater and Lesser Caucasus and constitute 24 million m3 (8.8.km3) per year. However, currently, only 20% of a total resource has been used. And as Azerbaijan's Second National Communication (SNC) suggests, with the view of increasing water deficit, the country will have to increase ground water extraction both for irrigation and fresh water supply needs.</w:t>
      </w:r>
    </w:p>
    <w:p w:rsidR="00E171B1" w:rsidRPr="00B4397E" w:rsidRDefault="00E171B1" w:rsidP="00E171B1">
      <w:pPr>
        <w:rPr>
          <w:sz w:val="20"/>
          <w:szCs w:val="20"/>
        </w:rPr>
      </w:pPr>
      <w:r w:rsidRPr="00B4397E">
        <w:rPr>
          <w:sz w:val="20"/>
          <w:szCs w:val="20"/>
        </w:rPr>
        <w:t>The project aims to reduce vulnerability of the mountain communities of the Greater Caucasus region of Azerbaijan to climate change induced water stress and flood hazards by improved water and flood management through addressing the management framework at the legislative and policy level, strengthening institutional capacity by introducing new non- structural methods and providing training and empowering communities to actively participate in water and flood management.</w:t>
      </w:r>
    </w:p>
    <w:p w:rsidR="00E171B1" w:rsidRPr="00B4397E" w:rsidRDefault="00E171B1" w:rsidP="00E171B1">
      <w:pPr>
        <w:rPr>
          <w:sz w:val="20"/>
          <w:szCs w:val="20"/>
        </w:rPr>
      </w:pPr>
      <w:r w:rsidRPr="00B4397E">
        <w:rPr>
          <w:sz w:val="20"/>
          <w:szCs w:val="20"/>
        </w:rPr>
        <w:t>Azerbaijan already has considerable experience of structural measures and therefore the proposed project focuses on non-structural measures. These measures mainly address institutional and management challenges, as well as improving public understanding of the problems and potential solutions, developing both organizational and community involvement in the process and pilot actions to improve micro-watershed management practices with a direct engagement of affected communities. The project proposes to sensitize water management policies and practices to the long term risks of, and adaptation to, climate change. Other aspects of flood mitigation and reduction of water stress, such as improved land use management and flood zoning, also require the sensitization of both government and civil society and these tend to have become very much secondary considerations in water management.</w:t>
      </w:r>
    </w:p>
    <w:p w:rsidR="00E171B1" w:rsidRPr="00B4397E" w:rsidRDefault="00E171B1" w:rsidP="00E171B1">
      <w:pPr>
        <w:pStyle w:val="Heading6"/>
        <w:shd w:val="clear" w:color="auto" w:fill="FFFFFF"/>
        <w:rPr>
          <w:color w:val="auto"/>
          <w:sz w:val="20"/>
          <w:szCs w:val="20"/>
          <w:lang w:val="ru-RU"/>
        </w:rPr>
      </w:pPr>
      <w:r w:rsidRPr="00B4397E">
        <w:rPr>
          <w:caps w:val="0"/>
          <w:color w:val="auto"/>
          <w:sz w:val="20"/>
          <w:szCs w:val="20"/>
        </w:rPr>
        <w:t>Project has following components:</w:t>
      </w:r>
    </w:p>
    <w:p w:rsidR="00E171B1" w:rsidRPr="00B4397E" w:rsidRDefault="00E171B1" w:rsidP="00E171B1">
      <w:pPr>
        <w:numPr>
          <w:ilvl w:val="1"/>
          <w:numId w:val="44"/>
        </w:numPr>
        <w:shd w:val="clear" w:color="auto" w:fill="FFFFFF"/>
        <w:spacing w:before="100" w:beforeAutospacing="1" w:after="100" w:afterAutospacing="1" w:line="240" w:lineRule="auto"/>
        <w:rPr>
          <w:sz w:val="20"/>
          <w:szCs w:val="20"/>
        </w:rPr>
      </w:pPr>
      <w:r w:rsidRPr="00B4397E">
        <w:rPr>
          <w:sz w:val="20"/>
          <w:szCs w:val="20"/>
        </w:rPr>
        <w:t>Water and Flood management policy and regulatory frameworks to respond to climate change risks</w:t>
      </w:r>
    </w:p>
    <w:p w:rsidR="00E171B1" w:rsidRPr="00B4397E" w:rsidRDefault="00E171B1" w:rsidP="00E171B1">
      <w:pPr>
        <w:numPr>
          <w:ilvl w:val="1"/>
          <w:numId w:val="44"/>
        </w:numPr>
        <w:shd w:val="clear" w:color="auto" w:fill="FFFFFF"/>
        <w:spacing w:before="100" w:beforeAutospacing="1" w:after="100" w:afterAutospacing="1" w:line="240" w:lineRule="auto"/>
        <w:rPr>
          <w:sz w:val="20"/>
          <w:szCs w:val="20"/>
        </w:rPr>
      </w:pPr>
      <w:r w:rsidRPr="00B4397E">
        <w:rPr>
          <w:sz w:val="20"/>
          <w:szCs w:val="20"/>
        </w:rPr>
        <w:t>Technical capacities to improve climate risk management in the Greater Caucasus</w:t>
      </w:r>
    </w:p>
    <w:p w:rsidR="00E171B1" w:rsidRPr="00B4397E" w:rsidRDefault="00E171B1" w:rsidP="00E171B1">
      <w:pPr>
        <w:numPr>
          <w:ilvl w:val="1"/>
          <w:numId w:val="44"/>
        </w:numPr>
        <w:shd w:val="clear" w:color="auto" w:fill="FFFFFF"/>
        <w:spacing w:before="100" w:beforeAutospacing="1" w:after="100" w:afterAutospacing="1" w:line="240" w:lineRule="auto"/>
        <w:rPr>
          <w:sz w:val="20"/>
          <w:szCs w:val="20"/>
        </w:rPr>
      </w:pPr>
      <w:r w:rsidRPr="00B4397E">
        <w:rPr>
          <w:sz w:val="20"/>
          <w:szCs w:val="20"/>
        </w:rPr>
        <w:t>Water and Flood management practices demonstrated to lead to community resilience</w:t>
      </w:r>
    </w:p>
    <w:p w:rsidR="00E171B1" w:rsidRPr="00B4397E" w:rsidRDefault="00E171B1" w:rsidP="00E171B1">
      <w:pPr>
        <w:pStyle w:val="Heading6"/>
        <w:shd w:val="clear" w:color="auto" w:fill="FFFFFF"/>
        <w:rPr>
          <w:color w:val="auto"/>
          <w:sz w:val="20"/>
          <w:szCs w:val="20"/>
        </w:rPr>
      </w:pPr>
      <w:r w:rsidRPr="00B4397E">
        <w:rPr>
          <w:caps w:val="0"/>
          <w:color w:val="auto"/>
          <w:sz w:val="20"/>
          <w:szCs w:val="20"/>
        </w:rPr>
        <w:lastRenderedPageBreak/>
        <w:t>Expected outcomes</w:t>
      </w:r>
      <w:r w:rsidRPr="00B4397E">
        <w:rPr>
          <w:color w:val="auto"/>
          <w:sz w:val="20"/>
          <w:szCs w:val="20"/>
        </w:rPr>
        <w:t>:</w:t>
      </w:r>
    </w:p>
    <w:p w:rsidR="00E171B1" w:rsidRPr="00B4397E" w:rsidRDefault="00E171B1" w:rsidP="00E171B1">
      <w:pPr>
        <w:numPr>
          <w:ilvl w:val="1"/>
          <w:numId w:val="36"/>
        </w:numPr>
        <w:shd w:val="clear" w:color="auto" w:fill="FFFFFF"/>
        <w:spacing w:before="100" w:beforeAutospacing="1" w:after="100" w:afterAutospacing="1" w:line="240" w:lineRule="auto"/>
        <w:rPr>
          <w:sz w:val="20"/>
          <w:szCs w:val="20"/>
        </w:rPr>
      </w:pPr>
      <w:r w:rsidRPr="00B4397E">
        <w:rPr>
          <w:sz w:val="20"/>
          <w:szCs w:val="20"/>
        </w:rPr>
        <w:t xml:space="preserve">Water and Flood management framework is modified to respond to adaptation needs and improve climate risk management on over 10,838.5 sq. km </w:t>
      </w:r>
      <w:r w:rsidRPr="00B4397E">
        <w:rPr>
          <w:sz w:val="20"/>
          <w:szCs w:val="20"/>
          <w:vertAlign w:val="superscript"/>
        </w:rPr>
        <w:t>3</w:t>
      </w:r>
      <w:r w:rsidRPr="00B4397E">
        <w:rPr>
          <w:sz w:val="20"/>
          <w:szCs w:val="20"/>
        </w:rPr>
        <w:t>of land in highly vulnerable region of Greater Caucasus.</w:t>
      </w:r>
    </w:p>
    <w:p w:rsidR="00E171B1" w:rsidRPr="00B4397E" w:rsidRDefault="00E171B1" w:rsidP="00E171B1">
      <w:pPr>
        <w:numPr>
          <w:ilvl w:val="1"/>
          <w:numId w:val="36"/>
        </w:numPr>
        <w:shd w:val="clear" w:color="auto" w:fill="FFFFFF"/>
        <w:spacing w:before="100" w:beforeAutospacing="1" w:after="100" w:afterAutospacing="1" w:line="240" w:lineRule="auto"/>
        <w:rPr>
          <w:sz w:val="20"/>
          <w:szCs w:val="20"/>
        </w:rPr>
      </w:pPr>
      <w:r w:rsidRPr="00B4397E">
        <w:rPr>
          <w:sz w:val="20"/>
          <w:szCs w:val="20"/>
        </w:rPr>
        <w:t>Key institutions have capacities, technical skills, tools and methods to apply advanced climate risk management practices for water stress and flood mitigation;</w:t>
      </w:r>
    </w:p>
    <w:p w:rsidR="00E171B1" w:rsidRPr="00B4397E" w:rsidRDefault="00E171B1" w:rsidP="00E171B1">
      <w:pPr>
        <w:numPr>
          <w:ilvl w:val="1"/>
          <w:numId w:val="36"/>
        </w:numPr>
        <w:shd w:val="clear" w:color="auto" w:fill="FFFFFF"/>
        <w:spacing w:before="100" w:beforeAutospacing="1" w:after="100" w:afterAutospacing="1" w:line="240" w:lineRule="auto"/>
        <w:rPr>
          <w:sz w:val="20"/>
          <w:szCs w:val="20"/>
        </w:rPr>
      </w:pPr>
      <w:r w:rsidRPr="00B4397E">
        <w:rPr>
          <w:sz w:val="20"/>
          <w:szCs w:val="20"/>
        </w:rPr>
        <w:t xml:space="preserve">Community resilience to floods and water stress improved by introducing locally tailored climate risk management practices benefiting over 650.000 people on total land area of 10,838.5 km2 of the Southern slopes of the Greater Caucasus. </w:t>
      </w:r>
    </w:p>
    <w:p w:rsidR="00E171B1" w:rsidRPr="00B4397E" w:rsidRDefault="00E171B1" w:rsidP="00E171B1">
      <w:pPr>
        <w:shd w:val="clear" w:color="auto" w:fill="FFFFFF"/>
        <w:spacing w:before="100" w:beforeAutospacing="1" w:after="100" w:afterAutospacing="1" w:line="240" w:lineRule="auto"/>
        <w:rPr>
          <w:sz w:val="20"/>
          <w:szCs w:val="20"/>
        </w:rPr>
      </w:pPr>
      <w:r w:rsidRPr="00B4397E">
        <w:rPr>
          <w:rFonts w:cs="Times New Roman"/>
          <w:sz w:val="20"/>
          <w:szCs w:val="20"/>
        </w:rPr>
        <w:t xml:space="preserve">The TE will be conducted according to the guidance, rules and procedures established by UNDP and GEF as reflected in the UNDP Evaluation Guidance for GEF Financed Projects.  </w:t>
      </w:r>
    </w:p>
    <w:p w:rsidR="00E171B1" w:rsidRPr="00B4397E" w:rsidRDefault="00E171B1" w:rsidP="00E171B1">
      <w:pPr>
        <w:spacing w:after="120"/>
        <w:rPr>
          <w:rFonts w:cs="Times New Roman"/>
          <w:sz w:val="20"/>
          <w:szCs w:val="20"/>
        </w:rPr>
      </w:pPr>
      <w:r w:rsidRPr="00B4397E">
        <w:rPr>
          <w:rFonts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E171B1" w:rsidRDefault="00E171B1" w:rsidP="00D6638C">
      <w:pPr>
        <w:spacing w:before="200"/>
        <w:rPr>
          <w:rFonts w:ascii="Calibri" w:eastAsia="Times New Roman" w:hAnsi="Calibri" w:cs="Times New Roman"/>
          <w:sz w:val="20"/>
          <w:szCs w:val="20"/>
        </w:rPr>
      </w:pPr>
    </w:p>
    <w:p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rsidR="00D6638C" w:rsidRPr="00D6638C" w:rsidRDefault="00D6638C" w:rsidP="005345E2">
      <w:pPr>
        <w:spacing w:before="200"/>
        <w:jc w:val="both"/>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w:t>
      </w:r>
      <w:r w:rsidR="007C62FB" w:rsidRPr="00D6638C">
        <w:rPr>
          <w:rFonts w:ascii="Calibri" w:eastAsia="Times New Roman" w:hAnsi="Calibri" w:cs="Times New Roman"/>
          <w:sz w:val="20"/>
          <w:szCs w:val="20"/>
        </w:rPr>
        <w:t>financed projects have</w:t>
      </w:r>
      <w:r w:rsidRPr="00D6638C">
        <w:rPr>
          <w:rFonts w:ascii="Calibri" w:eastAsia="Times New Roman" w:hAnsi="Calibri" w:cs="Times New Roman"/>
          <w:sz w:val="20"/>
          <w:szCs w:val="20"/>
        </w:rPr>
        <w:t xml:space="preserve">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00F57BAD">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fill in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rsidR="00D6638C" w:rsidRPr="00D6638C" w:rsidRDefault="00D6638C" w:rsidP="005345E2">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00485901">
        <w:rPr>
          <w:rFonts w:ascii="Calibri" w:eastAsia="Times New Roman" w:hAnsi="Calibri" w:cs="Times New Roman"/>
          <w:sz w:val="20"/>
          <w:szCs w:val="20"/>
          <w:shd w:val="clear" w:color="auto" w:fill="DDD9C3"/>
        </w:rPr>
        <w:t>Baku</w:t>
      </w:r>
      <w:r w:rsidRPr="00D6638C">
        <w:rPr>
          <w:rFonts w:ascii="Calibri" w:eastAsia="Times New Roman" w:hAnsi="Calibri" w:cs="Times New Roman"/>
          <w:i/>
          <w:sz w:val="20"/>
          <w:szCs w:val="20"/>
          <w:shd w:val="clear" w:color="auto" w:fill="DDD9C3"/>
        </w:rPr>
        <w:t>,</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 xml:space="preserve">sites </w:t>
      </w:r>
      <w:r w:rsidR="00DD59B3">
        <w:rPr>
          <w:rFonts w:ascii="Calibri" w:eastAsia="Times New Roman" w:hAnsi="Calibri" w:cs="Times New Roman"/>
          <w:sz w:val="20"/>
          <w:szCs w:val="20"/>
          <w:shd w:val="clear" w:color="auto" w:fill="FFFFFF"/>
        </w:rPr>
        <w:t xml:space="preserve">(pilot River Basin of </w:t>
      </w:r>
      <w:proofErr w:type="spellStart"/>
      <w:r w:rsidR="00DD59B3">
        <w:rPr>
          <w:rFonts w:ascii="Calibri" w:eastAsia="Times New Roman" w:hAnsi="Calibri" w:cs="Times New Roman"/>
          <w:sz w:val="20"/>
          <w:szCs w:val="20"/>
          <w:shd w:val="clear" w:color="auto" w:fill="FFFFFF"/>
        </w:rPr>
        <w:t>Turyanchay</w:t>
      </w:r>
      <w:proofErr w:type="spellEnd"/>
      <w:r w:rsidR="00DD59B3">
        <w:rPr>
          <w:rFonts w:ascii="Calibri" w:eastAsia="Times New Roman" w:hAnsi="Calibri" w:cs="Times New Roman"/>
          <w:sz w:val="20"/>
          <w:szCs w:val="20"/>
          <w:shd w:val="clear" w:color="auto" w:fill="FFFFFF"/>
        </w:rPr>
        <w:t>)</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w:t>
      </w:r>
      <w:r w:rsidR="00A46306">
        <w:rPr>
          <w:rFonts w:ascii="Calibri" w:eastAsia="Times New Roman" w:hAnsi="Calibri" w:cs="Times New Roman"/>
          <w:sz w:val="20"/>
          <w:szCs w:val="20"/>
        </w:rPr>
        <w:t xml:space="preserve">s and individuals at a minimum: </w:t>
      </w:r>
      <w:r w:rsidR="00A46306">
        <w:rPr>
          <w:rFonts w:ascii="Calibri" w:eastAsia="Times New Roman" w:hAnsi="Calibri" w:cs="Times New Roman"/>
          <w:sz w:val="20"/>
          <w:szCs w:val="20"/>
          <w:shd w:val="clear" w:color="auto" w:fill="DDD9C3"/>
        </w:rPr>
        <w:t xml:space="preserve">Ministry of Emergency Situations of Republic of Azerbaijan, State Water Resources Agency of the Ministry of Emergency Situations, </w:t>
      </w:r>
      <w:r w:rsidR="00E6663E">
        <w:rPr>
          <w:rFonts w:ascii="Calibri" w:eastAsia="Times New Roman" w:hAnsi="Calibri" w:cs="Times New Roman"/>
          <w:sz w:val="20"/>
          <w:szCs w:val="20"/>
          <w:shd w:val="clear" w:color="auto" w:fill="DDD9C3"/>
        </w:rPr>
        <w:t>North-West Regional Center of the Mi</w:t>
      </w:r>
      <w:r w:rsidR="00485901">
        <w:rPr>
          <w:rFonts w:ascii="Calibri" w:eastAsia="Times New Roman" w:hAnsi="Calibri" w:cs="Times New Roman"/>
          <w:sz w:val="20"/>
          <w:szCs w:val="20"/>
          <w:shd w:val="clear" w:color="auto" w:fill="DDD9C3"/>
        </w:rPr>
        <w:t>nistry of Emergency Situations</w:t>
      </w:r>
      <w:r w:rsidR="00A46306">
        <w:rPr>
          <w:rFonts w:ascii="Calibri" w:eastAsia="Times New Roman" w:hAnsi="Calibri" w:cs="Times New Roman"/>
          <w:sz w:val="20"/>
          <w:szCs w:val="20"/>
          <w:shd w:val="clear" w:color="auto" w:fill="DDD9C3"/>
        </w:rPr>
        <w:t xml:space="preserve"> and </w:t>
      </w:r>
      <w:r w:rsidR="00DD59B3">
        <w:rPr>
          <w:rFonts w:ascii="Calibri" w:eastAsia="Times New Roman" w:hAnsi="Calibri" w:cs="Times New Roman"/>
          <w:sz w:val="20"/>
          <w:szCs w:val="20"/>
          <w:shd w:val="clear" w:color="auto" w:fill="DDD9C3"/>
        </w:rPr>
        <w:t>vulnerable mountain</w:t>
      </w:r>
      <w:r w:rsidR="00A46306">
        <w:rPr>
          <w:rFonts w:ascii="Calibri" w:eastAsia="Times New Roman" w:hAnsi="Calibri" w:cs="Times New Roman"/>
          <w:sz w:val="20"/>
          <w:szCs w:val="20"/>
          <w:shd w:val="clear" w:color="auto" w:fill="DDD9C3"/>
        </w:rPr>
        <w:t xml:space="preserve"> communities</w:t>
      </w:r>
      <w:r w:rsidRPr="00D6638C">
        <w:rPr>
          <w:rFonts w:ascii="Calibri" w:eastAsia="Times New Roman" w:hAnsi="Calibri" w:cs="Times New Roman"/>
          <w:sz w:val="20"/>
          <w:szCs w:val="20"/>
        </w:rPr>
        <w:t>.</w:t>
      </w:r>
    </w:p>
    <w:p w:rsidR="00D6638C" w:rsidRPr="00D6638C" w:rsidRDefault="00D6638C" w:rsidP="005345E2">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w:t>
      </w:r>
      <w:proofErr w:type="gramStart"/>
      <w:r w:rsidRPr="00D6638C">
        <w:rPr>
          <w:rFonts w:ascii="Calibri" w:eastAsia="Times New Roman" w:hAnsi="Calibri" w:cs="Times New Roman"/>
          <w:sz w:val="20"/>
          <w:szCs w:val="20"/>
        </w:rPr>
        <w:t>GEF</w:t>
      </w:r>
      <w:proofErr w:type="gramEnd"/>
      <w:r w:rsidRPr="00D6638C">
        <w:rPr>
          <w:rFonts w:ascii="Calibri" w:eastAsia="Times New Roman" w:hAnsi="Calibri" w:cs="Times New Roman"/>
          <w:sz w:val="20"/>
          <w:szCs w:val="20"/>
        </w:rPr>
        <w:t xml:space="preserve">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D6638C" w:rsidRPr="00D6638C" w:rsidRDefault="00D6638C" w:rsidP="00F05366">
      <w:pPr>
        <w:pStyle w:val="Heading51"/>
      </w:pPr>
      <w:bookmarkStart w:id="7" w:name="_Toc321341551"/>
      <w:r w:rsidRPr="00D6638C">
        <w:t>Evaluation Criteria &amp; Ratings</w:t>
      </w:r>
      <w:bookmarkEnd w:id="7"/>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966"/>
        <w:gridCol w:w="6690"/>
        <w:gridCol w:w="966"/>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542DF1" w:rsidRDefault="00542DF1"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p>
    <w:p w:rsidR="00D6638C" w:rsidRPr="00D6638C" w:rsidRDefault="00D6638C" w:rsidP="00F05366">
      <w:pPr>
        <w:pStyle w:val="Heading51"/>
      </w:pPr>
      <w:r w:rsidRPr="00D6638C">
        <w:t>Project finance / cofinance</w:t>
      </w:r>
      <w:bookmarkEnd w:id="9"/>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E61FCC" w:rsidRDefault="00D6638C" w:rsidP="00E61FCC">
            <w:pPr>
              <w:tabs>
                <w:tab w:val="num" w:pos="1260"/>
                <w:tab w:val="right" w:pos="4140"/>
              </w:tabs>
              <w:spacing w:after="0" w:line="240" w:lineRule="auto"/>
              <w:rPr>
                <w:sz w:val="20"/>
                <w:szCs w:val="20"/>
              </w:rPr>
            </w:pPr>
          </w:p>
        </w:tc>
        <w:tc>
          <w:tcPr>
            <w:tcW w:w="1080" w:type="dxa"/>
          </w:tcPr>
          <w:p w:rsidR="00D6638C" w:rsidRPr="00E61FCC" w:rsidRDefault="00D6638C" w:rsidP="00E61FCC">
            <w:pPr>
              <w:tabs>
                <w:tab w:val="num" w:pos="1260"/>
                <w:tab w:val="right" w:pos="4140"/>
              </w:tabs>
              <w:spacing w:after="0" w:line="240" w:lineRule="auto"/>
              <w:rPr>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630691" w:rsidRDefault="00630691" w:rsidP="00F05366">
      <w:pPr>
        <w:pStyle w:val="Heading51"/>
      </w:pPr>
      <w:bookmarkStart w:id="16" w:name="_Toc321341553"/>
    </w:p>
    <w:p w:rsidR="00630691" w:rsidRDefault="00630691" w:rsidP="00F05366">
      <w:pPr>
        <w:pStyle w:val="Heading51"/>
      </w:pPr>
    </w:p>
    <w:p w:rsidR="00630691" w:rsidRDefault="00630691" w:rsidP="00F05366">
      <w:pPr>
        <w:pStyle w:val="Heading51"/>
      </w:pPr>
    </w:p>
    <w:p w:rsidR="00630691" w:rsidRDefault="00630691" w:rsidP="00F05366">
      <w:pPr>
        <w:pStyle w:val="Heading51"/>
      </w:pPr>
    </w:p>
    <w:p w:rsidR="00630691" w:rsidRDefault="00630691" w:rsidP="00F05366">
      <w:pPr>
        <w:pStyle w:val="Heading51"/>
      </w:pPr>
    </w:p>
    <w:p w:rsidR="00542DF1" w:rsidRDefault="00542DF1" w:rsidP="00F05366">
      <w:pPr>
        <w:pStyle w:val="Heading51"/>
      </w:pPr>
    </w:p>
    <w:p w:rsidR="00D6638C" w:rsidRPr="00D6638C" w:rsidRDefault="00D6638C" w:rsidP="00F05366">
      <w:pPr>
        <w:pStyle w:val="Heading51"/>
      </w:pPr>
      <w:r w:rsidRPr="00D6638C">
        <w:t>Mainstreaming</w:t>
      </w:r>
      <w:bookmarkEnd w:id="10"/>
      <w:bookmarkEnd w:id="16"/>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w:t>
      </w:r>
      <w:proofErr w:type="spellStart"/>
      <w:r w:rsidRPr="00D6638C">
        <w:rPr>
          <w:rFonts w:ascii="Calibri" w:eastAsia="Times New Roman" w:hAnsi="Calibri" w:cs="Times New Roman"/>
          <w:sz w:val="20"/>
          <w:szCs w:val="20"/>
        </w:rPr>
        <w:t>programmes</w:t>
      </w:r>
      <w:proofErr w:type="spellEnd"/>
      <w:r w:rsidRPr="00D6638C">
        <w:rPr>
          <w:rFonts w:ascii="Calibri" w:eastAsia="Times New Roman" w:hAnsi="Calibri" w:cs="Times New Roman"/>
          <w:sz w:val="20"/>
          <w:szCs w:val="20"/>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7" w:name="_Toc277677980"/>
      <w:bookmarkStart w:id="18" w:name="_Toc321341554"/>
      <w:r w:rsidRPr="00D6638C">
        <w:t>Impact</w:t>
      </w:r>
      <w:bookmarkEnd w:id="17"/>
      <w:bookmarkEnd w:id="18"/>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542DF1" w:rsidRDefault="00542DF1" w:rsidP="00F05366">
      <w:pPr>
        <w:pStyle w:val="Heading51"/>
      </w:pPr>
      <w:bookmarkStart w:id="24" w:name="_Toc299126625"/>
      <w:bookmarkStart w:id="25" w:name="_Toc299133044"/>
      <w:bookmarkStart w:id="26" w:name="_Toc321341556"/>
    </w:p>
    <w:p w:rsidR="00542DF1" w:rsidRDefault="00542DF1" w:rsidP="00F05366">
      <w:pPr>
        <w:pStyle w:val="Heading51"/>
      </w:pPr>
    </w:p>
    <w:p w:rsidR="00D6638C" w:rsidRPr="00D6638C" w:rsidRDefault="00D6638C" w:rsidP="00F05366">
      <w:pPr>
        <w:pStyle w:val="Heading51"/>
      </w:pPr>
      <w:r w:rsidRPr="00D6638C">
        <w:lastRenderedPageBreak/>
        <w:t>Implementation arrangements</w:t>
      </w:r>
      <w:bookmarkEnd w:id="24"/>
      <w:bookmarkEnd w:id="25"/>
      <w:bookmarkEnd w:id="26"/>
    </w:p>
    <w:p w:rsidR="00F57BAD"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in </w:t>
      </w:r>
      <w:r w:rsidR="00485901">
        <w:rPr>
          <w:rFonts w:ascii="Calibri" w:eastAsia="Times New Roman" w:hAnsi="Calibri" w:cs="Times New Roman"/>
          <w:i/>
          <w:sz w:val="20"/>
          <w:szCs w:val="20"/>
          <w:highlight w:val="lightGray"/>
          <w:shd w:val="clear" w:color="auto" w:fill="E0E0E0"/>
        </w:rPr>
        <w:t>Azerbaijan</w:t>
      </w:r>
      <w:r w:rsidRPr="00D6638C">
        <w:rPr>
          <w:rFonts w:ascii="Calibri" w:eastAsia="Times New Roman" w:hAnsi="Calibri" w:cs="Times New Roman"/>
          <w:i/>
          <w:sz w:val="20"/>
          <w:szCs w:val="20"/>
          <w:highlight w:val="lightGray"/>
        </w:rPr>
        <w:t>.</w:t>
      </w:r>
      <w:r w:rsidR="00485901">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D6638C" w:rsidRPr="00D6638C" w:rsidRDefault="00D6638C" w:rsidP="00022F8E">
      <w:pPr>
        <w:pStyle w:val="Heading51"/>
      </w:pPr>
      <w:r w:rsidRPr="00D6638C">
        <w:t>Evaluation timeframe</w:t>
      </w:r>
      <w:bookmarkEnd w:id="27"/>
      <w:bookmarkEnd w:id="28"/>
      <w:bookmarkEnd w:id="29"/>
      <w:bookmarkEnd w:id="30"/>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6C7BCD">
        <w:rPr>
          <w:rFonts w:ascii="Calibri" w:eastAsia="Times New Roman" w:hAnsi="Calibri" w:cs="Times New Roman"/>
          <w:i/>
          <w:sz w:val="20"/>
          <w:szCs w:val="20"/>
        </w:rPr>
        <w:t>31</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D6638C" w:rsidRPr="00D6638C" w:rsidRDefault="00B46575" w:rsidP="00A46306">
            <w:pPr>
              <w:spacing w:after="0"/>
              <w:rPr>
                <w:rFonts w:ascii="Calibri" w:eastAsia="Times New Roman" w:hAnsi="Calibri" w:cs="Times New Roman"/>
                <w:b/>
                <w:sz w:val="20"/>
                <w:szCs w:val="20"/>
              </w:rPr>
            </w:pPr>
            <w:r>
              <w:rPr>
                <w:rFonts w:ascii="Calibri" w:eastAsia="Times New Roman" w:hAnsi="Calibri" w:cs="Times New Roman"/>
                <w:i/>
                <w:sz w:val="20"/>
                <w:szCs w:val="20"/>
              </w:rPr>
              <w:t>2</w:t>
            </w:r>
            <w:r w:rsidR="00D6638C" w:rsidRPr="00D6638C">
              <w:rPr>
                <w:rFonts w:ascii="Calibri" w:eastAsia="Times New Roman" w:hAnsi="Calibri" w:cs="Times New Roman"/>
                <w:sz w:val="20"/>
                <w:szCs w:val="20"/>
              </w:rPr>
              <w:t xml:space="preserve"> days </w:t>
            </w:r>
          </w:p>
        </w:tc>
        <w:tc>
          <w:tcPr>
            <w:tcW w:w="3071" w:type="dxa"/>
          </w:tcPr>
          <w:p w:rsidR="00D6638C" w:rsidRPr="00224F9C" w:rsidRDefault="002C35D0"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02 July</w:t>
            </w:r>
            <w:r w:rsidR="00B46575">
              <w:rPr>
                <w:rFonts w:ascii="Calibri" w:eastAsia="Times New Roman" w:hAnsi="Calibri" w:cs="Times New Roman"/>
                <w:i/>
                <w:sz w:val="20"/>
                <w:szCs w:val="20"/>
                <w:highlight w:val="lightGray"/>
              </w:rPr>
              <w:t>,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D6638C" w:rsidRDefault="002C35D0" w:rsidP="00A46306">
            <w:pPr>
              <w:spacing w:after="0"/>
              <w:rPr>
                <w:rFonts w:ascii="Calibri" w:eastAsia="Times New Roman" w:hAnsi="Calibri" w:cs="Times New Roman"/>
                <w:b/>
                <w:sz w:val="20"/>
                <w:szCs w:val="20"/>
              </w:rPr>
            </w:pPr>
            <w:r>
              <w:rPr>
                <w:rFonts w:ascii="Calibri" w:eastAsia="Times New Roman" w:hAnsi="Calibri" w:cs="Times New Roman"/>
                <w:i/>
                <w:sz w:val="20"/>
                <w:szCs w:val="20"/>
              </w:rPr>
              <w:t>7</w:t>
            </w:r>
            <w:r w:rsidR="00DD59B3">
              <w:rPr>
                <w:rFonts w:ascii="Calibri" w:eastAsia="Times New Roman" w:hAnsi="Calibri" w:cs="Times New Roman"/>
                <w:i/>
                <w:sz w:val="20"/>
                <w:szCs w:val="20"/>
              </w:rPr>
              <w:t xml:space="preserve"> </w:t>
            </w:r>
            <w:r w:rsidR="00A46306">
              <w:rPr>
                <w:rFonts w:ascii="Calibri" w:eastAsia="Times New Roman" w:hAnsi="Calibri" w:cs="Times New Roman"/>
                <w:sz w:val="20"/>
                <w:szCs w:val="20"/>
              </w:rPr>
              <w:t xml:space="preserve">days </w:t>
            </w:r>
          </w:p>
        </w:tc>
        <w:tc>
          <w:tcPr>
            <w:tcW w:w="3071" w:type="dxa"/>
          </w:tcPr>
          <w:p w:rsidR="00D6638C" w:rsidRPr="00224F9C" w:rsidRDefault="002C35D0"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09 July</w:t>
            </w:r>
            <w:r w:rsidR="00B46575">
              <w:rPr>
                <w:rFonts w:ascii="Calibri" w:eastAsia="Times New Roman" w:hAnsi="Calibri" w:cs="Times New Roman"/>
                <w:i/>
                <w:sz w:val="20"/>
                <w:szCs w:val="20"/>
                <w:highlight w:val="lightGray"/>
              </w:rPr>
              <w:t>,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D6638C" w:rsidRDefault="002C35D0" w:rsidP="00A46306">
            <w:pPr>
              <w:spacing w:after="0"/>
              <w:rPr>
                <w:rFonts w:ascii="Calibri" w:eastAsia="Times New Roman" w:hAnsi="Calibri" w:cs="Times New Roman"/>
                <w:b/>
                <w:sz w:val="20"/>
                <w:szCs w:val="20"/>
              </w:rPr>
            </w:pPr>
            <w:r>
              <w:rPr>
                <w:rFonts w:ascii="Calibri" w:eastAsia="Times New Roman" w:hAnsi="Calibri" w:cs="Times New Roman"/>
                <w:sz w:val="20"/>
                <w:szCs w:val="20"/>
              </w:rPr>
              <w:t>10</w:t>
            </w:r>
            <w:r w:rsidR="00B46575">
              <w:rPr>
                <w:rFonts w:ascii="Calibri" w:eastAsia="Times New Roman" w:hAnsi="Calibri" w:cs="Times New Roman"/>
                <w:sz w:val="20"/>
                <w:szCs w:val="20"/>
              </w:rPr>
              <w:t xml:space="preserve"> </w:t>
            </w:r>
            <w:r w:rsidR="00A46306">
              <w:rPr>
                <w:rFonts w:ascii="Calibri" w:eastAsia="Times New Roman" w:hAnsi="Calibri" w:cs="Times New Roman"/>
                <w:sz w:val="20"/>
                <w:szCs w:val="20"/>
              </w:rPr>
              <w:t xml:space="preserve">days </w:t>
            </w:r>
          </w:p>
        </w:tc>
        <w:tc>
          <w:tcPr>
            <w:tcW w:w="3071" w:type="dxa"/>
          </w:tcPr>
          <w:p w:rsidR="00D6638C" w:rsidRPr="00224F9C" w:rsidRDefault="002C35D0"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19 July</w:t>
            </w:r>
            <w:r w:rsidR="00B46575">
              <w:rPr>
                <w:rFonts w:ascii="Calibri" w:eastAsia="Times New Roman" w:hAnsi="Calibri" w:cs="Times New Roman"/>
                <w:i/>
                <w:sz w:val="20"/>
                <w:szCs w:val="20"/>
                <w:highlight w:val="lightGray"/>
              </w:rPr>
              <w:t>, 2017</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D6638C" w:rsidRDefault="002C35D0" w:rsidP="00D6638C">
            <w:pPr>
              <w:spacing w:after="0"/>
              <w:rPr>
                <w:rFonts w:ascii="Calibri" w:eastAsia="Times New Roman" w:hAnsi="Calibri" w:cs="Times New Roman"/>
                <w:sz w:val="20"/>
                <w:szCs w:val="20"/>
              </w:rPr>
            </w:pPr>
            <w:r>
              <w:rPr>
                <w:rFonts w:ascii="Calibri" w:eastAsia="Times New Roman" w:hAnsi="Calibri" w:cs="Times New Roman"/>
                <w:i/>
                <w:sz w:val="20"/>
                <w:szCs w:val="20"/>
              </w:rPr>
              <w:t>12</w:t>
            </w:r>
            <w:r w:rsidR="00486457">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 xml:space="preserve">days </w:t>
            </w:r>
          </w:p>
        </w:tc>
        <w:tc>
          <w:tcPr>
            <w:tcW w:w="3071" w:type="dxa"/>
          </w:tcPr>
          <w:p w:rsidR="00D6638C" w:rsidRPr="00224F9C" w:rsidRDefault="002C35D0"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31 </w:t>
            </w:r>
            <w:r w:rsidR="00B46575">
              <w:rPr>
                <w:rFonts w:ascii="Calibri" w:eastAsia="Times New Roman" w:hAnsi="Calibri" w:cs="Times New Roman"/>
                <w:i/>
                <w:sz w:val="20"/>
                <w:szCs w:val="20"/>
                <w:highlight w:val="lightGray"/>
              </w:rPr>
              <w:t xml:space="preserve">July, </w:t>
            </w:r>
            <w:r w:rsidR="004A4814">
              <w:rPr>
                <w:rFonts w:ascii="Calibri" w:eastAsia="Times New Roman" w:hAnsi="Calibri" w:cs="Times New Roman"/>
                <w:i/>
                <w:sz w:val="20"/>
                <w:szCs w:val="20"/>
                <w:highlight w:val="lightGray"/>
              </w:rPr>
              <w:t>2017</w:t>
            </w:r>
          </w:p>
        </w:tc>
      </w:tr>
    </w:tbl>
    <w:p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5" w:name="_Toc321341558"/>
      <w:r w:rsidRPr="00D6638C">
        <w:lastRenderedPageBreak/>
        <w:t>Team Composition</w:t>
      </w:r>
      <w:bookmarkEnd w:id="35"/>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w:t>
      </w:r>
      <w:r w:rsidR="00125D80">
        <w:rPr>
          <w:rFonts w:ascii="Calibri" w:eastAsia="Times New Roman" w:hAnsi="Calibri" w:cs="Times New Roman"/>
          <w:sz w:val="20"/>
          <w:szCs w:val="20"/>
        </w:rPr>
        <w:t xml:space="preserve">uation team will be composed of </w:t>
      </w:r>
      <w:r w:rsidR="00125D80">
        <w:rPr>
          <w:rFonts w:ascii="Calibri" w:eastAsia="Times New Roman" w:hAnsi="Calibri" w:cs="Times New Roman"/>
          <w:i/>
          <w:sz w:val="20"/>
          <w:szCs w:val="20"/>
          <w:highlight w:val="lightGray"/>
          <w:shd w:val="clear" w:color="auto" w:fill="FFFFFF"/>
        </w:rPr>
        <w:t>1</w:t>
      </w:r>
      <w:r w:rsidR="00A46306">
        <w:rPr>
          <w:rFonts w:ascii="Calibri" w:eastAsia="Times New Roman" w:hAnsi="Calibri" w:cs="Times New Roman"/>
          <w:i/>
          <w:sz w:val="20"/>
          <w:szCs w:val="20"/>
          <w:highlight w:val="lightGray"/>
          <w:shd w:val="clear" w:color="auto" w:fill="FFFFFF"/>
        </w:rPr>
        <w:t xml:space="preserve"> international </w:t>
      </w:r>
      <w:r w:rsidR="00125D80">
        <w:rPr>
          <w:rFonts w:ascii="Calibri" w:eastAsia="Times New Roman" w:hAnsi="Calibri" w:cs="Times New Roman"/>
          <w:i/>
          <w:sz w:val="20"/>
          <w:szCs w:val="20"/>
          <w:highlight w:val="lightGray"/>
          <w:shd w:val="clear" w:color="auto" w:fill="FFFFFF"/>
        </w:rPr>
        <w:t>evaluator</w:t>
      </w:r>
      <w:r w:rsidR="00125D80">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The consultants shall have prior experience in evaluating similar projects.  Experience with GEF financed projects is an advantage. </w:t>
      </w:r>
      <w:r w:rsidR="00B46575">
        <w:rPr>
          <w:rFonts w:ascii="Calibri" w:eastAsia="Times New Roman" w:hAnsi="Calibri" w:cs="Times New Roman"/>
          <w:sz w:val="20"/>
          <w:szCs w:val="20"/>
        </w:rPr>
        <w:t>The evaluator</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rsidR="0054319E" w:rsidRPr="0054319E" w:rsidRDefault="00630691" w:rsidP="0054319E">
      <w:pPr>
        <w:spacing w:before="200"/>
        <w:rPr>
          <w:rFonts w:ascii="Calibri" w:eastAsia="Times New Roman" w:hAnsi="Calibri" w:cs="Times New Roman"/>
          <w:sz w:val="20"/>
          <w:szCs w:val="20"/>
        </w:rPr>
      </w:pPr>
      <w:r>
        <w:rPr>
          <w:rFonts w:ascii="Calibri" w:eastAsia="Times New Roman" w:hAnsi="Calibri" w:cs="Times New Roman"/>
          <w:sz w:val="20"/>
          <w:szCs w:val="20"/>
        </w:rPr>
        <w:t>The evaluator</w:t>
      </w:r>
      <w:r w:rsidR="00D6638C" w:rsidRPr="00D6638C">
        <w:rPr>
          <w:rFonts w:ascii="Calibri" w:eastAsia="Times New Roman" w:hAnsi="Calibri" w:cs="Times New Roman"/>
          <w:sz w:val="20"/>
          <w:szCs w:val="20"/>
        </w:rPr>
        <w:t xml:space="preserve"> must present the following qualifications:</w:t>
      </w:r>
    </w:p>
    <w:p w:rsidR="0054319E" w:rsidRPr="0054319E" w:rsidRDefault="0054319E" w:rsidP="0054319E">
      <w:pPr>
        <w:pStyle w:val="ListParagraph"/>
        <w:numPr>
          <w:ilvl w:val="0"/>
          <w:numId w:val="42"/>
        </w:numPr>
        <w:spacing w:before="0" w:after="0" w:line="240" w:lineRule="auto"/>
        <w:rPr>
          <w:rFonts w:cs="Times New Roman"/>
        </w:rPr>
      </w:pPr>
      <w:r w:rsidRPr="0054319E">
        <w:rPr>
          <w:rFonts w:cs="Times New Roman"/>
        </w:rPr>
        <w:t>International consultant with advanced academic degree (MSC or PhD) and professional background in fields related to Climate Change Adaptation, Agriculture and Integrated Water Resource Management.</w:t>
      </w:r>
    </w:p>
    <w:p w:rsidR="0054319E" w:rsidRPr="0054319E" w:rsidRDefault="0054319E" w:rsidP="0054319E">
      <w:pPr>
        <w:pStyle w:val="ListParagraph"/>
        <w:numPr>
          <w:ilvl w:val="0"/>
          <w:numId w:val="42"/>
        </w:numPr>
        <w:spacing w:before="0" w:after="0" w:line="240" w:lineRule="auto"/>
        <w:rPr>
          <w:rFonts w:cs="Times New Roman"/>
        </w:rPr>
      </w:pPr>
      <w:r w:rsidRPr="0054319E">
        <w:rPr>
          <w:rFonts w:cs="Times New Roman"/>
        </w:rPr>
        <w:t>A minimum of 5 years of relevant experience is required;</w:t>
      </w:r>
    </w:p>
    <w:p w:rsidR="0054319E" w:rsidRPr="0054319E" w:rsidRDefault="0054319E" w:rsidP="0054319E">
      <w:pPr>
        <w:pStyle w:val="ListParagraph"/>
        <w:numPr>
          <w:ilvl w:val="0"/>
          <w:numId w:val="42"/>
        </w:numPr>
        <w:spacing w:before="0" w:after="0" w:line="240" w:lineRule="auto"/>
        <w:rPr>
          <w:rFonts w:cs="Times New Roman"/>
        </w:rPr>
      </w:pPr>
      <w:r w:rsidRPr="0054319E">
        <w:rPr>
          <w:rFonts w:cs="Times New Roman"/>
        </w:rPr>
        <w:t>Substantive experience in reviewing and evaluating similar projects, preferably those involving UNDP/GEF or other United Nations development agencies or major donors;</w:t>
      </w:r>
    </w:p>
    <w:p w:rsidR="0054319E" w:rsidRPr="00F37F37" w:rsidRDefault="00F37F37" w:rsidP="00F37F37">
      <w:pPr>
        <w:pStyle w:val="ListParagraph"/>
        <w:numPr>
          <w:ilvl w:val="0"/>
          <w:numId w:val="42"/>
        </w:numPr>
        <w:spacing w:after="0" w:line="240" w:lineRule="auto"/>
        <w:rPr>
          <w:rFonts w:cs="Times New Roman"/>
        </w:rPr>
      </w:pPr>
      <w:r>
        <w:rPr>
          <w:w w:val="105"/>
        </w:rPr>
        <w:t>Familiarity</w:t>
      </w:r>
      <w:r>
        <w:rPr>
          <w:spacing w:val="4"/>
          <w:w w:val="105"/>
        </w:rPr>
        <w:t xml:space="preserve"> </w:t>
      </w:r>
      <w:r>
        <w:rPr>
          <w:w w:val="105"/>
        </w:rPr>
        <w:t>with</w:t>
      </w:r>
      <w:r>
        <w:rPr>
          <w:spacing w:val="2"/>
          <w:w w:val="105"/>
        </w:rPr>
        <w:t xml:space="preserve"> </w:t>
      </w:r>
      <w:r>
        <w:rPr>
          <w:w w:val="105"/>
        </w:rPr>
        <w:t>the</w:t>
      </w:r>
      <w:r>
        <w:rPr>
          <w:spacing w:val="2"/>
          <w:w w:val="105"/>
        </w:rPr>
        <w:t xml:space="preserve"> </w:t>
      </w:r>
      <w:r>
        <w:rPr>
          <w:w w:val="105"/>
        </w:rPr>
        <w:t>challenges</w:t>
      </w:r>
      <w:r>
        <w:rPr>
          <w:spacing w:val="10"/>
          <w:w w:val="105"/>
        </w:rPr>
        <w:t xml:space="preserve"> </w:t>
      </w:r>
      <w:r>
        <w:rPr>
          <w:w w:val="105"/>
        </w:rPr>
        <w:t>developing</w:t>
      </w:r>
      <w:r>
        <w:rPr>
          <w:spacing w:val="11"/>
          <w:w w:val="105"/>
        </w:rPr>
        <w:t xml:space="preserve"> </w:t>
      </w:r>
      <w:r>
        <w:rPr>
          <w:w w:val="105"/>
        </w:rPr>
        <w:t>countries</w:t>
      </w:r>
      <w:r>
        <w:rPr>
          <w:spacing w:val="9"/>
          <w:w w:val="105"/>
        </w:rPr>
        <w:t xml:space="preserve"> </w:t>
      </w:r>
      <w:r>
        <w:rPr>
          <w:w w:val="105"/>
        </w:rPr>
        <w:t>face</w:t>
      </w:r>
      <w:r>
        <w:rPr>
          <w:spacing w:val="18"/>
          <w:w w:val="105"/>
        </w:rPr>
        <w:t xml:space="preserve"> </w:t>
      </w:r>
      <w:r>
        <w:rPr>
          <w:w w:val="105"/>
        </w:rPr>
        <w:t>in</w:t>
      </w:r>
      <w:r>
        <w:rPr>
          <w:spacing w:val="-3"/>
          <w:w w:val="105"/>
        </w:rPr>
        <w:t xml:space="preserve"> </w:t>
      </w:r>
      <w:r>
        <w:rPr>
          <w:w w:val="105"/>
        </w:rPr>
        <w:t>adapting</w:t>
      </w:r>
      <w:r>
        <w:rPr>
          <w:spacing w:val="5"/>
          <w:w w:val="105"/>
        </w:rPr>
        <w:t xml:space="preserve"> </w:t>
      </w:r>
      <w:r>
        <w:rPr>
          <w:w w:val="105"/>
        </w:rPr>
        <w:t>to</w:t>
      </w:r>
      <w:r>
        <w:rPr>
          <w:spacing w:val="8"/>
          <w:w w:val="105"/>
        </w:rPr>
        <w:t xml:space="preserve"> </w:t>
      </w:r>
      <w:r>
        <w:rPr>
          <w:w w:val="105"/>
        </w:rPr>
        <w:t>climate</w:t>
      </w:r>
      <w:r>
        <w:rPr>
          <w:spacing w:val="8"/>
          <w:w w:val="105"/>
        </w:rPr>
        <w:t xml:space="preserve"> </w:t>
      </w:r>
      <w:r>
        <w:rPr>
          <w:w w:val="105"/>
        </w:rPr>
        <w:t>change</w:t>
      </w:r>
    </w:p>
    <w:p w:rsidR="00F37F37" w:rsidRPr="0054319E" w:rsidRDefault="00F37F37" w:rsidP="00F37F37">
      <w:pPr>
        <w:pStyle w:val="ListParagraph"/>
        <w:spacing w:after="0" w:line="240" w:lineRule="auto"/>
        <w:rPr>
          <w:rFonts w:cs="Times New Roman"/>
        </w:rPr>
      </w:pPr>
    </w:p>
    <w:p w:rsidR="0054319E" w:rsidRPr="0054319E" w:rsidRDefault="0054319E" w:rsidP="0054319E">
      <w:pPr>
        <w:spacing w:after="0" w:line="240" w:lineRule="auto"/>
        <w:ind w:left="720"/>
        <w:rPr>
          <w:rFonts w:eastAsia="Times New Roman" w:cs="Times New Roman"/>
          <w:sz w:val="20"/>
          <w:szCs w:val="20"/>
        </w:rPr>
      </w:pPr>
      <w:r w:rsidRPr="0054319E">
        <w:rPr>
          <w:rFonts w:eastAsia="Times New Roman" w:cs="Times New Roman"/>
          <w:sz w:val="20"/>
          <w:szCs w:val="20"/>
        </w:rPr>
        <w:t>Other knowledge and skills:</w:t>
      </w:r>
    </w:p>
    <w:p w:rsidR="0054319E" w:rsidRDefault="0054319E" w:rsidP="0054319E">
      <w:pPr>
        <w:numPr>
          <w:ilvl w:val="0"/>
          <w:numId w:val="42"/>
        </w:numPr>
        <w:spacing w:after="0" w:line="240" w:lineRule="auto"/>
        <w:rPr>
          <w:rFonts w:ascii="Calibri" w:eastAsia="Times New Roman" w:hAnsi="Calibri" w:cs="Times New Roman"/>
          <w:sz w:val="20"/>
          <w:szCs w:val="20"/>
        </w:rPr>
      </w:pPr>
      <w:r w:rsidRPr="0054319E">
        <w:rPr>
          <w:rFonts w:ascii="Calibri" w:eastAsia="Times New Roman" w:hAnsi="Calibri" w:cs="Times New Roman"/>
          <w:sz w:val="20"/>
          <w:szCs w:val="20"/>
        </w:rPr>
        <w:t>Technical knowledge in the targeted focal area(s)</w:t>
      </w:r>
    </w:p>
    <w:p w:rsidR="00F37F37" w:rsidRPr="00F37F37" w:rsidRDefault="00F37F37" w:rsidP="00F37F37">
      <w:pPr>
        <w:numPr>
          <w:ilvl w:val="0"/>
          <w:numId w:val="42"/>
        </w:numPr>
        <w:spacing w:after="0" w:line="240" w:lineRule="auto"/>
        <w:rPr>
          <w:rFonts w:ascii="Calibri" w:eastAsia="Times New Roman" w:hAnsi="Calibri" w:cs="Times New Roman"/>
          <w:sz w:val="20"/>
          <w:szCs w:val="20"/>
        </w:rPr>
      </w:pPr>
      <w:r w:rsidRPr="00F37F37">
        <w:rPr>
          <w:w w:val="105"/>
          <w:sz w:val="20"/>
          <w:szCs w:val="20"/>
        </w:rPr>
        <w:t>Ability</w:t>
      </w:r>
      <w:r w:rsidRPr="00F37F37">
        <w:rPr>
          <w:spacing w:val="38"/>
          <w:w w:val="105"/>
          <w:sz w:val="20"/>
          <w:szCs w:val="20"/>
        </w:rPr>
        <w:t xml:space="preserve"> </w:t>
      </w:r>
      <w:r w:rsidRPr="00F37F37">
        <w:rPr>
          <w:w w:val="105"/>
          <w:sz w:val="20"/>
          <w:szCs w:val="20"/>
        </w:rPr>
        <w:t>deliver</w:t>
      </w:r>
      <w:r w:rsidRPr="00F37F37">
        <w:rPr>
          <w:spacing w:val="28"/>
          <w:w w:val="105"/>
          <w:sz w:val="20"/>
          <w:szCs w:val="20"/>
        </w:rPr>
        <w:t xml:space="preserve"> </w:t>
      </w:r>
      <w:r w:rsidRPr="00F37F37">
        <w:rPr>
          <w:w w:val="105"/>
          <w:sz w:val="20"/>
          <w:szCs w:val="20"/>
        </w:rPr>
        <w:t>quality</w:t>
      </w:r>
      <w:r w:rsidRPr="00F37F37">
        <w:rPr>
          <w:spacing w:val="34"/>
          <w:w w:val="105"/>
          <w:sz w:val="20"/>
          <w:szCs w:val="20"/>
        </w:rPr>
        <w:t xml:space="preserve"> </w:t>
      </w:r>
      <w:r w:rsidRPr="00F37F37">
        <w:rPr>
          <w:w w:val="105"/>
          <w:sz w:val="20"/>
          <w:szCs w:val="20"/>
        </w:rPr>
        <w:t>reports</w:t>
      </w:r>
      <w:r w:rsidRPr="00F37F37">
        <w:rPr>
          <w:w w:val="106"/>
          <w:sz w:val="20"/>
          <w:szCs w:val="20"/>
        </w:rPr>
        <w:t xml:space="preserve"> </w:t>
      </w:r>
      <w:r w:rsidRPr="00F37F37">
        <w:rPr>
          <w:w w:val="105"/>
          <w:sz w:val="20"/>
          <w:szCs w:val="20"/>
        </w:rPr>
        <w:t>within</w:t>
      </w:r>
      <w:r w:rsidRPr="00F37F37">
        <w:rPr>
          <w:spacing w:val="28"/>
          <w:w w:val="105"/>
          <w:sz w:val="20"/>
          <w:szCs w:val="20"/>
        </w:rPr>
        <w:t xml:space="preserve"> </w:t>
      </w:r>
      <w:r w:rsidRPr="00F37F37">
        <w:rPr>
          <w:w w:val="105"/>
          <w:sz w:val="20"/>
          <w:szCs w:val="20"/>
        </w:rPr>
        <w:t>the</w:t>
      </w:r>
      <w:r w:rsidRPr="00F37F37">
        <w:rPr>
          <w:spacing w:val="26"/>
          <w:w w:val="105"/>
          <w:sz w:val="20"/>
          <w:szCs w:val="20"/>
        </w:rPr>
        <w:t xml:space="preserve"> </w:t>
      </w:r>
      <w:r w:rsidRPr="00F37F37">
        <w:rPr>
          <w:w w:val="105"/>
          <w:sz w:val="20"/>
          <w:szCs w:val="20"/>
        </w:rPr>
        <w:t>given</w:t>
      </w:r>
      <w:r w:rsidRPr="00F37F37">
        <w:rPr>
          <w:spacing w:val="21"/>
          <w:w w:val="105"/>
          <w:sz w:val="20"/>
          <w:szCs w:val="20"/>
        </w:rPr>
        <w:t xml:space="preserve"> </w:t>
      </w:r>
      <w:r w:rsidRPr="00F37F37">
        <w:rPr>
          <w:w w:val="105"/>
          <w:sz w:val="20"/>
          <w:szCs w:val="20"/>
        </w:rPr>
        <w:t>time;</w:t>
      </w:r>
    </w:p>
    <w:p w:rsidR="0054319E" w:rsidRPr="0054319E" w:rsidRDefault="0054319E" w:rsidP="0054319E">
      <w:pPr>
        <w:pStyle w:val="ListParagraph"/>
        <w:numPr>
          <w:ilvl w:val="0"/>
          <w:numId w:val="42"/>
        </w:numPr>
        <w:spacing w:before="0" w:after="0" w:line="240" w:lineRule="auto"/>
        <w:rPr>
          <w:rFonts w:ascii="Calibri" w:eastAsia="Calibri" w:hAnsi="Calibri" w:cs="Times New Roman"/>
        </w:rPr>
      </w:pPr>
      <w:r w:rsidRPr="0054319E">
        <w:rPr>
          <w:rFonts w:ascii="Calibri" w:hAnsi="Calibri" w:cs="Times New Roman"/>
        </w:rPr>
        <w:t>Excellent English writing and communication skills. The consultant must bring his/her own computing equipment;</w:t>
      </w:r>
    </w:p>
    <w:p w:rsidR="0054319E" w:rsidRPr="0054319E" w:rsidRDefault="0054319E" w:rsidP="0054319E">
      <w:pPr>
        <w:pStyle w:val="ListParagraph"/>
        <w:numPr>
          <w:ilvl w:val="0"/>
          <w:numId w:val="42"/>
        </w:numPr>
        <w:spacing w:before="0" w:after="0" w:line="240" w:lineRule="auto"/>
        <w:rPr>
          <w:rFonts w:ascii="Calibri" w:eastAsia="Calibri" w:hAnsi="Calibri" w:cs="Times New Roman"/>
        </w:rPr>
      </w:pPr>
      <w:r w:rsidRPr="0054319E">
        <w:rPr>
          <w:rFonts w:cs="Times New Roman"/>
        </w:rPr>
        <w:t>Excellent feedback-giving skills and culture sensitiveness.</w:t>
      </w:r>
    </w:p>
    <w:p w:rsidR="0054319E" w:rsidRPr="0054319E" w:rsidRDefault="0054319E" w:rsidP="0054319E">
      <w:pPr>
        <w:pStyle w:val="ListParagraph"/>
        <w:spacing w:before="0" w:after="0" w:line="240" w:lineRule="auto"/>
        <w:rPr>
          <w:rFonts w:ascii="Calibri" w:eastAsia="Calibri" w:hAnsi="Calibri" w:cs="Times New Roman"/>
        </w:rPr>
      </w:pPr>
    </w:p>
    <w:p w:rsidR="00D6638C" w:rsidRDefault="00D6638C" w:rsidP="00F05366">
      <w:pPr>
        <w:pStyle w:val="Heading51"/>
      </w:pPr>
      <w:bookmarkStart w:id="36" w:name="_Toc278193977"/>
      <w:bookmarkStart w:id="37" w:name="_Toc299122835"/>
      <w:bookmarkStart w:id="38" w:name="_Toc299122857"/>
      <w:bookmarkStart w:id="39" w:name="_Toc299126624"/>
      <w:bookmarkStart w:id="40" w:name="_Toc299133050"/>
      <w:bookmarkStart w:id="41" w:name="_Toc321341559"/>
      <w:r w:rsidRPr="00D6638C">
        <w:t>Evaluator Ethics</w:t>
      </w:r>
      <w:bookmarkEnd w:id="36"/>
      <w:bookmarkEnd w:id="37"/>
      <w:bookmarkEnd w:id="38"/>
      <w:bookmarkEnd w:id="39"/>
      <w:bookmarkEnd w:id="40"/>
      <w:bookmarkEnd w:id="41"/>
    </w:p>
    <w:p w:rsidR="00022F8E" w:rsidRPr="00022F8E" w:rsidRDefault="00022F8E" w:rsidP="00022F8E"/>
    <w:p w:rsidR="00B46575" w:rsidRPr="00630691" w:rsidRDefault="00D6638C" w:rsidP="00022F8E">
      <w:pPr>
        <w:rPr>
          <w:rFonts w:ascii="Calibri" w:eastAsia="Times New Roman" w:hAnsi="Calibri" w:cs="Times New Roman"/>
          <w:color w:val="0000FF"/>
          <w:sz w:val="20"/>
          <w:szCs w:val="20"/>
          <w:u w:val="single"/>
        </w:rPr>
      </w:pPr>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9" w:history="1">
        <w:r w:rsidRPr="006C1964">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rsidR="00E23201">
        <w:t xml:space="preserve"> </w:t>
      </w:r>
    </w:p>
    <w:p w:rsidR="00E23201" w:rsidRPr="00E23201" w:rsidRDefault="00E23201" w:rsidP="00E23201">
      <w:r w:rsidRPr="00310398">
        <w:rPr>
          <w:highlight w:val="lightGray"/>
        </w:rPr>
        <w:t>(</w:t>
      </w:r>
      <w:proofErr w:type="gramStart"/>
      <w:r w:rsidRPr="00310398">
        <w:rPr>
          <w:i/>
          <w:highlight w:val="lightGray"/>
        </w:rPr>
        <w:t>this</w:t>
      </w:r>
      <w:proofErr w:type="gramEnd"/>
      <w:r w:rsidRPr="00310398">
        <w:rPr>
          <w:i/>
          <w:highlight w:val="lightGray"/>
        </w:rPr>
        <w:t xml:space="preserve"> payment schedule is indicative, to be filled in </w:t>
      </w:r>
      <w:r w:rsidR="00310398" w:rsidRPr="00310398">
        <w:rPr>
          <w:i/>
          <w:highlight w:val="lightGray"/>
        </w:rPr>
        <w:t xml:space="preserve">by the </w:t>
      </w:r>
      <w:r w:rsidR="00310398" w:rsidRPr="00310398">
        <w:rPr>
          <w:rFonts w:ascii="Calibri" w:eastAsia="Times New Roman" w:hAnsi="Calibri" w:cs="Times New Roman"/>
          <w:i/>
          <w:sz w:val="20"/>
          <w:szCs w:val="20"/>
          <w:highlight w:val="lightGray"/>
        </w:rPr>
        <w:t xml:space="preserve">CO and UNDP GEF Technical Adviser </w:t>
      </w:r>
      <w:r w:rsidRPr="00310398">
        <w:rPr>
          <w:i/>
          <w:highlight w:val="lightGray"/>
        </w:rPr>
        <w:t>based on</w:t>
      </w:r>
      <w:r w:rsidR="00310398" w:rsidRPr="00310398">
        <w:rPr>
          <w:i/>
          <w:highlight w:val="lightGray"/>
        </w:rPr>
        <w:t xml:space="preserve"> their</w:t>
      </w:r>
      <w:r w:rsidRPr="00310398">
        <w:rPr>
          <w:i/>
          <w:highlight w:val="lightGray"/>
        </w:rPr>
        <w:t xml:space="preserve"> standard procurement procedures)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rsidTr="006C1964">
        <w:tc>
          <w:tcPr>
            <w:tcW w:w="1278" w:type="dxa"/>
          </w:tcPr>
          <w:p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lastRenderedPageBreak/>
              <w:t>50%</w:t>
            </w:r>
          </w:p>
        </w:tc>
        <w:tc>
          <w:tcPr>
            <w:tcW w:w="8576"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rsidR="00A469ED" w:rsidRPr="00A469ED" w:rsidRDefault="00A469ED" w:rsidP="00A469ED">
      <w:bookmarkStart w:id="48" w:name="_Toc299133052"/>
      <w:bookmarkStart w:id="49" w:name="_Toc321341561"/>
    </w:p>
    <w:p w:rsidR="00D6638C" w:rsidRPr="00D6638C" w:rsidRDefault="00D6638C" w:rsidP="00F05366">
      <w:pPr>
        <w:pStyle w:val="Heading51"/>
      </w:pPr>
      <w:r w:rsidRPr="00D6638C">
        <w:t>Application process</w:t>
      </w:r>
      <w:bookmarkEnd w:id="45"/>
      <w:bookmarkEnd w:id="46"/>
      <w:bookmarkEnd w:id="47"/>
      <w:bookmarkEnd w:id="48"/>
      <w:bookmarkEnd w:id="49"/>
    </w:p>
    <w:p w:rsidR="00D6638C" w:rsidRPr="002C35D0" w:rsidRDefault="002C35D0" w:rsidP="002C35D0">
      <w:pPr>
        <w:outlineLvl w:val="0"/>
        <w:rPr>
          <w:b/>
        </w:rPr>
      </w:pPr>
      <w:r w:rsidRPr="002C35D0">
        <w:rPr>
          <w:sz w:val="20"/>
          <w:szCs w:val="20"/>
        </w:rPr>
        <w:t xml:space="preserve">Proposal should be submitted by email to </w:t>
      </w:r>
      <w:hyperlink r:id="rId10" w:history="1">
        <w:r w:rsidRPr="002C35D0">
          <w:rPr>
            <w:rStyle w:val="Hyperlink"/>
            <w:b/>
            <w:sz w:val="20"/>
            <w:szCs w:val="20"/>
          </w:rPr>
          <w:t>procurement.aze@undp.org</w:t>
        </w:r>
      </w:hyperlink>
      <w:r w:rsidRPr="002C35D0">
        <w:rPr>
          <w:b/>
          <w:sz w:val="20"/>
          <w:szCs w:val="20"/>
        </w:rPr>
        <w:t xml:space="preserve"> </w:t>
      </w:r>
      <w:r w:rsidRPr="002C35D0">
        <w:rPr>
          <w:sz w:val="20"/>
          <w:szCs w:val="20"/>
        </w:rPr>
        <w:t xml:space="preserve">by </w:t>
      </w:r>
      <w:r w:rsidR="00AE57A1">
        <w:rPr>
          <w:b/>
          <w:sz w:val="20"/>
          <w:szCs w:val="20"/>
        </w:rPr>
        <w:t>June 13</w:t>
      </w:r>
      <w:bookmarkStart w:id="50" w:name="_GoBack"/>
      <w:bookmarkEnd w:id="50"/>
      <w:r w:rsidRPr="002C35D0">
        <w:rPr>
          <w:b/>
          <w:sz w:val="20"/>
          <w:szCs w:val="20"/>
        </w:rPr>
        <w:t>, 2017</w:t>
      </w:r>
      <w:r>
        <w:rPr>
          <w:rFonts w:eastAsia="Times New Roman" w:cs="Times New Roman"/>
          <w:sz w:val="20"/>
          <w:szCs w:val="20"/>
        </w:rPr>
        <w:t xml:space="preserve">. </w:t>
      </w:r>
      <w:r w:rsidR="00D6638C" w:rsidRPr="00D6638C">
        <w:rPr>
          <w:rFonts w:ascii="Calibri" w:eastAsia="Times New Roman" w:hAnsi="Calibri" w:cs="Times New Roman"/>
          <w:sz w:val="20"/>
          <w:szCs w:val="20"/>
        </w:rPr>
        <w:t>Individual consultants are invited to submit applications together with their CV for these positions. The application should contain a curre</w:t>
      </w:r>
      <w:r w:rsidR="003E38F8">
        <w:rPr>
          <w:rFonts w:ascii="Calibri" w:eastAsia="Times New Roman" w:hAnsi="Calibri" w:cs="Times New Roman"/>
          <w:sz w:val="20"/>
          <w:szCs w:val="20"/>
        </w:rPr>
        <w:t>nt and complete C.V. in English</w:t>
      </w:r>
      <w:r w:rsidR="00D6638C" w:rsidRPr="00D6638C">
        <w:rPr>
          <w:rFonts w:ascii="Calibri" w:eastAsia="Times New Roman" w:hAnsi="Calibri" w:cs="Times New Roman"/>
          <w:sz w:val="20"/>
          <w:szCs w:val="20"/>
        </w:rPr>
        <w:t xml:space="preserve"> with indication of the e‐mail and phone contact. 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p w:rsidR="00AC0C90" w:rsidRPr="00AB0161" w:rsidRDefault="00AC0C90" w:rsidP="00AC0C90">
      <w:pPr>
        <w:pStyle w:val="Heading2"/>
        <w:rPr>
          <w:rFonts w:ascii="Times New Roman" w:hAnsi="Times New Roman"/>
          <w:b/>
          <w:bCs/>
          <w:i/>
          <w:smallCaps/>
          <w:sz w:val="24"/>
        </w:rPr>
      </w:pPr>
      <w:bookmarkStart w:id="57" w:name="_Toc299122845"/>
      <w:bookmarkStart w:id="58" w:name="_Toc299122867"/>
      <w:bookmarkStart w:id="59" w:name="_Toc299126631"/>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AC0C90" w:rsidRPr="00CD02E9" w:rsidTr="00AC0C90">
        <w:tc>
          <w:tcPr>
            <w:tcW w:w="14688" w:type="dxa"/>
          </w:tcPr>
          <w:p w:rsidR="00AC0C90" w:rsidRPr="00CE459B" w:rsidRDefault="00AC0C90" w:rsidP="00AC0C90">
            <w:pPr>
              <w:rPr>
                <w:rFonts w:ascii="Times New Roman" w:hAnsi="Times New Roman"/>
                <w:b/>
                <w:bCs/>
                <w:sz w:val="18"/>
                <w:szCs w:val="18"/>
              </w:rPr>
            </w:pPr>
            <w:r w:rsidRPr="00CE459B">
              <w:rPr>
                <w:rFonts w:ascii="Times New Roman" w:hAnsi="Times New Roman"/>
                <w:b/>
                <w:bCs/>
                <w:sz w:val="18"/>
                <w:szCs w:val="18"/>
              </w:rPr>
              <w:t xml:space="preserve">This project will contribute to achieving the following Country </w:t>
            </w:r>
            <w:proofErr w:type="spellStart"/>
            <w:r w:rsidRPr="00CE459B">
              <w:rPr>
                <w:rFonts w:ascii="Times New Roman" w:hAnsi="Times New Roman"/>
                <w:b/>
                <w:bCs/>
                <w:sz w:val="18"/>
                <w:szCs w:val="18"/>
              </w:rPr>
              <w:t>Programme</w:t>
            </w:r>
            <w:proofErr w:type="spellEnd"/>
            <w:r w:rsidRPr="00CE459B">
              <w:rPr>
                <w:rFonts w:ascii="Times New Roman" w:hAnsi="Times New Roman"/>
                <w:b/>
                <w:bCs/>
                <w:sz w:val="18"/>
                <w:szCs w:val="18"/>
              </w:rPr>
              <w:t xml:space="preserve"> Outcome as defined in CPAP or CPD: </w:t>
            </w:r>
          </w:p>
          <w:p w:rsidR="00AC0C90" w:rsidRPr="00CD02E9" w:rsidRDefault="00AC0C90" w:rsidP="00AC0C90">
            <w:pPr>
              <w:rPr>
                <w:rFonts w:ascii="Times New Roman" w:hAnsi="Times New Roman"/>
                <w:b/>
                <w:bCs/>
                <w:sz w:val="18"/>
                <w:szCs w:val="18"/>
              </w:rPr>
            </w:pPr>
            <w:r w:rsidRPr="00CE459B">
              <w:rPr>
                <w:rFonts w:ascii="Times New Roman" w:hAnsi="Times New Roman" w:cs="Calibri"/>
                <w:b/>
                <w:bCs/>
                <w:sz w:val="18"/>
                <w:szCs w:val="30"/>
              </w:rPr>
              <w:t xml:space="preserve">Outcome 1. </w:t>
            </w:r>
            <w:r w:rsidRPr="00CE459B">
              <w:rPr>
                <w:rFonts w:ascii="Times New Roman" w:hAnsi="Times New Roman" w:cs="Calibri"/>
                <w:sz w:val="18"/>
                <w:szCs w:val="30"/>
              </w:rPr>
              <w:t>By 2015, non-oil development policies result in better economic status, decent work opportunities and a healthier environment in all regions and across all social groups</w:t>
            </w:r>
          </w:p>
        </w:tc>
      </w:tr>
      <w:tr w:rsidR="00AC0C90" w:rsidRPr="00CD02E9" w:rsidTr="00AC0C90">
        <w:trPr>
          <w:trHeight w:val="245"/>
        </w:trPr>
        <w:tc>
          <w:tcPr>
            <w:tcW w:w="14688" w:type="dxa"/>
          </w:tcPr>
          <w:p w:rsidR="00AC0C90" w:rsidRPr="00CD02E9" w:rsidRDefault="00AC0C90" w:rsidP="00AC0C90">
            <w:pPr>
              <w:rPr>
                <w:rFonts w:ascii="Times New Roman" w:hAnsi="Times New Roman"/>
                <w:b/>
                <w:bCs/>
                <w:sz w:val="18"/>
                <w:szCs w:val="18"/>
              </w:rPr>
            </w:pPr>
            <w:r w:rsidRPr="00CD02E9">
              <w:rPr>
                <w:rFonts w:ascii="Times New Roman" w:hAnsi="Times New Roman"/>
                <w:b/>
                <w:bCs/>
                <w:sz w:val="18"/>
                <w:szCs w:val="18"/>
              </w:rPr>
              <w:t xml:space="preserve">Country </w:t>
            </w:r>
            <w:proofErr w:type="spellStart"/>
            <w:r w:rsidRPr="00CD02E9">
              <w:rPr>
                <w:rFonts w:ascii="Times New Roman" w:hAnsi="Times New Roman"/>
                <w:b/>
                <w:bCs/>
                <w:sz w:val="18"/>
                <w:szCs w:val="18"/>
              </w:rPr>
              <w:t>Programme</w:t>
            </w:r>
            <w:proofErr w:type="spellEnd"/>
            <w:r w:rsidRPr="00CD02E9">
              <w:rPr>
                <w:rFonts w:ascii="Times New Roman" w:hAnsi="Times New Roman"/>
                <w:b/>
                <w:bCs/>
                <w:sz w:val="18"/>
                <w:szCs w:val="18"/>
              </w:rPr>
              <w:t xml:space="preserve"> Outcome Indicators:</w:t>
            </w:r>
          </w:p>
          <w:p w:rsidR="00AC0C90" w:rsidRPr="00CD02E9" w:rsidRDefault="00AC0C90" w:rsidP="00AC0C90">
            <w:pPr>
              <w:rPr>
                <w:rFonts w:ascii="Times New Roman" w:hAnsi="Times New Roman"/>
                <w:b/>
                <w:bCs/>
                <w:sz w:val="18"/>
                <w:szCs w:val="18"/>
              </w:rPr>
            </w:pPr>
          </w:p>
        </w:tc>
      </w:tr>
      <w:tr w:rsidR="00AC0C90" w:rsidRPr="00CD02E9" w:rsidTr="00AC0C90">
        <w:trPr>
          <w:trHeight w:val="244"/>
        </w:trPr>
        <w:tc>
          <w:tcPr>
            <w:tcW w:w="14688" w:type="dxa"/>
          </w:tcPr>
          <w:p w:rsidR="00AC0C90" w:rsidRPr="001B43BC" w:rsidRDefault="00AC0C90" w:rsidP="00AC0C90">
            <w:pPr>
              <w:rPr>
                <w:rFonts w:ascii="Times New Roman" w:hAnsi="Times New Roman"/>
                <w:b/>
                <w:bCs/>
                <w:sz w:val="18"/>
                <w:szCs w:val="18"/>
              </w:rPr>
            </w:pPr>
            <w:r>
              <w:rPr>
                <w:rFonts w:ascii="Times New Roman" w:hAnsi="Times New Roman"/>
                <w:b/>
                <w:bCs/>
                <w:sz w:val="18"/>
                <w:szCs w:val="18"/>
              </w:rPr>
              <w:t xml:space="preserve">Primary applicable Key Environment and Sustainable Development Key Result Area (same as that on the cover </w:t>
            </w:r>
            <w:proofErr w:type="gramStart"/>
            <w:r>
              <w:rPr>
                <w:rFonts w:ascii="Times New Roman" w:hAnsi="Times New Roman"/>
                <w:b/>
                <w:bCs/>
                <w:sz w:val="18"/>
                <w:szCs w:val="18"/>
              </w:rPr>
              <w:t>page,</w:t>
            </w:r>
            <w:proofErr w:type="gramEnd"/>
            <w:r>
              <w:rPr>
                <w:rFonts w:ascii="Times New Roman" w:hAnsi="Times New Roman"/>
                <w:b/>
                <w:bCs/>
                <w:sz w:val="18"/>
                <w:szCs w:val="18"/>
              </w:rPr>
              <w:t xml:space="preserve"> circle one):  Promote climate change adaptation.</w:t>
            </w:r>
          </w:p>
        </w:tc>
      </w:tr>
      <w:tr w:rsidR="00AC0C90" w:rsidRPr="00CD02E9" w:rsidTr="00AC0C90">
        <w:tc>
          <w:tcPr>
            <w:tcW w:w="14688" w:type="dxa"/>
          </w:tcPr>
          <w:p w:rsidR="00AC0C90" w:rsidRDefault="00AC0C90" w:rsidP="00AC0C90">
            <w:pPr>
              <w:rPr>
                <w:rFonts w:ascii="Times New Roman" w:hAnsi="Times New Roman"/>
                <w:b/>
                <w:bCs/>
                <w:sz w:val="18"/>
                <w:szCs w:val="18"/>
              </w:rPr>
            </w:pPr>
            <w:r w:rsidRPr="00CD02E9">
              <w:rPr>
                <w:rFonts w:ascii="Times New Roman" w:hAnsi="Times New Roman"/>
                <w:b/>
                <w:bCs/>
                <w:sz w:val="18"/>
                <w:szCs w:val="18"/>
              </w:rPr>
              <w:t>Applicable GEF Strategic</w:t>
            </w:r>
            <w:r>
              <w:rPr>
                <w:rFonts w:ascii="Times New Roman" w:hAnsi="Times New Roman"/>
                <w:b/>
                <w:bCs/>
                <w:sz w:val="18"/>
                <w:szCs w:val="18"/>
              </w:rPr>
              <w:t xml:space="preserve"> Objective and </w:t>
            </w:r>
            <w:r w:rsidRPr="00CD02E9">
              <w:rPr>
                <w:rFonts w:ascii="Times New Roman" w:hAnsi="Times New Roman"/>
                <w:b/>
                <w:bCs/>
                <w:sz w:val="18"/>
                <w:szCs w:val="18"/>
              </w:rPr>
              <w:t>Program:</w:t>
            </w:r>
            <w:r>
              <w:rPr>
                <w:rFonts w:ascii="Times New Roman" w:hAnsi="Times New Roman"/>
                <w:b/>
                <w:bCs/>
                <w:sz w:val="18"/>
                <w:szCs w:val="18"/>
              </w:rPr>
              <w:t xml:space="preserve">   </w:t>
            </w:r>
          </w:p>
          <w:p w:rsidR="00AC0C90" w:rsidRDefault="00AC0C90" w:rsidP="00AC0C90">
            <w:pPr>
              <w:rPr>
                <w:rFonts w:ascii="Times New Roman" w:hAnsi="Times New Roman"/>
                <w:b/>
                <w:bCs/>
                <w:sz w:val="18"/>
                <w:szCs w:val="18"/>
              </w:rPr>
            </w:pPr>
            <w:r>
              <w:rPr>
                <w:rFonts w:ascii="Times New Roman" w:hAnsi="Times New Roman"/>
                <w:b/>
                <w:bCs/>
                <w:sz w:val="18"/>
                <w:szCs w:val="18"/>
              </w:rPr>
              <w:t xml:space="preserve">CCA-1: </w:t>
            </w:r>
          </w:p>
          <w:p w:rsidR="00AC0C90" w:rsidRPr="00CD02E9" w:rsidRDefault="00AC0C90" w:rsidP="00AC0C90">
            <w:pPr>
              <w:rPr>
                <w:rFonts w:ascii="Times New Roman" w:hAnsi="Times New Roman"/>
                <w:b/>
                <w:bCs/>
                <w:sz w:val="18"/>
                <w:szCs w:val="18"/>
              </w:rPr>
            </w:pPr>
            <w:r>
              <w:rPr>
                <w:rFonts w:ascii="Times New Roman" w:hAnsi="Times New Roman"/>
                <w:b/>
                <w:bCs/>
                <w:sz w:val="18"/>
                <w:szCs w:val="18"/>
              </w:rPr>
              <w:t>CCA-2:</w:t>
            </w:r>
          </w:p>
        </w:tc>
      </w:tr>
      <w:tr w:rsidR="00AC0C90" w:rsidRPr="00CD02E9" w:rsidTr="00AC0C90">
        <w:tc>
          <w:tcPr>
            <w:tcW w:w="14688" w:type="dxa"/>
          </w:tcPr>
          <w:p w:rsidR="00AC0C90" w:rsidRDefault="00AC0C90" w:rsidP="00AC0C90">
            <w:pPr>
              <w:rPr>
                <w:rFonts w:ascii="Times New Roman" w:hAnsi="Times New Roman"/>
                <w:b/>
                <w:bCs/>
                <w:sz w:val="18"/>
                <w:szCs w:val="18"/>
              </w:rPr>
            </w:pPr>
            <w:r w:rsidRPr="00CD02E9">
              <w:rPr>
                <w:rFonts w:ascii="Times New Roman" w:hAnsi="Times New Roman"/>
                <w:b/>
                <w:bCs/>
                <w:sz w:val="18"/>
                <w:szCs w:val="18"/>
              </w:rPr>
              <w:t>Applicable GEF Expected Outcomes:</w:t>
            </w:r>
            <w:r>
              <w:rPr>
                <w:rFonts w:ascii="Times New Roman" w:hAnsi="Times New Roman"/>
                <w:b/>
                <w:bCs/>
                <w:sz w:val="18"/>
                <w:szCs w:val="18"/>
              </w:rPr>
              <w:t xml:space="preserve"> </w:t>
            </w:r>
          </w:p>
          <w:p w:rsidR="00AC0C90" w:rsidRPr="00035024" w:rsidRDefault="00AC0C90" w:rsidP="00AC0C90">
            <w:pPr>
              <w:rPr>
                <w:rFonts w:ascii="Times New Roman" w:hAnsi="Times New Roman"/>
                <w:noProof/>
                <w:sz w:val="20"/>
              </w:rPr>
            </w:pPr>
            <w:r w:rsidRPr="00035024">
              <w:rPr>
                <w:rFonts w:ascii="Times New Roman" w:hAnsi="Times New Roman"/>
                <w:noProof/>
                <w:sz w:val="20"/>
              </w:rPr>
              <w:t>Outcome 1.1. Mainstreamed adaptation in broader development frameworks at country level and in targeted vulnerable areas</w:t>
            </w:r>
          </w:p>
          <w:p w:rsidR="00AC0C90" w:rsidRPr="00035024" w:rsidRDefault="00AC0C90" w:rsidP="00AC0C90">
            <w:pPr>
              <w:rPr>
                <w:rFonts w:ascii="Times New Roman" w:hAnsi="Times New Roman"/>
                <w:noProof/>
                <w:sz w:val="20"/>
              </w:rPr>
            </w:pPr>
            <w:r w:rsidRPr="00035024">
              <w:rPr>
                <w:rFonts w:ascii="Times New Roman" w:hAnsi="Times New Roman"/>
                <w:noProof/>
                <w:sz w:val="20"/>
              </w:rPr>
              <w:t>Outcome 2.1. Increased knowledge and understanding of climate variability and change-induced risks at country level and in targeted vulnerable areas</w:t>
            </w:r>
          </w:p>
          <w:p w:rsidR="00AC0C90" w:rsidRPr="00035024" w:rsidRDefault="00AC0C90" w:rsidP="00AC0C90">
            <w:pPr>
              <w:rPr>
                <w:noProof/>
              </w:rPr>
            </w:pPr>
            <w:r w:rsidRPr="00035024">
              <w:rPr>
                <w:rFonts w:ascii="Times New Roman" w:hAnsi="Times New Roman"/>
                <w:noProof/>
                <w:sz w:val="20"/>
              </w:rPr>
              <w:lastRenderedPageBreak/>
              <w:t>Outcome 2.2: Strengthened adaptive capacity to reduce risks to climate-induced economic losses</w:t>
            </w:r>
          </w:p>
        </w:tc>
      </w:tr>
      <w:tr w:rsidR="00AC0C90" w:rsidRPr="00CD02E9" w:rsidTr="00AC0C90">
        <w:tc>
          <w:tcPr>
            <w:tcW w:w="14688" w:type="dxa"/>
          </w:tcPr>
          <w:p w:rsidR="00AC0C90" w:rsidRDefault="00AC0C90" w:rsidP="00AC0C90">
            <w:pPr>
              <w:rPr>
                <w:rFonts w:ascii="Times New Roman" w:hAnsi="Times New Roman"/>
                <w:b/>
                <w:bCs/>
                <w:sz w:val="18"/>
                <w:szCs w:val="18"/>
              </w:rPr>
            </w:pPr>
            <w:r w:rsidRPr="00CD02E9">
              <w:rPr>
                <w:rFonts w:ascii="Times New Roman" w:hAnsi="Times New Roman"/>
                <w:b/>
                <w:bCs/>
                <w:sz w:val="18"/>
                <w:szCs w:val="18"/>
              </w:rPr>
              <w:lastRenderedPageBreak/>
              <w:t xml:space="preserve">Applicable GEF </w:t>
            </w:r>
            <w:r>
              <w:rPr>
                <w:rFonts w:ascii="Times New Roman" w:hAnsi="Times New Roman"/>
                <w:b/>
                <w:bCs/>
                <w:sz w:val="18"/>
                <w:szCs w:val="18"/>
              </w:rPr>
              <w:t xml:space="preserve">Outcome </w:t>
            </w:r>
            <w:r w:rsidRPr="00CD02E9">
              <w:rPr>
                <w:rFonts w:ascii="Times New Roman" w:hAnsi="Times New Roman"/>
                <w:b/>
                <w:bCs/>
                <w:sz w:val="18"/>
                <w:szCs w:val="18"/>
              </w:rPr>
              <w:t>Indicators:</w:t>
            </w:r>
            <w:r>
              <w:rPr>
                <w:rFonts w:ascii="Times New Roman" w:hAnsi="Times New Roman"/>
                <w:b/>
                <w:bCs/>
                <w:sz w:val="18"/>
                <w:szCs w:val="18"/>
              </w:rPr>
              <w:t xml:space="preserve">  </w:t>
            </w:r>
          </w:p>
          <w:p w:rsidR="00AC0C90" w:rsidRPr="00EA3905" w:rsidRDefault="00AC0C90" w:rsidP="00AC0C90">
            <w:pPr>
              <w:rPr>
                <w:rFonts w:ascii="Times New Roman" w:hAnsi="Times New Roman"/>
                <w:sz w:val="20"/>
              </w:rPr>
            </w:pPr>
            <w:r w:rsidRPr="00EA3905">
              <w:rPr>
                <w:rFonts w:ascii="Times New Roman" w:hAnsi="Times New Roman"/>
                <w:sz w:val="20"/>
              </w:rPr>
              <w:t xml:space="preserve">The project is aligned with CCA Objectives 1 and 2 and with the Results-based management focus under Climate Change Adaptation, as evidenced by the completion of the Adaptation Monitoring Assessment Tool (AMAT) at this CEO endorsement stage.  </w:t>
            </w:r>
            <w:r>
              <w:rPr>
                <w:rFonts w:ascii="Times New Roman" w:hAnsi="Times New Roman"/>
                <w:sz w:val="20"/>
              </w:rPr>
              <w:t xml:space="preserve">AMAT </w:t>
            </w:r>
            <w:r w:rsidRPr="00EA3905">
              <w:rPr>
                <w:rFonts w:ascii="Times New Roman" w:hAnsi="Times New Roman"/>
                <w:sz w:val="20"/>
              </w:rPr>
              <w:t xml:space="preserve">Outcome indicators relevant to this project are:  </w:t>
            </w:r>
          </w:p>
          <w:p w:rsidR="00AC0C90" w:rsidRPr="00EA3905" w:rsidRDefault="00AC0C90" w:rsidP="00AC0C90">
            <w:pPr>
              <w:rPr>
                <w:rFonts w:ascii="Times New Roman" w:hAnsi="Times New Roman"/>
                <w:sz w:val="20"/>
              </w:rPr>
            </w:pPr>
            <w:r w:rsidRPr="00EA3905">
              <w:rPr>
                <w:rFonts w:ascii="Times New Roman" w:hAnsi="Times New Roman"/>
                <w:sz w:val="20"/>
              </w:rPr>
              <w:t>Outcome Indicator 1.1</w:t>
            </w:r>
            <w:r>
              <w:rPr>
                <w:rFonts w:ascii="Times New Roman" w:hAnsi="Times New Roman"/>
                <w:sz w:val="20"/>
              </w:rPr>
              <w:t>.1</w:t>
            </w:r>
            <w:r w:rsidRPr="00EA3905">
              <w:rPr>
                <w:rFonts w:ascii="Times New Roman" w:hAnsi="Times New Roman"/>
                <w:sz w:val="20"/>
              </w:rPr>
              <w:t xml:space="preserve">: Adaptation actions implemented in national development frameworks; </w:t>
            </w:r>
          </w:p>
          <w:p w:rsidR="00AC0C90" w:rsidRPr="00EA3905" w:rsidRDefault="00AC0C90" w:rsidP="00AC0C90">
            <w:pPr>
              <w:rPr>
                <w:rFonts w:ascii="Times New Roman" w:hAnsi="Times New Roman"/>
                <w:sz w:val="20"/>
              </w:rPr>
            </w:pPr>
            <w:r w:rsidRPr="00EA3905">
              <w:rPr>
                <w:rFonts w:ascii="Times New Roman" w:hAnsi="Times New Roman"/>
                <w:sz w:val="20"/>
              </w:rPr>
              <w:t xml:space="preserve">Outcome Indicator 2.1.1: Relevant risk information disseminated to stakeholders; </w:t>
            </w:r>
          </w:p>
          <w:p w:rsidR="00AC0C90" w:rsidRPr="00EA3905" w:rsidRDefault="00AC0C90" w:rsidP="00AC0C90">
            <w:pPr>
              <w:rPr>
                <w:rFonts w:ascii="Times New Roman" w:hAnsi="Times New Roman"/>
                <w:sz w:val="20"/>
              </w:rPr>
            </w:pPr>
            <w:r w:rsidRPr="00EA3905">
              <w:rPr>
                <w:rFonts w:ascii="Times New Roman" w:hAnsi="Times New Roman"/>
                <w:sz w:val="20"/>
              </w:rPr>
              <w:t xml:space="preserve">Outcome Indicator 2.2.1: Number and type of targeted institutions with increased adaptive capacity to reduce risks of and response to climate variability; </w:t>
            </w:r>
          </w:p>
          <w:p w:rsidR="00AC0C90" w:rsidRPr="00EA3905" w:rsidRDefault="00AC0C90" w:rsidP="00AC0C90">
            <w:pPr>
              <w:rPr>
                <w:rFonts w:ascii="Times New Roman" w:hAnsi="Times New Roman"/>
                <w:sz w:val="20"/>
              </w:rPr>
            </w:pPr>
            <w:r w:rsidRPr="00EA3905">
              <w:rPr>
                <w:rFonts w:ascii="Times New Roman" w:hAnsi="Times New Roman"/>
                <w:sz w:val="20"/>
              </w:rPr>
              <w:t xml:space="preserve">Outcome Indicator 2.2.2: Capacity perception index; </w:t>
            </w:r>
          </w:p>
          <w:p w:rsidR="00AC0C90" w:rsidRPr="00EA3905" w:rsidRDefault="00AC0C90" w:rsidP="00AC0C90">
            <w:pPr>
              <w:rPr>
                <w:rFonts w:ascii="Times New Roman" w:hAnsi="Times New Roman"/>
                <w:sz w:val="20"/>
              </w:rPr>
            </w:pPr>
            <w:r w:rsidRPr="00EA3905">
              <w:rPr>
                <w:rFonts w:ascii="Times New Roman" w:hAnsi="Times New Roman"/>
                <w:sz w:val="20"/>
              </w:rPr>
              <w:t>These indicators in turn are reflected in the project’s results framework</w:t>
            </w:r>
            <w:r>
              <w:rPr>
                <w:rFonts w:ascii="Times New Roman" w:hAnsi="Times New Roman"/>
                <w:sz w:val="20"/>
              </w:rPr>
              <w:t xml:space="preserve"> below.</w:t>
            </w:r>
          </w:p>
        </w:tc>
      </w:tr>
    </w:tbl>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rsidR="00AC0C90" w:rsidRPr="00AC0C90" w:rsidRDefault="00AC0C90" w:rsidP="00AC0C90">
      <w:pPr>
        <w:spacing w:before="150"/>
        <w:ind w:left="119"/>
        <w:rPr>
          <w:rFonts w:ascii="Times New Roman" w:eastAsia="Times New Roman" w:hAnsi="Times New Roman" w:cs="Times New Roman"/>
          <w:sz w:val="21"/>
          <w:szCs w:val="21"/>
        </w:rPr>
      </w:pPr>
      <w:r>
        <w:rPr>
          <w:rFonts w:ascii="Times New Roman"/>
          <w:i/>
          <w:w w:val="95"/>
          <w:sz w:val="21"/>
        </w:rPr>
        <w:t>Indicative,</w:t>
      </w:r>
      <w:r>
        <w:rPr>
          <w:rFonts w:ascii="Times New Roman"/>
          <w:i/>
          <w:spacing w:val="6"/>
          <w:w w:val="95"/>
          <w:sz w:val="21"/>
        </w:rPr>
        <w:t xml:space="preserve"> </w:t>
      </w:r>
      <w:r>
        <w:rPr>
          <w:rFonts w:ascii="Times New Roman"/>
          <w:i/>
          <w:w w:val="95"/>
          <w:sz w:val="21"/>
        </w:rPr>
        <w:t>but</w:t>
      </w:r>
      <w:r>
        <w:rPr>
          <w:rFonts w:ascii="Times New Roman"/>
          <w:i/>
          <w:spacing w:val="-12"/>
          <w:w w:val="95"/>
          <w:sz w:val="21"/>
        </w:rPr>
        <w:t xml:space="preserve"> </w:t>
      </w:r>
      <w:r>
        <w:rPr>
          <w:rFonts w:ascii="Times New Roman"/>
          <w:i/>
          <w:w w:val="95"/>
          <w:sz w:val="21"/>
        </w:rPr>
        <w:t>not</w:t>
      </w:r>
      <w:r>
        <w:rPr>
          <w:rFonts w:ascii="Times New Roman"/>
          <w:i/>
          <w:spacing w:val="-4"/>
          <w:w w:val="95"/>
          <w:sz w:val="21"/>
        </w:rPr>
        <w:t xml:space="preserve"> </w:t>
      </w:r>
      <w:r>
        <w:rPr>
          <w:rFonts w:ascii="Times New Roman"/>
          <w:i/>
          <w:w w:val="95"/>
          <w:sz w:val="21"/>
        </w:rPr>
        <w:t>exhaustive:</w:t>
      </w:r>
    </w:p>
    <w:p w:rsidR="00AC0C90" w:rsidRPr="00AC0C90" w:rsidRDefault="00AC0C90" w:rsidP="00B505B8">
      <w:pPr>
        <w:widowControl w:val="0"/>
        <w:numPr>
          <w:ilvl w:val="0"/>
          <w:numId w:val="43"/>
        </w:numPr>
        <w:tabs>
          <w:tab w:val="left" w:pos="840"/>
        </w:tabs>
        <w:spacing w:after="0" w:line="360" w:lineRule="auto"/>
        <w:ind w:hanging="354"/>
        <w:rPr>
          <w:rFonts w:ascii="Arial" w:eastAsia="Arial" w:hAnsi="Arial" w:cs="Arial"/>
          <w:sz w:val="17"/>
          <w:szCs w:val="17"/>
        </w:rPr>
      </w:pPr>
      <w:r>
        <w:rPr>
          <w:rFonts w:ascii="Arial"/>
          <w:sz w:val="17"/>
        </w:rPr>
        <w:t>PRODOC;</w:t>
      </w:r>
    </w:p>
    <w:p w:rsidR="00AC0C90" w:rsidRPr="00AC0C90" w:rsidRDefault="00AC0C90" w:rsidP="00B505B8">
      <w:pPr>
        <w:widowControl w:val="0"/>
        <w:numPr>
          <w:ilvl w:val="0"/>
          <w:numId w:val="43"/>
        </w:numPr>
        <w:tabs>
          <w:tab w:val="left" w:pos="828"/>
        </w:tabs>
        <w:spacing w:after="0" w:line="360" w:lineRule="auto"/>
        <w:ind w:right="610"/>
        <w:rPr>
          <w:rFonts w:ascii="Arial" w:eastAsia="Arial" w:hAnsi="Arial" w:cs="Arial"/>
          <w:sz w:val="17"/>
          <w:szCs w:val="17"/>
        </w:rPr>
      </w:pPr>
      <w:r>
        <w:rPr>
          <w:rFonts w:ascii="Arial"/>
          <w:w w:val="105"/>
          <w:sz w:val="17"/>
        </w:rPr>
        <w:t>Technical</w:t>
      </w:r>
      <w:r>
        <w:rPr>
          <w:rFonts w:ascii="Arial"/>
          <w:spacing w:val="17"/>
          <w:w w:val="105"/>
          <w:sz w:val="17"/>
        </w:rPr>
        <w:t xml:space="preserve"> </w:t>
      </w:r>
      <w:r>
        <w:rPr>
          <w:rFonts w:ascii="Arial"/>
          <w:w w:val="105"/>
          <w:sz w:val="17"/>
        </w:rPr>
        <w:t>documents:</w:t>
      </w:r>
      <w:r>
        <w:rPr>
          <w:rFonts w:ascii="Arial"/>
          <w:spacing w:val="15"/>
          <w:w w:val="105"/>
          <w:sz w:val="17"/>
        </w:rPr>
        <w:t xml:space="preserve"> </w:t>
      </w:r>
      <w:r>
        <w:rPr>
          <w:rFonts w:ascii="Arial"/>
          <w:w w:val="105"/>
          <w:sz w:val="17"/>
        </w:rPr>
        <w:t>Terms</w:t>
      </w:r>
      <w:r>
        <w:rPr>
          <w:rFonts w:ascii="Arial"/>
          <w:spacing w:val="15"/>
          <w:w w:val="105"/>
          <w:sz w:val="17"/>
        </w:rPr>
        <w:t xml:space="preserve"> </w:t>
      </w:r>
      <w:r>
        <w:rPr>
          <w:rFonts w:ascii="Arial"/>
          <w:w w:val="105"/>
          <w:sz w:val="17"/>
        </w:rPr>
        <w:t>of</w:t>
      </w:r>
      <w:r>
        <w:rPr>
          <w:rFonts w:ascii="Arial"/>
          <w:spacing w:val="8"/>
          <w:w w:val="105"/>
          <w:sz w:val="17"/>
        </w:rPr>
        <w:t xml:space="preserve"> </w:t>
      </w:r>
      <w:r>
        <w:rPr>
          <w:rFonts w:ascii="Arial"/>
          <w:w w:val="105"/>
          <w:sz w:val="17"/>
        </w:rPr>
        <w:t>Reference;</w:t>
      </w:r>
      <w:r>
        <w:rPr>
          <w:rFonts w:ascii="Arial"/>
          <w:spacing w:val="12"/>
          <w:w w:val="105"/>
          <w:sz w:val="17"/>
        </w:rPr>
        <w:t xml:space="preserve"> </w:t>
      </w:r>
      <w:r>
        <w:rPr>
          <w:rFonts w:ascii="Arial"/>
          <w:w w:val="105"/>
          <w:sz w:val="17"/>
        </w:rPr>
        <w:t>consultancies</w:t>
      </w:r>
      <w:r>
        <w:rPr>
          <w:rFonts w:ascii="Arial"/>
          <w:spacing w:val="24"/>
          <w:w w:val="105"/>
          <w:sz w:val="17"/>
        </w:rPr>
        <w:t xml:space="preserve"> </w:t>
      </w:r>
      <w:r>
        <w:rPr>
          <w:rFonts w:ascii="Arial"/>
          <w:w w:val="105"/>
          <w:sz w:val="17"/>
        </w:rPr>
        <w:t>report,</w:t>
      </w:r>
      <w:r>
        <w:rPr>
          <w:rFonts w:ascii="Arial"/>
          <w:spacing w:val="9"/>
          <w:w w:val="105"/>
          <w:sz w:val="17"/>
        </w:rPr>
        <w:t xml:space="preserve"> </w:t>
      </w:r>
      <w:r>
        <w:rPr>
          <w:rFonts w:ascii="Arial"/>
          <w:w w:val="105"/>
          <w:sz w:val="17"/>
        </w:rPr>
        <w:t>Management</w:t>
      </w:r>
      <w:r>
        <w:rPr>
          <w:rFonts w:ascii="Arial"/>
          <w:spacing w:val="19"/>
          <w:w w:val="105"/>
          <w:sz w:val="17"/>
        </w:rPr>
        <w:t xml:space="preserve"> </w:t>
      </w:r>
      <w:r>
        <w:rPr>
          <w:rFonts w:ascii="Arial"/>
          <w:w w:val="105"/>
          <w:sz w:val="17"/>
        </w:rPr>
        <w:t>plans;</w:t>
      </w:r>
      <w:r>
        <w:rPr>
          <w:rFonts w:ascii="Arial"/>
          <w:spacing w:val="1"/>
          <w:w w:val="105"/>
          <w:sz w:val="17"/>
        </w:rPr>
        <w:t xml:space="preserve"> </w:t>
      </w:r>
      <w:r>
        <w:rPr>
          <w:rFonts w:ascii="Arial"/>
          <w:w w:val="105"/>
          <w:sz w:val="17"/>
        </w:rPr>
        <w:t>proposals;</w:t>
      </w:r>
      <w:r>
        <w:rPr>
          <w:rFonts w:ascii="Arial"/>
          <w:spacing w:val="7"/>
          <w:w w:val="105"/>
          <w:sz w:val="17"/>
        </w:rPr>
        <w:t xml:space="preserve"> </w:t>
      </w:r>
      <w:r>
        <w:rPr>
          <w:rFonts w:ascii="Arial"/>
          <w:w w:val="105"/>
          <w:sz w:val="17"/>
        </w:rPr>
        <w:t>staff</w:t>
      </w:r>
      <w:r>
        <w:rPr>
          <w:rFonts w:ascii="Arial"/>
          <w:w w:val="109"/>
          <w:sz w:val="17"/>
        </w:rPr>
        <w:t xml:space="preserve"> </w:t>
      </w:r>
      <w:r>
        <w:rPr>
          <w:rFonts w:ascii="Arial"/>
          <w:w w:val="105"/>
          <w:sz w:val="17"/>
        </w:rPr>
        <w:t>review</w:t>
      </w:r>
      <w:r>
        <w:rPr>
          <w:rFonts w:ascii="Arial"/>
          <w:spacing w:val="11"/>
          <w:w w:val="105"/>
          <w:sz w:val="17"/>
        </w:rPr>
        <w:t xml:space="preserve"> </w:t>
      </w:r>
      <w:r>
        <w:rPr>
          <w:rFonts w:ascii="Arial"/>
          <w:w w:val="105"/>
          <w:sz w:val="17"/>
        </w:rPr>
        <w:t>&amp;</w:t>
      </w:r>
      <w:r>
        <w:rPr>
          <w:rFonts w:ascii="Arial"/>
          <w:spacing w:val="10"/>
          <w:w w:val="105"/>
          <w:sz w:val="17"/>
        </w:rPr>
        <w:t xml:space="preserve"> </w:t>
      </w:r>
      <w:r>
        <w:rPr>
          <w:rFonts w:ascii="Arial"/>
          <w:w w:val="105"/>
          <w:sz w:val="17"/>
        </w:rPr>
        <w:t>comments</w:t>
      </w:r>
      <w:r>
        <w:rPr>
          <w:rFonts w:ascii="Arial"/>
          <w:spacing w:val="13"/>
          <w:w w:val="105"/>
          <w:sz w:val="17"/>
        </w:rPr>
        <w:t xml:space="preserve"> </w:t>
      </w:r>
      <w:r>
        <w:rPr>
          <w:rFonts w:ascii="Arial"/>
          <w:w w:val="105"/>
          <w:sz w:val="17"/>
        </w:rPr>
        <w:t>on</w:t>
      </w:r>
      <w:r>
        <w:rPr>
          <w:rFonts w:ascii="Arial"/>
          <w:spacing w:val="12"/>
          <w:w w:val="105"/>
          <w:sz w:val="17"/>
        </w:rPr>
        <w:t xml:space="preserve"> </w:t>
      </w:r>
      <w:r>
        <w:rPr>
          <w:rFonts w:ascii="Arial"/>
          <w:w w:val="105"/>
          <w:sz w:val="17"/>
        </w:rPr>
        <w:t>consultancies</w:t>
      </w:r>
      <w:r>
        <w:rPr>
          <w:rFonts w:ascii="Arial"/>
          <w:spacing w:val="25"/>
          <w:w w:val="105"/>
          <w:sz w:val="17"/>
        </w:rPr>
        <w:t xml:space="preserve"> </w:t>
      </w:r>
      <w:r>
        <w:rPr>
          <w:rFonts w:ascii="Arial"/>
          <w:w w:val="105"/>
          <w:sz w:val="17"/>
        </w:rPr>
        <w:t>deliverables</w:t>
      </w:r>
    </w:p>
    <w:p w:rsidR="00AC0C90" w:rsidRPr="00AC0C90" w:rsidRDefault="00AC0C90" w:rsidP="00B505B8">
      <w:pPr>
        <w:widowControl w:val="0"/>
        <w:numPr>
          <w:ilvl w:val="0"/>
          <w:numId w:val="43"/>
        </w:numPr>
        <w:tabs>
          <w:tab w:val="left" w:pos="822"/>
        </w:tabs>
        <w:spacing w:before="105" w:after="0" w:line="360" w:lineRule="auto"/>
        <w:ind w:left="821" w:hanging="354"/>
        <w:rPr>
          <w:rFonts w:ascii="Arial" w:eastAsia="Arial" w:hAnsi="Arial" w:cs="Arial"/>
          <w:sz w:val="17"/>
          <w:szCs w:val="17"/>
        </w:rPr>
      </w:pPr>
      <w:r>
        <w:rPr>
          <w:rFonts w:ascii="Arial"/>
          <w:w w:val="105"/>
          <w:sz w:val="17"/>
        </w:rPr>
        <w:t>Annual</w:t>
      </w:r>
      <w:r>
        <w:rPr>
          <w:rFonts w:ascii="Arial"/>
          <w:spacing w:val="6"/>
          <w:w w:val="105"/>
          <w:sz w:val="17"/>
        </w:rPr>
        <w:t xml:space="preserve"> </w:t>
      </w:r>
      <w:r>
        <w:rPr>
          <w:rFonts w:ascii="Arial"/>
          <w:w w:val="105"/>
          <w:sz w:val="17"/>
        </w:rPr>
        <w:t>and</w:t>
      </w:r>
      <w:r>
        <w:rPr>
          <w:rFonts w:ascii="Arial"/>
          <w:spacing w:val="4"/>
          <w:w w:val="105"/>
          <w:sz w:val="17"/>
        </w:rPr>
        <w:t xml:space="preserve"> </w:t>
      </w:r>
      <w:r>
        <w:rPr>
          <w:rFonts w:ascii="Arial"/>
          <w:w w:val="105"/>
          <w:sz w:val="17"/>
        </w:rPr>
        <w:t>Quarter</w:t>
      </w:r>
      <w:r>
        <w:rPr>
          <w:rFonts w:ascii="Arial"/>
          <w:spacing w:val="6"/>
          <w:w w:val="105"/>
          <w:sz w:val="17"/>
        </w:rPr>
        <w:t xml:space="preserve"> </w:t>
      </w:r>
      <w:r>
        <w:rPr>
          <w:rFonts w:ascii="Arial"/>
          <w:w w:val="105"/>
          <w:sz w:val="17"/>
        </w:rPr>
        <w:t>Work</w:t>
      </w:r>
      <w:r>
        <w:rPr>
          <w:rFonts w:ascii="Arial"/>
          <w:spacing w:val="13"/>
          <w:w w:val="105"/>
          <w:sz w:val="17"/>
        </w:rPr>
        <w:t xml:space="preserve"> </w:t>
      </w:r>
      <w:r>
        <w:rPr>
          <w:rFonts w:ascii="Arial"/>
          <w:w w:val="105"/>
          <w:sz w:val="17"/>
        </w:rPr>
        <w:t>Plans</w:t>
      </w:r>
      <w:r>
        <w:rPr>
          <w:rFonts w:ascii="Arial"/>
          <w:spacing w:val="-1"/>
          <w:w w:val="105"/>
          <w:sz w:val="17"/>
        </w:rPr>
        <w:t xml:space="preserve"> </w:t>
      </w:r>
      <w:r>
        <w:rPr>
          <w:rFonts w:ascii="Arial"/>
          <w:w w:val="105"/>
          <w:sz w:val="17"/>
        </w:rPr>
        <w:t>&amp;</w:t>
      </w:r>
      <w:r>
        <w:rPr>
          <w:rFonts w:ascii="Arial"/>
          <w:spacing w:val="6"/>
          <w:w w:val="105"/>
          <w:sz w:val="17"/>
        </w:rPr>
        <w:t xml:space="preserve"> </w:t>
      </w:r>
      <w:r>
        <w:rPr>
          <w:rFonts w:ascii="Arial"/>
          <w:w w:val="105"/>
          <w:sz w:val="17"/>
        </w:rPr>
        <w:t>Reports</w:t>
      </w:r>
    </w:p>
    <w:p w:rsidR="00AC0C90" w:rsidRPr="00AC0C90" w:rsidRDefault="00AC0C90" w:rsidP="00B505B8">
      <w:pPr>
        <w:widowControl w:val="0"/>
        <w:numPr>
          <w:ilvl w:val="0"/>
          <w:numId w:val="43"/>
        </w:numPr>
        <w:tabs>
          <w:tab w:val="left" w:pos="834"/>
        </w:tabs>
        <w:spacing w:before="118" w:after="0" w:line="360" w:lineRule="auto"/>
        <w:ind w:hanging="366"/>
        <w:rPr>
          <w:rFonts w:ascii="Arial" w:eastAsia="Arial" w:hAnsi="Arial" w:cs="Arial"/>
          <w:sz w:val="17"/>
          <w:szCs w:val="17"/>
        </w:rPr>
      </w:pPr>
      <w:r>
        <w:rPr>
          <w:rFonts w:ascii="Arial"/>
          <w:w w:val="105"/>
          <w:sz w:val="17"/>
        </w:rPr>
        <w:t>Financial</w:t>
      </w:r>
      <w:r>
        <w:rPr>
          <w:rFonts w:ascii="Arial"/>
          <w:spacing w:val="-22"/>
          <w:w w:val="105"/>
          <w:sz w:val="17"/>
        </w:rPr>
        <w:t xml:space="preserve"> </w:t>
      </w:r>
      <w:r>
        <w:rPr>
          <w:rFonts w:ascii="Arial"/>
          <w:w w:val="105"/>
          <w:sz w:val="17"/>
        </w:rPr>
        <w:t>Reports</w:t>
      </w:r>
    </w:p>
    <w:p w:rsidR="00AC0C90" w:rsidRPr="00AC0C90" w:rsidRDefault="00AC0C90" w:rsidP="00B505B8">
      <w:pPr>
        <w:widowControl w:val="0"/>
        <w:numPr>
          <w:ilvl w:val="0"/>
          <w:numId w:val="43"/>
        </w:numPr>
        <w:tabs>
          <w:tab w:val="left" w:pos="828"/>
        </w:tabs>
        <w:spacing w:after="0" w:line="360" w:lineRule="auto"/>
        <w:ind w:left="827"/>
        <w:rPr>
          <w:rFonts w:ascii="Arial" w:eastAsia="Arial" w:hAnsi="Arial" w:cs="Arial"/>
          <w:sz w:val="17"/>
          <w:szCs w:val="17"/>
        </w:rPr>
      </w:pPr>
      <w:r>
        <w:rPr>
          <w:rFonts w:ascii="Arial"/>
          <w:w w:val="105"/>
          <w:sz w:val="17"/>
        </w:rPr>
        <w:t>Communication</w:t>
      </w:r>
      <w:r>
        <w:rPr>
          <w:rFonts w:ascii="Arial"/>
          <w:spacing w:val="48"/>
          <w:w w:val="105"/>
          <w:sz w:val="17"/>
        </w:rPr>
        <w:t xml:space="preserve"> </w:t>
      </w:r>
      <w:r>
        <w:rPr>
          <w:rFonts w:ascii="Arial"/>
          <w:w w:val="105"/>
          <w:sz w:val="17"/>
        </w:rPr>
        <w:t>materials</w:t>
      </w:r>
    </w:p>
    <w:p w:rsidR="00AC0C90" w:rsidRPr="00AC0C90" w:rsidRDefault="00AC0C90" w:rsidP="00B505B8">
      <w:pPr>
        <w:widowControl w:val="0"/>
        <w:numPr>
          <w:ilvl w:val="0"/>
          <w:numId w:val="43"/>
        </w:numPr>
        <w:tabs>
          <w:tab w:val="left" w:pos="816"/>
        </w:tabs>
        <w:spacing w:before="136" w:after="0" w:line="360" w:lineRule="auto"/>
        <w:ind w:left="815" w:hanging="354"/>
        <w:rPr>
          <w:rFonts w:ascii="Arial" w:eastAsia="Arial" w:hAnsi="Arial" w:cs="Arial"/>
          <w:sz w:val="17"/>
          <w:szCs w:val="17"/>
        </w:rPr>
      </w:pPr>
      <w:r>
        <w:rPr>
          <w:rFonts w:ascii="Arial"/>
          <w:w w:val="105"/>
          <w:sz w:val="17"/>
        </w:rPr>
        <w:t>Training</w:t>
      </w:r>
      <w:r>
        <w:rPr>
          <w:rFonts w:ascii="Arial"/>
          <w:spacing w:val="40"/>
          <w:w w:val="105"/>
          <w:sz w:val="17"/>
        </w:rPr>
        <w:t xml:space="preserve"> </w:t>
      </w:r>
      <w:r>
        <w:rPr>
          <w:rFonts w:ascii="Arial"/>
          <w:w w:val="105"/>
          <w:sz w:val="17"/>
        </w:rPr>
        <w:t>Materials</w:t>
      </w:r>
    </w:p>
    <w:p w:rsidR="00AC0C90" w:rsidRPr="00AC0C90" w:rsidRDefault="00AC0C90" w:rsidP="00B505B8">
      <w:pPr>
        <w:widowControl w:val="0"/>
        <w:numPr>
          <w:ilvl w:val="0"/>
          <w:numId w:val="43"/>
        </w:numPr>
        <w:tabs>
          <w:tab w:val="left" w:pos="810"/>
        </w:tabs>
        <w:spacing w:before="142" w:after="0" w:line="360" w:lineRule="auto"/>
        <w:ind w:left="809" w:hanging="348"/>
        <w:rPr>
          <w:rFonts w:ascii="Arial" w:eastAsia="Arial" w:hAnsi="Arial" w:cs="Arial"/>
          <w:sz w:val="17"/>
          <w:szCs w:val="17"/>
        </w:rPr>
      </w:pPr>
      <w:r>
        <w:rPr>
          <w:rFonts w:ascii="Arial"/>
          <w:w w:val="105"/>
          <w:sz w:val="17"/>
        </w:rPr>
        <w:t>Training</w:t>
      </w:r>
      <w:r>
        <w:rPr>
          <w:rFonts w:ascii="Arial"/>
          <w:spacing w:val="10"/>
          <w:w w:val="105"/>
          <w:sz w:val="17"/>
        </w:rPr>
        <w:t xml:space="preserve"> </w:t>
      </w:r>
      <w:r>
        <w:rPr>
          <w:rFonts w:ascii="Arial"/>
          <w:w w:val="105"/>
          <w:sz w:val="17"/>
        </w:rPr>
        <w:t>and</w:t>
      </w:r>
      <w:r>
        <w:rPr>
          <w:rFonts w:ascii="Arial"/>
          <w:spacing w:val="10"/>
          <w:w w:val="105"/>
          <w:sz w:val="17"/>
        </w:rPr>
        <w:t xml:space="preserve"> </w:t>
      </w:r>
      <w:r>
        <w:rPr>
          <w:rFonts w:ascii="Arial"/>
          <w:w w:val="105"/>
          <w:sz w:val="17"/>
        </w:rPr>
        <w:t>events</w:t>
      </w:r>
      <w:r>
        <w:rPr>
          <w:rFonts w:ascii="Arial"/>
          <w:spacing w:val="22"/>
          <w:w w:val="105"/>
          <w:sz w:val="17"/>
        </w:rPr>
        <w:t xml:space="preserve"> </w:t>
      </w:r>
      <w:r>
        <w:rPr>
          <w:rFonts w:ascii="Arial"/>
          <w:w w:val="105"/>
          <w:sz w:val="17"/>
        </w:rPr>
        <w:t>reports</w:t>
      </w:r>
    </w:p>
    <w:p w:rsidR="00AC0C90" w:rsidRPr="00B505B8" w:rsidRDefault="00AC0C90" w:rsidP="00B505B8">
      <w:pPr>
        <w:widowControl w:val="0"/>
        <w:numPr>
          <w:ilvl w:val="0"/>
          <w:numId w:val="43"/>
        </w:numPr>
        <w:tabs>
          <w:tab w:val="left" w:pos="822"/>
        </w:tabs>
        <w:spacing w:after="0" w:line="360" w:lineRule="auto"/>
        <w:ind w:left="821"/>
        <w:rPr>
          <w:rFonts w:ascii="Arial" w:eastAsia="Arial" w:hAnsi="Arial" w:cs="Arial"/>
          <w:sz w:val="17"/>
          <w:szCs w:val="17"/>
        </w:rPr>
      </w:pPr>
      <w:r>
        <w:rPr>
          <w:rFonts w:ascii="Arial"/>
          <w:w w:val="110"/>
          <w:sz w:val="17"/>
        </w:rPr>
        <w:t>Memorandum</w:t>
      </w:r>
      <w:r>
        <w:rPr>
          <w:rFonts w:ascii="Arial"/>
          <w:spacing w:val="-6"/>
          <w:w w:val="110"/>
          <w:sz w:val="17"/>
        </w:rPr>
        <w:t xml:space="preserve"> </w:t>
      </w:r>
      <w:r>
        <w:rPr>
          <w:rFonts w:ascii="Arial"/>
          <w:w w:val="110"/>
          <w:sz w:val="17"/>
        </w:rPr>
        <w:t>of</w:t>
      </w:r>
      <w:r>
        <w:rPr>
          <w:rFonts w:ascii="Arial"/>
          <w:spacing w:val="-9"/>
          <w:w w:val="110"/>
          <w:sz w:val="17"/>
        </w:rPr>
        <w:t xml:space="preserve"> </w:t>
      </w:r>
      <w:r>
        <w:rPr>
          <w:rFonts w:ascii="Arial"/>
          <w:w w:val="110"/>
          <w:sz w:val="17"/>
        </w:rPr>
        <w:t>understanding</w:t>
      </w:r>
      <w:r>
        <w:rPr>
          <w:rFonts w:ascii="Arial"/>
          <w:spacing w:val="-12"/>
          <w:w w:val="110"/>
          <w:sz w:val="17"/>
        </w:rPr>
        <w:t xml:space="preserve"> </w:t>
      </w:r>
      <w:r>
        <w:rPr>
          <w:rFonts w:ascii="Arial"/>
          <w:w w:val="110"/>
          <w:sz w:val="17"/>
        </w:rPr>
        <w:t>for</w:t>
      </w:r>
      <w:r>
        <w:rPr>
          <w:rFonts w:ascii="Arial"/>
          <w:spacing w:val="1"/>
          <w:w w:val="110"/>
          <w:sz w:val="17"/>
        </w:rPr>
        <w:t xml:space="preserve"> </w:t>
      </w:r>
      <w:r>
        <w:rPr>
          <w:rFonts w:ascii="Arial"/>
          <w:w w:val="110"/>
          <w:sz w:val="17"/>
        </w:rPr>
        <w:t>activity</w:t>
      </w:r>
      <w:r>
        <w:rPr>
          <w:rFonts w:ascii="Arial"/>
          <w:spacing w:val="-5"/>
          <w:w w:val="110"/>
          <w:sz w:val="17"/>
        </w:rPr>
        <w:t xml:space="preserve"> </w:t>
      </w:r>
      <w:r>
        <w:rPr>
          <w:rFonts w:ascii="Arial"/>
          <w:w w:val="110"/>
          <w:sz w:val="17"/>
        </w:rPr>
        <w:t>execution</w:t>
      </w:r>
    </w:p>
    <w:p w:rsidR="00AC0C90" w:rsidRDefault="00AC0C90" w:rsidP="00B505B8">
      <w:pPr>
        <w:widowControl w:val="0"/>
        <w:numPr>
          <w:ilvl w:val="0"/>
          <w:numId w:val="43"/>
        </w:numPr>
        <w:tabs>
          <w:tab w:val="left" w:pos="822"/>
        </w:tabs>
        <w:spacing w:before="118" w:after="0" w:line="360" w:lineRule="auto"/>
        <w:ind w:left="821" w:hanging="366"/>
        <w:rPr>
          <w:rFonts w:ascii="Arial" w:eastAsia="Arial" w:hAnsi="Arial" w:cs="Arial"/>
          <w:sz w:val="17"/>
          <w:szCs w:val="17"/>
        </w:rPr>
      </w:pPr>
      <w:r>
        <w:rPr>
          <w:rFonts w:ascii="Arial"/>
          <w:w w:val="105"/>
          <w:sz w:val="17"/>
        </w:rPr>
        <w:t>Relevant</w:t>
      </w:r>
      <w:r>
        <w:rPr>
          <w:rFonts w:ascii="Arial"/>
          <w:spacing w:val="14"/>
          <w:w w:val="105"/>
          <w:sz w:val="17"/>
        </w:rPr>
        <w:t xml:space="preserve"> </w:t>
      </w:r>
      <w:r>
        <w:rPr>
          <w:rFonts w:ascii="Arial"/>
          <w:w w:val="105"/>
          <w:sz w:val="17"/>
        </w:rPr>
        <w:t>legislation</w:t>
      </w:r>
      <w:r>
        <w:rPr>
          <w:rFonts w:ascii="Arial"/>
          <w:spacing w:val="3"/>
          <w:w w:val="105"/>
          <w:sz w:val="17"/>
        </w:rPr>
        <w:t xml:space="preserve"> </w:t>
      </w:r>
      <w:r>
        <w:rPr>
          <w:rFonts w:ascii="Arial"/>
          <w:w w:val="105"/>
          <w:sz w:val="17"/>
        </w:rPr>
        <w:t>and</w:t>
      </w:r>
      <w:r>
        <w:rPr>
          <w:rFonts w:ascii="Arial"/>
          <w:spacing w:val="7"/>
          <w:w w:val="105"/>
          <w:sz w:val="17"/>
        </w:rPr>
        <w:t xml:space="preserve"> </w:t>
      </w:r>
      <w:r>
        <w:rPr>
          <w:rFonts w:ascii="Arial"/>
          <w:w w:val="105"/>
          <w:sz w:val="17"/>
        </w:rPr>
        <w:t>regulations</w:t>
      </w:r>
    </w:p>
    <w:p w:rsidR="00D6638C" w:rsidRPr="00D6638C" w:rsidRDefault="00D6638C" w:rsidP="00D6638C">
      <w:pPr>
        <w:spacing w:before="200"/>
        <w:rPr>
          <w:rFonts w:ascii="Calibri" w:eastAsia="Times New Roman" w:hAnsi="Calibri" w:cs="Times New Roman"/>
          <w:i/>
          <w:sz w:val="20"/>
          <w:szCs w:val="20"/>
          <w:highlight w:val="lightGray"/>
          <w:lang w:val="en-GB"/>
        </w:rPr>
        <w:sectPr w:rsidR="00D6638C" w:rsidRPr="00D6638C" w:rsidSect="00AC0C90">
          <w:footerReference w:type="default" r:id="rId11"/>
          <w:pgSz w:w="15840" w:h="12240" w:orient="landscape"/>
          <w:pgMar w:top="1325" w:right="1440" w:bottom="1440" w:left="1440" w:header="708" w:footer="708" w:gutter="0"/>
          <w:cols w:space="708"/>
          <w:docGrid w:linePitch="360"/>
        </w:sectPr>
      </w:pP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6C59A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0D9DCF2A" wp14:editId="7A2132A1">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E171B1" w:rsidRPr="0084083F" w:rsidRDefault="00E171B1" w:rsidP="00D6638C">
                            <w:pPr>
                              <w:rPr>
                                <w:rFonts w:eastAsia="Batang"/>
                              </w:rPr>
                            </w:pPr>
                            <w:r w:rsidRPr="0084083F">
                              <w:rPr>
                                <w:rFonts w:eastAsia="Batang"/>
                              </w:rPr>
                              <w:t>Evaluation Report Reviewed and Cleared by</w:t>
                            </w:r>
                          </w:p>
                          <w:p w:rsidR="00E171B1" w:rsidRPr="0084083F" w:rsidRDefault="00E171B1" w:rsidP="00D6638C">
                            <w:r w:rsidRPr="0084083F">
                              <w:t>UNDP Country Office</w:t>
                            </w:r>
                          </w:p>
                          <w:p w:rsidR="00E171B1" w:rsidRPr="0084083F" w:rsidRDefault="00E171B1" w:rsidP="00D6638C">
                            <w:r w:rsidRPr="0084083F">
                              <w:t>Name:  ___________________________________________________</w:t>
                            </w:r>
                          </w:p>
                          <w:p w:rsidR="00E171B1" w:rsidRPr="0084083F" w:rsidRDefault="00E171B1" w:rsidP="00D6638C">
                            <w:r w:rsidRPr="0084083F">
                              <w:t>Signature: ______________________________       Date: _________________________________</w:t>
                            </w:r>
                          </w:p>
                          <w:p w:rsidR="00E171B1" w:rsidRPr="0084083F" w:rsidRDefault="00E171B1" w:rsidP="00D6638C">
                            <w:r w:rsidRPr="0084083F">
                              <w:t>UNDP GEF R</w:t>
                            </w:r>
                            <w:r>
                              <w:t>TA</w:t>
                            </w:r>
                          </w:p>
                          <w:p w:rsidR="00E171B1" w:rsidRPr="0084083F" w:rsidRDefault="00E171B1" w:rsidP="00D6638C">
                            <w:r w:rsidRPr="0084083F">
                              <w:t>Name:  ___________________________________________________</w:t>
                            </w:r>
                          </w:p>
                          <w:p w:rsidR="00E171B1" w:rsidRPr="0084083F" w:rsidRDefault="00E171B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E171B1" w:rsidRPr="0084083F" w:rsidRDefault="00E171B1" w:rsidP="00D6638C">
                      <w:pPr>
                        <w:rPr>
                          <w:rFonts w:eastAsia="Batang"/>
                        </w:rPr>
                      </w:pPr>
                      <w:r w:rsidRPr="0084083F">
                        <w:rPr>
                          <w:rFonts w:eastAsia="Batang"/>
                        </w:rPr>
                        <w:t>Evaluation Report Reviewed and Cleared by</w:t>
                      </w:r>
                    </w:p>
                    <w:p w:rsidR="00E171B1" w:rsidRPr="0084083F" w:rsidRDefault="00E171B1" w:rsidP="00D6638C">
                      <w:r w:rsidRPr="0084083F">
                        <w:t>UNDP Country Office</w:t>
                      </w:r>
                    </w:p>
                    <w:p w:rsidR="00E171B1" w:rsidRPr="0084083F" w:rsidRDefault="00E171B1" w:rsidP="00D6638C">
                      <w:r w:rsidRPr="0084083F">
                        <w:t>Name:  ___________________________________________________</w:t>
                      </w:r>
                    </w:p>
                    <w:p w:rsidR="00E171B1" w:rsidRPr="0084083F" w:rsidRDefault="00E171B1" w:rsidP="00D6638C">
                      <w:r w:rsidRPr="0084083F">
                        <w:t>Signature: ______________________________       Date: _________________________________</w:t>
                      </w:r>
                    </w:p>
                    <w:p w:rsidR="00E171B1" w:rsidRPr="0084083F" w:rsidRDefault="00E171B1" w:rsidP="00D6638C">
                      <w:r w:rsidRPr="0084083F">
                        <w:t>UNDP GEF R</w:t>
                      </w:r>
                      <w:r>
                        <w:t>TA</w:t>
                      </w:r>
                    </w:p>
                    <w:p w:rsidR="00E171B1" w:rsidRPr="0084083F" w:rsidRDefault="00E171B1" w:rsidP="00D6638C">
                      <w:r w:rsidRPr="0084083F">
                        <w:t>Name:  ___________________________________________________</w:t>
                      </w:r>
                    </w:p>
                    <w:p w:rsidR="00E171B1" w:rsidRPr="0084083F" w:rsidRDefault="00E171B1"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w:t>
      </w:r>
      <w:proofErr w:type="gramStart"/>
      <w:r w:rsidRPr="00D6638C">
        <w:rPr>
          <w:rFonts w:ascii="Calibri" w:eastAsia="Times New Roman" w:hAnsi="Calibri" w:cs="Times New Roman"/>
          <w:i/>
          <w:sz w:val="20"/>
          <w:szCs w:val="20"/>
          <w:highlight w:val="lightGray"/>
        </w:rPr>
        <w:t>to</w:t>
      </w:r>
      <w:proofErr w:type="gramEnd"/>
      <w:r w:rsidRPr="00D6638C">
        <w:rPr>
          <w:rFonts w:ascii="Calibri" w:eastAsia="Times New Roman" w:hAnsi="Calibri" w:cs="Times New Roman"/>
          <w:i/>
          <w:sz w:val="20"/>
          <w:szCs w:val="20"/>
          <w:highlight w:val="lightGray"/>
        </w:rPr>
        <w:t xml:space="preserve">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35" w:rsidRDefault="000D1735" w:rsidP="00D6638C">
      <w:pPr>
        <w:spacing w:after="0" w:line="240" w:lineRule="auto"/>
      </w:pPr>
      <w:r>
        <w:separator/>
      </w:r>
    </w:p>
  </w:endnote>
  <w:endnote w:type="continuationSeparator" w:id="0">
    <w:p w:rsidR="000D1735" w:rsidRDefault="000D173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E171B1" w:rsidRDefault="00E171B1">
        <w:pPr>
          <w:pStyle w:val="Footer"/>
          <w:jc w:val="right"/>
        </w:pPr>
        <w:r>
          <w:fldChar w:fldCharType="begin"/>
        </w:r>
        <w:r>
          <w:instrText xml:space="preserve"> PAGE   \* MERGEFORMAT </w:instrText>
        </w:r>
        <w:r>
          <w:fldChar w:fldCharType="separate"/>
        </w:r>
        <w:r w:rsidR="00AE57A1">
          <w:rPr>
            <w:noProof/>
          </w:rPr>
          <w:t>8</w:t>
        </w:r>
        <w:r>
          <w:rPr>
            <w:noProof/>
          </w:rPr>
          <w:fldChar w:fldCharType="end"/>
        </w:r>
      </w:p>
    </w:sdtContent>
  </w:sdt>
  <w:p w:rsidR="00E171B1" w:rsidRDefault="00E171B1">
    <w:pPr>
      <w:pStyle w:val="Footer"/>
    </w:pPr>
  </w:p>
  <w:p w:rsidR="00E171B1" w:rsidRDefault="00E171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35" w:rsidRDefault="000D1735" w:rsidP="00D6638C">
      <w:pPr>
        <w:spacing w:after="0" w:line="240" w:lineRule="auto"/>
      </w:pPr>
      <w:r>
        <w:separator/>
      </w:r>
    </w:p>
  </w:footnote>
  <w:footnote w:type="continuationSeparator" w:id="0">
    <w:p w:rsidR="000D1735" w:rsidRDefault="000D1735" w:rsidP="00D6638C">
      <w:pPr>
        <w:spacing w:after="0" w:line="240" w:lineRule="auto"/>
      </w:pPr>
      <w:r>
        <w:continuationSeparator/>
      </w:r>
    </w:p>
  </w:footnote>
  <w:footnote w:id="1">
    <w:p w:rsidR="00E171B1" w:rsidRDefault="00E171B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E171B1" w:rsidRPr="00022F8E" w:rsidRDefault="00E171B1">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rsidR="00E171B1" w:rsidRDefault="00E171B1" w:rsidP="00D6638C">
      <w:pPr>
        <w:pStyle w:val="FootnoteText"/>
      </w:pPr>
      <w:r w:rsidRPr="004B6248">
        <w:rPr>
          <w:rStyle w:val="FootnoteReference"/>
        </w:rPr>
        <w:footnoteRef/>
      </w:r>
      <w:r w:rsidRPr="00FB1376">
        <w:t>www.unevaluation.org/unegcodeofconduct</w:t>
      </w:r>
    </w:p>
    <w:p w:rsidR="00E171B1" w:rsidRDefault="00E171B1" w:rsidP="00D6638C">
      <w:pPr>
        <w:pStyle w:val="FootnoteText"/>
      </w:pPr>
    </w:p>
  </w:footnote>
  <w:footnote w:id="4">
    <w:p w:rsidR="00E171B1" w:rsidRPr="002B7151" w:rsidRDefault="00E171B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E171B1" w:rsidRPr="002B7151" w:rsidRDefault="00E171B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E171B1" w:rsidRPr="002B7151" w:rsidRDefault="00E171B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8C"/>
    <w:multiLevelType w:val="hybridMultilevel"/>
    <w:tmpl w:val="A2E6BA62"/>
    <w:lvl w:ilvl="0" w:tplc="F98E438E">
      <w:start w:val="2"/>
      <w:numFmt w:val="decimal"/>
      <w:lvlText w:val="%1."/>
      <w:lvlJc w:val="left"/>
      <w:pPr>
        <w:ind w:left="561" w:hanging="222"/>
      </w:pPr>
      <w:rPr>
        <w:rFonts w:ascii="Arial" w:eastAsia="Arial" w:hAnsi="Arial" w:hint="default"/>
        <w:w w:val="102"/>
        <w:sz w:val="19"/>
        <w:szCs w:val="19"/>
      </w:rPr>
    </w:lvl>
    <w:lvl w:ilvl="1" w:tplc="19C60CA0">
      <w:start w:val="1"/>
      <w:numFmt w:val="lowerRoman"/>
      <w:lvlText w:val="%2."/>
      <w:lvlJc w:val="left"/>
      <w:pPr>
        <w:ind w:left="872" w:hanging="461"/>
        <w:jc w:val="right"/>
      </w:pPr>
      <w:rPr>
        <w:rFonts w:ascii="Arial" w:eastAsia="Arial" w:hAnsi="Arial" w:hint="default"/>
        <w:w w:val="106"/>
        <w:sz w:val="19"/>
        <w:szCs w:val="19"/>
      </w:rPr>
    </w:lvl>
    <w:lvl w:ilvl="2" w:tplc="BE2051B2">
      <w:start w:val="1"/>
      <w:numFmt w:val="bullet"/>
      <w:lvlText w:val="•"/>
      <w:lvlJc w:val="left"/>
      <w:pPr>
        <w:ind w:left="1034" w:hanging="461"/>
      </w:pPr>
      <w:rPr>
        <w:rFonts w:hint="default"/>
      </w:rPr>
    </w:lvl>
    <w:lvl w:ilvl="3" w:tplc="B0F0965C">
      <w:start w:val="1"/>
      <w:numFmt w:val="bullet"/>
      <w:lvlText w:val="•"/>
      <w:lvlJc w:val="left"/>
      <w:pPr>
        <w:ind w:left="2253" w:hanging="461"/>
      </w:pPr>
      <w:rPr>
        <w:rFonts w:hint="default"/>
      </w:rPr>
    </w:lvl>
    <w:lvl w:ilvl="4" w:tplc="C722D950">
      <w:start w:val="1"/>
      <w:numFmt w:val="bullet"/>
      <w:lvlText w:val="•"/>
      <w:lvlJc w:val="left"/>
      <w:pPr>
        <w:ind w:left="3472" w:hanging="461"/>
      </w:pPr>
      <w:rPr>
        <w:rFonts w:hint="default"/>
      </w:rPr>
    </w:lvl>
    <w:lvl w:ilvl="5" w:tplc="82C8B128">
      <w:start w:val="1"/>
      <w:numFmt w:val="bullet"/>
      <w:lvlText w:val="•"/>
      <w:lvlJc w:val="left"/>
      <w:pPr>
        <w:ind w:left="4691" w:hanging="461"/>
      </w:pPr>
      <w:rPr>
        <w:rFonts w:hint="default"/>
      </w:rPr>
    </w:lvl>
    <w:lvl w:ilvl="6" w:tplc="CD6C3370">
      <w:start w:val="1"/>
      <w:numFmt w:val="bullet"/>
      <w:lvlText w:val="•"/>
      <w:lvlJc w:val="left"/>
      <w:pPr>
        <w:ind w:left="5910" w:hanging="461"/>
      </w:pPr>
      <w:rPr>
        <w:rFonts w:hint="default"/>
      </w:rPr>
    </w:lvl>
    <w:lvl w:ilvl="7" w:tplc="A7C259BC">
      <w:start w:val="1"/>
      <w:numFmt w:val="bullet"/>
      <w:lvlText w:val="•"/>
      <w:lvlJc w:val="left"/>
      <w:pPr>
        <w:ind w:left="7129" w:hanging="461"/>
      </w:pPr>
      <w:rPr>
        <w:rFonts w:hint="default"/>
      </w:rPr>
    </w:lvl>
    <w:lvl w:ilvl="8" w:tplc="08E208DE">
      <w:start w:val="1"/>
      <w:numFmt w:val="bullet"/>
      <w:lvlText w:val="•"/>
      <w:lvlJc w:val="left"/>
      <w:pPr>
        <w:ind w:left="8348" w:hanging="461"/>
      </w:pPr>
      <w:rPr>
        <w:rFonts w:hint="default"/>
      </w:rPr>
    </w:lvl>
  </w:abstractNum>
  <w:abstractNum w:abstractNumId="1">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E009F3"/>
    <w:multiLevelType w:val="multilevel"/>
    <w:tmpl w:val="E0F0F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92354B"/>
    <w:multiLevelType w:val="hybridMultilevel"/>
    <w:tmpl w:val="F1CA9D1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6">
    <w:nsid w:val="36A50E41"/>
    <w:multiLevelType w:val="hybridMultilevel"/>
    <w:tmpl w:val="1C0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E5622"/>
    <w:multiLevelType w:val="multilevel"/>
    <w:tmpl w:val="E0F0F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367E2D"/>
    <w:multiLevelType w:val="hybridMultilevel"/>
    <w:tmpl w:val="96B41B96"/>
    <w:lvl w:ilvl="0" w:tplc="9B5A75D0">
      <w:start w:val="5"/>
      <w:numFmt w:val="decimal"/>
      <w:lvlText w:val="%1."/>
      <w:lvlJc w:val="left"/>
      <w:pPr>
        <w:ind w:left="1685" w:hanging="462"/>
      </w:pPr>
      <w:rPr>
        <w:rFonts w:ascii="Arial" w:eastAsia="Arial" w:hAnsi="Arial" w:hint="default"/>
        <w:b/>
        <w:bCs/>
        <w:w w:val="102"/>
        <w:sz w:val="19"/>
        <w:szCs w:val="19"/>
      </w:rPr>
    </w:lvl>
    <w:lvl w:ilvl="1" w:tplc="4F5623A0">
      <w:start w:val="1"/>
      <w:numFmt w:val="decimal"/>
      <w:lvlText w:val="%2."/>
      <w:lvlJc w:val="left"/>
      <w:pPr>
        <w:ind w:left="1949" w:hanging="360"/>
        <w:jc w:val="right"/>
      </w:pPr>
      <w:rPr>
        <w:rFonts w:ascii="Arial" w:eastAsia="Arial" w:hAnsi="Arial" w:hint="default"/>
        <w:spacing w:val="-61"/>
        <w:w w:val="165"/>
        <w:sz w:val="19"/>
        <w:szCs w:val="19"/>
      </w:rPr>
    </w:lvl>
    <w:lvl w:ilvl="2" w:tplc="1B5CEAEE">
      <w:start w:val="1"/>
      <w:numFmt w:val="lowerLetter"/>
      <w:lvlText w:val="%3."/>
      <w:lvlJc w:val="left"/>
      <w:pPr>
        <w:ind w:left="861" w:hanging="354"/>
      </w:pPr>
      <w:rPr>
        <w:rFonts w:ascii="Arial" w:eastAsia="Arial" w:hAnsi="Arial" w:hint="default"/>
        <w:w w:val="95"/>
        <w:sz w:val="19"/>
        <w:szCs w:val="19"/>
      </w:rPr>
    </w:lvl>
    <w:lvl w:ilvl="3" w:tplc="6B44AAF6">
      <w:start w:val="1"/>
      <w:numFmt w:val="bullet"/>
      <w:lvlText w:val="•"/>
      <w:lvlJc w:val="left"/>
      <w:pPr>
        <w:ind w:left="3051" w:hanging="354"/>
      </w:pPr>
      <w:rPr>
        <w:rFonts w:hint="default"/>
      </w:rPr>
    </w:lvl>
    <w:lvl w:ilvl="4" w:tplc="21E4A74A">
      <w:start w:val="1"/>
      <w:numFmt w:val="bullet"/>
      <w:lvlText w:val="•"/>
      <w:lvlJc w:val="left"/>
      <w:pPr>
        <w:ind w:left="4153" w:hanging="354"/>
      </w:pPr>
      <w:rPr>
        <w:rFonts w:hint="default"/>
      </w:rPr>
    </w:lvl>
    <w:lvl w:ilvl="5" w:tplc="50506BCE">
      <w:start w:val="1"/>
      <w:numFmt w:val="bullet"/>
      <w:lvlText w:val="•"/>
      <w:lvlJc w:val="left"/>
      <w:pPr>
        <w:ind w:left="5255" w:hanging="354"/>
      </w:pPr>
      <w:rPr>
        <w:rFonts w:hint="default"/>
      </w:rPr>
    </w:lvl>
    <w:lvl w:ilvl="6" w:tplc="5192B462">
      <w:start w:val="1"/>
      <w:numFmt w:val="bullet"/>
      <w:lvlText w:val="•"/>
      <w:lvlJc w:val="left"/>
      <w:pPr>
        <w:ind w:left="6357" w:hanging="354"/>
      </w:pPr>
      <w:rPr>
        <w:rFonts w:hint="default"/>
      </w:rPr>
    </w:lvl>
    <w:lvl w:ilvl="7" w:tplc="8AD0B3C4">
      <w:start w:val="1"/>
      <w:numFmt w:val="bullet"/>
      <w:lvlText w:val="•"/>
      <w:lvlJc w:val="left"/>
      <w:pPr>
        <w:ind w:left="7460" w:hanging="354"/>
      </w:pPr>
      <w:rPr>
        <w:rFonts w:hint="default"/>
      </w:rPr>
    </w:lvl>
    <w:lvl w:ilvl="8" w:tplc="F92E1B76">
      <w:start w:val="1"/>
      <w:numFmt w:val="bullet"/>
      <w:lvlText w:val="•"/>
      <w:lvlJc w:val="left"/>
      <w:pPr>
        <w:ind w:left="8562" w:hanging="354"/>
      </w:pPr>
      <w:rPr>
        <w:rFonts w:hint="default"/>
      </w:rPr>
    </w:lvl>
  </w:abstractNum>
  <w:abstractNum w:abstractNumId="21">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25B90"/>
    <w:multiLevelType w:val="hybridMultilevel"/>
    <w:tmpl w:val="3DC652F2"/>
    <w:lvl w:ilvl="0" w:tplc="42A2C962">
      <w:start w:val="2"/>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nsid w:val="5480094D"/>
    <w:multiLevelType w:val="hybridMultilevel"/>
    <w:tmpl w:val="225ECEA4"/>
    <w:lvl w:ilvl="0" w:tplc="241A54FE">
      <w:start w:val="1"/>
      <w:numFmt w:val="bullet"/>
      <w:lvlText w:val="•"/>
      <w:lvlJc w:val="left"/>
      <w:pPr>
        <w:ind w:left="833" w:hanging="360"/>
      </w:pPr>
      <w:rPr>
        <w:rFonts w:ascii="Arial" w:eastAsia="Arial" w:hAnsi="Arial" w:hint="default"/>
        <w:w w:val="154"/>
        <w:sz w:val="17"/>
        <w:szCs w:val="17"/>
      </w:rPr>
    </w:lvl>
    <w:lvl w:ilvl="1" w:tplc="19005680">
      <w:start w:val="1"/>
      <w:numFmt w:val="bullet"/>
      <w:lvlText w:val="•"/>
      <w:lvlJc w:val="left"/>
      <w:pPr>
        <w:ind w:left="1712" w:hanging="360"/>
      </w:pPr>
      <w:rPr>
        <w:rFonts w:hint="default"/>
      </w:rPr>
    </w:lvl>
    <w:lvl w:ilvl="2" w:tplc="CDE8CC7A">
      <w:start w:val="1"/>
      <w:numFmt w:val="bullet"/>
      <w:lvlText w:val="•"/>
      <w:lvlJc w:val="left"/>
      <w:pPr>
        <w:ind w:left="2592" w:hanging="360"/>
      </w:pPr>
      <w:rPr>
        <w:rFonts w:hint="default"/>
      </w:rPr>
    </w:lvl>
    <w:lvl w:ilvl="3" w:tplc="23DC2022">
      <w:start w:val="1"/>
      <w:numFmt w:val="bullet"/>
      <w:lvlText w:val="•"/>
      <w:lvlJc w:val="left"/>
      <w:pPr>
        <w:ind w:left="3471" w:hanging="360"/>
      </w:pPr>
      <w:rPr>
        <w:rFonts w:hint="default"/>
      </w:rPr>
    </w:lvl>
    <w:lvl w:ilvl="4" w:tplc="240A0554">
      <w:start w:val="1"/>
      <w:numFmt w:val="bullet"/>
      <w:lvlText w:val="•"/>
      <w:lvlJc w:val="left"/>
      <w:pPr>
        <w:ind w:left="4350" w:hanging="360"/>
      </w:pPr>
      <w:rPr>
        <w:rFonts w:hint="default"/>
      </w:rPr>
    </w:lvl>
    <w:lvl w:ilvl="5" w:tplc="C7741F0A">
      <w:start w:val="1"/>
      <w:numFmt w:val="bullet"/>
      <w:lvlText w:val="•"/>
      <w:lvlJc w:val="left"/>
      <w:pPr>
        <w:ind w:left="5229" w:hanging="360"/>
      </w:pPr>
      <w:rPr>
        <w:rFonts w:hint="default"/>
      </w:rPr>
    </w:lvl>
    <w:lvl w:ilvl="6" w:tplc="072441D4">
      <w:start w:val="1"/>
      <w:numFmt w:val="bullet"/>
      <w:lvlText w:val="•"/>
      <w:lvlJc w:val="left"/>
      <w:pPr>
        <w:ind w:left="6109" w:hanging="360"/>
      </w:pPr>
      <w:rPr>
        <w:rFonts w:hint="default"/>
      </w:rPr>
    </w:lvl>
    <w:lvl w:ilvl="7" w:tplc="F86C056C">
      <w:start w:val="1"/>
      <w:numFmt w:val="bullet"/>
      <w:lvlText w:val="•"/>
      <w:lvlJc w:val="left"/>
      <w:pPr>
        <w:ind w:left="6988" w:hanging="360"/>
      </w:pPr>
      <w:rPr>
        <w:rFonts w:hint="default"/>
      </w:rPr>
    </w:lvl>
    <w:lvl w:ilvl="8" w:tplc="7FC4162C">
      <w:start w:val="1"/>
      <w:numFmt w:val="bullet"/>
      <w:lvlText w:val="•"/>
      <w:lvlJc w:val="left"/>
      <w:pPr>
        <w:ind w:left="7867" w:hanging="360"/>
      </w:pPr>
      <w:rPr>
        <w:rFonts w:hint="default"/>
      </w:rPr>
    </w:lvl>
  </w:abstractNum>
  <w:abstractNum w:abstractNumId="28">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nsid w:val="5A967789"/>
    <w:multiLevelType w:val="hybridMultilevel"/>
    <w:tmpl w:val="1B40E9B8"/>
    <w:lvl w:ilvl="0" w:tplc="E506DB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4">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5">
    <w:nsid w:val="63AA3262"/>
    <w:multiLevelType w:val="hybridMultilevel"/>
    <w:tmpl w:val="910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75E51"/>
    <w:multiLevelType w:val="hybridMultilevel"/>
    <w:tmpl w:val="2E5E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F58F1"/>
    <w:multiLevelType w:val="hybridMultilevel"/>
    <w:tmpl w:val="CBF28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1"/>
  </w:num>
  <w:num w:numId="3">
    <w:abstractNumId w:val="33"/>
  </w:num>
  <w:num w:numId="4">
    <w:abstractNumId w:val="21"/>
  </w:num>
  <w:num w:numId="5">
    <w:abstractNumId w:val="3"/>
  </w:num>
  <w:num w:numId="6">
    <w:abstractNumId w:val="28"/>
  </w:num>
  <w:num w:numId="7">
    <w:abstractNumId w:val="2"/>
  </w:num>
  <w:num w:numId="8">
    <w:abstractNumId w:val="36"/>
  </w:num>
  <w:num w:numId="9">
    <w:abstractNumId w:val="13"/>
  </w:num>
  <w:num w:numId="10">
    <w:abstractNumId w:val="34"/>
  </w:num>
  <w:num w:numId="11">
    <w:abstractNumId w:val="11"/>
  </w:num>
  <w:num w:numId="12">
    <w:abstractNumId w:val="29"/>
  </w:num>
  <w:num w:numId="13">
    <w:abstractNumId w:val="26"/>
  </w:num>
  <w:num w:numId="14">
    <w:abstractNumId w:val="4"/>
  </w:num>
  <w:num w:numId="15">
    <w:abstractNumId w:val="25"/>
  </w:num>
  <w:num w:numId="16">
    <w:abstractNumId w:val="15"/>
  </w:num>
  <w:num w:numId="17">
    <w:abstractNumId w:val="6"/>
  </w:num>
  <w:num w:numId="18">
    <w:abstractNumId w:val="14"/>
  </w:num>
  <w:num w:numId="19">
    <w:abstractNumId w:val="39"/>
  </w:num>
  <w:num w:numId="20">
    <w:abstractNumId w:val="18"/>
  </w:num>
  <w:num w:numId="21">
    <w:abstractNumId w:val="12"/>
  </w:num>
  <w:num w:numId="22">
    <w:abstractNumId w:val="7"/>
  </w:num>
  <w:num w:numId="23">
    <w:abstractNumId w:val="8"/>
  </w:num>
  <w:num w:numId="24">
    <w:abstractNumId w:val="37"/>
  </w:num>
  <w:num w:numId="25">
    <w:abstractNumId w:val="1"/>
  </w:num>
  <w:num w:numId="26">
    <w:abstractNumId w:val="42"/>
  </w:num>
  <w:num w:numId="27">
    <w:abstractNumId w:val="10"/>
  </w:num>
  <w:num w:numId="28">
    <w:abstractNumId w:val="38"/>
  </w:num>
  <w:num w:numId="29">
    <w:abstractNumId w:val="23"/>
  </w:num>
  <w:num w:numId="30">
    <w:abstractNumId w:val="19"/>
  </w:num>
  <w:num w:numId="31">
    <w:abstractNumId w:val="31"/>
  </w:num>
  <w:num w:numId="32">
    <w:abstractNumId w:val="32"/>
  </w:num>
  <w:num w:numId="33">
    <w:abstractNumId w:val="0"/>
  </w:num>
  <w:num w:numId="34">
    <w:abstractNumId w:val="24"/>
  </w:num>
  <w:num w:numId="35">
    <w:abstractNumId w:val="43"/>
  </w:num>
  <w:num w:numId="3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0"/>
  </w:num>
  <w:num w:numId="39">
    <w:abstractNumId w:val="16"/>
  </w:num>
  <w:num w:numId="40">
    <w:abstractNumId w:val="40"/>
  </w:num>
  <w:num w:numId="41">
    <w:abstractNumId w:val="30"/>
  </w:num>
  <w:num w:numId="42">
    <w:abstractNumId w:val="35"/>
  </w:num>
  <w:num w:numId="43">
    <w:abstractNumId w:val="27"/>
  </w:num>
  <w:num w:numId="4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5F66"/>
    <w:rsid w:val="00022F8E"/>
    <w:rsid w:val="0008034B"/>
    <w:rsid w:val="000972E9"/>
    <w:rsid w:val="000C676C"/>
    <w:rsid w:val="000D1735"/>
    <w:rsid w:val="00106609"/>
    <w:rsid w:val="00125D80"/>
    <w:rsid w:val="00224F9C"/>
    <w:rsid w:val="00245B49"/>
    <w:rsid w:val="00282B13"/>
    <w:rsid w:val="002C35D0"/>
    <w:rsid w:val="002D2FB5"/>
    <w:rsid w:val="00303541"/>
    <w:rsid w:val="00310398"/>
    <w:rsid w:val="00313C94"/>
    <w:rsid w:val="003A1C86"/>
    <w:rsid w:val="003E38F8"/>
    <w:rsid w:val="00485901"/>
    <w:rsid w:val="00486457"/>
    <w:rsid w:val="004A4814"/>
    <w:rsid w:val="005345E2"/>
    <w:rsid w:val="00542DF1"/>
    <w:rsid w:val="0054319E"/>
    <w:rsid w:val="00544590"/>
    <w:rsid w:val="005C478A"/>
    <w:rsid w:val="005C56A0"/>
    <w:rsid w:val="00630691"/>
    <w:rsid w:val="006A6FFF"/>
    <w:rsid w:val="006C1964"/>
    <w:rsid w:val="006C59AF"/>
    <w:rsid w:val="006C7BCD"/>
    <w:rsid w:val="007131E3"/>
    <w:rsid w:val="007C62FB"/>
    <w:rsid w:val="008F4268"/>
    <w:rsid w:val="00940ECB"/>
    <w:rsid w:val="009905F0"/>
    <w:rsid w:val="009919EB"/>
    <w:rsid w:val="009B38E0"/>
    <w:rsid w:val="009D0CE9"/>
    <w:rsid w:val="00A03401"/>
    <w:rsid w:val="00A46306"/>
    <w:rsid w:val="00A469ED"/>
    <w:rsid w:val="00A514AD"/>
    <w:rsid w:val="00A61035"/>
    <w:rsid w:val="00AC0C90"/>
    <w:rsid w:val="00AC1DC2"/>
    <w:rsid w:val="00AE57A1"/>
    <w:rsid w:val="00B020FF"/>
    <w:rsid w:val="00B10CFD"/>
    <w:rsid w:val="00B46575"/>
    <w:rsid w:val="00B505B8"/>
    <w:rsid w:val="00B80408"/>
    <w:rsid w:val="00B913F1"/>
    <w:rsid w:val="00BE5960"/>
    <w:rsid w:val="00D150D5"/>
    <w:rsid w:val="00D418C0"/>
    <w:rsid w:val="00D41E9C"/>
    <w:rsid w:val="00D6638C"/>
    <w:rsid w:val="00DD59B3"/>
    <w:rsid w:val="00DE6665"/>
    <w:rsid w:val="00E171B1"/>
    <w:rsid w:val="00E23201"/>
    <w:rsid w:val="00E61FCC"/>
    <w:rsid w:val="00E6663E"/>
    <w:rsid w:val="00E77635"/>
    <w:rsid w:val="00F05366"/>
    <w:rsid w:val="00F37F37"/>
    <w:rsid w:val="00F57BAD"/>
    <w:rsid w:val="00F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HeaderStyle">
    <w:name w:val="unHeaderStyle"/>
    <w:rsid w:val="00BE5960"/>
    <w:rPr>
      <w:rFonts w:ascii="Calibri" w:hAnsi="Calibri" w:cs="Calibri"/>
      <w:b/>
      <w:sz w:val="28"/>
      <w:szCs w:val="28"/>
    </w:rPr>
  </w:style>
  <w:style w:type="character" w:customStyle="1" w:styleId="undpStyle">
    <w:name w:val="undpStyle"/>
    <w:rsid w:val="00940ECB"/>
    <w:rPr>
      <w:rFonts w:ascii="Calibri" w:hAnsi="Calibri" w:cs="Calibri"/>
      <w:sz w:val="22"/>
      <w:szCs w:val="22"/>
    </w:rPr>
  </w:style>
  <w:style w:type="paragraph" w:customStyle="1" w:styleId="npara">
    <w:name w:val="npara"/>
    <w:rsid w:val="00940ECB"/>
    <w:pPr>
      <w:spacing w:after="100"/>
    </w:pPr>
    <w:rPr>
      <w:rFonts w:ascii="Arial" w:eastAsia="Arial" w:hAnsi="Arial" w:cs="Arial"/>
      <w:sz w:val="20"/>
      <w:szCs w:val="20"/>
      <w:lang w:bidi="ar-SA"/>
    </w:rPr>
  </w:style>
  <w:style w:type="paragraph" w:styleId="NormalWeb">
    <w:name w:val="Normal (Web)"/>
    <w:basedOn w:val="Normal"/>
    <w:uiPriority w:val="99"/>
    <w:unhideWhenUsed/>
    <w:rsid w:val="000C676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HeaderStyle">
    <w:name w:val="unHeaderStyle"/>
    <w:rsid w:val="00BE5960"/>
    <w:rPr>
      <w:rFonts w:ascii="Calibri" w:hAnsi="Calibri" w:cs="Calibri"/>
      <w:b/>
      <w:sz w:val="28"/>
      <w:szCs w:val="28"/>
    </w:rPr>
  </w:style>
  <w:style w:type="character" w:customStyle="1" w:styleId="undpStyle">
    <w:name w:val="undpStyle"/>
    <w:rsid w:val="00940ECB"/>
    <w:rPr>
      <w:rFonts w:ascii="Calibri" w:hAnsi="Calibri" w:cs="Calibri"/>
      <w:sz w:val="22"/>
      <w:szCs w:val="22"/>
    </w:rPr>
  </w:style>
  <w:style w:type="paragraph" w:customStyle="1" w:styleId="npara">
    <w:name w:val="npara"/>
    <w:rsid w:val="00940ECB"/>
    <w:pPr>
      <w:spacing w:after="100"/>
    </w:pPr>
    <w:rPr>
      <w:rFonts w:ascii="Arial" w:eastAsia="Arial" w:hAnsi="Arial" w:cs="Arial"/>
      <w:sz w:val="20"/>
      <w:szCs w:val="20"/>
      <w:lang w:bidi="ar-SA"/>
    </w:rPr>
  </w:style>
  <w:style w:type="paragraph" w:styleId="NormalWeb">
    <w:name w:val="Normal (Web)"/>
    <w:basedOn w:val="Normal"/>
    <w:uiPriority w:val="99"/>
    <w:unhideWhenUsed/>
    <w:rsid w:val="000C676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curement.aze@undp.org" TargetMode="External"/><Relationship Id="rId4" Type="http://schemas.microsoft.com/office/2007/relationships/stylesWithEffects" Target="stylesWithEffects.xml"/><Relationship Id="rId9"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E25E-2610-4322-BFBE-C4E82B86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3692</Words>
  <Characters>21045</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soltan.hadiyev</cp:lastModifiedBy>
  <cp:revision>5</cp:revision>
  <dcterms:created xsi:type="dcterms:W3CDTF">2017-05-31T11:07:00Z</dcterms:created>
  <dcterms:modified xsi:type="dcterms:W3CDTF">2017-06-20T13:59:00Z</dcterms:modified>
</cp:coreProperties>
</file>