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4650"/>
        <w:gridCol w:w="4637"/>
      </w:tblGrid>
      <w:tr w:rsidR="00E25E3A" w:rsidRPr="00E25E3A" w:rsidTr="00E25E3A">
        <w:trPr>
          <w:jc w:val="center"/>
        </w:trPr>
        <w:tc>
          <w:tcPr>
            <w:tcW w:w="4650" w:type="dxa"/>
            <w:shd w:val="clear" w:color="auto" w:fill="auto"/>
          </w:tcPr>
          <w:p w:rsidR="00E25E3A" w:rsidRPr="00E25E3A" w:rsidRDefault="00E25E3A" w:rsidP="000F5743">
            <w:pPr>
              <w:spacing w:after="120" w:line="240" w:lineRule="auto"/>
              <w:jc w:val="center"/>
              <w:rPr>
                <w:rFonts w:ascii="Calibri" w:eastAsia="Times New Roman" w:hAnsi="Calibri" w:cs="Times New Roman"/>
                <w:b/>
                <w:szCs w:val="24"/>
              </w:rPr>
            </w:pPr>
            <w:bookmarkStart w:id="0" w:name="_GoBack"/>
            <w:bookmarkEnd w:id="0"/>
            <w:r w:rsidRPr="00E25E3A">
              <w:rPr>
                <w:rFonts w:ascii="Calibri" w:eastAsia="Times New Roman" w:hAnsi="Calibri" w:cs="Times New Roman"/>
                <w:b/>
                <w:szCs w:val="24"/>
              </w:rPr>
              <w:t>REPUBLIQUE DU BURUNDI</w:t>
            </w:r>
          </w:p>
          <w:p w:rsidR="00E25E3A" w:rsidRPr="00E25E3A" w:rsidRDefault="00E25E3A" w:rsidP="000F5743">
            <w:pPr>
              <w:spacing w:after="0" w:line="240" w:lineRule="auto"/>
              <w:jc w:val="center"/>
              <w:rPr>
                <w:rFonts w:ascii="Calibri" w:eastAsia="Times New Roman" w:hAnsi="Calibri" w:cs="Times New Roman"/>
                <w:b/>
                <w:szCs w:val="24"/>
              </w:rPr>
            </w:pPr>
            <w:r w:rsidRPr="00E25E3A">
              <w:rPr>
                <w:rFonts w:ascii="Calibri" w:eastAsia="Times New Roman" w:hAnsi="Calibri" w:cs="Times New Roman"/>
                <w:noProof/>
                <w:lang w:eastAsia="fr-FR"/>
              </w:rPr>
              <w:drawing>
                <wp:inline distT="0" distB="0" distL="0" distR="0" wp14:anchorId="07ECBF32" wp14:editId="206FA07B">
                  <wp:extent cx="1442720" cy="785495"/>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20" cy="785495"/>
                          </a:xfrm>
                          <a:prstGeom prst="rect">
                            <a:avLst/>
                          </a:prstGeom>
                          <a:noFill/>
                          <a:ln>
                            <a:noFill/>
                          </a:ln>
                        </pic:spPr>
                      </pic:pic>
                    </a:graphicData>
                  </a:graphic>
                </wp:inline>
              </w:drawing>
            </w:r>
          </w:p>
          <w:p w:rsidR="00E25E3A" w:rsidRPr="00E25E3A" w:rsidRDefault="00E25E3A" w:rsidP="00E25E3A">
            <w:pPr>
              <w:spacing w:after="0" w:line="240" w:lineRule="auto"/>
              <w:rPr>
                <w:rFonts w:ascii="Calibri" w:eastAsia="Times New Roman" w:hAnsi="Calibri" w:cs="Times New Roman"/>
                <w:szCs w:val="24"/>
              </w:rPr>
            </w:pPr>
          </w:p>
        </w:tc>
        <w:tc>
          <w:tcPr>
            <w:tcW w:w="4637" w:type="dxa"/>
            <w:shd w:val="clear" w:color="auto" w:fill="auto"/>
          </w:tcPr>
          <w:p w:rsidR="00E25E3A" w:rsidRPr="00E25E3A" w:rsidRDefault="00E25E3A" w:rsidP="00E25E3A">
            <w:pPr>
              <w:spacing w:after="0" w:line="240" w:lineRule="auto"/>
              <w:jc w:val="center"/>
              <w:rPr>
                <w:rFonts w:ascii="Calibri" w:eastAsia="Times New Roman" w:hAnsi="Calibri" w:cs="Times New Roman"/>
                <w:b/>
                <w:szCs w:val="24"/>
              </w:rPr>
            </w:pPr>
            <w:r w:rsidRPr="00E25E3A">
              <w:rPr>
                <w:rFonts w:ascii="Calibri" w:eastAsia="Times New Roman" w:hAnsi="Calibri" w:cs="Times New Roman"/>
                <w:b/>
                <w:szCs w:val="24"/>
              </w:rPr>
              <w:t>PROGRAMME DES NATIONS UNIES</w:t>
            </w:r>
          </w:p>
          <w:p w:rsidR="00E25E3A" w:rsidRPr="00E25E3A" w:rsidRDefault="00E25E3A" w:rsidP="00E25E3A">
            <w:pPr>
              <w:spacing w:after="120" w:line="240" w:lineRule="auto"/>
              <w:jc w:val="center"/>
              <w:rPr>
                <w:rFonts w:ascii="Calibri" w:eastAsia="Times New Roman" w:hAnsi="Calibri" w:cs="Times New Roman"/>
                <w:b/>
              </w:rPr>
            </w:pPr>
            <w:r w:rsidRPr="00E25E3A">
              <w:rPr>
                <w:rFonts w:ascii="Calibri" w:eastAsia="Times New Roman" w:hAnsi="Calibri" w:cs="Times New Roman"/>
                <w:b/>
              </w:rPr>
              <w:t>POUR LE DEVELOPPEMENT</w:t>
            </w:r>
          </w:p>
          <w:p w:rsidR="00E25E3A" w:rsidRPr="00E25E3A" w:rsidRDefault="00E25E3A" w:rsidP="000F5743">
            <w:pPr>
              <w:spacing w:after="0" w:line="240" w:lineRule="auto"/>
              <w:jc w:val="center"/>
              <w:rPr>
                <w:rFonts w:ascii="Calibri" w:eastAsia="Times New Roman" w:hAnsi="Calibri" w:cs="Times New Roman"/>
                <w:szCs w:val="24"/>
              </w:rPr>
            </w:pPr>
            <w:r w:rsidRPr="00E25E3A">
              <w:rPr>
                <w:rFonts w:ascii="Calibri" w:eastAsia="Times New Roman" w:hAnsi="Calibri" w:cs="Times New Roman"/>
                <w:noProof/>
                <w:lang w:eastAsia="fr-FR"/>
              </w:rPr>
              <w:drawing>
                <wp:inline distT="0" distB="0" distL="0" distR="0" wp14:anchorId="756C54D0" wp14:editId="57FEB05D">
                  <wp:extent cx="721360" cy="1442720"/>
                  <wp:effectExtent l="0" t="0" r="2540" b="5080"/>
                  <wp:docPr id="2" name="Image 2" descr="logo_PNUD_couleur-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PNUD_couleur-gran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1442720"/>
                          </a:xfrm>
                          <a:prstGeom prst="rect">
                            <a:avLst/>
                          </a:prstGeom>
                          <a:noFill/>
                          <a:ln>
                            <a:noFill/>
                          </a:ln>
                        </pic:spPr>
                      </pic:pic>
                    </a:graphicData>
                  </a:graphic>
                </wp:inline>
              </w:drawing>
            </w:r>
          </w:p>
        </w:tc>
      </w:tr>
    </w:tbl>
    <w:p w:rsidR="00E25E3A" w:rsidRPr="00E25E3A" w:rsidRDefault="00E25E3A" w:rsidP="00E25E3A">
      <w:pPr>
        <w:rPr>
          <w:b/>
          <w:sz w:val="28"/>
          <w:szCs w:val="28"/>
        </w:rPr>
      </w:pPr>
    </w:p>
    <w:p w:rsidR="00E25E3A" w:rsidRPr="00E25E3A" w:rsidRDefault="00E25E3A" w:rsidP="00E25E3A">
      <w:pPr>
        <w:rPr>
          <w:b/>
          <w:sz w:val="28"/>
          <w:szCs w:val="28"/>
        </w:rPr>
      </w:pPr>
    </w:p>
    <w:p w:rsidR="00E25E3A" w:rsidRPr="00E25E3A" w:rsidRDefault="00E25E3A" w:rsidP="00E25E3A">
      <w:pPr>
        <w:widowControl w:val="0"/>
        <w:jc w:val="center"/>
        <w:rPr>
          <w:rFonts w:eastAsia="Arial Unicode MS"/>
          <w:bCs/>
        </w:rPr>
      </w:pPr>
      <w:r w:rsidRPr="00E25E3A">
        <w:rPr>
          <w:rFonts w:eastAsia="Arial Unicode MS"/>
          <w:bCs/>
        </w:rPr>
        <w:t>----------------</w:t>
      </w:r>
    </w:p>
    <w:p w:rsidR="00E25E3A" w:rsidRPr="00E25E3A" w:rsidRDefault="00E25E3A" w:rsidP="00E25E3A">
      <w:pPr>
        <w:rPr>
          <w:rFonts w:ascii="Arial Narrow" w:hAnsi="Arial Narrow"/>
          <w:b/>
        </w:rPr>
      </w:pPr>
    </w:p>
    <w:p w:rsidR="00E25E3A" w:rsidRPr="00E25E3A" w:rsidRDefault="00FC1989" w:rsidP="00E25E3A">
      <w:pPr>
        <w:jc w:val="center"/>
        <w:rPr>
          <w:rFonts w:ascii="Arial Narrow" w:hAnsi="Arial Narrow"/>
          <w:b/>
        </w:rPr>
      </w:pPr>
      <w:r>
        <w:rPr>
          <w:rFonts w:ascii="Arial Narrow" w:hAnsi="Arial Narrow"/>
          <w:b/>
        </w:rPr>
        <w:pict w14:anchorId="60C0C2EA">
          <v:rect id="_x0000_i1025" style="width:0;height:1.5pt" o:hralign="center" o:hrstd="t" o:hr="t" fillcolor="#aca899" stroked="f"/>
        </w:pict>
      </w:r>
    </w:p>
    <w:p w:rsidR="00E25E3A" w:rsidRPr="00E25E3A" w:rsidRDefault="00E25E3A" w:rsidP="00E25E3A">
      <w:pPr>
        <w:spacing w:line="276" w:lineRule="auto"/>
        <w:jc w:val="center"/>
        <w:rPr>
          <w:rFonts w:ascii="Times New Roman" w:hAnsi="Times New Roman" w:cs="Times New Roman"/>
          <w:b/>
          <w:sz w:val="36"/>
          <w:szCs w:val="36"/>
        </w:rPr>
      </w:pPr>
      <w:r w:rsidRPr="00E25E3A">
        <w:rPr>
          <w:rFonts w:ascii="Times New Roman" w:hAnsi="Times New Roman" w:cs="Times New Roman"/>
          <w:b/>
          <w:color w:val="000000"/>
          <w:sz w:val="36"/>
          <w:szCs w:val="36"/>
        </w:rPr>
        <w:t xml:space="preserve">Evaluation finale du projet </w:t>
      </w:r>
      <w:r w:rsidRPr="00E25E3A">
        <w:rPr>
          <w:rFonts w:ascii="Times New Roman" w:hAnsi="Times New Roman" w:cs="Times New Roman"/>
          <w:b/>
          <w:sz w:val="36"/>
          <w:szCs w:val="36"/>
        </w:rPr>
        <w:t>« </w:t>
      </w:r>
      <w:hyperlink r:id="rId10" w:tooltip="Go to Evaluation detail" w:history="1">
        <w:r w:rsidRPr="00E25E3A">
          <w:rPr>
            <w:rFonts w:ascii="Times New Roman" w:hAnsi="Times New Roman" w:cs="Times New Roman"/>
            <w:b/>
            <w:sz w:val="36"/>
            <w:szCs w:val="36"/>
          </w:rPr>
          <w:t xml:space="preserve">Assistance Technique préparatoire pour le renforcement du cadre légal, règlementaire et institutionnel des secteurs de l'Energie et des Mines </w:t>
        </w:r>
      </w:hyperlink>
      <w:r w:rsidRPr="00E25E3A">
        <w:rPr>
          <w:rFonts w:ascii="Times New Roman" w:hAnsi="Times New Roman" w:cs="Times New Roman"/>
          <w:b/>
          <w:sz w:val="36"/>
          <w:szCs w:val="36"/>
        </w:rPr>
        <w:t xml:space="preserve">» - Burundi </w:t>
      </w:r>
    </w:p>
    <w:p w:rsidR="00E25E3A" w:rsidRPr="00E25E3A" w:rsidRDefault="00FC1989" w:rsidP="00E25E3A">
      <w:pPr>
        <w:spacing w:line="276" w:lineRule="auto"/>
        <w:jc w:val="center"/>
        <w:rPr>
          <w:rFonts w:ascii="Times New Roman" w:hAnsi="Times New Roman" w:cs="Times New Roman"/>
          <w:b/>
          <w:color w:val="000000"/>
          <w:sz w:val="36"/>
          <w:szCs w:val="36"/>
        </w:rPr>
      </w:pPr>
      <w:r>
        <w:rPr>
          <w:rFonts w:ascii="Arial Narrow" w:hAnsi="Arial Narrow"/>
          <w:b/>
        </w:rPr>
        <w:pict w14:anchorId="5E0270C2">
          <v:rect id="_x0000_i1026" style="width:0;height:1.5pt" o:hralign="center" o:hrstd="t" o:hr="t" fillcolor="#aca899" stroked="f"/>
        </w:pict>
      </w:r>
    </w:p>
    <w:p w:rsidR="00E25E3A" w:rsidRPr="00E25E3A" w:rsidRDefault="00E25E3A" w:rsidP="00E25E3A">
      <w:pPr>
        <w:spacing w:line="276" w:lineRule="auto"/>
        <w:jc w:val="center"/>
        <w:rPr>
          <w:rFonts w:ascii="Times New Roman" w:hAnsi="Times New Roman" w:cs="Times New Roman"/>
          <w:szCs w:val="28"/>
        </w:rPr>
      </w:pPr>
      <w:r w:rsidRPr="00E25E3A">
        <w:rPr>
          <w:rFonts w:ascii="Times New Roman" w:hAnsi="Times New Roman" w:cs="Times New Roman"/>
          <w:szCs w:val="28"/>
        </w:rPr>
        <w:t>PROJET N° 00086935</w:t>
      </w:r>
    </w:p>
    <w:p w:rsidR="00E25E3A" w:rsidRPr="00E25E3A" w:rsidRDefault="00E25E3A" w:rsidP="00E25E3A">
      <w:pPr>
        <w:jc w:val="center"/>
        <w:rPr>
          <w:rFonts w:ascii="Times New Roman" w:hAnsi="Times New Roman" w:cs="Times New Roman"/>
          <w:sz w:val="48"/>
          <w:szCs w:val="48"/>
        </w:rPr>
      </w:pPr>
      <w:r w:rsidRPr="000D492E">
        <w:rPr>
          <w:rFonts w:ascii="Times New Roman" w:hAnsi="Times New Roman" w:cs="Times New Roman"/>
          <w:sz w:val="48"/>
          <w:szCs w:val="48"/>
          <w:highlight w:val="green"/>
          <w:u w:val="single"/>
        </w:rPr>
        <w:t xml:space="preserve">RAPPORT </w:t>
      </w:r>
      <w:r w:rsidR="00972394" w:rsidRPr="00972394">
        <w:rPr>
          <w:rFonts w:ascii="Times New Roman" w:hAnsi="Times New Roman" w:cs="Times New Roman"/>
          <w:sz w:val="48"/>
          <w:szCs w:val="48"/>
          <w:highlight w:val="green"/>
          <w:u w:val="single"/>
        </w:rPr>
        <w:t>FINAL</w:t>
      </w:r>
      <w:r w:rsidR="00972394">
        <w:rPr>
          <w:rFonts w:ascii="Times New Roman" w:hAnsi="Times New Roman" w:cs="Times New Roman"/>
          <w:sz w:val="48"/>
          <w:szCs w:val="48"/>
          <w:u w:val="single"/>
        </w:rPr>
        <w:t xml:space="preserve"> </w:t>
      </w:r>
    </w:p>
    <w:p w:rsidR="00E25E3A" w:rsidRPr="00E25E3A" w:rsidRDefault="00E25E3A" w:rsidP="00E25E3A">
      <w:pPr>
        <w:jc w:val="center"/>
        <w:rPr>
          <w:sz w:val="48"/>
          <w:szCs w:val="48"/>
        </w:rPr>
      </w:pPr>
    </w:p>
    <w:p w:rsidR="00E25E3A" w:rsidRPr="00E25E3A" w:rsidRDefault="00E25E3A" w:rsidP="00E25E3A">
      <w:pPr>
        <w:spacing w:after="240" w:line="276" w:lineRule="auto"/>
        <w:jc w:val="right"/>
        <w:rPr>
          <w:rFonts w:ascii="Times New Roman" w:eastAsia="Times New Roman" w:hAnsi="Times New Roman" w:cs="Times New Roman"/>
          <w:b/>
          <w:sz w:val="28"/>
          <w:szCs w:val="24"/>
          <w:lang w:eastAsia="fr-FR"/>
        </w:rPr>
      </w:pPr>
      <w:r w:rsidRPr="00E25E3A">
        <w:rPr>
          <w:rFonts w:ascii="Times New Roman" w:hAnsi="Times New Roman" w:cs="Times New Roman"/>
          <w:sz w:val="28"/>
          <w:szCs w:val="28"/>
        </w:rPr>
        <w:tab/>
      </w:r>
      <w:r w:rsidRPr="00E25E3A">
        <w:rPr>
          <w:rFonts w:ascii="Times New Roman" w:hAnsi="Times New Roman" w:cs="Times New Roman"/>
          <w:sz w:val="28"/>
          <w:szCs w:val="28"/>
        </w:rPr>
        <w:tab/>
      </w:r>
      <w:r w:rsidRPr="00E25E3A">
        <w:rPr>
          <w:rFonts w:ascii="Times New Roman" w:hAnsi="Times New Roman" w:cs="Times New Roman"/>
          <w:sz w:val="28"/>
          <w:szCs w:val="28"/>
        </w:rPr>
        <w:tab/>
      </w:r>
      <w:r w:rsidRPr="00E25E3A">
        <w:rPr>
          <w:rFonts w:ascii="Times New Roman" w:hAnsi="Times New Roman" w:cs="Times New Roman"/>
          <w:sz w:val="28"/>
          <w:szCs w:val="28"/>
        </w:rPr>
        <w:tab/>
      </w:r>
      <w:r w:rsidRPr="00E25E3A">
        <w:rPr>
          <w:rFonts w:ascii="Times New Roman" w:hAnsi="Times New Roman" w:cs="Times New Roman"/>
          <w:sz w:val="28"/>
          <w:szCs w:val="28"/>
        </w:rPr>
        <w:tab/>
      </w:r>
      <w:r w:rsidRPr="00E25E3A">
        <w:rPr>
          <w:rFonts w:ascii="Times New Roman" w:hAnsi="Times New Roman" w:cs="Times New Roman"/>
          <w:sz w:val="28"/>
          <w:szCs w:val="28"/>
        </w:rPr>
        <w:tab/>
      </w:r>
      <w:r w:rsidRPr="00E25E3A">
        <w:rPr>
          <w:rFonts w:ascii="Times New Roman" w:hAnsi="Times New Roman" w:cs="Times New Roman"/>
          <w:sz w:val="28"/>
          <w:szCs w:val="28"/>
        </w:rPr>
        <w:tab/>
      </w:r>
      <w:r w:rsidRPr="00E25E3A">
        <w:rPr>
          <w:rFonts w:ascii="Times New Roman" w:eastAsia="Times New Roman" w:hAnsi="Times New Roman" w:cs="Times New Roman"/>
          <w:b/>
          <w:sz w:val="28"/>
          <w:szCs w:val="24"/>
          <w:lang w:eastAsia="fr-FR"/>
        </w:rPr>
        <w:t>Présenté par :</w:t>
      </w:r>
    </w:p>
    <w:p w:rsidR="00E25E3A" w:rsidRPr="00E25E3A" w:rsidRDefault="00E25E3A" w:rsidP="00E25E3A">
      <w:pPr>
        <w:spacing w:after="0" w:line="276" w:lineRule="auto"/>
        <w:jc w:val="right"/>
        <w:rPr>
          <w:rFonts w:ascii="Times New Roman" w:eastAsia="Times New Roman" w:hAnsi="Times New Roman" w:cs="Times New Roman"/>
          <w:b/>
          <w:sz w:val="28"/>
          <w:szCs w:val="24"/>
          <w:lang w:eastAsia="fr-FR"/>
        </w:rPr>
      </w:pPr>
      <w:r w:rsidRPr="00E25E3A">
        <w:rPr>
          <w:rFonts w:ascii="Times New Roman" w:eastAsia="Times New Roman" w:hAnsi="Times New Roman" w:cs="Times New Roman"/>
          <w:b/>
          <w:sz w:val="28"/>
          <w:szCs w:val="24"/>
          <w:lang w:eastAsia="fr-FR"/>
        </w:rPr>
        <w:t>Mamadou DIANKA</w:t>
      </w:r>
    </w:p>
    <w:p w:rsidR="00E25E3A" w:rsidRPr="00E25E3A" w:rsidRDefault="00E25E3A" w:rsidP="00E25E3A">
      <w:pPr>
        <w:spacing w:after="0" w:line="276" w:lineRule="auto"/>
        <w:jc w:val="right"/>
        <w:rPr>
          <w:rFonts w:ascii="Times New Roman" w:eastAsia="Times New Roman" w:hAnsi="Times New Roman" w:cs="Times New Roman"/>
          <w:sz w:val="28"/>
          <w:szCs w:val="24"/>
          <w:lang w:eastAsia="fr-FR"/>
        </w:rPr>
      </w:pPr>
      <w:r w:rsidRPr="00E25E3A">
        <w:rPr>
          <w:rFonts w:ascii="Times New Roman" w:eastAsia="Times New Roman" w:hAnsi="Times New Roman" w:cs="Times New Roman"/>
          <w:sz w:val="28"/>
          <w:szCs w:val="24"/>
          <w:lang w:eastAsia="fr-FR"/>
        </w:rPr>
        <w:t>Expert Sénior Energie &amp; Développement Durables</w:t>
      </w:r>
    </w:p>
    <w:p w:rsidR="00E25E3A" w:rsidRPr="00E25E3A" w:rsidRDefault="00E25E3A" w:rsidP="00E25E3A">
      <w:pPr>
        <w:spacing w:after="0" w:line="276" w:lineRule="auto"/>
        <w:jc w:val="right"/>
        <w:rPr>
          <w:rFonts w:ascii="Times New Roman" w:eastAsia="Times New Roman" w:hAnsi="Times New Roman" w:cs="Times New Roman"/>
          <w:sz w:val="28"/>
          <w:szCs w:val="24"/>
          <w:lang w:eastAsia="fr-FR"/>
        </w:rPr>
      </w:pPr>
      <w:r w:rsidRPr="00E25E3A">
        <w:rPr>
          <w:rFonts w:ascii="Times New Roman" w:eastAsia="Times New Roman" w:hAnsi="Times New Roman" w:cs="Times New Roman"/>
          <w:sz w:val="28"/>
          <w:szCs w:val="24"/>
          <w:lang w:eastAsia="fr-FR"/>
        </w:rPr>
        <w:t>Cabinet Energy Consulting</w:t>
      </w:r>
    </w:p>
    <w:p w:rsidR="00E25E3A" w:rsidRPr="00E25E3A" w:rsidRDefault="00E25E3A" w:rsidP="00E25E3A">
      <w:pPr>
        <w:spacing w:after="0" w:line="276" w:lineRule="auto"/>
        <w:jc w:val="right"/>
        <w:rPr>
          <w:rFonts w:ascii="Times New Roman" w:eastAsia="Times New Roman" w:hAnsi="Times New Roman" w:cs="Times New Roman"/>
          <w:sz w:val="28"/>
          <w:szCs w:val="24"/>
          <w:lang w:eastAsia="fr-FR"/>
        </w:rPr>
      </w:pPr>
      <w:r w:rsidRPr="00E25E3A">
        <w:rPr>
          <w:rFonts w:ascii="Times New Roman" w:eastAsia="Times New Roman" w:hAnsi="Times New Roman" w:cs="Times New Roman"/>
          <w:sz w:val="28"/>
          <w:szCs w:val="24"/>
          <w:lang w:eastAsia="fr-FR"/>
        </w:rPr>
        <w:t>Rue 29 – 39 Wemtenga, Ouagadougou</w:t>
      </w:r>
    </w:p>
    <w:p w:rsidR="00E25E3A" w:rsidRPr="00E25E3A" w:rsidRDefault="00E25E3A" w:rsidP="00E25E3A">
      <w:pPr>
        <w:spacing w:after="0" w:line="276" w:lineRule="auto"/>
        <w:jc w:val="right"/>
        <w:rPr>
          <w:rFonts w:ascii="Times New Roman" w:eastAsia="Times New Roman" w:hAnsi="Times New Roman" w:cs="Times New Roman"/>
          <w:sz w:val="28"/>
          <w:szCs w:val="24"/>
          <w:lang w:eastAsia="fr-FR"/>
        </w:rPr>
      </w:pPr>
      <w:r w:rsidRPr="00E25E3A">
        <w:rPr>
          <w:rFonts w:ascii="Times New Roman" w:eastAsia="Times New Roman" w:hAnsi="Times New Roman" w:cs="Times New Roman"/>
          <w:sz w:val="28"/>
          <w:szCs w:val="24"/>
          <w:lang w:eastAsia="fr-FR"/>
        </w:rPr>
        <w:t>Tél : (226) 76 66 46 18 / 61 38 63 47</w:t>
      </w:r>
    </w:p>
    <w:p w:rsidR="00E25E3A" w:rsidRPr="00E25E3A" w:rsidRDefault="00FC1989" w:rsidP="00E25E3A">
      <w:pPr>
        <w:spacing w:after="0" w:line="240" w:lineRule="auto"/>
        <w:ind w:left="4956" w:firstLine="708"/>
        <w:jc w:val="both"/>
        <w:rPr>
          <w:rFonts w:ascii="Times New Roman" w:eastAsia="Times New Roman" w:hAnsi="Times New Roman" w:cs="Times New Roman"/>
          <w:b/>
          <w:sz w:val="28"/>
          <w:szCs w:val="28"/>
          <w:lang w:eastAsia="fr-FR"/>
        </w:rPr>
      </w:pPr>
      <w:hyperlink r:id="rId11" w:history="1">
        <w:r w:rsidR="00E25E3A" w:rsidRPr="00E25E3A">
          <w:rPr>
            <w:rFonts w:ascii="Times New Roman" w:eastAsia="Times New Roman" w:hAnsi="Times New Roman" w:cs="Times New Roman"/>
            <w:color w:val="0000FF"/>
            <w:sz w:val="28"/>
            <w:szCs w:val="24"/>
            <w:u w:val="single"/>
            <w:lang w:eastAsia="fr-FR"/>
          </w:rPr>
          <w:t>mdianka21@gmail.com</w:t>
        </w:r>
      </w:hyperlink>
    </w:p>
    <w:p w:rsidR="00E25E3A" w:rsidRPr="00E25E3A" w:rsidRDefault="00E25E3A" w:rsidP="00E25E3A">
      <w:pPr>
        <w:spacing w:after="0" w:line="240" w:lineRule="auto"/>
        <w:jc w:val="both"/>
        <w:rPr>
          <w:rFonts w:ascii="Times New Roman" w:eastAsia="Times New Roman" w:hAnsi="Times New Roman" w:cs="Times New Roman"/>
          <w:b/>
          <w:sz w:val="28"/>
          <w:szCs w:val="28"/>
          <w:lang w:eastAsia="fr-FR"/>
        </w:rPr>
      </w:pPr>
    </w:p>
    <w:p w:rsidR="00E25E3A" w:rsidRPr="00E25E3A" w:rsidRDefault="00E25E3A" w:rsidP="00E25E3A">
      <w:pPr>
        <w:spacing w:after="0" w:line="240" w:lineRule="auto"/>
        <w:jc w:val="both"/>
        <w:rPr>
          <w:rFonts w:ascii="Times New Roman" w:eastAsia="Times New Roman" w:hAnsi="Times New Roman" w:cs="Times New Roman"/>
          <w:b/>
          <w:sz w:val="28"/>
          <w:szCs w:val="28"/>
          <w:lang w:eastAsia="fr-FR"/>
        </w:rPr>
      </w:pPr>
    </w:p>
    <w:p w:rsidR="00E25E3A" w:rsidRPr="00E25E3A" w:rsidRDefault="00650754" w:rsidP="00E25E3A">
      <w:pPr>
        <w:spacing w:after="0" w:line="240" w:lineRule="auto"/>
        <w:jc w:val="center"/>
        <w:rPr>
          <w:rFonts w:ascii="Times New Roman" w:eastAsia="Times New Roman" w:hAnsi="Times New Roman" w:cs="Times New Roman"/>
          <w:b/>
          <w:sz w:val="24"/>
          <w:szCs w:val="24"/>
          <w:lang w:eastAsia="fr-FR"/>
        </w:rPr>
        <w:sectPr w:rsidR="00E25E3A" w:rsidRPr="00E25E3A">
          <w:pgSz w:w="11906" w:h="16838"/>
          <w:pgMar w:top="1417" w:right="1417" w:bottom="1417" w:left="1417" w:header="708" w:footer="708" w:gutter="0"/>
          <w:cols w:space="708"/>
          <w:docGrid w:linePitch="360"/>
        </w:sectPr>
      </w:pPr>
      <w:r>
        <w:rPr>
          <w:rFonts w:ascii="Times New Roman" w:eastAsia="Times New Roman" w:hAnsi="Times New Roman" w:cs="Times New Roman"/>
          <w:b/>
          <w:sz w:val="28"/>
          <w:szCs w:val="28"/>
          <w:lang w:eastAsia="fr-FR"/>
        </w:rPr>
        <w:t>Décembre</w:t>
      </w:r>
      <w:r w:rsidR="00E25E3A" w:rsidRPr="00E25E3A">
        <w:rPr>
          <w:rFonts w:ascii="Times New Roman" w:eastAsia="Times New Roman" w:hAnsi="Times New Roman" w:cs="Times New Roman"/>
          <w:b/>
          <w:sz w:val="28"/>
          <w:szCs w:val="28"/>
          <w:lang w:eastAsia="fr-FR"/>
        </w:rPr>
        <w:t xml:space="preserve"> 2017</w:t>
      </w:r>
    </w:p>
    <w:p w:rsidR="00D450E9" w:rsidRDefault="00D450E9" w:rsidP="001674FB">
      <w:pPr>
        <w:spacing w:line="276" w:lineRule="auto"/>
        <w:jc w:val="both"/>
        <w:rPr>
          <w:rFonts w:ascii="Times New Roman" w:hAnsi="Times New Roman" w:cs="Times New Roman"/>
          <w:b/>
          <w:bCs/>
          <w:sz w:val="24"/>
          <w:szCs w:val="24"/>
        </w:rPr>
      </w:pPr>
    </w:p>
    <w:p w:rsidR="00E865E0" w:rsidRDefault="00E865E0" w:rsidP="001674FB">
      <w:pPr>
        <w:spacing w:line="276" w:lineRule="auto"/>
        <w:jc w:val="both"/>
        <w:rPr>
          <w:rFonts w:ascii="Times New Roman" w:hAnsi="Times New Roman" w:cs="Times New Roman"/>
          <w:b/>
          <w:bCs/>
          <w:sz w:val="24"/>
          <w:szCs w:val="24"/>
        </w:rPr>
      </w:pPr>
    </w:p>
    <w:p w:rsidR="00E865E0" w:rsidRDefault="00E865E0" w:rsidP="001674FB">
      <w:pPr>
        <w:spacing w:line="276" w:lineRule="auto"/>
        <w:jc w:val="both"/>
        <w:rPr>
          <w:rFonts w:ascii="Times New Roman" w:hAnsi="Times New Roman" w:cs="Times New Roman"/>
          <w:b/>
          <w:bCs/>
          <w:sz w:val="24"/>
          <w:szCs w:val="24"/>
        </w:rPr>
        <w:sectPr w:rsidR="00E865E0">
          <w:footerReference w:type="default" r:id="rId12"/>
          <w:pgSz w:w="11906" w:h="16838"/>
          <w:pgMar w:top="1417" w:right="1417" w:bottom="1417" w:left="1417" w:header="708" w:footer="708" w:gutter="0"/>
          <w:cols w:space="708"/>
          <w:docGrid w:linePitch="360"/>
        </w:sectPr>
      </w:pPr>
    </w:p>
    <w:sdt>
      <w:sdtPr>
        <w:rPr>
          <w:rFonts w:asciiTheme="minorHAnsi" w:eastAsiaTheme="minorHAnsi" w:hAnsiTheme="minorHAnsi" w:cstheme="minorBidi"/>
          <w:color w:val="auto"/>
          <w:sz w:val="22"/>
          <w:szCs w:val="22"/>
          <w:lang w:eastAsia="en-US"/>
        </w:rPr>
        <w:id w:val="-1311716065"/>
        <w:docPartObj>
          <w:docPartGallery w:val="Table of Contents"/>
          <w:docPartUnique/>
        </w:docPartObj>
      </w:sdtPr>
      <w:sdtEndPr>
        <w:rPr>
          <w:b/>
          <w:bCs/>
        </w:rPr>
      </w:sdtEndPr>
      <w:sdtContent>
        <w:p w:rsidR="005C0B68" w:rsidRPr="005C0B68" w:rsidRDefault="005C0B68" w:rsidP="005C0B68">
          <w:pPr>
            <w:pStyle w:val="En-ttedetabledesmatires"/>
            <w:spacing w:after="240"/>
            <w:rPr>
              <w:rFonts w:ascii="Times New Roman" w:hAnsi="Times New Roman" w:cs="Times New Roman"/>
              <w:b/>
              <w:color w:val="auto"/>
            </w:rPr>
          </w:pPr>
          <w:r w:rsidRPr="005C0B68">
            <w:rPr>
              <w:rFonts w:ascii="Times New Roman" w:hAnsi="Times New Roman" w:cs="Times New Roman"/>
              <w:b/>
              <w:color w:val="auto"/>
            </w:rPr>
            <w:t>Table des matières</w:t>
          </w:r>
        </w:p>
        <w:p w:rsidR="000F5743" w:rsidRPr="000F5743" w:rsidRDefault="005C0B68" w:rsidP="000F5743">
          <w:pPr>
            <w:pStyle w:val="TM1"/>
            <w:tabs>
              <w:tab w:val="right" w:leader="dot" w:pos="9062"/>
            </w:tabs>
            <w:spacing w:after="0" w:line="276" w:lineRule="auto"/>
            <w:jc w:val="both"/>
            <w:rPr>
              <w:rFonts w:ascii="Times New Roman" w:eastAsiaTheme="minorEastAsia" w:hAnsi="Times New Roman" w:cs="Times New Roman"/>
              <w:noProof/>
              <w:sz w:val="24"/>
              <w:szCs w:val="24"/>
              <w:lang w:eastAsia="fr-FR"/>
            </w:rPr>
          </w:pPr>
          <w:r>
            <w:fldChar w:fldCharType="begin"/>
          </w:r>
          <w:r>
            <w:instrText xml:space="preserve"> TOC \o "1-3" \h \z \u </w:instrText>
          </w:r>
          <w:r>
            <w:fldChar w:fldCharType="separate"/>
          </w:r>
          <w:hyperlink w:anchor="_Toc500352694" w:history="1">
            <w:r w:rsidR="000F5743" w:rsidRPr="000F5743">
              <w:rPr>
                <w:rStyle w:val="Lienhypertexte"/>
                <w:rFonts w:ascii="Times New Roman" w:hAnsi="Times New Roman" w:cs="Times New Roman"/>
                <w:bCs/>
                <w:noProof/>
                <w:sz w:val="24"/>
                <w:szCs w:val="24"/>
              </w:rPr>
              <w:t>i. Introduction</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_Toc500352694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iii</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1"/>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695" w:history="1">
            <w:r w:rsidR="000F5743" w:rsidRPr="000F5743">
              <w:rPr>
                <w:rStyle w:val="Lienhypertexte"/>
                <w:rFonts w:ascii="Times New Roman" w:hAnsi="Times New Roman" w:cs="Times New Roman"/>
                <w:bCs/>
                <w:noProof/>
                <w:sz w:val="24"/>
                <w:szCs w:val="24"/>
              </w:rPr>
              <w:t>ii. Résumé</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_Toc500352695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iv</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left" w:pos="708"/>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696" w:history="1">
            <w:r w:rsidR="000F5743" w:rsidRPr="000F5743">
              <w:rPr>
                <w:rStyle w:val="Lienhypertexte"/>
                <w:rFonts w:ascii="Times New Roman" w:hAnsi="Times New Roman" w:cs="Times New Roman"/>
                <w:bCs/>
                <w:noProof/>
                <w:sz w:val="24"/>
                <w:szCs w:val="24"/>
              </w:rPr>
              <w:t>1.</w:t>
            </w:r>
            <w:r w:rsidR="000F5743" w:rsidRPr="000F5743">
              <w:rPr>
                <w:rFonts w:ascii="Times New Roman" w:eastAsiaTheme="minorEastAsia" w:hAnsi="Times New Roman" w:cs="Times New Roman"/>
                <w:noProof/>
                <w:sz w:val="24"/>
                <w:szCs w:val="24"/>
                <w:lang w:eastAsia="fr-FR"/>
              </w:rPr>
              <w:tab/>
            </w:r>
            <w:r w:rsidR="000F5743" w:rsidRPr="000F5743">
              <w:rPr>
                <w:rStyle w:val="Lienhypertexte"/>
                <w:rFonts w:ascii="Times New Roman" w:hAnsi="Times New Roman" w:cs="Times New Roman"/>
                <w:bCs/>
                <w:noProof/>
                <w:sz w:val="24"/>
                <w:szCs w:val="24"/>
              </w:rPr>
              <w:t>Tableau de résumé du projet</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_Toc500352696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iv</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left" w:pos="708"/>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697" w:history="1">
            <w:r w:rsidR="000F5743" w:rsidRPr="000F5743">
              <w:rPr>
                <w:rStyle w:val="Lienhypertexte"/>
                <w:rFonts w:ascii="Times New Roman" w:hAnsi="Times New Roman" w:cs="Times New Roman"/>
                <w:bCs/>
                <w:noProof/>
                <w:sz w:val="24"/>
                <w:szCs w:val="24"/>
              </w:rPr>
              <w:t>2.</w:t>
            </w:r>
            <w:r w:rsidR="000F5743" w:rsidRPr="000F5743">
              <w:rPr>
                <w:rFonts w:ascii="Times New Roman" w:eastAsiaTheme="minorEastAsia" w:hAnsi="Times New Roman" w:cs="Times New Roman"/>
                <w:noProof/>
                <w:sz w:val="24"/>
                <w:szCs w:val="24"/>
                <w:lang w:eastAsia="fr-FR"/>
              </w:rPr>
              <w:tab/>
            </w:r>
            <w:r w:rsidR="000F5743" w:rsidRPr="000F5743">
              <w:rPr>
                <w:rStyle w:val="Lienhypertexte"/>
                <w:rFonts w:ascii="Times New Roman" w:hAnsi="Times New Roman" w:cs="Times New Roman"/>
                <w:bCs/>
                <w:noProof/>
                <w:sz w:val="24"/>
                <w:szCs w:val="24"/>
              </w:rPr>
              <w:t>Description du projet (brève)</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_Toc500352697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iv</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left" w:pos="708"/>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698" w:history="1">
            <w:r w:rsidR="000F5743" w:rsidRPr="000F5743">
              <w:rPr>
                <w:rStyle w:val="Lienhypertexte"/>
                <w:rFonts w:ascii="Times New Roman" w:hAnsi="Times New Roman" w:cs="Times New Roman"/>
                <w:bCs/>
                <w:noProof/>
                <w:sz w:val="24"/>
                <w:szCs w:val="24"/>
              </w:rPr>
              <w:t>3.</w:t>
            </w:r>
            <w:r w:rsidR="000F5743" w:rsidRPr="000F5743">
              <w:rPr>
                <w:rFonts w:ascii="Times New Roman" w:eastAsiaTheme="minorEastAsia" w:hAnsi="Times New Roman" w:cs="Times New Roman"/>
                <w:noProof/>
                <w:sz w:val="24"/>
                <w:szCs w:val="24"/>
                <w:lang w:eastAsia="fr-FR"/>
              </w:rPr>
              <w:tab/>
            </w:r>
            <w:r w:rsidR="000F5743" w:rsidRPr="000F5743">
              <w:rPr>
                <w:rStyle w:val="Lienhypertexte"/>
                <w:rFonts w:ascii="Times New Roman" w:hAnsi="Times New Roman" w:cs="Times New Roman"/>
                <w:bCs/>
                <w:noProof/>
                <w:sz w:val="24"/>
                <w:szCs w:val="24"/>
              </w:rPr>
              <w:t>Tableau de notations d’évaluation</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_Toc500352698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vi</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left" w:pos="708"/>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699" w:history="1">
            <w:r w:rsidR="000F5743" w:rsidRPr="000F5743">
              <w:rPr>
                <w:rStyle w:val="Lienhypertexte"/>
                <w:rFonts w:ascii="Times New Roman" w:hAnsi="Times New Roman" w:cs="Times New Roman"/>
                <w:bCs/>
                <w:noProof/>
                <w:sz w:val="24"/>
                <w:szCs w:val="24"/>
              </w:rPr>
              <w:t>4.</w:t>
            </w:r>
            <w:r w:rsidR="000F5743" w:rsidRPr="000F5743">
              <w:rPr>
                <w:rFonts w:ascii="Times New Roman" w:eastAsiaTheme="minorEastAsia" w:hAnsi="Times New Roman" w:cs="Times New Roman"/>
                <w:noProof/>
                <w:sz w:val="24"/>
                <w:szCs w:val="24"/>
                <w:lang w:eastAsia="fr-FR"/>
              </w:rPr>
              <w:tab/>
            </w:r>
            <w:r w:rsidR="000F5743" w:rsidRPr="000F5743">
              <w:rPr>
                <w:rStyle w:val="Lienhypertexte"/>
                <w:rFonts w:ascii="Times New Roman" w:hAnsi="Times New Roman" w:cs="Times New Roman"/>
                <w:bCs/>
                <w:noProof/>
                <w:sz w:val="24"/>
                <w:szCs w:val="24"/>
              </w:rPr>
              <w:t>Conclusions, recommandations et enseignements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_Toc500352699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viii</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1"/>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00" w:history="1">
            <w:r w:rsidR="000F5743" w:rsidRPr="000F5743">
              <w:rPr>
                <w:rStyle w:val="Lienhypertexte"/>
                <w:rFonts w:ascii="Times New Roman" w:hAnsi="Times New Roman" w:cs="Times New Roman"/>
                <w:bCs/>
                <w:noProof/>
                <w:sz w:val="24"/>
                <w:szCs w:val="24"/>
              </w:rPr>
              <w:t>1. Introduction</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_Toc500352700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01" w:history="1">
            <w:r w:rsidR="000F5743" w:rsidRPr="000F5743">
              <w:rPr>
                <w:rStyle w:val="Lienhypertexte"/>
                <w:rFonts w:ascii="Times New Roman" w:hAnsi="Times New Roman" w:cs="Times New Roman"/>
                <w:bCs/>
                <w:noProof/>
                <w:sz w:val="24"/>
                <w:szCs w:val="24"/>
              </w:rPr>
              <w:t>1.1. Contexte de l’étude</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_Toc500352701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02" w:history="1">
            <w:r w:rsidR="000F5743" w:rsidRPr="000F5743">
              <w:rPr>
                <w:rStyle w:val="Lienhypertexte"/>
                <w:rFonts w:ascii="Times New Roman" w:hAnsi="Times New Roman" w:cs="Times New Roman"/>
                <w:bCs/>
                <w:noProof/>
                <w:sz w:val="24"/>
                <w:szCs w:val="24"/>
              </w:rPr>
              <w:t>1.2. Objectifs de l’évaluation</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_Toc500352702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03" w:history="1">
            <w:r w:rsidR="000F5743" w:rsidRPr="000F5743">
              <w:rPr>
                <w:rStyle w:val="Lienhypertexte"/>
                <w:rFonts w:ascii="Times New Roman" w:hAnsi="Times New Roman" w:cs="Times New Roman"/>
                <w:bCs/>
                <w:noProof/>
                <w:sz w:val="24"/>
                <w:szCs w:val="24"/>
              </w:rPr>
              <w:t>1.3. Champ d’application</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_Toc500352703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04" w:history="1">
            <w:r w:rsidR="000F5743" w:rsidRPr="000F5743">
              <w:rPr>
                <w:rStyle w:val="Lienhypertexte"/>
                <w:rFonts w:ascii="Times New Roman" w:hAnsi="Times New Roman" w:cs="Times New Roman"/>
                <w:bCs/>
                <w:noProof/>
                <w:sz w:val="24"/>
                <w:szCs w:val="24"/>
              </w:rPr>
              <w:t>1.4. Méthodologie</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_Toc500352704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05" w:history="1">
            <w:r w:rsidR="000F5743" w:rsidRPr="000F5743">
              <w:rPr>
                <w:rStyle w:val="Lienhypertexte"/>
                <w:rFonts w:ascii="Times New Roman" w:hAnsi="Times New Roman" w:cs="Times New Roman"/>
                <w:bCs/>
                <w:noProof/>
                <w:sz w:val="24"/>
                <w:szCs w:val="24"/>
              </w:rPr>
              <w:t>1.5. Structure du rapport d’évaluation</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_Toc500352705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4</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1"/>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06" w:history="1">
            <w:r w:rsidR="000F5743" w:rsidRPr="000F5743">
              <w:rPr>
                <w:rStyle w:val="Lienhypertexte"/>
                <w:rFonts w:ascii="Times New Roman" w:hAnsi="Times New Roman" w:cs="Times New Roman"/>
                <w:bCs/>
                <w:noProof/>
                <w:sz w:val="24"/>
                <w:szCs w:val="24"/>
              </w:rPr>
              <w:t>2. Description et contexte de développement du projet</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_Toc500352706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5</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07" w:history="1">
            <w:r w:rsidR="000F5743" w:rsidRPr="000F5743">
              <w:rPr>
                <w:rStyle w:val="Lienhypertexte"/>
                <w:rFonts w:ascii="Times New Roman" w:hAnsi="Times New Roman" w:cs="Times New Roman"/>
                <w:bCs/>
                <w:noProof/>
                <w:sz w:val="24"/>
                <w:szCs w:val="24"/>
              </w:rPr>
              <w:t>2.1. Démarrage et durée du projet</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_Toc500352707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5</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08" w:history="1">
            <w:r w:rsidR="000F5743" w:rsidRPr="000F5743">
              <w:rPr>
                <w:rStyle w:val="Lienhypertexte"/>
                <w:rFonts w:ascii="Times New Roman" w:hAnsi="Times New Roman" w:cs="Times New Roman"/>
                <w:bCs/>
                <w:noProof/>
                <w:sz w:val="24"/>
                <w:szCs w:val="24"/>
              </w:rPr>
              <w:t>2.2. Contexte de développement</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_Toc500352708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5</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09" w:history="1">
            <w:r w:rsidR="000F5743" w:rsidRPr="000F5743">
              <w:rPr>
                <w:rStyle w:val="Lienhypertexte"/>
                <w:rFonts w:ascii="Times New Roman" w:hAnsi="Times New Roman" w:cs="Times New Roman"/>
                <w:bCs/>
                <w:noProof/>
                <w:sz w:val="24"/>
                <w:szCs w:val="24"/>
              </w:rPr>
              <w:t>2.4. Objectifs immédiats et de développement du projet</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_Toc500352709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7</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10" w:history="1">
            <w:r w:rsidR="000F5743" w:rsidRPr="000F5743">
              <w:rPr>
                <w:rStyle w:val="Lienhypertexte"/>
                <w:rFonts w:ascii="Times New Roman" w:hAnsi="Times New Roman" w:cs="Times New Roman"/>
                <w:bCs/>
                <w:noProof/>
                <w:sz w:val="24"/>
                <w:szCs w:val="24"/>
              </w:rPr>
              <w:t>2.5. Indicateurs de base mis en place</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_Toc500352710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7</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11" w:history="1">
            <w:r w:rsidR="000F5743" w:rsidRPr="000F5743">
              <w:rPr>
                <w:rStyle w:val="Lienhypertexte"/>
                <w:rFonts w:ascii="Times New Roman" w:hAnsi="Times New Roman" w:cs="Times New Roman"/>
                <w:bCs/>
                <w:noProof/>
                <w:sz w:val="24"/>
                <w:szCs w:val="24"/>
              </w:rPr>
              <w:t>2.6. Organisation de la mise en œuvre du projet</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_Toc500352711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8</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12" w:history="1">
            <w:r w:rsidR="000F5743" w:rsidRPr="000F5743">
              <w:rPr>
                <w:rStyle w:val="Lienhypertexte"/>
                <w:rFonts w:ascii="Times New Roman" w:hAnsi="Times New Roman" w:cs="Times New Roman"/>
                <w:bCs/>
                <w:noProof/>
                <w:sz w:val="24"/>
                <w:szCs w:val="24"/>
              </w:rPr>
              <w:t>2.7. Partenaires et principales parties prenantes impliqués dans la mise en œuvre du projet</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_Toc500352712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8</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13" w:history="1">
            <w:r w:rsidR="000F5743" w:rsidRPr="000F5743">
              <w:rPr>
                <w:rStyle w:val="Lienhypertexte"/>
                <w:rFonts w:ascii="Times New Roman" w:hAnsi="Times New Roman" w:cs="Times New Roman"/>
                <w:bCs/>
                <w:noProof/>
                <w:sz w:val="24"/>
                <w:szCs w:val="24"/>
              </w:rPr>
              <w:t>2.8. Sites d’intervention du projet</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_Toc500352713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8</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14" w:history="1">
            <w:r w:rsidR="000F5743" w:rsidRPr="000F5743">
              <w:rPr>
                <w:rStyle w:val="Lienhypertexte"/>
                <w:rFonts w:ascii="Times New Roman" w:hAnsi="Times New Roman" w:cs="Times New Roman"/>
                <w:bCs/>
                <w:noProof/>
                <w:sz w:val="24"/>
                <w:szCs w:val="24"/>
              </w:rPr>
              <w:t>2.9. Résultats escomptés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_Toc500352714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8</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1"/>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15" w:history="1">
            <w:r w:rsidR="000F5743" w:rsidRPr="000F5743">
              <w:rPr>
                <w:rStyle w:val="Lienhypertexte"/>
                <w:rFonts w:ascii="Times New Roman" w:hAnsi="Times New Roman" w:cs="Times New Roman"/>
                <w:bCs/>
                <w:noProof/>
                <w:sz w:val="24"/>
                <w:szCs w:val="24"/>
              </w:rPr>
              <w:t>3. Conclusions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_Toc500352715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10</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16" w:history="1">
            <w:r w:rsidR="000F5743" w:rsidRPr="000F5743">
              <w:rPr>
                <w:rStyle w:val="Lienhypertexte"/>
                <w:rFonts w:ascii="Times New Roman" w:hAnsi="Times New Roman" w:cs="Times New Roman"/>
                <w:bCs/>
                <w:noProof/>
                <w:sz w:val="24"/>
                <w:szCs w:val="24"/>
              </w:rPr>
              <w:t>3.1 Conception/Formulation du projet</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_Toc500352716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10</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17" w:history="1">
            <w:r w:rsidR="000F5743" w:rsidRPr="000F5743">
              <w:rPr>
                <w:rStyle w:val="Lienhypertexte"/>
                <w:rFonts w:ascii="Times New Roman" w:hAnsi="Times New Roman" w:cs="Times New Roman"/>
                <w:bCs/>
                <w:noProof/>
                <w:sz w:val="24"/>
                <w:szCs w:val="24"/>
              </w:rPr>
              <w:t>Analyse du cadre logique - ACL (Logique/stratégie du projet ; indicateurs)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_Toc500352717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10</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18" w:history="1">
            <w:r w:rsidR="000F5743" w:rsidRPr="000F5743">
              <w:rPr>
                <w:rStyle w:val="Lienhypertexte"/>
                <w:rFonts w:ascii="Times New Roman" w:hAnsi="Times New Roman" w:cs="Times New Roman"/>
                <w:bCs/>
                <w:noProof/>
                <w:sz w:val="24"/>
                <w:szCs w:val="24"/>
              </w:rPr>
              <w:t>Hypothèses et risques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_Toc500352718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12</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19" w:history="1">
            <w:r w:rsidR="000F5743" w:rsidRPr="000F5743">
              <w:rPr>
                <w:rStyle w:val="Lienhypertexte"/>
                <w:rFonts w:ascii="Times New Roman" w:hAnsi="Times New Roman" w:cs="Times New Roman"/>
                <w:bCs/>
                <w:noProof/>
                <w:sz w:val="24"/>
                <w:szCs w:val="24"/>
              </w:rPr>
              <w:t>Enseignements tirés des autres projets pertinents incorporés dans la conception du projet</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_Toc500352719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12</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20" w:history="1">
            <w:r w:rsidR="000F5743" w:rsidRPr="000F5743">
              <w:rPr>
                <w:rStyle w:val="Lienhypertexte"/>
                <w:rFonts w:ascii="Times New Roman" w:hAnsi="Times New Roman" w:cs="Times New Roman"/>
                <w:bCs/>
                <w:noProof/>
                <w:sz w:val="24"/>
                <w:szCs w:val="24"/>
              </w:rPr>
              <w:t>Participation prévue des parties prenantes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_Toc500352720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13</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21" w:history="1">
            <w:r w:rsidR="000F5743" w:rsidRPr="000F5743">
              <w:rPr>
                <w:rStyle w:val="Lienhypertexte"/>
                <w:rFonts w:ascii="Times New Roman" w:hAnsi="Times New Roman" w:cs="Times New Roman"/>
                <w:bCs/>
                <w:noProof/>
                <w:sz w:val="24"/>
                <w:szCs w:val="24"/>
              </w:rPr>
              <w:t>Approche de réplication</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_Toc500352721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13</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22" w:history="1">
            <w:r w:rsidR="000F5743" w:rsidRPr="000F5743">
              <w:rPr>
                <w:rStyle w:val="Lienhypertexte"/>
                <w:rFonts w:ascii="Times New Roman" w:hAnsi="Times New Roman" w:cs="Times New Roman"/>
                <w:bCs/>
                <w:noProof/>
                <w:sz w:val="24"/>
                <w:szCs w:val="24"/>
              </w:rPr>
              <w:t>Avantage comparatif du PNUD</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_Toc500352722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13</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23" w:history="1">
            <w:r w:rsidR="000F5743" w:rsidRPr="000F5743">
              <w:rPr>
                <w:rStyle w:val="Lienhypertexte"/>
                <w:rFonts w:ascii="Times New Roman" w:hAnsi="Times New Roman" w:cs="Times New Roman"/>
                <w:bCs/>
                <w:noProof/>
                <w:sz w:val="24"/>
                <w:szCs w:val="24"/>
              </w:rPr>
              <w:t>Les liens entre le projet et d’autres interventions au sein du secteur</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_Toc500352723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14</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24" w:history="1">
            <w:r w:rsidR="000F5743" w:rsidRPr="000F5743">
              <w:rPr>
                <w:rStyle w:val="Lienhypertexte"/>
                <w:rFonts w:ascii="Times New Roman" w:hAnsi="Times New Roman" w:cs="Times New Roman"/>
                <w:bCs/>
                <w:noProof/>
                <w:sz w:val="24"/>
                <w:szCs w:val="24"/>
              </w:rPr>
              <w:t>Modalités de gestion</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_Toc500352724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14</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25" w:history="1">
            <w:r w:rsidR="000F5743" w:rsidRPr="000F5743">
              <w:rPr>
                <w:rStyle w:val="Lienhypertexte"/>
                <w:rFonts w:ascii="Times New Roman" w:hAnsi="Times New Roman" w:cs="Times New Roman"/>
                <w:bCs/>
                <w:noProof/>
                <w:sz w:val="24"/>
                <w:szCs w:val="24"/>
              </w:rPr>
              <w:t>3.2 Mise en œuvre du projet et progrès réalisés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_Toc500352725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15</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26" w:history="1">
            <w:r w:rsidR="000F5743" w:rsidRPr="000F5743">
              <w:rPr>
                <w:rStyle w:val="Lienhypertexte"/>
                <w:rFonts w:ascii="Times New Roman" w:hAnsi="Times New Roman" w:cs="Times New Roman"/>
                <w:bCs/>
                <w:noProof/>
                <w:sz w:val="24"/>
                <w:szCs w:val="24"/>
              </w:rPr>
              <w:t>Gestion adaptative (modifications apportées à la conception du projet et résultats du projet lors de la mise en œuvre)</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_Toc500352726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15</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27" w:history="1">
            <w:r w:rsidR="000F5743" w:rsidRPr="000F5743">
              <w:rPr>
                <w:rStyle w:val="Lienhypertexte"/>
                <w:rFonts w:ascii="Times New Roman" w:hAnsi="Times New Roman" w:cs="Times New Roman"/>
                <w:bCs/>
                <w:noProof/>
                <w:sz w:val="24"/>
                <w:szCs w:val="24"/>
              </w:rPr>
              <w:t>Accords de partenariat</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_Toc500352727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15</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28" w:history="1">
            <w:r w:rsidR="000F5743" w:rsidRPr="000F5743">
              <w:rPr>
                <w:rStyle w:val="Lienhypertexte"/>
                <w:rFonts w:ascii="Times New Roman" w:hAnsi="Times New Roman" w:cs="Times New Roman"/>
                <w:bCs/>
                <w:noProof/>
                <w:sz w:val="24"/>
                <w:szCs w:val="24"/>
              </w:rPr>
              <w:t>Commentaires provenant des activités de suivi et d’évaluation utilisés dans le cadre de la gestion adaptative</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_Toc500352728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15</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29" w:history="1">
            <w:r w:rsidR="000F5743" w:rsidRPr="000F5743">
              <w:rPr>
                <w:rStyle w:val="Lienhypertexte"/>
                <w:rFonts w:ascii="Times New Roman" w:hAnsi="Times New Roman" w:cs="Times New Roman"/>
                <w:bCs/>
                <w:noProof/>
                <w:sz w:val="24"/>
                <w:szCs w:val="24"/>
              </w:rPr>
              <w:t>Financement / cofinancement du projet</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_Toc500352729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15</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30" w:history="1">
            <w:r w:rsidR="000F5743" w:rsidRPr="000F5743">
              <w:rPr>
                <w:rStyle w:val="Lienhypertexte"/>
                <w:rFonts w:ascii="Times New Roman" w:hAnsi="Times New Roman" w:cs="Times New Roman"/>
                <w:bCs/>
                <w:noProof/>
                <w:sz w:val="24"/>
                <w:szCs w:val="24"/>
              </w:rPr>
              <w:t>3.2. Modifications intervenues au cours de la mise en œuvre</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_Toc500352730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16</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31" w:history="1">
            <w:r w:rsidR="000F5743" w:rsidRPr="000F5743">
              <w:rPr>
                <w:rStyle w:val="Lienhypertexte"/>
                <w:rFonts w:ascii="Times New Roman" w:hAnsi="Times New Roman" w:cs="Times New Roman"/>
                <w:bCs/>
                <w:noProof/>
                <w:sz w:val="24"/>
                <w:szCs w:val="24"/>
              </w:rPr>
              <w:t>Suivi et évaluation : conception à l’entrée et mise en œuvre</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_Toc500352731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16</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32" w:history="1">
            <w:r w:rsidR="000F5743" w:rsidRPr="000F5743">
              <w:rPr>
                <w:rStyle w:val="Lienhypertexte"/>
                <w:rFonts w:ascii="Times New Roman" w:hAnsi="Times New Roman" w:cs="Times New Roman"/>
                <w:bCs/>
                <w:noProof/>
                <w:sz w:val="24"/>
                <w:szCs w:val="24"/>
              </w:rPr>
              <w:t>Coordination au niveau de la mise en œuvre et de l’exécution avec PNUD et le partenaire de mise en œuvre et questions opérationnelles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_Toc500352732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16</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33" w:history="1">
            <w:r w:rsidR="000F5743" w:rsidRPr="000F5743">
              <w:rPr>
                <w:rStyle w:val="Lienhypertexte"/>
                <w:rFonts w:ascii="Times New Roman" w:hAnsi="Times New Roman" w:cs="Times New Roman"/>
                <w:bCs/>
                <w:noProof/>
                <w:sz w:val="24"/>
                <w:szCs w:val="24"/>
              </w:rPr>
              <w:t>3.3 Résultats du projet - Performance</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_Toc500352733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16</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34" w:history="1">
            <w:r w:rsidR="000F5743" w:rsidRPr="000F5743">
              <w:rPr>
                <w:rStyle w:val="Lienhypertexte"/>
                <w:rFonts w:ascii="Times New Roman" w:hAnsi="Times New Roman" w:cs="Times New Roman"/>
                <w:bCs/>
                <w:noProof/>
                <w:sz w:val="24"/>
                <w:szCs w:val="24"/>
              </w:rPr>
              <w:t>Résultats globaux (réalisation des objectifs)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_Toc500352734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16</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35" w:history="1">
            <w:r w:rsidR="000F5743" w:rsidRPr="000F5743">
              <w:rPr>
                <w:rStyle w:val="Lienhypertexte"/>
                <w:rFonts w:ascii="Times New Roman" w:hAnsi="Times New Roman" w:cs="Times New Roman"/>
                <w:bCs/>
                <w:noProof/>
                <w:sz w:val="24"/>
                <w:szCs w:val="24"/>
              </w:rPr>
              <w:t>Pertinence</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_Toc500352735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18</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36" w:history="1">
            <w:r w:rsidR="000F5743" w:rsidRPr="000F5743">
              <w:rPr>
                <w:rStyle w:val="Lienhypertexte"/>
                <w:rFonts w:ascii="Times New Roman" w:hAnsi="Times New Roman" w:cs="Times New Roman"/>
                <w:bCs/>
                <w:noProof/>
                <w:sz w:val="24"/>
                <w:szCs w:val="24"/>
              </w:rPr>
              <w:t>Efficacité.</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_Toc500352736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19</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37" w:history="1">
            <w:r w:rsidR="000F5743" w:rsidRPr="000F5743">
              <w:rPr>
                <w:rStyle w:val="Lienhypertexte"/>
                <w:rFonts w:ascii="Times New Roman" w:hAnsi="Times New Roman" w:cs="Times New Roman"/>
                <w:bCs/>
                <w:noProof/>
                <w:sz w:val="24"/>
                <w:szCs w:val="24"/>
              </w:rPr>
              <w:t>Efficience</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_Toc500352737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21</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38" w:history="1">
            <w:r w:rsidR="000F5743" w:rsidRPr="000F5743">
              <w:rPr>
                <w:rStyle w:val="Lienhypertexte"/>
                <w:rFonts w:ascii="Times New Roman" w:hAnsi="Times New Roman" w:cs="Times New Roman"/>
                <w:bCs/>
                <w:noProof/>
                <w:sz w:val="24"/>
                <w:szCs w:val="24"/>
              </w:rPr>
              <w:t>Appropriation par le pays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_Toc500352738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21</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39" w:history="1">
            <w:r w:rsidR="000F5743" w:rsidRPr="000F5743">
              <w:rPr>
                <w:rStyle w:val="Lienhypertexte"/>
                <w:rFonts w:ascii="Times New Roman" w:hAnsi="Times New Roman" w:cs="Times New Roman"/>
                <w:bCs/>
                <w:noProof/>
                <w:sz w:val="24"/>
                <w:szCs w:val="24"/>
              </w:rPr>
              <w:t>Intégration</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_Toc500352739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21</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40" w:history="1">
            <w:r w:rsidR="000F5743" w:rsidRPr="000F5743">
              <w:rPr>
                <w:rStyle w:val="Lienhypertexte"/>
                <w:rFonts w:ascii="Times New Roman" w:hAnsi="Times New Roman" w:cs="Times New Roman"/>
                <w:bCs/>
                <w:noProof/>
                <w:sz w:val="24"/>
                <w:szCs w:val="24"/>
              </w:rPr>
              <w:t>Durabilité</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_Toc500352740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21</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41" w:history="1">
            <w:r w:rsidR="000F5743" w:rsidRPr="000F5743">
              <w:rPr>
                <w:rStyle w:val="Lienhypertexte"/>
                <w:rFonts w:ascii="Times New Roman" w:hAnsi="Times New Roman" w:cs="Times New Roman"/>
                <w:bCs/>
                <w:noProof/>
                <w:sz w:val="24"/>
                <w:szCs w:val="24"/>
              </w:rPr>
              <w:t>Impact</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_Toc500352741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21</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3"/>
            <w:spacing w:after="0" w:line="276" w:lineRule="auto"/>
            <w:jc w:val="both"/>
            <w:rPr>
              <w:rFonts w:ascii="Times New Roman" w:eastAsiaTheme="minorEastAsia" w:hAnsi="Times New Roman" w:cs="Times New Roman"/>
              <w:noProof/>
              <w:sz w:val="24"/>
              <w:szCs w:val="24"/>
              <w:lang w:eastAsia="fr-FR"/>
            </w:rPr>
          </w:pPr>
          <w:hyperlink w:anchor="_Toc500352742" w:history="1">
            <w:r w:rsidR="000F5743" w:rsidRPr="000F5743">
              <w:rPr>
                <w:rStyle w:val="Lienhypertexte"/>
                <w:rFonts w:ascii="Times New Roman" w:hAnsi="Times New Roman" w:cs="Times New Roman"/>
                <w:bCs/>
                <w:noProof/>
                <w:sz w:val="24"/>
                <w:szCs w:val="24"/>
              </w:rPr>
              <w:t>Prise en compte du genre</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_Toc500352742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21</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1"/>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43" w:history="1">
            <w:r w:rsidR="000F5743" w:rsidRPr="000F5743">
              <w:rPr>
                <w:rStyle w:val="Lienhypertexte"/>
                <w:rFonts w:ascii="Times New Roman" w:hAnsi="Times New Roman" w:cs="Times New Roman"/>
                <w:bCs/>
                <w:noProof/>
                <w:sz w:val="24"/>
                <w:szCs w:val="24"/>
              </w:rPr>
              <w:t>4. Contraintes et difficultés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_Toc500352743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22</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1"/>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44" w:history="1">
            <w:r w:rsidR="000F5743" w:rsidRPr="000F5743">
              <w:rPr>
                <w:rStyle w:val="Lienhypertexte"/>
                <w:rFonts w:ascii="Times New Roman" w:hAnsi="Times New Roman" w:cs="Times New Roman"/>
                <w:noProof/>
                <w:sz w:val="24"/>
                <w:szCs w:val="24"/>
              </w:rPr>
              <w:t>5. Conclusions, recommandations et enseignements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_Toc500352744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22</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1"/>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45" w:history="1">
            <w:r w:rsidR="000F5743" w:rsidRPr="000F5743">
              <w:rPr>
                <w:rStyle w:val="Lienhypertexte"/>
                <w:rFonts w:ascii="Times New Roman" w:hAnsi="Times New Roman" w:cs="Times New Roman"/>
                <w:bCs/>
                <w:noProof/>
                <w:sz w:val="24"/>
                <w:szCs w:val="24"/>
              </w:rPr>
              <w:t>6. Annexes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_Toc500352745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25</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46" w:history="1">
            <w:r w:rsidR="000F5743" w:rsidRPr="000F5743">
              <w:rPr>
                <w:rStyle w:val="Lienhypertexte"/>
                <w:rFonts w:ascii="Times New Roman" w:hAnsi="Times New Roman" w:cs="Times New Roman"/>
                <w:bCs/>
                <w:noProof/>
                <w:sz w:val="24"/>
                <w:szCs w:val="24"/>
              </w:rPr>
              <w:t>6.1. Termes de référence</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_Toc500352746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25</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47" w:history="1">
            <w:r w:rsidR="000F5743" w:rsidRPr="000F5743">
              <w:rPr>
                <w:rStyle w:val="Lienhypertexte"/>
                <w:rFonts w:ascii="Times New Roman" w:hAnsi="Times New Roman" w:cs="Times New Roman"/>
                <w:bCs/>
                <w:noProof/>
                <w:sz w:val="24"/>
                <w:szCs w:val="24"/>
              </w:rPr>
              <w:t>6.2. Itinéraires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_Toc500352747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25</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48" w:history="1">
            <w:r w:rsidR="000F5743" w:rsidRPr="000F5743">
              <w:rPr>
                <w:rStyle w:val="Lienhypertexte"/>
                <w:rFonts w:ascii="Times New Roman" w:hAnsi="Times New Roman" w:cs="Times New Roman"/>
                <w:bCs/>
                <w:noProof/>
                <w:sz w:val="24"/>
                <w:szCs w:val="24"/>
              </w:rPr>
              <w:t>6.3. Liste des personnes rencontrées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_Toc500352748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25</w:t>
            </w:r>
            <w:r w:rsidR="000F5743" w:rsidRPr="000F5743">
              <w:rPr>
                <w:rFonts w:ascii="Times New Roman" w:hAnsi="Times New Roman" w:cs="Times New Roman"/>
                <w:noProof/>
                <w:webHidden/>
                <w:sz w:val="24"/>
                <w:szCs w:val="24"/>
              </w:rPr>
              <w:fldChar w:fldCharType="end"/>
            </w:r>
          </w:hyperlink>
        </w:p>
        <w:p w:rsidR="000F5743" w:rsidRPr="000F5743" w:rsidRDefault="00FC1989" w:rsidP="000F5743">
          <w:pPr>
            <w:pStyle w:val="TM2"/>
            <w:tabs>
              <w:tab w:val="right" w:leader="dot" w:pos="9062"/>
            </w:tabs>
            <w:spacing w:after="0" w:line="276" w:lineRule="auto"/>
            <w:jc w:val="both"/>
            <w:rPr>
              <w:rFonts w:ascii="Times New Roman" w:eastAsiaTheme="minorEastAsia" w:hAnsi="Times New Roman" w:cs="Times New Roman"/>
              <w:noProof/>
              <w:sz w:val="24"/>
              <w:szCs w:val="24"/>
              <w:lang w:eastAsia="fr-FR"/>
            </w:rPr>
          </w:pPr>
          <w:hyperlink w:anchor="_Toc500352749" w:history="1">
            <w:r w:rsidR="000F5743" w:rsidRPr="000F5743">
              <w:rPr>
                <w:rStyle w:val="Lienhypertexte"/>
                <w:rFonts w:ascii="Times New Roman" w:hAnsi="Times New Roman" w:cs="Times New Roman"/>
                <w:bCs/>
                <w:noProof/>
                <w:sz w:val="24"/>
                <w:szCs w:val="24"/>
              </w:rPr>
              <w:t>6.4. Liste des documents consultés</w:t>
            </w:r>
            <w:r w:rsidR="000F5743" w:rsidRPr="000F5743">
              <w:rPr>
                <w:rFonts w:ascii="Times New Roman" w:hAnsi="Times New Roman" w:cs="Times New Roman"/>
                <w:noProof/>
                <w:webHidden/>
                <w:sz w:val="24"/>
                <w:szCs w:val="24"/>
              </w:rPr>
              <w:tab/>
            </w:r>
            <w:r w:rsidR="000F5743" w:rsidRPr="000F5743">
              <w:rPr>
                <w:rFonts w:ascii="Times New Roman" w:hAnsi="Times New Roman" w:cs="Times New Roman"/>
                <w:noProof/>
                <w:webHidden/>
                <w:sz w:val="24"/>
                <w:szCs w:val="24"/>
              </w:rPr>
              <w:fldChar w:fldCharType="begin"/>
            </w:r>
            <w:r w:rsidR="000F5743" w:rsidRPr="000F5743">
              <w:rPr>
                <w:rFonts w:ascii="Times New Roman" w:hAnsi="Times New Roman" w:cs="Times New Roman"/>
                <w:noProof/>
                <w:webHidden/>
                <w:sz w:val="24"/>
                <w:szCs w:val="24"/>
              </w:rPr>
              <w:instrText xml:space="preserve"> PAGEREF _Toc500352749 \h </w:instrText>
            </w:r>
            <w:r w:rsidR="000F5743" w:rsidRPr="000F5743">
              <w:rPr>
                <w:rFonts w:ascii="Times New Roman" w:hAnsi="Times New Roman" w:cs="Times New Roman"/>
                <w:noProof/>
                <w:webHidden/>
                <w:sz w:val="24"/>
                <w:szCs w:val="24"/>
              </w:rPr>
            </w:r>
            <w:r w:rsidR="000F5743" w:rsidRPr="000F5743">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25</w:t>
            </w:r>
            <w:r w:rsidR="000F5743" w:rsidRPr="000F5743">
              <w:rPr>
                <w:rFonts w:ascii="Times New Roman" w:hAnsi="Times New Roman" w:cs="Times New Roman"/>
                <w:noProof/>
                <w:webHidden/>
                <w:sz w:val="24"/>
                <w:szCs w:val="24"/>
              </w:rPr>
              <w:fldChar w:fldCharType="end"/>
            </w:r>
          </w:hyperlink>
        </w:p>
        <w:p w:rsidR="005C0B68" w:rsidRDefault="005C0B68">
          <w:r>
            <w:rPr>
              <w:b/>
              <w:bCs/>
            </w:rPr>
            <w:fldChar w:fldCharType="end"/>
          </w:r>
        </w:p>
      </w:sdtContent>
    </w:sdt>
    <w:p w:rsidR="000F5743" w:rsidRDefault="000F5743" w:rsidP="001674FB">
      <w:pPr>
        <w:spacing w:line="276" w:lineRule="auto"/>
        <w:jc w:val="both"/>
        <w:rPr>
          <w:rFonts w:ascii="Times New Roman" w:hAnsi="Times New Roman" w:cs="Times New Roman"/>
          <w:b/>
          <w:bCs/>
          <w:sz w:val="24"/>
          <w:szCs w:val="24"/>
        </w:rPr>
      </w:pPr>
    </w:p>
    <w:p w:rsidR="000F5743" w:rsidRPr="002B1D0F" w:rsidRDefault="000F5743" w:rsidP="000F5743">
      <w:pPr>
        <w:rPr>
          <w:rFonts w:ascii="Times New Roman" w:eastAsiaTheme="majorEastAsia" w:hAnsi="Times New Roman" w:cs="Times New Roman"/>
          <w:b/>
          <w:sz w:val="32"/>
          <w:szCs w:val="32"/>
          <w:lang w:eastAsia="fr-FR"/>
        </w:rPr>
      </w:pPr>
      <w:r w:rsidRPr="002B1D0F">
        <w:rPr>
          <w:rFonts w:ascii="Times New Roman" w:eastAsiaTheme="majorEastAsia" w:hAnsi="Times New Roman" w:cs="Times New Roman"/>
          <w:b/>
          <w:sz w:val="32"/>
          <w:szCs w:val="32"/>
          <w:lang w:eastAsia="fr-FR"/>
        </w:rPr>
        <w:t>Tableau</w:t>
      </w:r>
    </w:p>
    <w:p w:rsidR="000F5743" w:rsidRDefault="000F5743" w:rsidP="000F5743">
      <w:pPr>
        <w:rPr>
          <w:rFonts w:ascii="Times New Roman" w:hAnsi="Times New Roman" w:cs="Times New Roman"/>
          <w:sz w:val="24"/>
          <w:szCs w:val="24"/>
        </w:rPr>
      </w:pPr>
    </w:p>
    <w:p w:rsidR="002B1D0F" w:rsidRPr="002B1D0F" w:rsidRDefault="000F5743" w:rsidP="002B1D0F">
      <w:pPr>
        <w:pStyle w:val="Tabledesillustrations"/>
        <w:tabs>
          <w:tab w:val="right" w:leader="dot" w:pos="9062"/>
        </w:tabs>
        <w:spacing w:line="276" w:lineRule="auto"/>
        <w:jc w:val="both"/>
        <w:rPr>
          <w:rFonts w:ascii="Times New Roman" w:eastAsiaTheme="minorEastAsia" w:hAnsi="Times New Roman" w:cs="Times New Roman"/>
          <w:noProof/>
          <w:sz w:val="24"/>
          <w:szCs w:val="24"/>
          <w:lang w:eastAsia="fr-FR"/>
        </w:rPr>
      </w:pPr>
      <w:r w:rsidRPr="002B1D0F">
        <w:rPr>
          <w:rFonts w:ascii="Times New Roman" w:hAnsi="Times New Roman" w:cs="Times New Roman"/>
          <w:sz w:val="24"/>
          <w:szCs w:val="24"/>
        </w:rPr>
        <w:fldChar w:fldCharType="begin"/>
      </w:r>
      <w:r w:rsidRPr="002B1D0F">
        <w:rPr>
          <w:rFonts w:ascii="Times New Roman" w:hAnsi="Times New Roman" w:cs="Times New Roman"/>
          <w:sz w:val="24"/>
          <w:szCs w:val="24"/>
        </w:rPr>
        <w:instrText xml:space="preserve"> TOC \h \z \c "Tableau" </w:instrText>
      </w:r>
      <w:r w:rsidRPr="002B1D0F">
        <w:rPr>
          <w:rFonts w:ascii="Times New Roman" w:hAnsi="Times New Roman" w:cs="Times New Roman"/>
          <w:sz w:val="24"/>
          <w:szCs w:val="24"/>
        </w:rPr>
        <w:fldChar w:fldCharType="separate"/>
      </w:r>
      <w:hyperlink w:anchor="_Toc500352815" w:history="1">
        <w:r w:rsidR="002B1D0F" w:rsidRPr="002B1D0F">
          <w:rPr>
            <w:rStyle w:val="Lienhypertexte"/>
            <w:rFonts w:ascii="Times New Roman" w:hAnsi="Times New Roman" w:cs="Times New Roman"/>
            <w:noProof/>
            <w:sz w:val="24"/>
            <w:szCs w:val="24"/>
          </w:rPr>
          <w:t>Tableau 1 : Résumé du projet</w:t>
        </w:r>
        <w:r w:rsidR="002B1D0F" w:rsidRPr="002B1D0F">
          <w:rPr>
            <w:rFonts w:ascii="Times New Roman" w:hAnsi="Times New Roman" w:cs="Times New Roman"/>
            <w:noProof/>
            <w:webHidden/>
            <w:sz w:val="24"/>
            <w:szCs w:val="24"/>
          </w:rPr>
          <w:tab/>
        </w:r>
        <w:r w:rsidR="002B1D0F" w:rsidRPr="002B1D0F">
          <w:rPr>
            <w:rFonts w:ascii="Times New Roman" w:hAnsi="Times New Roman" w:cs="Times New Roman"/>
            <w:noProof/>
            <w:webHidden/>
            <w:sz w:val="24"/>
            <w:szCs w:val="24"/>
          </w:rPr>
          <w:fldChar w:fldCharType="begin"/>
        </w:r>
        <w:r w:rsidR="002B1D0F" w:rsidRPr="002B1D0F">
          <w:rPr>
            <w:rFonts w:ascii="Times New Roman" w:hAnsi="Times New Roman" w:cs="Times New Roman"/>
            <w:noProof/>
            <w:webHidden/>
            <w:sz w:val="24"/>
            <w:szCs w:val="24"/>
          </w:rPr>
          <w:instrText xml:space="preserve"> PAGEREF _Toc500352815 \h </w:instrText>
        </w:r>
        <w:r w:rsidR="002B1D0F" w:rsidRPr="002B1D0F">
          <w:rPr>
            <w:rFonts w:ascii="Times New Roman" w:hAnsi="Times New Roman" w:cs="Times New Roman"/>
            <w:noProof/>
            <w:webHidden/>
            <w:sz w:val="24"/>
            <w:szCs w:val="24"/>
          </w:rPr>
        </w:r>
        <w:r w:rsidR="002B1D0F" w:rsidRPr="002B1D0F">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iv</w:t>
        </w:r>
        <w:r w:rsidR="002B1D0F" w:rsidRPr="002B1D0F">
          <w:rPr>
            <w:rFonts w:ascii="Times New Roman" w:hAnsi="Times New Roman" w:cs="Times New Roman"/>
            <w:noProof/>
            <w:webHidden/>
            <w:sz w:val="24"/>
            <w:szCs w:val="24"/>
          </w:rPr>
          <w:fldChar w:fldCharType="end"/>
        </w:r>
      </w:hyperlink>
    </w:p>
    <w:p w:rsidR="002B1D0F" w:rsidRPr="002B1D0F" w:rsidRDefault="00FC1989" w:rsidP="002B1D0F">
      <w:pPr>
        <w:pStyle w:val="Tabledesillustrations"/>
        <w:tabs>
          <w:tab w:val="right" w:leader="dot" w:pos="9062"/>
        </w:tabs>
        <w:spacing w:line="276" w:lineRule="auto"/>
        <w:jc w:val="both"/>
        <w:rPr>
          <w:rFonts w:ascii="Times New Roman" w:eastAsiaTheme="minorEastAsia" w:hAnsi="Times New Roman" w:cs="Times New Roman"/>
          <w:noProof/>
          <w:sz w:val="24"/>
          <w:szCs w:val="24"/>
          <w:lang w:eastAsia="fr-FR"/>
        </w:rPr>
      </w:pPr>
      <w:hyperlink w:anchor="_Toc500352816" w:history="1">
        <w:r w:rsidR="002B1D0F" w:rsidRPr="002B1D0F">
          <w:rPr>
            <w:rStyle w:val="Lienhypertexte"/>
            <w:rFonts w:ascii="Times New Roman" w:hAnsi="Times New Roman" w:cs="Times New Roman"/>
            <w:noProof/>
            <w:sz w:val="24"/>
            <w:szCs w:val="24"/>
          </w:rPr>
          <w:t>Tableau 2 : Tableau de notation</w:t>
        </w:r>
        <w:r w:rsidR="002B1D0F" w:rsidRPr="002B1D0F">
          <w:rPr>
            <w:rFonts w:ascii="Times New Roman" w:hAnsi="Times New Roman" w:cs="Times New Roman"/>
            <w:noProof/>
            <w:webHidden/>
            <w:sz w:val="24"/>
            <w:szCs w:val="24"/>
          </w:rPr>
          <w:tab/>
        </w:r>
        <w:r w:rsidR="002B1D0F" w:rsidRPr="002B1D0F">
          <w:rPr>
            <w:rFonts w:ascii="Times New Roman" w:hAnsi="Times New Roman" w:cs="Times New Roman"/>
            <w:noProof/>
            <w:webHidden/>
            <w:sz w:val="24"/>
            <w:szCs w:val="24"/>
          </w:rPr>
          <w:fldChar w:fldCharType="begin"/>
        </w:r>
        <w:r w:rsidR="002B1D0F" w:rsidRPr="002B1D0F">
          <w:rPr>
            <w:rFonts w:ascii="Times New Roman" w:hAnsi="Times New Roman" w:cs="Times New Roman"/>
            <w:noProof/>
            <w:webHidden/>
            <w:sz w:val="24"/>
            <w:szCs w:val="24"/>
          </w:rPr>
          <w:instrText xml:space="preserve"> PAGEREF _Toc500352816 \h </w:instrText>
        </w:r>
        <w:r w:rsidR="002B1D0F" w:rsidRPr="002B1D0F">
          <w:rPr>
            <w:rFonts w:ascii="Times New Roman" w:hAnsi="Times New Roman" w:cs="Times New Roman"/>
            <w:noProof/>
            <w:webHidden/>
            <w:sz w:val="24"/>
            <w:szCs w:val="24"/>
          </w:rPr>
        </w:r>
        <w:r w:rsidR="002B1D0F" w:rsidRPr="002B1D0F">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vii</w:t>
        </w:r>
        <w:r w:rsidR="002B1D0F" w:rsidRPr="002B1D0F">
          <w:rPr>
            <w:rFonts w:ascii="Times New Roman" w:hAnsi="Times New Roman" w:cs="Times New Roman"/>
            <w:noProof/>
            <w:webHidden/>
            <w:sz w:val="24"/>
            <w:szCs w:val="24"/>
          </w:rPr>
          <w:fldChar w:fldCharType="end"/>
        </w:r>
      </w:hyperlink>
    </w:p>
    <w:p w:rsidR="002B1D0F" w:rsidRPr="002B1D0F" w:rsidRDefault="00FC1989" w:rsidP="002B1D0F">
      <w:pPr>
        <w:pStyle w:val="Tabledesillustrations"/>
        <w:tabs>
          <w:tab w:val="right" w:leader="dot" w:pos="9062"/>
        </w:tabs>
        <w:spacing w:line="276" w:lineRule="auto"/>
        <w:jc w:val="both"/>
        <w:rPr>
          <w:rFonts w:ascii="Times New Roman" w:eastAsiaTheme="minorEastAsia" w:hAnsi="Times New Roman" w:cs="Times New Roman"/>
          <w:noProof/>
          <w:sz w:val="24"/>
          <w:szCs w:val="24"/>
          <w:lang w:eastAsia="fr-FR"/>
        </w:rPr>
      </w:pPr>
      <w:hyperlink w:anchor="_Toc500352817" w:history="1">
        <w:r w:rsidR="002B1D0F" w:rsidRPr="002B1D0F">
          <w:rPr>
            <w:rStyle w:val="Lienhypertexte"/>
            <w:rFonts w:ascii="Times New Roman" w:hAnsi="Times New Roman" w:cs="Times New Roman"/>
            <w:noProof/>
            <w:sz w:val="24"/>
            <w:szCs w:val="24"/>
          </w:rPr>
          <w:t>Tableau 3 : Recommandations</w:t>
        </w:r>
        <w:r w:rsidR="002B1D0F" w:rsidRPr="002B1D0F">
          <w:rPr>
            <w:rFonts w:ascii="Times New Roman" w:hAnsi="Times New Roman" w:cs="Times New Roman"/>
            <w:noProof/>
            <w:webHidden/>
            <w:sz w:val="24"/>
            <w:szCs w:val="24"/>
          </w:rPr>
          <w:tab/>
        </w:r>
        <w:r w:rsidR="002B1D0F" w:rsidRPr="002B1D0F">
          <w:rPr>
            <w:rFonts w:ascii="Times New Roman" w:hAnsi="Times New Roman" w:cs="Times New Roman"/>
            <w:noProof/>
            <w:webHidden/>
            <w:sz w:val="24"/>
            <w:szCs w:val="24"/>
          </w:rPr>
          <w:fldChar w:fldCharType="begin"/>
        </w:r>
        <w:r w:rsidR="002B1D0F" w:rsidRPr="002B1D0F">
          <w:rPr>
            <w:rFonts w:ascii="Times New Roman" w:hAnsi="Times New Roman" w:cs="Times New Roman"/>
            <w:noProof/>
            <w:webHidden/>
            <w:sz w:val="24"/>
            <w:szCs w:val="24"/>
          </w:rPr>
          <w:instrText xml:space="preserve"> PAGEREF _Toc500352817 \h </w:instrText>
        </w:r>
        <w:r w:rsidR="002B1D0F" w:rsidRPr="002B1D0F">
          <w:rPr>
            <w:rFonts w:ascii="Times New Roman" w:hAnsi="Times New Roman" w:cs="Times New Roman"/>
            <w:noProof/>
            <w:webHidden/>
            <w:sz w:val="24"/>
            <w:szCs w:val="24"/>
          </w:rPr>
        </w:r>
        <w:r w:rsidR="002B1D0F" w:rsidRPr="002B1D0F">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ix</w:t>
        </w:r>
        <w:r w:rsidR="002B1D0F" w:rsidRPr="002B1D0F">
          <w:rPr>
            <w:rFonts w:ascii="Times New Roman" w:hAnsi="Times New Roman" w:cs="Times New Roman"/>
            <w:noProof/>
            <w:webHidden/>
            <w:sz w:val="24"/>
            <w:szCs w:val="24"/>
          </w:rPr>
          <w:fldChar w:fldCharType="end"/>
        </w:r>
      </w:hyperlink>
    </w:p>
    <w:p w:rsidR="002B1D0F" w:rsidRPr="002B1D0F" w:rsidRDefault="00FC1989" w:rsidP="002B1D0F">
      <w:pPr>
        <w:pStyle w:val="Tabledesillustrations"/>
        <w:tabs>
          <w:tab w:val="right" w:leader="dot" w:pos="9062"/>
        </w:tabs>
        <w:spacing w:line="276" w:lineRule="auto"/>
        <w:jc w:val="both"/>
        <w:rPr>
          <w:rFonts w:ascii="Times New Roman" w:eastAsiaTheme="minorEastAsia" w:hAnsi="Times New Roman" w:cs="Times New Roman"/>
          <w:noProof/>
          <w:sz w:val="24"/>
          <w:szCs w:val="24"/>
          <w:lang w:eastAsia="fr-FR"/>
        </w:rPr>
      </w:pPr>
      <w:hyperlink w:anchor="_Toc500352818" w:history="1">
        <w:r w:rsidR="002B1D0F" w:rsidRPr="002B1D0F">
          <w:rPr>
            <w:rStyle w:val="Lienhypertexte"/>
            <w:rFonts w:ascii="Times New Roman" w:hAnsi="Times New Roman" w:cs="Times New Roman"/>
            <w:noProof/>
            <w:sz w:val="24"/>
            <w:szCs w:val="24"/>
          </w:rPr>
          <w:t>Tableau 4 : Analyse critique des indicateurs</w:t>
        </w:r>
        <w:r w:rsidR="002B1D0F" w:rsidRPr="002B1D0F">
          <w:rPr>
            <w:rFonts w:ascii="Times New Roman" w:hAnsi="Times New Roman" w:cs="Times New Roman"/>
            <w:noProof/>
            <w:webHidden/>
            <w:sz w:val="24"/>
            <w:szCs w:val="24"/>
          </w:rPr>
          <w:tab/>
        </w:r>
        <w:r w:rsidR="002B1D0F" w:rsidRPr="002B1D0F">
          <w:rPr>
            <w:rFonts w:ascii="Times New Roman" w:hAnsi="Times New Roman" w:cs="Times New Roman"/>
            <w:noProof/>
            <w:webHidden/>
            <w:sz w:val="24"/>
            <w:szCs w:val="24"/>
          </w:rPr>
          <w:fldChar w:fldCharType="begin"/>
        </w:r>
        <w:r w:rsidR="002B1D0F" w:rsidRPr="002B1D0F">
          <w:rPr>
            <w:rFonts w:ascii="Times New Roman" w:hAnsi="Times New Roman" w:cs="Times New Roman"/>
            <w:noProof/>
            <w:webHidden/>
            <w:sz w:val="24"/>
            <w:szCs w:val="24"/>
          </w:rPr>
          <w:instrText xml:space="preserve"> PAGEREF _Toc500352818 \h </w:instrText>
        </w:r>
        <w:r w:rsidR="002B1D0F" w:rsidRPr="002B1D0F">
          <w:rPr>
            <w:rFonts w:ascii="Times New Roman" w:hAnsi="Times New Roman" w:cs="Times New Roman"/>
            <w:noProof/>
            <w:webHidden/>
            <w:sz w:val="24"/>
            <w:szCs w:val="24"/>
          </w:rPr>
        </w:r>
        <w:r w:rsidR="002B1D0F" w:rsidRPr="002B1D0F">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11</w:t>
        </w:r>
        <w:r w:rsidR="002B1D0F" w:rsidRPr="002B1D0F">
          <w:rPr>
            <w:rFonts w:ascii="Times New Roman" w:hAnsi="Times New Roman" w:cs="Times New Roman"/>
            <w:noProof/>
            <w:webHidden/>
            <w:sz w:val="24"/>
            <w:szCs w:val="24"/>
          </w:rPr>
          <w:fldChar w:fldCharType="end"/>
        </w:r>
      </w:hyperlink>
    </w:p>
    <w:p w:rsidR="002B1D0F" w:rsidRPr="002B1D0F" w:rsidRDefault="00FC1989" w:rsidP="002B1D0F">
      <w:pPr>
        <w:pStyle w:val="Tabledesillustrations"/>
        <w:tabs>
          <w:tab w:val="right" w:leader="dot" w:pos="9062"/>
        </w:tabs>
        <w:spacing w:line="276" w:lineRule="auto"/>
        <w:jc w:val="both"/>
        <w:rPr>
          <w:rFonts w:ascii="Times New Roman" w:eastAsiaTheme="minorEastAsia" w:hAnsi="Times New Roman" w:cs="Times New Roman"/>
          <w:noProof/>
          <w:sz w:val="24"/>
          <w:szCs w:val="24"/>
          <w:lang w:eastAsia="fr-FR"/>
        </w:rPr>
      </w:pPr>
      <w:hyperlink w:anchor="_Toc500352819" w:history="1">
        <w:r w:rsidR="002B1D0F" w:rsidRPr="002B1D0F">
          <w:rPr>
            <w:rStyle w:val="Lienhypertexte"/>
            <w:rFonts w:ascii="Times New Roman" w:hAnsi="Times New Roman" w:cs="Times New Roman"/>
            <w:bCs/>
            <w:noProof/>
            <w:sz w:val="24"/>
            <w:szCs w:val="24"/>
          </w:rPr>
          <w:t>Tableau</w:t>
        </w:r>
        <w:r w:rsidR="002B1D0F" w:rsidRPr="002B1D0F">
          <w:rPr>
            <w:rStyle w:val="Lienhypertexte"/>
            <w:rFonts w:ascii="Times New Roman" w:hAnsi="Times New Roman" w:cs="Times New Roman"/>
            <w:iCs/>
            <w:noProof/>
            <w:sz w:val="24"/>
            <w:szCs w:val="24"/>
          </w:rPr>
          <w:t xml:space="preserve"> 5 : Récapitulatif du budget et des dépenses</w:t>
        </w:r>
        <w:r w:rsidR="002B1D0F" w:rsidRPr="002B1D0F">
          <w:rPr>
            <w:rFonts w:ascii="Times New Roman" w:hAnsi="Times New Roman" w:cs="Times New Roman"/>
            <w:noProof/>
            <w:webHidden/>
            <w:sz w:val="24"/>
            <w:szCs w:val="24"/>
          </w:rPr>
          <w:tab/>
        </w:r>
        <w:r w:rsidR="002B1D0F" w:rsidRPr="002B1D0F">
          <w:rPr>
            <w:rFonts w:ascii="Times New Roman" w:hAnsi="Times New Roman" w:cs="Times New Roman"/>
            <w:noProof/>
            <w:webHidden/>
            <w:sz w:val="24"/>
            <w:szCs w:val="24"/>
          </w:rPr>
          <w:fldChar w:fldCharType="begin"/>
        </w:r>
        <w:r w:rsidR="002B1D0F" w:rsidRPr="002B1D0F">
          <w:rPr>
            <w:rFonts w:ascii="Times New Roman" w:hAnsi="Times New Roman" w:cs="Times New Roman"/>
            <w:noProof/>
            <w:webHidden/>
            <w:sz w:val="24"/>
            <w:szCs w:val="24"/>
          </w:rPr>
          <w:instrText xml:space="preserve"> PAGEREF _Toc500352819 \h </w:instrText>
        </w:r>
        <w:r w:rsidR="002B1D0F" w:rsidRPr="002B1D0F">
          <w:rPr>
            <w:rFonts w:ascii="Times New Roman" w:hAnsi="Times New Roman" w:cs="Times New Roman"/>
            <w:noProof/>
            <w:webHidden/>
            <w:sz w:val="24"/>
            <w:szCs w:val="24"/>
          </w:rPr>
        </w:r>
        <w:r w:rsidR="002B1D0F" w:rsidRPr="002B1D0F">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15</w:t>
        </w:r>
        <w:r w:rsidR="002B1D0F" w:rsidRPr="002B1D0F">
          <w:rPr>
            <w:rFonts w:ascii="Times New Roman" w:hAnsi="Times New Roman" w:cs="Times New Roman"/>
            <w:noProof/>
            <w:webHidden/>
            <w:sz w:val="24"/>
            <w:szCs w:val="24"/>
          </w:rPr>
          <w:fldChar w:fldCharType="end"/>
        </w:r>
      </w:hyperlink>
    </w:p>
    <w:p w:rsidR="002B1D0F" w:rsidRPr="002B1D0F" w:rsidRDefault="00FC1989" w:rsidP="002B1D0F">
      <w:pPr>
        <w:pStyle w:val="Tabledesillustrations"/>
        <w:tabs>
          <w:tab w:val="right" w:leader="dot" w:pos="9062"/>
        </w:tabs>
        <w:spacing w:line="276" w:lineRule="auto"/>
        <w:jc w:val="both"/>
        <w:rPr>
          <w:rFonts w:ascii="Times New Roman" w:eastAsiaTheme="minorEastAsia" w:hAnsi="Times New Roman" w:cs="Times New Roman"/>
          <w:noProof/>
          <w:sz w:val="24"/>
          <w:szCs w:val="24"/>
          <w:lang w:eastAsia="fr-FR"/>
        </w:rPr>
      </w:pPr>
      <w:hyperlink w:anchor="_Toc500352820" w:history="1">
        <w:r w:rsidR="002B1D0F" w:rsidRPr="002B1D0F">
          <w:rPr>
            <w:rStyle w:val="Lienhypertexte"/>
            <w:rFonts w:ascii="Times New Roman" w:hAnsi="Times New Roman" w:cs="Times New Roman"/>
            <w:noProof/>
            <w:sz w:val="24"/>
            <w:szCs w:val="24"/>
          </w:rPr>
          <w:t>Tableau 6 : Tableau de notation pour l'efficacité du projet</w:t>
        </w:r>
        <w:r w:rsidR="002B1D0F" w:rsidRPr="002B1D0F">
          <w:rPr>
            <w:rFonts w:ascii="Times New Roman" w:hAnsi="Times New Roman" w:cs="Times New Roman"/>
            <w:noProof/>
            <w:webHidden/>
            <w:sz w:val="24"/>
            <w:szCs w:val="24"/>
          </w:rPr>
          <w:tab/>
        </w:r>
        <w:r w:rsidR="002B1D0F" w:rsidRPr="002B1D0F">
          <w:rPr>
            <w:rFonts w:ascii="Times New Roman" w:hAnsi="Times New Roman" w:cs="Times New Roman"/>
            <w:noProof/>
            <w:webHidden/>
            <w:sz w:val="24"/>
            <w:szCs w:val="24"/>
          </w:rPr>
          <w:fldChar w:fldCharType="begin"/>
        </w:r>
        <w:r w:rsidR="002B1D0F" w:rsidRPr="002B1D0F">
          <w:rPr>
            <w:rFonts w:ascii="Times New Roman" w:hAnsi="Times New Roman" w:cs="Times New Roman"/>
            <w:noProof/>
            <w:webHidden/>
            <w:sz w:val="24"/>
            <w:szCs w:val="24"/>
          </w:rPr>
          <w:instrText xml:space="preserve"> PAGEREF _Toc500352820 \h </w:instrText>
        </w:r>
        <w:r w:rsidR="002B1D0F" w:rsidRPr="002B1D0F">
          <w:rPr>
            <w:rFonts w:ascii="Times New Roman" w:hAnsi="Times New Roman" w:cs="Times New Roman"/>
            <w:noProof/>
            <w:webHidden/>
            <w:sz w:val="24"/>
            <w:szCs w:val="24"/>
          </w:rPr>
        </w:r>
        <w:r w:rsidR="002B1D0F" w:rsidRPr="002B1D0F">
          <w:rPr>
            <w:rFonts w:ascii="Times New Roman" w:hAnsi="Times New Roman" w:cs="Times New Roman"/>
            <w:noProof/>
            <w:webHidden/>
            <w:sz w:val="24"/>
            <w:szCs w:val="24"/>
          </w:rPr>
          <w:fldChar w:fldCharType="separate"/>
        </w:r>
        <w:r w:rsidR="0054472A">
          <w:rPr>
            <w:rFonts w:ascii="Times New Roman" w:hAnsi="Times New Roman" w:cs="Times New Roman"/>
            <w:noProof/>
            <w:webHidden/>
            <w:sz w:val="24"/>
            <w:szCs w:val="24"/>
          </w:rPr>
          <w:t>20</w:t>
        </w:r>
        <w:r w:rsidR="002B1D0F" w:rsidRPr="002B1D0F">
          <w:rPr>
            <w:rFonts w:ascii="Times New Roman" w:hAnsi="Times New Roman" w:cs="Times New Roman"/>
            <w:noProof/>
            <w:webHidden/>
            <w:sz w:val="24"/>
            <w:szCs w:val="24"/>
          </w:rPr>
          <w:fldChar w:fldCharType="end"/>
        </w:r>
      </w:hyperlink>
    </w:p>
    <w:p w:rsidR="000F5743" w:rsidRDefault="000F5743" w:rsidP="002B1D0F">
      <w:pPr>
        <w:spacing w:line="276" w:lineRule="auto"/>
        <w:jc w:val="both"/>
        <w:rPr>
          <w:rFonts w:ascii="Times New Roman" w:hAnsi="Times New Roman" w:cs="Times New Roman"/>
          <w:sz w:val="24"/>
          <w:szCs w:val="24"/>
        </w:rPr>
      </w:pPr>
      <w:r w:rsidRPr="002B1D0F">
        <w:rPr>
          <w:rFonts w:ascii="Times New Roman" w:hAnsi="Times New Roman" w:cs="Times New Roman"/>
          <w:sz w:val="24"/>
          <w:szCs w:val="24"/>
        </w:rPr>
        <w:fldChar w:fldCharType="end"/>
      </w:r>
    </w:p>
    <w:p w:rsidR="000F5743" w:rsidRDefault="000F5743" w:rsidP="000F5743">
      <w:pPr>
        <w:rPr>
          <w:rFonts w:ascii="Times New Roman" w:hAnsi="Times New Roman" w:cs="Times New Roman"/>
          <w:sz w:val="24"/>
          <w:szCs w:val="24"/>
        </w:rPr>
      </w:pPr>
    </w:p>
    <w:p w:rsidR="00E865E0" w:rsidRPr="000F5743" w:rsidRDefault="00E865E0" w:rsidP="000F5743">
      <w:pPr>
        <w:rPr>
          <w:rFonts w:ascii="Times New Roman" w:hAnsi="Times New Roman" w:cs="Times New Roman"/>
          <w:sz w:val="24"/>
          <w:szCs w:val="24"/>
        </w:rPr>
        <w:sectPr w:rsidR="00E865E0" w:rsidRPr="000F5743" w:rsidSect="00E865E0">
          <w:footerReference w:type="default" r:id="rId13"/>
          <w:pgSz w:w="11906" w:h="16838"/>
          <w:pgMar w:top="1417" w:right="1417" w:bottom="1417" w:left="1417" w:header="708" w:footer="708" w:gutter="0"/>
          <w:pgNumType w:fmt="lowerRoman" w:start="1"/>
          <w:cols w:space="708"/>
          <w:docGrid w:linePitch="360"/>
        </w:sectPr>
      </w:pPr>
    </w:p>
    <w:p w:rsidR="001674FB" w:rsidRDefault="001674FB" w:rsidP="00AA6908">
      <w:pPr>
        <w:pStyle w:val="Titre1"/>
        <w:spacing w:after="240" w:line="276" w:lineRule="auto"/>
        <w:jc w:val="both"/>
        <w:rPr>
          <w:rFonts w:ascii="Times New Roman" w:hAnsi="Times New Roman" w:cs="Times New Roman"/>
          <w:b/>
          <w:bCs/>
          <w:color w:val="auto"/>
          <w:sz w:val="24"/>
          <w:szCs w:val="24"/>
        </w:rPr>
      </w:pPr>
      <w:bookmarkStart w:id="1" w:name="_Toc500352694"/>
      <w:r w:rsidRPr="00AA6908">
        <w:rPr>
          <w:rFonts w:ascii="Times New Roman" w:hAnsi="Times New Roman" w:cs="Times New Roman"/>
          <w:b/>
          <w:bCs/>
          <w:color w:val="auto"/>
          <w:sz w:val="24"/>
          <w:szCs w:val="24"/>
        </w:rPr>
        <w:lastRenderedPageBreak/>
        <w:t>i. Introduction</w:t>
      </w:r>
      <w:bookmarkEnd w:id="1"/>
    </w:p>
    <w:p w:rsidR="008E2A16" w:rsidRPr="008E2A16" w:rsidRDefault="008E2A16" w:rsidP="008E2A16">
      <w:pPr>
        <w:autoSpaceDE w:val="0"/>
        <w:autoSpaceDN w:val="0"/>
        <w:adjustRightInd w:val="0"/>
        <w:spacing w:line="276" w:lineRule="auto"/>
        <w:jc w:val="both"/>
        <w:rPr>
          <w:rFonts w:ascii="Times New Roman" w:hAnsi="Times New Roman" w:cs="Times New Roman"/>
          <w:b/>
          <w:bCs/>
          <w:sz w:val="24"/>
        </w:rPr>
      </w:pPr>
      <w:r w:rsidRPr="008E2A16">
        <w:rPr>
          <w:rFonts w:ascii="Times New Roman" w:hAnsi="Times New Roman" w:cs="Times New Roman"/>
          <w:color w:val="000000"/>
          <w:sz w:val="24"/>
          <w:szCs w:val="24"/>
        </w:rPr>
        <w:t xml:space="preserve">Titre du projet : </w:t>
      </w:r>
      <w:r w:rsidRPr="008E2A16">
        <w:rPr>
          <w:rFonts w:ascii="Times New Roman" w:hAnsi="Times New Roman" w:cs="Times New Roman"/>
          <w:b/>
          <w:bCs/>
          <w:sz w:val="24"/>
        </w:rPr>
        <w:t>Projet d’Assistance Technique Préparatoire pour le renforcement du cadre légal, réglementaire et institutionnel des secteurs de l’Energie et des Mines</w:t>
      </w:r>
    </w:p>
    <w:p w:rsidR="008E2A16" w:rsidRPr="008E2A16" w:rsidRDefault="008E2A16" w:rsidP="008E2A16">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Projet Numéro </w:t>
      </w:r>
      <w:r w:rsidRPr="008E2A16">
        <w:rPr>
          <w:rFonts w:ascii="Times New Roman" w:hAnsi="Times New Roman" w:cs="Times New Roman"/>
          <w:color w:val="000000"/>
          <w:sz w:val="24"/>
          <w:szCs w:val="24"/>
        </w:rPr>
        <w:t>N° 00086935</w:t>
      </w:r>
    </w:p>
    <w:p w:rsidR="008E2A16" w:rsidRPr="008E2A16" w:rsidRDefault="008E2A16" w:rsidP="008E2A16">
      <w:pPr>
        <w:autoSpaceDE w:val="0"/>
        <w:autoSpaceDN w:val="0"/>
        <w:adjustRightInd w:val="0"/>
        <w:spacing w:line="276" w:lineRule="auto"/>
        <w:jc w:val="both"/>
        <w:rPr>
          <w:rFonts w:ascii="Times New Roman" w:hAnsi="Times New Roman" w:cs="Times New Roman"/>
          <w:color w:val="000000"/>
          <w:sz w:val="24"/>
          <w:szCs w:val="24"/>
        </w:rPr>
      </w:pPr>
      <w:r w:rsidRPr="008E2A16">
        <w:rPr>
          <w:rFonts w:ascii="Times New Roman" w:hAnsi="Times New Roman" w:cs="Times New Roman"/>
          <w:color w:val="000000"/>
          <w:sz w:val="24"/>
          <w:szCs w:val="24"/>
        </w:rPr>
        <w:t>Calendrier de l’évaluation </w:t>
      </w:r>
      <w:r>
        <w:rPr>
          <w:rFonts w:ascii="Times New Roman" w:hAnsi="Times New Roman" w:cs="Times New Roman"/>
          <w:color w:val="000000"/>
          <w:sz w:val="24"/>
          <w:szCs w:val="24"/>
        </w:rPr>
        <w:t>: du 12 Novembre au 01 Décembre 2017</w:t>
      </w:r>
    </w:p>
    <w:p w:rsidR="008E2A16" w:rsidRPr="008E2A16" w:rsidRDefault="008E2A16" w:rsidP="008E2A16">
      <w:pPr>
        <w:autoSpaceDE w:val="0"/>
        <w:autoSpaceDN w:val="0"/>
        <w:adjustRightInd w:val="0"/>
        <w:spacing w:line="276" w:lineRule="auto"/>
        <w:jc w:val="both"/>
        <w:rPr>
          <w:rFonts w:ascii="Times New Roman" w:hAnsi="Times New Roman" w:cs="Times New Roman"/>
          <w:color w:val="000000"/>
          <w:sz w:val="24"/>
          <w:szCs w:val="24"/>
        </w:rPr>
      </w:pPr>
      <w:r w:rsidRPr="008E2A16">
        <w:rPr>
          <w:rFonts w:ascii="Times New Roman" w:hAnsi="Times New Roman" w:cs="Times New Roman"/>
          <w:color w:val="000000"/>
          <w:sz w:val="24"/>
          <w:szCs w:val="24"/>
        </w:rPr>
        <w:t xml:space="preserve">Date du rapport d’évaluation : </w:t>
      </w:r>
      <w:r>
        <w:rPr>
          <w:rFonts w:ascii="Times New Roman" w:hAnsi="Times New Roman" w:cs="Times New Roman"/>
          <w:color w:val="000000"/>
          <w:sz w:val="24"/>
          <w:szCs w:val="24"/>
        </w:rPr>
        <w:t>01 Décembre</w:t>
      </w:r>
      <w:r w:rsidRPr="008E2A16">
        <w:rPr>
          <w:rFonts w:ascii="Times New Roman" w:hAnsi="Times New Roman" w:cs="Times New Roman"/>
          <w:color w:val="000000"/>
          <w:sz w:val="24"/>
          <w:szCs w:val="24"/>
        </w:rPr>
        <w:t xml:space="preserve"> 2017</w:t>
      </w:r>
    </w:p>
    <w:p w:rsidR="008E2A16" w:rsidRPr="008E2A16" w:rsidRDefault="008E2A16" w:rsidP="008E2A16">
      <w:pPr>
        <w:autoSpaceDE w:val="0"/>
        <w:autoSpaceDN w:val="0"/>
        <w:adjustRightInd w:val="0"/>
        <w:spacing w:line="276" w:lineRule="auto"/>
        <w:jc w:val="both"/>
        <w:rPr>
          <w:rFonts w:ascii="Times New Roman" w:hAnsi="Times New Roman" w:cs="Times New Roman"/>
          <w:color w:val="000000"/>
          <w:sz w:val="24"/>
          <w:szCs w:val="24"/>
        </w:rPr>
      </w:pPr>
      <w:r w:rsidRPr="008E2A16">
        <w:rPr>
          <w:rFonts w:ascii="Times New Roman" w:hAnsi="Times New Roman" w:cs="Times New Roman"/>
          <w:color w:val="000000"/>
          <w:sz w:val="24"/>
          <w:szCs w:val="24"/>
        </w:rPr>
        <w:t xml:space="preserve">Région et pays inclus dans le </w:t>
      </w:r>
      <w:r>
        <w:rPr>
          <w:rFonts w:ascii="Times New Roman" w:hAnsi="Times New Roman" w:cs="Times New Roman"/>
          <w:color w:val="000000"/>
          <w:sz w:val="24"/>
          <w:szCs w:val="24"/>
        </w:rPr>
        <w:t>projet : Afrique / BURUNDI</w:t>
      </w:r>
    </w:p>
    <w:p w:rsidR="008E2A16" w:rsidRPr="008E2A16" w:rsidRDefault="008E2A16" w:rsidP="008E2A16">
      <w:pPr>
        <w:autoSpaceDE w:val="0"/>
        <w:autoSpaceDN w:val="0"/>
        <w:adjustRightInd w:val="0"/>
        <w:spacing w:line="276" w:lineRule="auto"/>
        <w:jc w:val="both"/>
        <w:rPr>
          <w:rFonts w:ascii="Times New Roman" w:hAnsi="Times New Roman" w:cs="Times New Roman"/>
          <w:color w:val="000000"/>
          <w:sz w:val="24"/>
          <w:szCs w:val="24"/>
        </w:rPr>
      </w:pPr>
      <w:r w:rsidRPr="008E2A16">
        <w:rPr>
          <w:rFonts w:ascii="Times New Roman" w:hAnsi="Times New Roman" w:cs="Times New Roman"/>
          <w:color w:val="000000"/>
          <w:sz w:val="24"/>
          <w:szCs w:val="24"/>
        </w:rPr>
        <w:t>Partenaire de mise en œuvre et autres partenaires de projet</w:t>
      </w:r>
      <w:r>
        <w:rPr>
          <w:rFonts w:ascii="Times New Roman" w:hAnsi="Times New Roman" w:cs="Times New Roman"/>
          <w:color w:val="000000"/>
          <w:sz w:val="24"/>
          <w:szCs w:val="24"/>
        </w:rPr>
        <w:t xml:space="preserve"> : </w:t>
      </w:r>
      <w:r w:rsidRPr="008E2A16">
        <w:rPr>
          <w:rFonts w:ascii="Times New Roman" w:hAnsi="Times New Roman" w:cs="Times New Roman"/>
          <w:color w:val="000000"/>
          <w:sz w:val="24"/>
          <w:szCs w:val="24"/>
        </w:rPr>
        <w:t xml:space="preserve">PNUD, </w:t>
      </w:r>
      <w:r>
        <w:rPr>
          <w:rFonts w:ascii="Times New Roman" w:hAnsi="Times New Roman" w:cs="Times New Roman"/>
          <w:color w:val="000000"/>
          <w:sz w:val="24"/>
          <w:szCs w:val="24"/>
        </w:rPr>
        <w:t>Gouvernement du Burundi</w:t>
      </w:r>
      <w:r w:rsidRPr="008E2A16">
        <w:rPr>
          <w:rFonts w:ascii="Times New Roman" w:hAnsi="Times New Roman" w:cs="Times New Roman"/>
          <w:color w:val="000000"/>
          <w:sz w:val="24"/>
          <w:szCs w:val="24"/>
        </w:rPr>
        <w:t xml:space="preserve"> à travers le </w:t>
      </w:r>
      <w:r>
        <w:rPr>
          <w:rFonts w:ascii="Times New Roman" w:hAnsi="Times New Roman" w:cs="Times New Roman"/>
          <w:sz w:val="24"/>
        </w:rPr>
        <w:t>Ministère de l’Energie et des Mines</w:t>
      </w:r>
    </w:p>
    <w:p w:rsidR="008E2A16" w:rsidRPr="008E2A16" w:rsidRDefault="008E2A16" w:rsidP="008E2A16">
      <w:pPr>
        <w:autoSpaceDE w:val="0"/>
        <w:autoSpaceDN w:val="0"/>
        <w:adjustRightInd w:val="0"/>
        <w:spacing w:line="276" w:lineRule="auto"/>
        <w:jc w:val="both"/>
        <w:rPr>
          <w:rFonts w:ascii="Times New Roman" w:hAnsi="Times New Roman" w:cs="Times New Roman"/>
          <w:color w:val="000000"/>
          <w:sz w:val="24"/>
          <w:szCs w:val="24"/>
        </w:rPr>
      </w:pPr>
      <w:r w:rsidRPr="008E2A16">
        <w:rPr>
          <w:rFonts w:ascii="Times New Roman" w:hAnsi="Times New Roman" w:cs="Times New Roman"/>
          <w:color w:val="000000"/>
          <w:sz w:val="24"/>
          <w:szCs w:val="24"/>
        </w:rPr>
        <w:t>Membres de l’équipe d’évaluation : M DIANKA Mamadou, Consultant International</w:t>
      </w:r>
    </w:p>
    <w:p w:rsidR="008E2A16" w:rsidRPr="008E2A16" w:rsidRDefault="008E2A16" w:rsidP="008E2A16">
      <w:pPr>
        <w:autoSpaceDE w:val="0"/>
        <w:autoSpaceDN w:val="0"/>
        <w:adjustRightInd w:val="0"/>
        <w:spacing w:before="240" w:after="0" w:line="276" w:lineRule="auto"/>
        <w:jc w:val="both"/>
        <w:rPr>
          <w:rFonts w:ascii="Times New Roman" w:hAnsi="Times New Roman" w:cs="Times New Roman"/>
          <w:b/>
          <w:color w:val="000000"/>
          <w:sz w:val="24"/>
          <w:szCs w:val="24"/>
        </w:rPr>
      </w:pPr>
      <w:r w:rsidRPr="008E2A16">
        <w:rPr>
          <w:rFonts w:ascii="Times New Roman" w:hAnsi="Times New Roman" w:cs="Times New Roman"/>
          <w:b/>
          <w:color w:val="000000"/>
          <w:sz w:val="24"/>
          <w:szCs w:val="24"/>
        </w:rPr>
        <w:t>Remerciements</w:t>
      </w:r>
    </w:p>
    <w:p w:rsidR="008E2A16" w:rsidRPr="008E2A16" w:rsidRDefault="008E2A16" w:rsidP="008E2A16">
      <w:pPr>
        <w:autoSpaceDE w:val="0"/>
        <w:autoSpaceDN w:val="0"/>
        <w:adjustRightInd w:val="0"/>
        <w:spacing w:before="240" w:line="276" w:lineRule="auto"/>
        <w:jc w:val="both"/>
        <w:rPr>
          <w:rFonts w:ascii="Times New Roman" w:hAnsi="Times New Roman" w:cs="Times New Roman"/>
          <w:color w:val="000000"/>
          <w:sz w:val="24"/>
          <w:szCs w:val="24"/>
        </w:rPr>
      </w:pPr>
      <w:r w:rsidRPr="008E2A16">
        <w:rPr>
          <w:rFonts w:ascii="Times New Roman" w:hAnsi="Times New Roman" w:cs="Times New Roman"/>
          <w:color w:val="000000"/>
          <w:sz w:val="24"/>
          <w:szCs w:val="24"/>
        </w:rPr>
        <w:t xml:space="preserve">La mission d’évaluation finale du </w:t>
      </w:r>
      <w:r>
        <w:rPr>
          <w:rFonts w:ascii="Times New Roman" w:hAnsi="Times New Roman" w:cs="Times New Roman"/>
          <w:color w:val="000000"/>
          <w:sz w:val="24"/>
          <w:szCs w:val="24"/>
        </w:rPr>
        <w:t>« </w:t>
      </w:r>
      <w:r w:rsidRPr="008E2A16">
        <w:rPr>
          <w:rFonts w:ascii="Times New Roman" w:hAnsi="Times New Roman" w:cs="Times New Roman"/>
          <w:color w:val="000000"/>
          <w:sz w:val="24"/>
          <w:szCs w:val="24"/>
        </w:rPr>
        <w:t>Projet d’Assistance Technique Préparatoire pour le renforcement du cadre légal, réglementaire et institutionnel des secteurs de l’Energie et des Mines</w:t>
      </w:r>
      <w:r>
        <w:rPr>
          <w:rFonts w:ascii="Times New Roman" w:hAnsi="Times New Roman" w:cs="Times New Roman"/>
          <w:color w:val="000000"/>
          <w:sz w:val="24"/>
          <w:szCs w:val="24"/>
        </w:rPr>
        <w:t> »</w:t>
      </w:r>
      <w:r w:rsidRPr="008E2A16">
        <w:rPr>
          <w:rFonts w:ascii="Times New Roman" w:hAnsi="Times New Roman" w:cs="Times New Roman"/>
          <w:color w:val="000000"/>
          <w:sz w:val="24"/>
          <w:szCs w:val="24"/>
        </w:rPr>
        <w:t xml:space="preserve"> s’est déroulée dans de bonnes conditions matérielles et d’organisation. Le bon classement des documents clefs au niveau du projet du PNUD ainsi que la disponibilité des différents responsables et les échanges ont été également d’un grand apport. </w:t>
      </w:r>
    </w:p>
    <w:p w:rsidR="008E2A16" w:rsidRPr="00097D6E" w:rsidRDefault="008E2A16" w:rsidP="008E2A16">
      <w:pPr>
        <w:autoSpaceDE w:val="0"/>
        <w:autoSpaceDN w:val="0"/>
        <w:adjustRightInd w:val="0"/>
        <w:spacing w:after="0" w:line="276" w:lineRule="auto"/>
        <w:jc w:val="both"/>
        <w:rPr>
          <w:rFonts w:ascii="Times New Roman" w:hAnsi="Times New Roman" w:cs="Times New Roman"/>
          <w:color w:val="000000"/>
          <w:sz w:val="24"/>
          <w:szCs w:val="24"/>
        </w:rPr>
      </w:pPr>
      <w:r w:rsidRPr="008E2A16">
        <w:rPr>
          <w:rFonts w:ascii="Times New Roman" w:hAnsi="Times New Roman" w:cs="Times New Roman"/>
          <w:color w:val="000000"/>
          <w:sz w:val="24"/>
          <w:szCs w:val="24"/>
        </w:rPr>
        <w:t xml:space="preserve">Aussi, nous tenons à remercier les principaux responsables impliqués dans le projet, </w:t>
      </w:r>
      <w:r w:rsidRPr="00097D6E">
        <w:rPr>
          <w:rFonts w:ascii="Times New Roman" w:hAnsi="Times New Roman" w:cs="Times New Roman"/>
          <w:color w:val="000000"/>
          <w:sz w:val="24"/>
          <w:szCs w:val="24"/>
        </w:rPr>
        <w:t>notamment </w:t>
      </w:r>
      <w:r w:rsidR="00E71867" w:rsidRPr="00097D6E">
        <w:rPr>
          <w:rFonts w:ascii="Times New Roman" w:hAnsi="Times New Roman" w:cs="Times New Roman"/>
          <w:color w:val="000000"/>
          <w:sz w:val="24"/>
          <w:szCs w:val="24"/>
        </w:rPr>
        <w:t xml:space="preserve"> Messieurs</w:t>
      </w:r>
      <w:r w:rsidRPr="00097D6E">
        <w:rPr>
          <w:rFonts w:ascii="Times New Roman" w:hAnsi="Times New Roman" w:cs="Times New Roman"/>
          <w:color w:val="000000"/>
          <w:sz w:val="24"/>
          <w:szCs w:val="24"/>
        </w:rPr>
        <w:t>:</w:t>
      </w:r>
    </w:p>
    <w:p w:rsidR="008E2A16" w:rsidRPr="00097D6E" w:rsidRDefault="00A137A4" w:rsidP="008E2A16">
      <w:pPr>
        <w:numPr>
          <w:ilvl w:val="0"/>
          <w:numId w:val="38"/>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097D6E">
        <w:rPr>
          <w:rFonts w:ascii="Times New Roman" w:hAnsi="Times New Roman" w:cs="Times New Roman"/>
          <w:color w:val="000000"/>
          <w:sz w:val="24"/>
          <w:szCs w:val="24"/>
        </w:rPr>
        <w:t>Adama Bocar SOKO Représentant résident ai</w:t>
      </w:r>
    </w:p>
    <w:p w:rsidR="00A137A4" w:rsidRPr="00097D6E" w:rsidRDefault="00A137A4" w:rsidP="008E2A16">
      <w:pPr>
        <w:numPr>
          <w:ilvl w:val="0"/>
          <w:numId w:val="38"/>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097D6E">
        <w:rPr>
          <w:rFonts w:ascii="Times New Roman" w:hAnsi="Times New Roman" w:cs="Times New Roman"/>
          <w:sz w:val="24"/>
          <w:szCs w:val="24"/>
        </w:rPr>
        <w:t xml:space="preserve">Ernest  BAMOU </w:t>
      </w:r>
      <w:r w:rsidR="00B16AB9" w:rsidRPr="00097D6E">
        <w:rPr>
          <w:rFonts w:ascii="Times New Roman" w:hAnsi="Times New Roman" w:cs="Times New Roman"/>
          <w:sz w:val="24"/>
          <w:szCs w:val="24"/>
        </w:rPr>
        <w:t xml:space="preserve">Chef </w:t>
      </w:r>
      <w:r w:rsidRPr="00097D6E">
        <w:rPr>
          <w:rFonts w:ascii="Times New Roman" w:hAnsi="Times New Roman" w:cs="Times New Roman"/>
          <w:sz w:val="24"/>
          <w:szCs w:val="24"/>
        </w:rPr>
        <w:t>Unité Politiques et Stratégies (UPS)</w:t>
      </w:r>
    </w:p>
    <w:p w:rsidR="00A137A4" w:rsidRPr="00097D6E" w:rsidRDefault="00A137A4" w:rsidP="008E2A16">
      <w:pPr>
        <w:numPr>
          <w:ilvl w:val="0"/>
          <w:numId w:val="38"/>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097D6E">
        <w:rPr>
          <w:rFonts w:ascii="Times New Roman" w:hAnsi="Times New Roman" w:cs="Times New Roman"/>
          <w:sz w:val="24"/>
          <w:szCs w:val="24"/>
        </w:rPr>
        <w:t>Arthur RUSHEMEZA Economiste UPS</w:t>
      </w:r>
    </w:p>
    <w:p w:rsidR="008E2A16" w:rsidRDefault="008E2A16" w:rsidP="00AA6908">
      <w:pPr>
        <w:pStyle w:val="Titre1"/>
        <w:spacing w:after="240" w:line="276" w:lineRule="auto"/>
        <w:jc w:val="both"/>
        <w:rPr>
          <w:rFonts w:ascii="Times New Roman" w:hAnsi="Times New Roman" w:cs="Times New Roman"/>
          <w:b/>
          <w:bCs/>
          <w:color w:val="auto"/>
          <w:sz w:val="24"/>
          <w:szCs w:val="24"/>
        </w:rPr>
        <w:sectPr w:rsidR="008E2A16" w:rsidSect="00E865E0">
          <w:pgSz w:w="11906" w:h="16838"/>
          <w:pgMar w:top="1417" w:right="1417" w:bottom="1417" w:left="1417" w:header="708" w:footer="708" w:gutter="0"/>
          <w:pgNumType w:fmt="lowerRoman"/>
          <w:cols w:space="708"/>
          <w:docGrid w:linePitch="360"/>
        </w:sectPr>
      </w:pPr>
    </w:p>
    <w:p w:rsidR="001674FB" w:rsidRPr="00AA6908" w:rsidRDefault="001674FB" w:rsidP="00AA6908">
      <w:pPr>
        <w:pStyle w:val="Titre1"/>
        <w:spacing w:after="240" w:line="276" w:lineRule="auto"/>
        <w:jc w:val="both"/>
        <w:rPr>
          <w:rFonts w:ascii="Times New Roman" w:hAnsi="Times New Roman" w:cs="Times New Roman"/>
          <w:b/>
          <w:bCs/>
          <w:color w:val="auto"/>
          <w:sz w:val="24"/>
          <w:szCs w:val="24"/>
        </w:rPr>
      </w:pPr>
      <w:bookmarkStart w:id="2" w:name="_Toc500352695"/>
      <w:r w:rsidRPr="00AA6908">
        <w:rPr>
          <w:rFonts w:ascii="Times New Roman" w:hAnsi="Times New Roman" w:cs="Times New Roman"/>
          <w:b/>
          <w:bCs/>
          <w:color w:val="auto"/>
          <w:sz w:val="24"/>
          <w:szCs w:val="24"/>
        </w:rPr>
        <w:lastRenderedPageBreak/>
        <w:t>ii. Résumé</w:t>
      </w:r>
      <w:bookmarkEnd w:id="2"/>
    </w:p>
    <w:p w:rsidR="001674FB" w:rsidRPr="008E5AD7" w:rsidRDefault="001674FB" w:rsidP="00AA6908">
      <w:pPr>
        <w:pStyle w:val="Paragraphedeliste"/>
        <w:numPr>
          <w:ilvl w:val="0"/>
          <w:numId w:val="1"/>
        </w:numPr>
        <w:spacing w:line="276" w:lineRule="auto"/>
        <w:jc w:val="both"/>
        <w:outlineLvl w:val="1"/>
        <w:rPr>
          <w:rFonts w:ascii="Times New Roman" w:hAnsi="Times New Roman" w:cs="Times New Roman"/>
          <w:b/>
          <w:bCs/>
          <w:sz w:val="24"/>
          <w:szCs w:val="24"/>
        </w:rPr>
      </w:pPr>
      <w:bookmarkStart w:id="3" w:name="_Toc500352696"/>
      <w:r w:rsidRPr="008E5AD7">
        <w:rPr>
          <w:rFonts w:ascii="Times New Roman" w:hAnsi="Times New Roman" w:cs="Times New Roman"/>
          <w:b/>
          <w:bCs/>
          <w:sz w:val="24"/>
          <w:szCs w:val="24"/>
        </w:rPr>
        <w:t>Tableau de résumé du projet</w:t>
      </w:r>
      <w:bookmarkEnd w:id="3"/>
      <w:r w:rsidRPr="008E5AD7">
        <w:rPr>
          <w:rFonts w:ascii="Times New Roman" w:hAnsi="Times New Roman" w:cs="Times New Roman"/>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1893"/>
        <w:gridCol w:w="2188"/>
        <w:gridCol w:w="1746"/>
        <w:gridCol w:w="1603"/>
      </w:tblGrid>
      <w:tr w:rsidR="0029768C" w:rsidTr="006B59F4">
        <w:trPr>
          <w:trHeight w:val="170"/>
        </w:trPr>
        <w:tc>
          <w:tcPr>
            <w:tcW w:w="1000" w:type="pct"/>
            <w:vAlign w:val="center"/>
          </w:tcPr>
          <w:p w:rsidR="0029768C" w:rsidRPr="00FA0ADC" w:rsidRDefault="0029768C" w:rsidP="006B59F4">
            <w:pPr>
              <w:pStyle w:val="Default"/>
              <w:spacing w:line="276" w:lineRule="auto"/>
              <w:rPr>
                <w:rFonts w:ascii="Times New Roman" w:hAnsi="Times New Roman" w:cs="Times New Roman"/>
                <w:szCs w:val="22"/>
              </w:rPr>
            </w:pPr>
            <w:r w:rsidRPr="00FA0ADC">
              <w:rPr>
                <w:rFonts w:ascii="Times New Roman" w:hAnsi="Times New Roman" w:cs="Times New Roman"/>
                <w:szCs w:val="22"/>
              </w:rPr>
              <w:t xml:space="preserve">Titre de Projet </w:t>
            </w:r>
          </w:p>
        </w:tc>
        <w:tc>
          <w:tcPr>
            <w:tcW w:w="4000" w:type="pct"/>
            <w:gridSpan w:val="4"/>
            <w:vAlign w:val="center"/>
          </w:tcPr>
          <w:p w:rsidR="0029768C" w:rsidRPr="00000DC3" w:rsidRDefault="00386B2F" w:rsidP="00C036D3">
            <w:pPr>
              <w:pStyle w:val="Default"/>
              <w:spacing w:line="276" w:lineRule="auto"/>
              <w:jc w:val="both"/>
              <w:rPr>
                <w:rFonts w:ascii="Times New Roman" w:hAnsi="Times New Roman" w:cs="Times New Roman"/>
                <w:b/>
                <w:szCs w:val="22"/>
              </w:rPr>
            </w:pPr>
            <w:r w:rsidRPr="00E865E0">
              <w:rPr>
                <w:rFonts w:ascii="Times New Roman" w:hAnsi="Times New Roman" w:cs="Times New Roman"/>
                <w:b/>
                <w:bCs/>
                <w:szCs w:val="22"/>
              </w:rPr>
              <w:t xml:space="preserve">Projet d’Assistance Technique Préparatoire pour le renforcement du cadre légal, réglementaire et institutionnel des secteurs de </w:t>
            </w:r>
            <w:r w:rsidR="00C036D3" w:rsidRPr="00E865E0">
              <w:rPr>
                <w:rFonts w:ascii="Times New Roman" w:hAnsi="Times New Roman" w:cs="Times New Roman"/>
                <w:b/>
                <w:bCs/>
                <w:szCs w:val="22"/>
              </w:rPr>
              <w:t>l</w:t>
            </w:r>
            <w:r w:rsidRPr="00E865E0">
              <w:rPr>
                <w:rFonts w:ascii="Times New Roman" w:hAnsi="Times New Roman" w:cs="Times New Roman"/>
                <w:b/>
                <w:bCs/>
                <w:szCs w:val="22"/>
              </w:rPr>
              <w:t>’Energie et des Mines</w:t>
            </w:r>
            <w:r w:rsidR="00C036D3">
              <w:rPr>
                <w:rFonts w:ascii="Times New Roman" w:hAnsi="Times New Roman" w:cs="Times New Roman"/>
                <w:b/>
                <w:bCs/>
                <w:szCs w:val="22"/>
              </w:rPr>
              <w:t>.</w:t>
            </w:r>
          </w:p>
        </w:tc>
      </w:tr>
      <w:tr w:rsidR="0029768C" w:rsidTr="006B59F4">
        <w:trPr>
          <w:trHeight w:val="420"/>
        </w:trPr>
        <w:tc>
          <w:tcPr>
            <w:tcW w:w="1000"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 xml:space="preserve">ID de projet du PNUD : </w:t>
            </w:r>
          </w:p>
        </w:tc>
        <w:tc>
          <w:tcPr>
            <w:tcW w:w="1019" w:type="pct"/>
            <w:vAlign w:val="center"/>
          </w:tcPr>
          <w:p w:rsidR="0029768C" w:rsidRPr="00FA0ADC" w:rsidRDefault="0029768C" w:rsidP="0029768C">
            <w:pPr>
              <w:pStyle w:val="Default"/>
              <w:spacing w:line="276" w:lineRule="auto"/>
              <w:rPr>
                <w:rFonts w:ascii="Times New Roman" w:hAnsi="Times New Roman" w:cs="Times New Roman"/>
                <w:szCs w:val="22"/>
              </w:rPr>
            </w:pPr>
          </w:p>
        </w:tc>
        <w:tc>
          <w:tcPr>
            <w:tcW w:w="1178"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Financement</w:t>
            </w:r>
          </w:p>
        </w:tc>
        <w:tc>
          <w:tcPr>
            <w:tcW w:w="940"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i/>
                <w:iCs/>
                <w:szCs w:val="22"/>
              </w:rPr>
              <w:t xml:space="preserve">à l’approbation (en USD) </w:t>
            </w:r>
          </w:p>
        </w:tc>
        <w:tc>
          <w:tcPr>
            <w:tcW w:w="863"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i/>
                <w:iCs/>
                <w:szCs w:val="22"/>
              </w:rPr>
              <w:t xml:space="preserve">à l’achèvement (en USD) </w:t>
            </w:r>
          </w:p>
        </w:tc>
      </w:tr>
      <w:tr w:rsidR="0029768C" w:rsidTr="006B59F4">
        <w:trPr>
          <w:trHeight w:val="418"/>
        </w:trPr>
        <w:tc>
          <w:tcPr>
            <w:tcW w:w="1000"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 xml:space="preserve">Pays : </w:t>
            </w:r>
          </w:p>
        </w:tc>
        <w:tc>
          <w:tcPr>
            <w:tcW w:w="1019" w:type="pct"/>
            <w:vAlign w:val="center"/>
          </w:tcPr>
          <w:p w:rsidR="0029768C" w:rsidRPr="00FA0ADC" w:rsidRDefault="0029768C" w:rsidP="0029768C">
            <w:pPr>
              <w:pStyle w:val="Default"/>
              <w:spacing w:line="276" w:lineRule="auto"/>
              <w:rPr>
                <w:rFonts w:ascii="Times New Roman" w:hAnsi="Times New Roman" w:cs="Times New Roman"/>
                <w:szCs w:val="22"/>
              </w:rPr>
            </w:pPr>
            <w:r>
              <w:rPr>
                <w:rFonts w:ascii="Times New Roman" w:hAnsi="Times New Roman" w:cs="Times New Roman"/>
                <w:szCs w:val="22"/>
              </w:rPr>
              <w:t>BURUNDI</w:t>
            </w:r>
            <w:r w:rsidRPr="00FA0ADC">
              <w:rPr>
                <w:rFonts w:ascii="Times New Roman" w:hAnsi="Times New Roman" w:cs="Times New Roman"/>
                <w:szCs w:val="22"/>
              </w:rPr>
              <w:t xml:space="preserve"> </w:t>
            </w:r>
          </w:p>
        </w:tc>
        <w:tc>
          <w:tcPr>
            <w:tcW w:w="1178"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Financement de l’agence d’exécution/agence de réalisation</w:t>
            </w:r>
            <w:r>
              <w:rPr>
                <w:rFonts w:ascii="Times New Roman" w:hAnsi="Times New Roman" w:cs="Times New Roman"/>
                <w:szCs w:val="22"/>
              </w:rPr>
              <w:t xml:space="preserve"> (PNUD)</w:t>
            </w:r>
            <w:r w:rsidRPr="00FA0ADC">
              <w:rPr>
                <w:rFonts w:ascii="Times New Roman" w:hAnsi="Times New Roman" w:cs="Times New Roman"/>
                <w:szCs w:val="22"/>
              </w:rPr>
              <w:t xml:space="preserve"> : </w:t>
            </w:r>
          </w:p>
        </w:tc>
        <w:tc>
          <w:tcPr>
            <w:tcW w:w="940" w:type="pct"/>
            <w:vAlign w:val="center"/>
          </w:tcPr>
          <w:p w:rsidR="0029768C" w:rsidRPr="00FA0ADC" w:rsidRDefault="0029768C" w:rsidP="0029768C">
            <w:pPr>
              <w:pStyle w:val="Default"/>
              <w:spacing w:line="276" w:lineRule="auto"/>
              <w:ind w:right="327"/>
              <w:jc w:val="right"/>
              <w:rPr>
                <w:rFonts w:ascii="Times New Roman" w:hAnsi="Times New Roman" w:cs="Times New Roman"/>
                <w:szCs w:val="22"/>
              </w:rPr>
            </w:pPr>
            <w:r>
              <w:rPr>
                <w:rFonts w:ascii="Times New Roman" w:hAnsi="Times New Roman" w:cs="Times New Roman"/>
                <w:szCs w:val="22"/>
              </w:rPr>
              <w:t xml:space="preserve">719 500 </w:t>
            </w:r>
          </w:p>
        </w:tc>
        <w:tc>
          <w:tcPr>
            <w:tcW w:w="863" w:type="pct"/>
            <w:vAlign w:val="center"/>
          </w:tcPr>
          <w:p w:rsidR="0029768C" w:rsidRPr="00FA0ADC" w:rsidRDefault="0029768C" w:rsidP="0029768C">
            <w:pPr>
              <w:pStyle w:val="Default"/>
              <w:spacing w:line="276" w:lineRule="auto"/>
              <w:ind w:right="327"/>
              <w:jc w:val="right"/>
              <w:rPr>
                <w:rFonts w:ascii="Times New Roman" w:hAnsi="Times New Roman" w:cs="Times New Roman"/>
                <w:szCs w:val="22"/>
              </w:rPr>
            </w:pPr>
            <w:r>
              <w:rPr>
                <w:rFonts w:ascii="Times New Roman" w:hAnsi="Times New Roman" w:cs="Times New Roman"/>
                <w:szCs w:val="22"/>
              </w:rPr>
              <w:t xml:space="preserve">469 814 </w:t>
            </w:r>
          </w:p>
        </w:tc>
      </w:tr>
      <w:tr w:rsidR="0029768C" w:rsidTr="006B59F4">
        <w:trPr>
          <w:trHeight w:val="110"/>
        </w:trPr>
        <w:tc>
          <w:tcPr>
            <w:tcW w:w="1000"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 xml:space="preserve">Région : </w:t>
            </w:r>
          </w:p>
        </w:tc>
        <w:tc>
          <w:tcPr>
            <w:tcW w:w="1019"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 xml:space="preserve">Afrique </w:t>
            </w:r>
          </w:p>
        </w:tc>
        <w:tc>
          <w:tcPr>
            <w:tcW w:w="1178"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 xml:space="preserve">Gouvernement : </w:t>
            </w:r>
          </w:p>
        </w:tc>
        <w:tc>
          <w:tcPr>
            <w:tcW w:w="940" w:type="pct"/>
            <w:vAlign w:val="center"/>
          </w:tcPr>
          <w:p w:rsidR="0029768C" w:rsidRPr="00FA0ADC" w:rsidRDefault="0029768C" w:rsidP="0029768C">
            <w:pPr>
              <w:pStyle w:val="Default"/>
              <w:spacing w:line="276" w:lineRule="auto"/>
              <w:ind w:right="327"/>
              <w:jc w:val="right"/>
              <w:rPr>
                <w:rFonts w:ascii="Times New Roman" w:hAnsi="Times New Roman" w:cs="Times New Roman"/>
                <w:szCs w:val="22"/>
              </w:rPr>
            </w:pPr>
            <w:r>
              <w:rPr>
                <w:rFonts w:ascii="Times New Roman" w:hAnsi="Times New Roman" w:cs="Times New Roman"/>
                <w:szCs w:val="22"/>
              </w:rPr>
              <w:t xml:space="preserve">Nature </w:t>
            </w:r>
          </w:p>
        </w:tc>
        <w:tc>
          <w:tcPr>
            <w:tcW w:w="863" w:type="pct"/>
            <w:vAlign w:val="center"/>
          </w:tcPr>
          <w:p w:rsidR="0029768C" w:rsidRPr="00FA0ADC" w:rsidRDefault="0029768C" w:rsidP="0029768C">
            <w:pPr>
              <w:pStyle w:val="Default"/>
              <w:spacing w:line="276" w:lineRule="auto"/>
              <w:ind w:right="327"/>
              <w:jc w:val="right"/>
              <w:rPr>
                <w:rFonts w:ascii="Times New Roman" w:hAnsi="Times New Roman" w:cs="Times New Roman"/>
                <w:szCs w:val="22"/>
              </w:rPr>
            </w:pPr>
            <w:r>
              <w:rPr>
                <w:rFonts w:ascii="Times New Roman" w:hAnsi="Times New Roman" w:cs="Times New Roman"/>
                <w:szCs w:val="22"/>
              </w:rPr>
              <w:t xml:space="preserve">- </w:t>
            </w:r>
          </w:p>
        </w:tc>
      </w:tr>
      <w:tr w:rsidR="0046529A" w:rsidTr="0046529A">
        <w:trPr>
          <w:trHeight w:val="573"/>
        </w:trPr>
        <w:tc>
          <w:tcPr>
            <w:tcW w:w="1000" w:type="pct"/>
            <w:vAlign w:val="center"/>
          </w:tcPr>
          <w:p w:rsidR="0046529A" w:rsidRPr="00FA0ADC" w:rsidRDefault="0046529A" w:rsidP="0029768C">
            <w:pPr>
              <w:pStyle w:val="Default"/>
              <w:spacing w:line="276" w:lineRule="auto"/>
              <w:rPr>
                <w:rFonts w:ascii="Times New Roman" w:hAnsi="Times New Roman" w:cs="Times New Roman"/>
                <w:szCs w:val="22"/>
              </w:rPr>
            </w:pPr>
            <w:r>
              <w:rPr>
                <w:rFonts w:ascii="Times New Roman" w:hAnsi="Times New Roman" w:cs="Times New Roman"/>
                <w:szCs w:val="22"/>
              </w:rPr>
              <w:t xml:space="preserve">Effet UNDAF </w:t>
            </w:r>
            <w:r w:rsidR="00386B2F">
              <w:rPr>
                <w:rFonts w:ascii="Times New Roman" w:hAnsi="Times New Roman" w:cs="Times New Roman"/>
                <w:szCs w:val="22"/>
              </w:rPr>
              <w:t xml:space="preserve">/ </w:t>
            </w:r>
            <w:r>
              <w:rPr>
                <w:rFonts w:ascii="Times New Roman" w:hAnsi="Times New Roman" w:cs="Times New Roman"/>
                <w:szCs w:val="22"/>
              </w:rPr>
              <w:t>indicateur</w:t>
            </w:r>
            <w:r w:rsidR="00386B2F">
              <w:rPr>
                <w:rFonts w:ascii="Times New Roman" w:hAnsi="Times New Roman" w:cs="Times New Roman"/>
                <w:szCs w:val="22"/>
              </w:rPr>
              <w:t>s</w:t>
            </w:r>
            <w:r w:rsidRPr="00FA0ADC">
              <w:rPr>
                <w:rFonts w:ascii="Times New Roman" w:hAnsi="Times New Roman" w:cs="Times New Roman"/>
                <w:szCs w:val="22"/>
              </w:rPr>
              <w:t xml:space="preserve"> : </w:t>
            </w:r>
          </w:p>
        </w:tc>
        <w:tc>
          <w:tcPr>
            <w:tcW w:w="4000" w:type="pct"/>
            <w:gridSpan w:val="4"/>
            <w:vAlign w:val="center"/>
          </w:tcPr>
          <w:p w:rsidR="0046529A" w:rsidRPr="00FA0ADC" w:rsidRDefault="0046529A" w:rsidP="0046529A">
            <w:pPr>
              <w:pStyle w:val="Default"/>
              <w:spacing w:line="276" w:lineRule="auto"/>
              <w:ind w:right="327"/>
              <w:jc w:val="both"/>
              <w:rPr>
                <w:rFonts w:ascii="Times New Roman" w:hAnsi="Times New Roman" w:cs="Times New Roman"/>
                <w:szCs w:val="22"/>
              </w:rPr>
            </w:pPr>
            <w:r w:rsidRPr="0046529A">
              <w:rPr>
                <w:rFonts w:ascii="Times New Roman" w:hAnsi="Times New Roman" w:cs="Times New Roman"/>
                <w:szCs w:val="22"/>
              </w:rPr>
              <w:t>L’environnement des affaires (les politiques fiscales, commerciales et d’investissement) et la stratégie de promotion de l’emploi sensible au genre sont incitatifs et sous-tendus par une politique énergétique adéquate et des TICs diversifiés, accessibles et respectueux de l’environnement</w:t>
            </w:r>
            <w:r>
              <w:rPr>
                <w:rFonts w:ascii="Times New Roman" w:hAnsi="Times New Roman" w:cs="Times New Roman"/>
                <w:szCs w:val="22"/>
              </w:rPr>
              <w:t>.</w:t>
            </w:r>
          </w:p>
        </w:tc>
      </w:tr>
      <w:tr w:rsidR="00386B2F" w:rsidTr="0046529A">
        <w:trPr>
          <w:trHeight w:val="573"/>
        </w:trPr>
        <w:tc>
          <w:tcPr>
            <w:tcW w:w="1000" w:type="pct"/>
            <w:vAlign w:val="center"/>
          </w:tcPr>
          <w:p w:rsidR="00386B2F" w:rsidRDefault="00386B2F" w:rsidP="0029768C">
            <w:pPr>
              <w:pStyle w:val="Default"/>
              <w:spacing w:line="276" w:lineRule="auto"/>
              <w:rPr>
                <w:rFonts w:ascii="Times New Roman" w:hAnsi="Times New Roman" w:cs="Times New Roman"/>
                <w:szCs w:val="22"/>
              </w:rPr>
            </w:pPr>
            <w:r>
              <w:rPr>
                <w:rFonts w:ascii="Times New Roman" w:hAnsi="Times New Roman" w:cs="Times New Roman"/>
                <w:szCs w:val="22"/>
              </w:rPr>
              <w:t>Effets escomptés / indicateurs</w:t>
            </w:r>
          </w:p>
        </w:tc>
        <w:tc>
          <w:tcPr>
            <w:tcW w:w="4000" w:type="pct"/>
            <w:gridSpan w:val="4"/>
            <w:vAlign w:val="center"/>
          </w:tcPr>
          <w:p w:rsidR="00386B2F" w:rsidRPr="0046529A" w:rsidRDefault="00386B2F" w:rsidP="0046529A">
            <w:pPr>
              <w:pStyle w:val="Default"/>
              <w:spacing w:line="276" w:lineRule="auto"/>
              <w:ind w:right="327"/>
              <w:jc w:val="both"/>
              <w:rPr>
                <w:rFonts w:ascii="Times New Roman" w:hAnsi="Times New Roman" w:cs="Times New Roman"/>
                <w:szCs w:val="22"/>
              </w:rPr>
            </w:pPr>
            <w:r w:rsidRPr="00386B2F">
              <w:rPr>
                <w:rFonts w:ascii="Times New Roman" w:hAnsi="Times New Roman" w:cs="Times New Roman"/>
                <w:szCs w:val="22"/>
              </w:rPr>
              <w:t>Le cadre régissant les secteurs de l’Energie et des Mines est modernisé et permet à Moyen Terme d’augmenter sensiblement  les investisseurs privé dans ces secteurs</w:t>
            </w:r>
          </w:p>
        </w:tc>
      </w:tr>
      <w:tr w:rsidR="0029768C" w:rsidTr="006B59F4">
        <w:trPr>
          <w:trHeight w:val="265"/>
        </w:trPr>
        <w:tc>
          <w:tcPr>
            <w:tcW w:w="1000"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Agen</w:t>
            </w:r>
            <w:r>
              <w:rPr>
                <w:rFonts w:ascii="Times New Roman" w:hAnsi="Times New Roman" w:cs="Times New Roman"/>
                <w:szCs w:val="22"/>
              </w:rPr>
              <w:t xml:space="preserve">ce </w:t>
            </w:r>
            <w:r w:rsidRPr="00FA0ADC">
              <w:rPr>
                <w:rFonts w:ascii="Times New Roman" w:hAnsi="Times New Roman" w:cs="Times New Roman"/>
                <w:szCs w:val="22"/>
              </w:rPr>
              <w:t xml:space="preserve">d’exécution : </w:t>
            </w:r>
          </w:p>
        </w:tc>
        <w:tc>
          <w:tcPr>
            <w:tcW w:w="1019" w:type="pct"/>
            <w:vAlign w:val="center"/>
          </w:tcPr>
          <w:p w:rsidR="0029768C" w:rsidRPr="00FA0ADC" w:rsidRDefault="0046529A" w:rsidP="0029768C">
            <w:pPr>
              <w:pStyle w:val="Default"/>
              <w:spacing w:line="276" w:lineRule="auto"/>
              <w:rPr>
                <w:rFonts w:ascii="Times New Roman" w:hAnsi="Times New Roman" w:cs="Times New Roman"/>
                <w:szCs w:val="22"/>
              </w:rPr>
            </w:pPr>
            <w:r>
              <w:rPr>
                <w:rFonts w:ascii="Times New Roman" w:hAnsi="Times New Roman" w:cs="Times New Roman"/>
                <w:szCs w:val="22"/>
              </w:rPr>
              <w:t>Ministère de l’Energie et des Mines</w:t>
            </w:r>
          </w:p>
        </w:tc>
        <w:tc>
          <w:tcPr>
            <w:tcW w:w="1178"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Coût total du projet</w:t>
            </w:r>
            <w:r>
              <w:rPr>
                <w:rFonts w:ascii="Times New Roman" w:hAnsi="Times New Roman" w:cs="Times New Roman"/>
                <w:szCs w:val="22"/>
              </w:rPr>
              <w:t> :</w:t>
            </w:r>
            <w:r w:rsidRPr="00FA0ADC">
              <w:rPr>
                <w:rFonts w:ascii="Times New Roman" w:hAnsi="Times New Roman" w:cs="Times New Roman"/>
                <w:szCs w:val="22"/>
              </w:rPr>
              <w:t xml:space="preserve"> </w:t>
            </w:r>
          </w:p>
        </w:tc>
        <w:tc>
          <w:tcPr>
            <w:tcW w:w="940" w:type="pct"/>
            <w:vAlign w:val="center"/>
          </w:tcPr>
          <w:p w:rsidR="0029768C" w:rsidRPr="00FA0ADC" w:rsidRDefault="0046529A" w:rsidP="0029768C">
            <w:pPr>
              <w:pStyle w:val="Default"/>
              <w:spacing w:line="276" w:lineRule="auto"/>
              <w:ind w:right="327"/>
              <w:jc w:val="right"/>
              <w:rPr>
                <w:rFonts w:ascii="Times New Roman" w:hAnsi="Times New Roman" w:cs="Times New Roman"/>
                <w:szCs w:val="22"/>
              </w:rPr>
            </w:pPr>
            <w:r>
              <w:rPr>
                <w:rFonts w:ascii="Times New Roman" w:hAnsi="Times New Roman" w:cs="Times New Roman"/>
                <w:szCs w:val="22"/>
              </w:rPr>
              <w:t>719</w:t>
            </w:r>
            <w:r w:rsidR="0029768C">
              <w:rPr>
                <w:rFonts w:ascii="Times New Roman" w:hAnsi="Times New Roman" w:cs="Times New Roman"/>
                <w:szCs w:val="22"/>
              </w:rPr>
              <w:t> </w:t>
            </w:r>
            <w:r>
              <w:rPr>
                <w:rFonts w:ascii="Times New Roman" w:hAnsi="Times New Roman" w:cs="Times New Roman"/>
                <w:szCs w:val="22"/>
              </w:rPr>
              <w:t>5</w:t>
            </w:r>
            <w:r w:rsidR="0029768C" w:rsidRPr="00FA0ADC">
              <w:rPr>
                <w:rFonts w:ascii="Times New Roman" w:hAnsi="Times New Roman" w:cs="Times New Roman"/>
                <w:szCs w:val="22"/>
              </w:rPr>
              <w:t>00</w:t>
            </w:r>
            <w:r w:rsidR="0029768C">
              <w:rPr>
                <w:rFonts w:ascii="Times New Roman" w:hAnsi="Times New Roman" w:cs="Times New Roman"/>
                <w:szCs w:val="22"/>
              </w:rPr>
              <w:t xml:space="preserve"> </w:t>
            </w:r>
          </w:p>
        </w:tc>
        <w:tc>
          <w:tcPr>
            <w:tcW w:w="863" w:type="pct"/>
            <w:vAlign w:val="center"/>
          </w:tcPr>
          <w:p w:rsidR="0029768C" w:rsidRPr="00FA0ADC" w:rsidRDefault="0046529A" w:rsidP="0029768C">
            <w:pPr>
              <w:pStyle w:val="Default"/>
              <w:spacing w:line="276" w:lineRule="auto"/>
              <w:ind w:right="327"/>
              <w:jc w:val="right"/>
              <w:rPr>
                <w:rFonts w:ascii="Times New Roman" w:hAnsi="Times New Roman" w:cs="Times New Roman"/>
                <w:szCs w:val="22"/>
              </w:rPr>
            </w:pPr>
            <w:r>
              <w:rPr>
                <w:rFonts w:ascii="Times New Roman" w:hAnsi="Times New Roman" w:cs="Times New Roman"/>
                <w:szCs w:val="22"/>
              </w:rPr>
              <w:t>469 814</w:t>
            </w:r>
            <w:r w:rsidR="0029768C">
              <w:rPr>
                <w:rFonts w:ascii="Times New Roman" w:hAnsi="Times New Roman" w:cs="Times New Roman"/>
                <w:szCs w:val="22"/>
              </w:rPr>
              <w:t xml:space="preserve"> </w:t>
            </w:r>
          </w:p>
        </w:tc>
      </w:tr>
      <w:tr w:rsidR="0029768C" w:rsidTr="006B59F4">
        <w:trPr>
          <w:trHeight w:val="265"/>
        </w:trPr>
        <w:tc>
          <w:tcPr>
            <w:tcW w:w="1000"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 xml:space="preserve">Domaine focal : </w:t>
            </w:r>
          </w:p>
        </w:tc>
        <w:tc>
          <w:tcPr>
            <w:tcW w:w="1019"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 xml:space="preserve">Multi Focal Area </w:t>
            </w:r>
          </w:p>
        </w:tc>
        <w:tc>
          <w:tcPr>
            <w:tcW w:w="2981" w:type="pct"/>
            <w:gridSpan w:val="3"/>
            <w:vAlign w:val="center"/>
          </w:tcPr>
          <w:p w:rsidR="0029768C" w:rsidRDefault="0029768C" w:rsidP="0029768C">
            <w:pPr>
              <w:pStyle w:val="Default"/>
              <w:spacing w:line="276" w:lineRule="auto"/>
              <w:ind w:right="327"/>
              <w:rPr>
                <w:rFonts w:ascii="Times New Roman" w:hAnsi="Times New Roman" w:cs="Times New Roman"/>
                <w:szCs w:val="22"/>
              </w:rPr>
            </w:pPr>
            <w:r w:rsidRPr="00FA0ADC">
              <w:rPr>
                <w:rFonts w:ascii="Times New Roman" w:hAnsi="Times New Roman" w:cs="Times New Roman"/>
                <w:szCs w:val="22"/>
              </w:rPr>
              <w:t xml:space="preserve">Autre : </w:t>
            </w:r>
          </w:p>
        </w:tc>
      </w:tr>
      <w:tr w:rsidR="0029768C" w:rsidTr="006B59F4">
        <w:trPr>
          <w:trHeight w:val="590"/>
        </w:trPr>
        <w:tc>
          <w:tcPr>
            <w:tcW w:w="1000" w:type="pct"/>
            <w:vMerge w:val="restar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Autres part</w:t>
            </w:r>
            <w:r>
              <w:rPr>
                <w:rFonts w:ascii="Times New Roman" w:hAnsi="Times New Roman" w:cs="Times New Roman"/>
                <w:szCs w:val="22"/>
              </w:rPr>
              <w:t>enaires participant au projet :</w:t>
            </w:r>
            <w:r w:rsidRPr="00FA0ADC">
              <w:rPr>
                <w:rFonts w:ascii="Times New Roman" w:hAnsi="Times New Roman" w:cs="Times New Roman"/>
                <w:szCs w:val="22"/>
              </w:rPr>
              <w:t xml:space="preserve"> </w:t>
            </w:r>
          </w:p>
        </w:tc>
        <w:tc>
          <w:tcPr>
            <w:tcW w:w="1019" w:type="pct"/>
            <w:vMerge w:val="restart"/>
            <w:vAlign w:val="center"/>
          </w:tcPr>
          <w:p w:rsidR="0029768C" w:rsidRPr="00FA0ADC" w:rsidRDefault="0046529A" w:rsidP="0029768C">
            <w:pPr>
              <w:pStyle w:val="Default"/>
              <w:spacing w:line="276" w:lineRule="auto"/>
              <w:rPr>
                <w:rFonts w:ascii="Times New Roman" w:hAnsi="Times New Roman" w:cs="Times New Roman"/>
                <w:szCs w:val="22"/>
              </w:rPr>
            </w:pPr>
            <w:r>
              <w:rPr>
                <w:rFonts w:ascii="Times New Roman" w:hAnsi="Times New Roman" w:cs="Times New Roman"/>
                <w:szCs w:val="22"/>
              </w:rPr>
              <w:t>-</w:t>
            </w:r>
          </w:p>
        </w:tc>
        <w:tc>
          <w:tcPr>
            <w:tcW w:w="2118" w:type="pct"/>
            <w:gridSpan w:val="2"/>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 xml:space="preserve">Signature du DP (Date de début du projet) : </w:t>
            </w:r>
          </w:p>
        </w:tc>
        <w:tc>
          <w:tcPr>
            <w:tcW w:w="863" w:type="pct"/>
            <w:vAlign w:val="center"/>
          </w:tcPr>
          <w:p w:rsidR="0029768C" w:rsidRPr="00FA0ADC" w:rsidRDefault="0046529A" w:rsidP="0029768C">
            <w:pPr>
              <w:pStyle w:val="Default"/>
              <w:spacing w:line="276" w:lineRule="auto"/>
              <w:rPr>
                <w:rFonts w:ascii="Times New Roman" w:hAnsi="Times New Roman" w:cs="Times New Roman"/>
                <w:szCs w:val="22"/>
              </w:rPr>
            </w:pPr>
            <w:r w:rsidRPr="0046529A">
              <w:rPr>
                <w:rFonts w:ascii="Times New Roman" w:hAnsi="Times New Roman" w:cs="Times New Roman"/>
                <w:szCs w:val="22"/>
              </w:rPr>
              <w:t>01/07/2013</w:t>
            </w:r>
          </w:p>
        </w:tc>
      </w:tr>
      <w:tr w:rsidR="0029768C" w:rsidTr="006B59F4">
        <w:trPr>
          <w:trHeight w:val="418"/>
        </w:trPr>
        <w:tc>
          <w:tcPr>
            <w:tcW w:w="1000" w:type="pct"/>
            <w:vMerge/>
            <w:vAlign w:val="center"/>
          </w:tcPr>
          <w:p w:rsidR="0029768C" w:rsidRPr="00FA0ADC" w:rsidRDefault="0029768C" w:rsidP="0029768C">
            <w:pPr>
              <w:pStyle w:val="Default"/>
              <w:spacing w:line="276" w:lineRule="auto"/>
              <w:rPr>
                <w:rFonts w:ascii="Times New Roman" w:hAnsi="Times New Roman" w:cs="Times New Roman"/>
                <w:szCs w:val="22"/>
              </w:rPr>
            </w:pPr>
          </w:p>
        </w:tc>
        <w:tc>
          <w:tcPr>
            <w:tcW w:w="1019" w:type="pct"/>
            <w:vMerge/>
            <w:vAlign w:val="center"/>
          </w:tcPr>
          <w:p w:rsidR="0029768C" w:rsidRPr="00FA0ADC" w:rsidRDefault="0029768C" w:rsidP="0029768C">
            <w:pPr>
              <w:pStyle w:val="Default"/>
              <w:spacing w:line="276" w:lineRule="auto"/>
              <w:rPr>
                <w:rFonts w:ascii="Times New Roman" w:hAnsi="Times New Roman" w:cs="Times New Roman"/>
                <w:szCs w:val="22"/>
              </w:rPr>
            </w:pPr>
          </w:p>
        </w:tc>
        <w:tc>
          <w:tcPr>
            <w:tcW w:w="1178"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Date de clôture (opérationnelle)</w:t>
            </w:r>
          </w:p>
        </w:tc>
        <w:tc>
          <w:tcPr>
            <w:tcW w:w="940"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Proposé</w:t>
            </w:r>
            <w:r>
              <w:rPr>
                <w:rFonts w:ascii="Times New Roman" w:hAnsi="Times New Roman" w:cs="Times New Roman"/>
                <w:szCs w:val="22"/>
              </w:rPr>
              <w:t>e</w:t>
            </w:r>
            <w:r w:rsidRPr="00FA0ADC">
              <w:rPr>
                <w:rFonts w:ascii="Times New Roman" w:hAnsi="Times New Roman" w:cs="Times New Roman"/>
                <w:szCs w:val="22"/>
              </w:rPr>
              <w:t xml:space="preserve"> : </w:t>
            </w:r>
          </w:p>
          <w:p w:rsidR="0029768C" w:rsidRPr="00FA0ADC" w:rsidRDefault="0046529A" w:rsidP="0029768C">
            <w:pPr>
              <w:pStyle w:val="Default"/>
              <w:spacing w:line="276" w:lineRule="auto"/>
              <w:rPr>
                <w:rFonts w:ascii="Times New Roman" w:hAnsi="Times New Roman" w:cs="Times New Roman"/>
                <w:szCs w:val="22"/>
              </w:rPr>
            </w:pPr>
            <w:r w:rsidRPr="0046529A">
              <w:rPr>
                <w:rFonts w:ascii="Times New Roman" w:hAnsi="Times New Roman" w:cs="Times New Roman"/>
                <w:szCs w:val="22"/>
              </w:rPr>
              <w:t>30/08/2014</w:t>
            </w:r>
          </w:p>
        </w:tc>
        <w:tc>
          <w:tcPr>
            <w:tcW w:w="863" w:type="pct"/>
            <w:vAlign w:val="center"/>
          </w:tcPr>
          <w:p w:rsidR="0029768C" w:rsidRPr="00FA0ADC" w:rsidRDefault="0029768C" w:rsidP="0029768C">
            <w:pPr>
              <w:pStyle w:val="Default"/>
              <w:spacing w:line="276" w:lineRule="auto"/>
              <w:rPr>
                <w:rFonts w:ascii="Times New Roman" w:hAnsi="Times New Roman" w:cs="Times New Roman"/>
                <w:szCs w:val="22"/>
              </w:rPr>
            </w:pPr>
            <w:r w:rsidRPr="00FA0ADC">
              <w:rPr>
                <w:rFonts w:ascii="Times New Roman" w:hAnsi="Times New Roman" w:cs="Times New Roman"/>
                <w:szCs w:val="22"/>
              </w:rPr>
              <w:t>Réel</w:t>
            </w:r>
            <w:r>
              <w:rPr>
                <w:rFonts w:ascii="Times New Roman" w:hAnsi="Times New Roman" w:cs="Times New Roman"/>
                <w:szCs w:val="22"/>
              </w:rPr>
              <w:t>le</w:t>
            </w:r>
            <w:r w:rsidRPr="00FA0ADC">
              <w:rPr>
                <w:rFonts w:ascii="Times New Roman" w:hAnsi="Times New Roman" w:cs="Times New Roman"/>
                <w:szCs w:val="22"/>
              </w:rPr>
              <w:t xml:space="preserve"> : </w:t>
            </w:r>
          </w:p>
          <w:p w:rsidR="0029768C" w:rsidRPr="00FA0ADC" w:rsidRDefault="0046529A" w:rsidP="0029768C">
            <w:pPr>
              <w:pStyle w:val="Default"/>
              <w:spacing w:line="276" w:lineRule="auto"/>
              <w:rPr>
                <w:rFonts w:ascii="Times New Roman" w:hAnsi="Times New Roman" w:cs="Times New Roman"/>
                <w:szCs w:val="22"/>
              </w:rPr>
            </w:pPr>
            <w:r w:rsidRPr="0046529A">
              <w:rPr>
                <w:rFonts w:ascii="Times New Roman" w:hAnsi="Times New Roman" w:cs="Times New Roman"/>
                <w:szCs w:val="22"/>
              </w:rPr>
              <w:t>31 mars 2017</w:t>
            </w:r>
          </w:p>
        </w:tc>
      </w:tr>
    </w:tbl>
    <w:p w:rsidR="0029768C" w:rsidRPr="002558C8" w:rsidRDefault="002558C8" w:rsidP="002558C8">
      <w:pPr>
        <w:pStyle w:val="Lgende"/>
        <w:spacing w:before="240" w:line="276" w:lineRule="auto"/>
        <w:jc w:val="center"/>
        <w:rPr>
          <w:rFonts w:ascii="Times New Roman" w:hAnsi="Times New Roman" w:cs="Times New Roman"/>
          <w:bCs/>
          <w:i w:val="0"/>
          <w:color w:val="auto"/>
          <w:sz w:val="24"/>
          <w:szCs w:val="24"/>
        </w:rPr>
      </w:pPr>
      <w:bookmarkStart w:id="4" w:name="_Toc500352815"/>
      <w:r w:rsidRPr="002558C8">
        <w:rPr>
          <w:rFonts w:ascii="Times New Roman" w:hAnsi="Times New Roman" w:cs="Times New Roman"/>
          <w:i w:val="0"/>
          <w:color w:val="auto"/>
          <w:sz w:val="24"/>
          <w:szCs w:val="24"/>
        </w:rPr>
        <w:t xml:space="preserve">Tableau </w:t>
      </w:r>
      <w:r w:rsidRPr="002558C8">
        <w:rPr>
          <w:rFonts w:ascii="Times New Roman" w:hAnsi="Times New Roman" w:cs="Times New Roman"/>
          <w:i w:val="0"/>
          <w:color w:val="auto"/>
          <w:sz w:val="24"/>
          <w:szCs w:val="24"/>
        </w:rPr>
        <w:fldChar w:fldCharType="begin"/>
      </w:r>
      <w:r w:rsidRPr="002558C8">
        <w:rPr>
          <w:rFonts w:ascii="Times New Roman" w:hAnsi="Times New Roman" w:cs="Times New Roman"/>
          <w:i w:val="0"/>
          <w:color w:val="auto"/>
          <w:sz w:val="24"/>
          <w:szCs w:val="24"/>
        </w:rPr>
        <w:instrText xml:space="preserve"> SEQ Tableau \* ARABIC </w:instrText>
      </w:r>
      <w:r w:rsidRPr="002558C8">
        <w:rPr>
          <w:rFonts w:ascii="Times New Roman" w:hAnsi="Times New Roman" w:cs="Times New Roman"/>
          <w:i w:val="0"/>
          <w:color w:val="auto"/>
          <w:sz w:val="24"/>
          <w:szCs w:val="24"/>
        </w:rPr>
        <w:fldChar w:fldCharType="separate"/>
      </w:r>
      <w:r w:rsidR="00531EA9">
        <w:rPr>
          <w:rFonts w:ascii="Times New Roman" w:hAnsi="Times New Roman" w:cs="Times New Roman"/>
          <w:i w:val="0"/>
          <w:noProof/>
          <w:color w:val="auto"/>
          <w:sz w:val="24"/>
          <w:szCs w:val="24"/>
        </w:rPr>
        <w:t>1</w:t>
      </w:r>
      <w:r w:rsidRPr="002558C8">
        <w:rPr>
          <w:rFonts w:ascii="Times New Roman" w:hAnsi="Times New Roman" w:cs="Times New Roman"/>
          <w:i w:val="0"/>
          <w:color w:val="auto"/>
          <w:sz w:val="24"/>
          <w:szCs w:val="24"/>
        </w:rPr>
        <w:fldChar w:fldCharType="end"/>
      </w:r>
      <w:r w:rsidRPr="002558C8">
        <w:rPr>
          <w:rFonts w:ascii="Times New Roman" w:hAnsi="Times New Roman" w:cs="Times New Roman"/>
          <w:i w:val="0"/>
          <w:color w:val="auto"/>
          <w:sz w:val="24"/>
          <w:szCs w:val="24"/>
        </w:rPr>
        <w:t xml:space="preserve"> : Résumé du projet</w:t>
      </w:r>
      <w:bookmarkEnd w:id="4"/>
    </w:p>
    <w:p w:rsidR="001674FB" w:rsidRPr="008E5AD7" w:rsidRDefault="001674FB" w:rsidP="00AA6908">
      <w:pPr>
        <w:pStyle w:val="Paragraphedeliste"/>
        <w:numPr>
          <w:ilvl w:val="0"/>
          <w:numId w:val="1"/>
        </w:numPr>
        <w:spacing w:line="276" w:lineRule="auto"/>
        <w:jc w:val="both"/>
        <w:outlineLvl w:val="1"/>
        <w:rPr>
          <w:rFonts w:ascii="Times New Roman" w:hAnsi="Times New Roman" w:cs="Times New Roman"/>
          <w:b/>
          <w:bCs/>
          <w:sz w:val="24"/>
          <w:szCs w:val="24"/>
        </w:rPr>
      </w:pPr>
      <w:bookmarkStart w:id="5" w:name="_Toc500352697"/>
      <w:r w:rsidRPr="008E5AD7">
        <w:rPr>
          <w:rFonts w:ascii="Times New Roman" w:hAnsi="Times New Roman" w:cs="Times New Roman"/>
          <w:b/>
          <w:bCs/>
          <w:sz w:val="24"/>
          <w:szCs w:val="24"/>
        </w:rPr>
        <w:t>Description du projet (brève)</w:t>
      </w:r>
      <w:bookmarkEnd w:id="5"/>
      <w:r w:rsidRPr="008E5AD7">
        <w:rPr>
          <w:rFonts w:ascii="Times New Roman" w:hAnsi="Times New Roman" w:cs="Times New Roman"/>
          <w:b/>
          <w:bCs/>
          <w:sz w:val="24"/>
          <w:szCs w:val="24"/>
        </w:rPr>
        <w:t xml:space="preserve"> </w:t>
      </w:r>
    </w:p>
    <w:p w:rsidR="00C036D3" w:rsidRDefault="00C036D3" w:rsidP="00C036D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Le « </w:t>
      </w:r>
      <w:r w:rsidRPr="00C036D3">
        <w:rPr>
          <w:rFonts w:ascii="Times New Roman" w:hAnsi="Times New Roman" w:cs="Times New Roman"/>
          <w:bCs/>
          <w:sz w:val="24"/>
          <w:szCs w:val="24"/>
        </w:rPr>
        <w:t>Projet d’Assistance Technique Préparatoire pour le renforcement du cadre légal, réglementaire et institutionnel des secteurs de l’Energie et des Mines</w:t>
      </w:r>
      <w:r>
        <w:rPr>
          <w:rFonts w:ascii="Times New Roman" w:hAnsi="Times New Roman" w:cs="Times New Roman"/>
          <w:bCs/>
          <w:sz w:val="24"/>
          <w:szCs w:val="24"/>
        </w:rPr>
        <w:t> » a été initié en 2012, suite à un constant de la nécessité des</w:t>
      </w:r>
      <w:r w:rsidRPr="00C036D3">
        <w:rPr>
          <w:rFonts w:ascii="Times New Roman" w:hAnsi="Times New Roman" w:cs="Times New Roman"/>
          <w:bCs/>
          <w:sz w:val="24"/>
          <w:szCs w:val="24"/>
        </w:rPr>
        <w:t xml:space="preserve"> politique</w:t>
      </w:r>
      <w:r>
        <w:rPr>
          <w:rFonts w:ascii="Times New Roman" w:hAnsi="Times New Roman" w:cs="Times New Roman"/>
          <w:bCs/>
          <w:sz w:val="24"/>
          <w:szCs w:val="24"/>
        </w:rPr>
        <w:t>s</w:t>
      </w:r>
      <w:r w:rsidRPr="00C036D3">
        <w:rPr>
          <w:rFonts w:ascii="Times New Roman" w:hAnsi="Times New Roman" w:cs="Times New Roman"/>
          <w:bCs/>
          <w:sz w:val="24"/>
          <w:szCs w:val="24"/>
        </w:rPr>
        <w:t xml:space="preserve"> sectorielle</w:t>
      </w:r>
      <w:r>
        <w:rPr>
          <w:rFonts w:ascii="Times New Roman" w:hAnsi="Times New Roman" w:cs="Times New Roman"/>
          <w:bCs/>
          <w:sz w:val="24"/>
          <w:szCs w:val="24"/>
        </w:rPr>
        <w:t xml:space="preserve">s, aussi bien dans le secteur de l’énergie et celui des mines, </w:t>
      </w:r>
      <w:r w:rsidRPr="00C036D3">
        <w:rPr>
          <w:rFonts w:ascii="Times New Roman" w:hAnsi="Times New Roman" w:cs="Times New Roman"/>
          <w:bCs/>
          <w:sz w:val="24"/>
          <w:szCs w:val="24"/>
        </w:rPr>
        <w:t>qui permettrai</w:t>
      </w:r>
      <w:r>
        <w:rPr>
          <w:rFonts w:ascii="Times New Roman" w:hAnsi="Times New Roman" w:cs="Times New Roman"/>
          <w:bCs/>
          <w:sz w:val="24"/>
          <w:szCs w:val="24"/>
        </w:rPr>
        <w:t>en</w:t>
      </w:r>
      <w:r w:rsidRPr="00C036D3">
        <w:rPr>
          <w:rFonts w:ascii="Times New Roman" w:hAnsi="Times New Roman" w:cs="Times New Roman"/>
          <w:bCs/>
          <w:sz w:val="24"/>
          <w:szCs w:val="24"/>
        </w:rPr>
        <w:t>t de créer un climat des affaires plus favorable aux investissements à long terme et d’améliorer la transpa</w:t>
      </w:r>
      <w:r>
        <w:rPr>
          <w:rFonts w:ascii="Times New Roman" w:hAnsi="Times New Roman" w:cs="Times New Roman"/>
          <w:bCs/>
          <w:sz w:val="24"/>
          <w:szCs w:val="24"/>
        </w:rPr>
        <w:t>rence dans la gestion de chaque secteur.</w:t>
      </w:r>
    </w:p>
    <w:p w:rsidR="00C036D3" w:rsidRDefault="0095579C" w:rsidP="00C036D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Le présent projet, fait suite aux accompagnements du PNUD aussi bien dans le secteur de l’énergie (notamment l’</w:t>
      </w:r>
      <w:r w:rsidRPr="0095579C">
        <w:rPr>
          <w:rFonts w:ascii="Times New Roman" w:hAnsi="Times New Roman" w:cs="Times New Roman"/>
          <w:bCs/>
          <w:sz w:val="24"/>
          <w:szCs w:val="24"/>
        </w:rPr>
        <w:t xml:space="preserve">esquisse de stratégie nationale d’énergie et un document de plaidoyer </w:t>
      </w:r>
      <w:r w:rsidRPr="0095579C">
        <w:rPr>
          <w:rFonts w:ascii="Times New Roman" w:hAnsi="Times New Roman" w:cs="Times New Roman"/>
          <w:bCs/>
          <w:sz w:val="24"/>
          <w:szCs w:val="24"/>
        </w:rPr>
        <w:lastRenderedPageBreak/>
        <w:t>sur les opportunités dans le secteur des énergies renouvelables au pays</w:t>
      </w:r>
      <w:r>
        <w:rPr>
          <w:rFonts w:ascii="Times New Roman" w:hAnsi="Times New Roman" w:cs="Times New Roman"/>
          <w:bCs/>
          <w:sz w:val="24"/>
          <w:szCs w:val="24"/>
        </w:rPr>
        <w:t>) et dans le secteur minier (</w:t>
      </w:r>
      <w:r w:rsidRPr="0095579C">
        <w:rPr>
          <w:rFonts w:ascii="Times New Roman" w:hAnsi="Times New Roman" w:cs="Times New Roman"/>
          <w:bCs/>
          <w:sz w:val="24"/>
          <w:szCs w:val="24"/>
        </w:rPr>
        <w:t>appui</w:t>
      </w:r>
      <w:r>
        <w:rPr>
          <w:rFonts w:ascii="Times New Roman" w:hAnsi="Times New Roman" w:cs="Times New Roman"/>
          <w:bCs/>
          <w:sz w:val="24"/>
          <w:szCs w:val="24"/>
        </w:rPr>
        <w:t xml:space="preserve"> au parlement burundais, Assemblée Nationale et Sénat,</w:t>
      </w:r>
      <w:r w:rsidRPr="0095579C">
        <w:rPr>
          <w:rFonts w:ascii="Times New Roman" w:hAnsi="Times New Roman" w:cs="Times New Roman"/>
          <w:bCs/>
          <w:sz w:val="24"/>
          <w:szCs w:val="24"/>
        </w:rPr>
        <w:t xml:space="preserve"> dans son processus d’analyse et de révision du Code Minier</w:t>
      </w:r>
      <w:r>
        <w:rPr>
          <w:rFonts w:ascii="Times New Roman" w:hAnsi="Times New Roman" w:cs="Times New Roman"/>
          <w:bCs/>
          <w:sz w:val="24"/>
          <w:szCs w:val="24"/>
        </w:rPr>
        <w:t xml:space="preserve"> entre 2012-2013). Le présent projet, entre le gouvernement et le PNUD, vient comme une suite logique de cette coopération. </w:t>
      </w:r>
    </w:p>
    <w:p w:rsidR="0095579C" w:rsidRDefault="0095579C" w:rsidP="00C036D3">
      <w:pPr>
        <w:spacing w:line="276" w:lineRule="auto"/>
        <w:jc w:val="both"/>
        <w:rPr>
          <w:rFonts w:ascii="Times New Roman" w:hAnsi="Times New Roman" w:cs="Times New Roman"/>
          <w:bCs/>
          <w:sz w:val="24"/>
          <w:szCs w:val="24"/>
        </w:rPr>
      </w:pPr>
      <w:r w:rsidRPr="0095579C">
        <w:rPr>
          <w:rFonts w:ascii="Times New Roman" w:hAnsi="Times New Roman" w:cs="Times New Roman"/>
          <w:bCs/>
          <w:sz w:val="24"/>
          <w:szCs w:val="24"/>
        </w:rPr>
        <w:t>L’objectif de ce projet est d’améliorer l’environnement légal, réglementaire et institutionnel des secteurs de l’Energie et des Mines pour permettre à court et moyen terme la promotion des investissements publics et privé dans ces secteurs.</w:t>
      </w:r>
    </w:p>
    <w:p w:rsidR="0095579C" w:rsidRDefault="0095579C" w:rsidP="00C036D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Les </w:t>
      </w:r>
      <w:r w:rsidR="00051E05">
        <w:rPr>
          <w:rFonts w:ascii="Times New Roman" w:hAnsi="Times New Roman" w:cs="Times New Roman"/>
          <w:bCs/>
          <w:sz w:val="24"/>
          <w:szCs w:val="24"/>
        </w:rPr>
        <w:t>principaux résultats attendus de ce</w:t>
      </w:r>
      <w:r>
        <w:rPr>
          <w:rFonts w:ascii="Times New Roman" w:hAnsi="Times New Roman" w:cs="Times New Roman"/>
          <w:bCs/>
          <w:sz w:val="24"/>
          <w:szCs w:val="24"/>
        </w:rPr>
        <w:t xml:space="preserve"> projet</w:t>
      </w:r>
      <w:r w:rsidR="00051E05">
        <w:rPr>
          <w:rFonts w:ascii="Times New Roman" w:hAnsi="Times New Roman" w:cs="Times New Roman"/>
          <w:bCs/>
          <w:sz w:val="24"/>
          <w:szCs w:val="24"/>
        </w:rPr>
        <w:t xml:space="preserve"> d’appui institutionnel,</w:t>
      </w:r>
      <w:r>
        <w:rPr>
          <w:rFonts w:ascii="Times New Roman" w:hAnsi="Times New Roman" w:cs="Times New Roman"/>
          <w:bCs/>
          <w:sz w:val="24"/>
          <w:szCs w:val="24"/>
        </w:rPr>
        <w:t xml:space="preserve"> peuvent être résumés comme suit :</w:t>
      </w:r>
    </w:p>
    <w:p w:rsidR="0095579C" w:rsidRPr="00051E05" w:rsidRDefault="0095579C" w:rsidP="00051E05">
      <w:pPr>
        <w:pStyle w:val="Paragraphedeliste"/>
        <w:numPr>
          <w:ilvl w:val="0"/>
          <w:numId w:val="3"/>
        </w:numPr>
        <w:spacing w:line="276" w:lineRule="auto"/>
        <w:jc w:val="both"/>
        <w:rPr>
          <w:rFonts w:ascii="Times New Roman" w:hAnsi="Times New Roman" w:cs="Times New Roman"/>
          <w:bCs/>
          <w:sz w:val="24"/>
          <w:szCs w:val="24"/>
        </w:rPr>
      </w:pPr>
      <w:r w:rsidRPr="00051E05">
        <w:rPr>
          <w:rFonts w:ascii="Times New Roman" w:hAnsi="Times New Roman" w:cs="Times New Roman"/>
          <w:bCs/>
          <w:sz w:val="24"/>
          <w:szCs w:val="24"/>
        </w:rPr>
        <w:t>Stratégie sectorielle Energie et plan action tenant compte</w:t>
      </w:r>
      <w:r w:rsidR="00075A74">
        <w:rPr>
          <w:rFonts w:ascii="Times New Roman" w:hAnsi="Times New Roman" w:cs="Times New Roman"/>
          <w:bCs/>
          <w:sz w:val="24"/>
          <w:szCs w:val="24"/>
        </w:rPr>
        <w:t xml:space="preserve"> des</w:t>
      </w:r>
      <w:r w:rsidRPr="00051E05">
        <w:rPr>
          <w:rFonts w:ascii="Times New Roman" w:hAnsi="Times New Roman" w:cs="Times New Roman"/>
          <w:bCs/>
          <w:sz w:val="24"/>
          <w:szCs w:val="24"/>
        </w:rPr>
        <w:t xml:space="preserve"> énergies renouvelables formulée et validée</w:t>
      </w:r>
    </w:p>
    <w:p w:rsidR="0095579C" w:rsidRPr="00051E05" w:rsidRDefault="0095579C" w:rsidP="00051E05">
      <w:pPr>
        <w:pStyle w:val="Paragraphedeliste"/>
        <w:numPr>
          <w:ilvl w:val="0"/>
          <w:numId w:val="3"/>
        </w:numPr>
        <w:spacing w:line="276" w:lineRule="auto"/>
        <w:jc w:val="both"/>
        <w:rPr>
          <w:rFonts w:ascii="Times New Roman" w:hAnsi="Times New Roman" w:cs="Times New Roman"/>
          <w:bCs/>
          <w:sz w:val="24"/>
          <w:szCs w:val="24"/>
        </w:rPr>
      </w:pPr>
      <w:r w:rsidRPr="00051E05">
        <w:rPr>
          <w:rFonts w:ascii="Times New Roman" w:hAnsi="Times New Roman" w:cs="Times New Roman"/>
          <w:bCs/>
          <w:sz w:val="24"/>
          <w:szCs w:val="24"/>
        </w:rPr>
        <w:t xml:space="preserve">Stratégie, plan action secteur minier,  et code minier rénové adoptés </w:t>
      </w:r>
    </w:p>
    <w:p w:rsidR="0095579C" w:rsidRPr="00051E05" w:rsidRDefault="0095579C" w:rsidP="00051E05">
      <w:pPr>
        <w:pStyle w:val="Paragraphedeliste"/>
        <w:numPr>
          <w:ilvl w:val="0"/>
          <w:numId w:val="3"/>
        </w:numPr>
        <w:spacing w:line="276" w:lineRule="auto"/>
        <w:jc w:val="both"/>
        <w:rPr>
          <w:rFonts w:ascii="Times New Roman" w:hAnsi="Times New Roman" w:cs="Times New Roman"/>
          <w:bCs/>
          <w:sz w:val="24"/>
          <w:szCs w:val="24"/>
        </w:rPr>
      </w:pPr>
      <w:r w:rsidRPr="00051E05">
        <w:rPr>
          <w:rFonts w:ascii="Times New Roman" w:hAnsi="Times New Roman" w:cs="Times New Roman"/>
          <w:bCs/>
          <w:sz w:val="24"/>
          <w:szCs w:val="24"/>
        </w:rPr>
        <w:t>Cadres légaux, réglementaires et institutionnels régissant les secteurs de l’Energie et des Mines modernisés en vue d’une plus grande attractivité de ces secteurs pour les investisseurs potentiels</w:t>
      </w:r>
    </w:p>
    <w:p w:rsidR="0095579C" w:rsidRPr="00051E05" w:rsidRDefault="0095579C" w:rsidP="00051E05">
      <w:pPr>
        <w:pStyle w:val="Paragraphedeliste"/>
        <w:numPr>
          <w:ilvl w:val="0"/>
          <w:numId w:val="3"/>
        </w:numPr>
        <w:spacing w:line="276" w:lineRule="auto"/>
        <w:jc w:val="both"/>
        <w:rPr>
          <w:rFonts w:ascii="Times New Roman" w:hAnsi="Times New Roman" w:cs="Times New Roman"/>
          <w:bCs/>
          <w:sz w:val="24"/>
          <w:szCs w:val="24"/>
        </w:rPr>
      </w:pPr>
      <w:r w:rsidRPr="00051E05">
        <w:rPr>
          <w:rFonts w:ascii="Times New Roman" w:hAnsi="Times New Roman" w:cs="Times New Roman"/>
          <w:bCs/>
          <w:sz w:val="24"/>
          <w:szCs w:val="24"/>
        </w:rPr>
        <w:t>Un projet d’appui au de renforcement de capacités du Ministère est disponible</w:t>
      </w:r>
    </w:p>
    <w:p w:rsidR="0095579C" w:rsidRPr="00C036D3" w:rsidRDefault="00051E05" w:rsidP="00C036D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Le projet a été financé à hauteur de 719 500 US$ par le PNUD, la cont</w:t>
      </w:r>
      <w:r w:rsidR="00075A74">
        <w:rPr>
          <w:rFonts w:ascii="Times New Roman" w:hAnsi="Times New Roman" w:cs="Times New Roman"/>
          <w:bCs/>
          <w:sz w:val="24"/>
          <w:szCs w:val="24"/>
        </w:rPr>
        <w:t>ribution du gouvernement étant en</w:t>
      </w:r>
      <w:r>
        <w:rPr>
          <w:rFonts w:ascii="Times New Roman" w:hAnsi="Times New Roman" w:cs="Times New Roman"/>
          <w:bCs/>
          <w:sz w:val="24"/>
          <w:szCs w:val="24"/>
        </w:rPr>
        <w:t xml:space="preserve"> nature. </w:t>
      </w:r>
      <w:r w:rsidRPr="00051E05">
        <w:rPr>
          <w:rFonts w:ascii="Times New Roman" w:hAnsi="Times New Roman" w:cs="Times New Roman"/>
          <w:bCs/>
          <w:sz w:val="24"/>
          <w:szCs w:val="24"/>
        </w:rPr>
        <w:t>Initialement, ce projet devrait être exécuté de Juillet 2013 à Décembre 2014 mais a été prolongé deux fois, la date finale de clôture ayant été finalement portée au 31 Mars 2017</w:t>
      </w:r>
      <w:r w:rsidR="00075A74">
        <w:rPr>
          <w:rFonts w:ascii="Times New Roman" w:hAnsi="Times New Roman" w:cs="Times New Roman"/>
          <w:bCs/>
          <w:sz w:val="24"/>
          <w:szCs w:val="24"/>
        </w:rPr>
        <w:t xml:space="preserve">. </w:t>
      </w:r>
    </w:p>
    <w:p w:rsidR="006B59F4" w:rsidRDefault="006B59F4" w:rsidP="001674FB">
      <w:pPr>
        <w:pStyle w:val="Paragraphedeliste"/>
        <w:numPr>
          <w:ilvl w:val="0"/>
          <w:numId w:val="1"/>
        </w:numPr>
        <w:spacing w:line="276" w:lineRule="auto"/>
        <w:jc w:val="both"/>
        <w:rPr>
          <w:rFonts w:ascii="Times New Roman" w:hAnsi="Times New Roman" w:cs="Times New Roman"/>
          <w:bCs/>
          <w:sz w:val="24"/>
          <w:szCs w:val="24"/>
        </w:rPr>
        <w:sectPr w:rsidR="006B59F4" w:rsidSect="00E865E0">
          <w:pgSz w:w="11906" w:h="16838"/>
          <w:pgMar w:top="1417" w:right="1417" w:bottom="1417" w:left="1417" w:header="708" w:footer="708" w:gutter="0"/>
          <w:pgNumType w:fmt="lowerRoman"/>
          <w:cols w:space="708"/>
          <w:docGrid w:linePitch="360"/>
        </w:sectPr>
      </w:pPr>
    </w:p>
    <w:p w:rsidR="001674FB" w:rsidRPr="008E5AD7" w:rsidRDefault="001674FB" w:rsidP="00AA6908">
      <w:pPr>
        <w:pStyle w:val="Paragraphedeliste"/>
        <w:numPr>
          <w:ilvl w:val="0"/>
          <w:numId w:val="1"/>
        </w:numPr>
        <w:spacing w:line="276" w:lineRule="auto"/>
        <w:jc w:val="both"/>
        <w:outlineLvl w:val="1"/>
        <w:rPr>
          <w:rFonts w:ascii="Times New Roman" w:hAnsi="Times New Roman" w:cs="Times New Roman"/>
          <w:b/>
          <w:bCs/>
          <w:sz w:val="24"/>
          <w:szCs w:val="24"/>
        </w:rPr>
      </w:pPr>
      <w:bookmarkStart w:id="6" w:name="_Toc500352698"/>
      <w:r w:rsidRPr="008E5AD7">
        <w:rPr>
          <w:rFonts w:ascii="Times New Roman" w:hAnsi="Times New Roman" w:cs="Times New Roman"/>
          <w:b/>
          <w:bCs/>
          <w:sz w:val="24"/>
          <w:szCs w:val="24"/>
        </w:rPr>
        <w:lastRenderedPageBreak/>
        <w:t>Tableau de notations d’évaluation</w:t>
      </w:r>
      <w:bookmarkEnd w:id="6"/>
    </w:p>
    <w:p w:rsidR="006B59F4" w:rsidRDefault="006B59F4" w:rsidP="00531EA9">
      <w:pPr>
        <w:rPr>
          <w:rFonts w:ascii="Times New Roman" w:eastAsiaTheme="majorEastAsia" w:hAnsi="Times New Roman" w:cs="Times New Roman"/>
          <w:b/>
          <w:color w:val="000000"/>
          <w:sz w:val="24"/>
          <w:szCs w:val="24"/>
        </w:rPr>
      </w:pPr>
      <w:bookmarkStart w:id="7" w:name="_Toc485374019"/>
      <w:r w:rsidRPr="006B59F4">
        <w:rPr>
          <w:rFonts w:ascii="Times New Roman" w:eastAsiaTheme="majorEastAsia" w:hAnsi="Times New Roman" w:cs="Times New Roman"/>
          <w:b/>
          <w:color w:val="000000"/>
          <w:sz w:val="24"/>
          <w:szCs w:val="24"/>
        </w:rPr>
        <w:t>Tableau de notations d’évaluation</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5"/>
        <w:gridCol w:w="1439"/>
        <w:gridCol w:w="4474"/>
        <w:gridCol w:w="1732"/>
        <w:gridCol w:w="1405"/>
        <w:gridCol w:w="3035"/>
      </w:tblGrid>
      <w:tr w:rsidR="008641AB" w:rsidRPr="008641AB" w:rsidTr="002B1D0F">
        <w:trPr>
          <w:trHeight w:val="291"/>
          <w:tblHeader/>
        </w:trPr>
        <w:tc>
          <w:tcPr>
            <w:tcW w:w="751" w:type="pct"/>
            <w:vAlign w:val="center"/>
          </w:tcPr>
          <w:p w:rsidR="008641AB" w:rsidRPr="008641AB" w:rsidRDefault="008641AB" w:rsidP="008641AB">
            <w:pPr>
              <w:autoSpaceDE w:val="0"/>
              <w:autoSpaceDN w:val="0"/>
              <w:adjustRightInd w:val="0"/>
              <w:spacing w:after="0" w:line="276" w:lineRule="auto"/>
              <w:jc w:val="center"/>
              <w:rPr>
                <w:rFonts w:ascii="Times New Roman" w:hAnsi="Times New Roman" w:cs="Times New Roman"/>
                <w:sz w:val="20"/>
                <w:szCs w:val="20"/>
              </w:rPr>
            </w:pPr>
            <w:r w:rsidRPr="008641AB">
              <w:rPr>
                <w:rFonts w:ascii="Times New Roman" w:hAnsi="Times New Roman" w:cs="Times New Roman"/>
                <w:b/>
                <w:bCs/>
                <w:sz w:val="20"/>
                <w:szCs w:val="20"/>
              </w:rPr>
              <w:t>1 Suivi et évaluation</w:t>
            </w:r>
          </w:p>
        </w:tc>
        <w:tc>
          <w:tcPr>
            <w:tcW w:w="506" w:type="pct"/>
            <w:vAlign w:val="center"/>
          </w:tcPr>
          <w:p w:rsidR="008641AB" w:rsidRPr="008641AB" w:rsidRDefault="008641AB" w:rsidP="008641AB">
            <w:pPr>
              <w:autoSpaceDE w:val="0"/>
              <w:autoSpaceDN w:val="0"/>
              <w:adjustRightInd w:val="0"/>
              <w:spacing w:after="0" w:line="276" w:lineRule="auto"/>
              <w:jc w:val="center"/>
              <w:rPr>
                <w:rFonts w:ascii="Times New Roman" w:hAnsi="Times New Roman" w:cs="Times New Roman"/>
                <w:sz w:val="20"/>
                <w:szCs w:val="20"/>
              </w:rPr>
            </w:pPr>
            <w:r w:rsidRPr="008641AB">
              <w:rPr>
                <w:rFonts w:ascii="Times New Roman" w:hAnsi="Times New Roman" w:cs="Times New Roman"/>
                <w:b/>
                <w:bCs/>
                <w:i/>
                <w:iCs/>
                <w:sz w:val="20"/>
                <w:szCs w:val="20"/>
              </w:rPr>
              <w:t>Notation</w:t>
            </w:r>
          </w:p>
        </w:tc>
        <w:tc>
          <w:tcPr>
            <w:tcW w:w="1573" w:type="pct"/>
            <w:vAlign w:val="center"/>
          </w:tcPr>
          <w:p w:rsidR="008641AB" w:rsidRPr="008641AB" w:rsidRDefault="008641AB" w:rsidP="008641AB">
            <w:pPr>
              <w:autoSpaceDE w:val="0"/>
              <w:autoSpaceDN w:val="0"/>
              <w:adjustRightInd w:val="0"/>
              <w:spacing w:after="0" w:line="276" w:lineRule="auto"/>
              <w:jc w:val="center"/>
              <w:rPr>
                <w:rFonts w:ascii="Times New Roman" w:hAnsi="Times New Roman" w:cs="Times New Roman"/>
                <w:b/>
                <w:bCs/>
                <w:sz w:val="20"/>
                <w:szCs w:val="20"/>
              </w:rPr>
            </w:pPr>
            <w:r w:rsidRPr="008641AB">
              <w:rPr>
                <w:rFonts w:ascii="Times New Roman" w:hAnsi="Times New Roman" w:cs="Times New Roman"/>
                <w:b/>
                <w:bCs/>
                <w:sz w:val="20"/>
                <w:szCs w:val="20"/>
              </w:rPr>
              <w:t>Observations</w:t>
            </w:r>
          </w:p>
        </w:tc>
        <w:tc>
          <w:tcPr>
            <w:tcW w:w="609" w:type="pct"/>
            <w:vAlign w:val="center"/>
          </w:tcPr>
          <w:p w:rsidR="008641AB" w:rsidRPr="008641AB" w:rsidRDefault="008641AB" w:rsidP="008641AB">
            <w:pPr>
              <w:autoSpaceDE w:val="0"/>
              <w:autoSpaceDN w:val="0"/>
              <w:adjustRightInd w:val="0"/>
              <w:spacing w:after="0" w:line="276" w:lineRule="auto"/>
              <w:jc w:val="center"/>
              <w:rPr>
                <w:rFonts w:ascii="Times New Roman" w:hAnsi="Times New Roman" w:cs="Times New Roman"/>
                <w:sz w:val="20"/>
                <w:szCs w:val="20"/>
              </w:rPr>
            </w:pPr>
            <w:r w:rsidRPr="008641AB">
              <w:rPr>
                <w:rFonts w:ascii="Times New Roman" w:hAnsi="Times New Roman" w:cs="Times New Roman"/>
                <w:b/>
                <w:bCs/>
                <w:sz w:val="20"/>
                <w:szCs w:val="20"/>
              </w:rPr>
              <w:t>2 A</w:t>
            </w:r>
            <w:r w:rsidRPr="008641AB">
              <w:rPr>
                <w:rFonts w:ascii="Times New Roman" w:hAnsi="Times New Roman" w:cs="Times New Roman"/>
                <w:b/>
                <w:bCs/>
                <w:i/>
                <w:iCs/>
                <w:sz w:val="20"/>
                <w:szCs w:val="20"/>
              </w:rPr>
              <w:t>gence d’exécution/agence de réalisation</w:t>
            </w:r>
          </w:p>
        </w:tc>
        <w:tc>
          <w:tcPr>
            <w:tcW w:w="494" w:type="pct"/>
            <w:vAlign w:val="center"/>
          </w:tcPr>
          <w:p w:rsidR="008641AB" w:rsidRPr="008641AB" w:rsidRDefault="008641AB" w:rsidP="008641AB">
            <w:pPr>
              <w:autoSpaceDE w:val="0"/>
              <w:autoSpaceDN w:val="0"/>
              <w:adjustRightInd w:val="0"/>
              <w:spacing w:after="0" w:line="276" w:lineRule="auto"/>
              <w:jc w:val="center"/>
              <w:rPr>
                <w:rFonts w:ascii="Times New Roman" w:hAnsi="Times New Roman" w:cs="Times New Roman"/>
                <w:sz w:val="20"/>
                <w:szCs w:val="20"/>
              </w:rPr>
            </w:pPr>
            <w:r w:rsidRPr="008641AB">
              <w:rPr>
                <w:rFonts w:ascii="Times New Roman" w:hAnsi="Times New Roman" w:cs="Times New Roman"/>
                <w:b/>
                <w:bCs/>
                <w:i/>
                <w:iCs/>
                <w:sz w:val="20"/>
                <w:szCs w:val="20"/>
              </w:rPr>
              <w:t>Notation</w:t>
            </w:r>
          </w:p>
        </w:tc>
        <w:tc>
          <w:tcPr>
            <w:tcW w:w="1069" w:type="pct"/>
            <w:vAlign w:val="center"/>
          </w:tcPr>
          <w:p w:rsidR="008641AB" w:rsidRPr="008641AB" w:rsidRDefault="008641AB" w:rsidP="008641AB">
            <w:pPr>
              <w:autoSpaceDE w:val="0"/>
              <w:autoSpaceDN w:val="0"/>
              <w:adjustRightInd w:val="0"/>
              <w:spacing w:after="0" w:line="276" w:lineRule="auto"/>
              <w:jc w:val="center"/>
              <w:rPr>
                <w:rFonts w:ascii="Times New Roman" w:hAnsi="Times New Roman" w:cs="Times New Roman"/>
                <w:b/>
                <w:bCs/>
                <w:i/>
                <w:iCs/>
                <w:sz w:val="20"/>
                <w:szCs w:val="20"/>
              </w:rPr>
            </w:pPr>
            <w:r w:rsidRPr="008641AB">
              <w:rPr>
                <w:rFonts w:ascii="Times New Roman" w:hAnsi="Times New Roman" w:cs="Times New Roman"/>
                <w:b/>
                <w:bCs/>
                <w:i/>
                <w:iCs/>
                <w:sz w:val="20"/>
                <w:szCs w:val="20"/>
              </w:rPr>
              <w:t>Observations</w:t>
            </w:r>
          </w:p>
        </w:tc>
      </w:tr>
      <w:tr w:rsidR="008641AB" w:rsidRPr="008641AB" w:rsidTr="002B1D0F">
        <w:trPr>
          <w:trHeight w:val="573"/>
        </w:trPr>
        <w:tc>
          <w:tcPr>
            <w:tcW w:w="751"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Conception du suivi et de l’évaluation à l’entrée </w:t>
            </w:r>
          </w:p>
        </w:tc>
        <w:tc>
          <w:tcPr>
            <w:tcW w:w="506" w:type="pct"/>
          </w:tcPr>
          <w:p w:rsidR="008641AB" w:rsidRPr="00075A74" w:rsidRDefault="008641AB" w:rsidP="008641AB">
            <w:pPr>
              <w:autoSpaceDE w:val="0"/>
              <w:autoSpaceDN w:val="0"/>
              <w:adjustRightInd w:val="0"/>
              <w:spacing w:after="0" w:line="276" w:lineRule="auto"/>
              <w:rPr>
                <w:rFonts w:ascii="Times New Roman" w:hAnsi="Times New Roman" w:cs="Times New Roman"/>
                <w:b/>
                <w:sz w:val="20"/>
                <w:szCs w:val="20"/>
              </w:rPr>
            </w:pPr>
            <w:r w:rsidRPr="00075A74">
              <w:rPr>
                <w:rFonts w:ascii="Times New Roman" w:hAnsi="Times New Roman" w:cs="Times New Roman"/>
                <w:b/>
                <w:sz w:val="20"/>
                <w:szCs w:val="20"/>
              </w:rPr>
              <w:t>satisfaisant</w:t>
            </w:r>
          </w:p>
        </w:tc>
        <w:tc>
          <w:tcPr>
            <w:tcW w:w="1573" w:type="pct"/>
          </w:tcPr>
          <w:p w:rsidR="008641AB" w:rsidRPr="008641AB" w:rsidRDefault="00871ABA" w:rsidP="008641AB">
            <w:pPr>
              <w:autoSpaceDE w:val="0"/>
              <w:autoSpaceDN w:val="0"/>
              <w:adjustRightInd w:val="0"/>
              <w:spacing w:after="0" w:line="276" w:lineRule="auto"/>
              <w:rPr>
                <w:rFonts w:ascii="Times New Roman" w:hAnsi="Times New Roman" w:cs="Times New Roman"/>
                <w:sz w:val="20"/>
                <w:szCs w:val="20"/>
              </w:rPr>
            </w:pPr>
            <w:r>
              <w:rPr>
                <w:rFonts w:ascii="Times New Roman" w:hAnsi="Times New Roman" w:cs="Times New Roman"/>
                <w:sz w:val="20"/>
                <w:szCs w:val="20"/>
              </w:rPr>
              <w:t>Le prodoc comporte un cadre logique simple et clair, et il définit clairement le mécanisme de suivi/évaluation</w:t>
            </w:r>
          </w:p>
        </w:tc>
        <w:tc>
          <w:tcPr>
            <w:tcW w:w="60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Qualité de la mise en œuvre par le PNUD </w:t>
            </w:r>
          </w:p>
        </w:tc>
        <w:tc>
          <w:tcPr>
            <w:tcW w:w="494" w:type="pct"/>
          </w:tcPr>
          <w:p w:rsidR="008641AB" w:rsidRPr="00075A74" w:rsidRDefault="008641AB" w:rsidP="008641AB">
            <w:pPr>
              <w:autoSpaceDE w:val="0"/>
              <w:autoSpaceDN w:val="0"/>
              <w:adjustRightInd w:val="0"/>
              <w:spacing w:after="0" w:line="276" w:lineRule="auto"/>
              <w:rPr>
                <w:rFonts w:ascii="Times New Roman" w:hAnsi="Times New Roman" w:cs="Times New Roman"/>
                <w:b/>
                <w:sz w:val="20"/>
                <w:szCs w:val="20"/>
              </w:rPr>
            </w:pPr>
            <w:r w:rsidRPr="00075A74">
              <w:rPr>
                <w:rFonts w:ascii="Times New Roman" w:hAnsi="Times New Roman" w:cs="Times New Roman"/>
                <w:b/>
                <w:sz w:val="20"/>
                <w:szCs w:val="20"/>
              </w:rPr>
              <w:t>Satisfaisant</w:t>
            </w:r>
          </w:p>
        </w:tc>
        <w:tc>
          <w:tcPr>
            <w:tcW w:w="106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Le PNUD a bien joué son rôle de la conception du projet jusqu’à sa mise en œuvre</w:t>
            </w:r>
            <w:r>
              <w:rPr>
                <w:rFonts w:ascii="Times New Roman" w:hAnsi="Times New Roman" w:cs="Times New Roman"/>
                <w:sz w:val="20"/>
                <w:szCs w:val="20"/>
              </w:rPr>
              <w:t>.</w:t>
            </w:r>
          </w:p>
        </w:tc>
      </w:tr>
      <w:tr w:rsidR="008641AB" w:rsidRPr="008641AB" w:rsidTr="002B1D0F">
        <w:trPr>
          <w:trHeight w:val="418"/>
        </w:trPr>
        <w:tc>
          <w:tcPr>
            <w:tcW w:w="751"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Mise en œuvre du plan de suivi et d’évaluation </w:t>
            </w:r>
          </w:p>
        </w:tc>
        <w:tc>
          <w:tcPr>
            <w:tcW w:w="506" w:type="pct"/>
          </w:tcPr>
          <w:p w:rsidR="008641AB" w:rsidRPr="00075A74" w:rsidRDefault="00871ABA" w:rsidP="008641AB">
            <w:pPr>
              <w:autoSpaceDE w:val="0"/>
              <w:autoSpaceDN w:val="0"/>
              <w:adjustRightInd w:val="0"/>
              <w:spacing w:after="0" w:line="276" w:lineRule="auto"/>
              <w:rPr>
                <w:rFonts w:ascii="Times New Roman" w:hAnsi="Times New Roman" w:cs="Times New Roman"/>
                <w:b/>
                <w:sz w:val="20"/>
                <w:szCs w:val="20"/>
              </w:rPr>
            </w:pPr>
            <w:r w:rsidRPr="00075A74">
              <w:rPr>
                <w:rFonts w:ascii="Times New Roman" w:hAnsi="Times New Roman" w:cs="Times New Roman"/>
                <w:b/>
                <w:sz w:val="20"/>
                <w:szCs w:val="20"/>
              </w:rPr>
              <w:t xml:space="preserve">Moyennement </w:t>
            </w:r>
            <w:r w:rsidR="008641AB" w:rsidRPr="00075A74">
              <w:rPr>
                <w:rFonts w:ascii="Times New Roman" w:hAnsi="Times New Roman" w:cs="Times New Roman"/>
                <w:b/>
                <w:sz w:val="20"/>
                <w:szCs w:val="20"/>
              </w:rPr>
              <w:t>satisfaisant</w:t>
            </w:r>
          </w:p>
        </w:tc>
        <w:tc>
          <w:tcPr>
            <w:tcW w:w="1573" w:type="pct"/>
          </w:tcPr>
          <w:p w:rsidR="008641AB" w:rsidRPr="008641AB" w:rsidRDefault="00C62F1C" w:rsidP="00C62F1C">
            <w:pPr>
              <w:autoSpaceDE w:val="0"/>
              <w:autoSpaceDN w:val="0"/>
              <w:adjustRightInd w:val="0"/>
              <w:spacing w:after="0" w:line="276" w:lineRule="auto"/>
              <w:rPr>
                <w:rFonts w:ascii="Times New Roman" w:hAnsi="Times New Roman" w:cs="Times New Roman"/>
                <w:sz w:val="20"/>
                <w:szCs w:val="20"/>
              </w:rPr>
            </w:pPr>
            <w:r w:rsidRPr="00256572">
              <w:rPr>
                <w:rFonts w:ascii="Times New Roman" w:hAnsi="Times New Roman" w:cs="Times New Roman"/>
                <w:sz w:val="20"/>
                <w:szCs w:val="20"/>
              </w:rPr>
              <w:t>Rapports annuels existent mais p</w:t>
            </w:r>
            <w:r w:rsidR="00871ABA" w:rsidRPr="00256572">
              <w:rPr>
                <w:rFonts w:ascii="Times New Roman" w:hAnsi="Times New Roman" w:cs="Times New Roman"/>
                <w:sz w:val="20"/>
                <w:szCs w:val="20"/>
              </w:rPr>
              <w:t xml:space="preserve">as de </w:t>
            </w:r>
            <w:r w:rsidRPr="00256572">
              <w:rPr>
                <w:rFonts w:ascii="Times New Roman" w:hAnsi="Times New Roman" w:cs="Times New Roman"/>
                <w:sz w:val="20"/>
                <w:szCs w:val="20"/>
              </w:rPr>
              <w:t>rapports trimestriels</w:t>
            </w:r>
            <w:r w:rsidR="00871ABA" w:rsidRPr="00256572">
              <w:rPr>
                <w:rFonts w:ascii="Times New Roman" w:hAnsi="Times New Roman" w:cs="Times New Roman"/>
                <w:sz w:val="20"/>
                <w:szCs w:val="20"/>
              </w:rPr>
              <w:t>, le comité de pilotage n’a pas tenu régulièrement ces réunions, et le fait de changer à quatre fois le directeur du projet n’a pas facilité un suivi régulier.</w:t>
            </w:r>
          </w:p>
        </w:tc>
        <w:tc>
          <w:tcPr>
            <w:tcW w:w="60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Qualité de l’exécution : agence d’exécution </w:t>
            </w:r>
          </w:p>
        </w:tc>
        <w:tc>
          <w:tcPr>
            <w:tcW w:w="494"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Insatisfaisant </w:t>
            </w:r>
          </w:p>
        </w:tc>
        <w:tc>
          <w:tcPr>
            <w:tcW w:w="106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Pr>
                <w:rFonts w:ascii="Times New Roman" w:hAnsi="Times New Roman" w:cs="Times New Roman"/>
                <w:sz w:val="20"/>
                <w:szCs w:val="20"/>
              </w:rPr>
              <w:t>L</w:t>
            </w:r>
            <w:r w:rsidRPr="008641AB">
              <w:rPr>
                <w:rFonts w:ascii="Times New Roman" w:hAnsi="Times New Roman" w:cs="Times New Roman"/>
                <w:sz w:val="20"/>
                <w:szCs w:val="20"/>
              </w:rPr>
              <w:t>a coordination n’a pas été effective</w:t>
            </w:r>
            <w:r>
              <w:rPr>
                <w:rFonts w:ascii="Times New Roman" w:hAnsi="Times New Roman" w:cs="Times New Roman"/>
                <w:sz w:val="20"/>
                <w:szCs w:val="20"/>
              </w:rPr>
              <w:t xml:space="preserve">, </w:t>
            </w:r>
            <w:r w:rsidRPr="008641AB">
              <w:rPr>
                <w:rFonts w:ascii="Times New Roman" w:hAnsi="Times New Roman" w:cs="Times New Roman"/>
                <w:sz w:val="20"/>
                <w:szCs w:val="20"/>
              </w:rPr>
              <w:t>les difficultés rencontrées comme l’instabilité des di</w:t>
            </w:r>
            <w:r w:rsidR="009F6E05">
              <w:rPr>
                <w:rFonts w:ascii="Times New Roman" w:hAnsi="Times New Roman" w:cs="Times New Roman"/>
                <w:sz w:val="20"/>
                <w:szCs w:val="20"/>
              </w:rPr>
              <w:t>fférents Directeurs du projet (4</w:t>
            </w:r>
            <w:r>
              <w:rPr>
                <w:rFonts w:ascii="Times New Roman" w:hAnsi="Times New Roman" w:cs="Times New Roman"/>
                <w:sz w:val="20"/>
                <w:szCs w:val="20"/>
              </w:rPr>
              <w:t xml:space="preserve"> au total) et </w:t>
            </w:r>
            <w:r w:rsidRPr="008641AB">
              <w:rPr>
                <w:rFonts w:ascii="Times New Roman" w:hAnsi="Times New Roman" w:cs="Times New Roman"/>
                <w:sz w:val="20"/>
                <w:szCs w:val="20"/>
              </w:rPr>
              <w:t xml:space="preserve">la non disponibilité des Experts internationaux ont constitué les dysfonctionnements majeurs. </w:t>
            </w:r>
          </w:p>
        </w:tc>
      </w:tr>
      <w:tr w:rsidR="008641AB" w:rsidRPr="008641AB" w:rsidTr="002B1D0F">
        <w:trPr>
          <w:trHeight w:val="418"/>
        </w:trPr>
        <w:tc>
          <w:tcPr>
            <w:tcW w:w="751"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Qualité globale du suivi et de l’évaluation </w:t>
            </w:r>
          </w:p>
        </w:tc>
        <w:tc>
          <w:tcPr>
            <w:tcW w:w="506" w:type="pct"/>
          </w:tcPr>
          <w:p w:rsidR="008641AB" w:rsidRPr="008641AB" w:rsidRDefault="008641AB" w:rsidP="008641AB">
            <w:pPr>
              <w:autoSpaceDE w:val="0"/>
              <w:autoSpaceDN w:val="0"/>
              <w:adjustRightInd w:val="0"/>
              <w:spacing w:after="0" w:line="276" w:lineRule="auto"/>
              <w:rPr>
                <w:rFonts w:ascii="Times New Roman" w:hAnsi="Times New Roman" w:cs="Times New Roman"/>
                <w:b/>
                <w:sz w:val="20"/>
                <w:szCs w:val="20"/>
              </w:rPr>
            </w:pPr>
            <w:r w:rsidRPr="008641AB">
              <w:rPr>
                <w:rFonts w:ascii="Times New Roman" w:hAnsi="Times New Roman" w:cs="Times New Roman"/>
                <w:b/>
                <w:sz w:val="20"/>
                <w:szCs w:val="20"/>
              </w:rPr>
              <w:t>Satisfaisant</w:t>
            </w:r>
          </w:p>
        </w:tc>
        <w:tc>
          <w:tcPr>
            <w:tcW w:w="1573" w:type="pct"/>
          </w:tcPr>
          <w:p w:rsidR="008641AB" w:rsidRPr="008641AB" w:rsidRDefault="009F6E05" w:rsidP="00C01784">
            <w:pPr>
              <w:autoSpaceDE w:val="0"/>
              <w:autoSpaceDN w:val="0"/>
              <w:adjustRightInd w:val="0"/>
              <w:spacing w:after="0" w:line="276" w:lineRule="auto"/>
              <w:rPr>
                <w:rFonts w:ascii="Times New Roman" w:hAnsi="Times New Roman" w:cs="Times New Roman"/>
                <w:sz w:val="20"/>
                <w:szCs w:val="20"/>
              </w:rPr>
            </w:pPr>
            <w:r w:rsidRPr="00256572">
              <w:rPr>
                <w:rFonts w:ascii="Times New Roman" w:hAnsi="Times New Roman" w:cs="Times New Roman"/>
                <w:sz w:val="20"/>
                <w:szCs w:val="20"/>
              </w:rPr>
              <w:t xml:space="preserve">L’UPS du PNUD en concertation avec </w:t>
            </w:r>
            <w:r w:rsidR="00C01784" w:rsidRPr="00256572">
              <w:rPr>
                <w:rFonts w:ascii="Times New Roman" w:hAnsi="Times New Roman" w:cs="Times New Roman"/>
                <w:sz w:val="20"/>
                <w:szCs w:val="20"/>
              </w:rPr>
              <w:t>la D</w:t>
            </w:r>
            <w:r w:rsidR="00256572" w:rsidRPr="00256572">
              <w:rPr>
                <w:rFonts w:ascii="Times New Roman" w:hAnsi="Times New Roman" w:cs="Times New Roman"/>
                <w:sz w:val="20"/>
                <w:szCs w:val="20"/>
              </w:rPr>
              <w:t>irection nationale du projet et</w:t>
            </w:r>
            <w:r w:rsidR="00C01784" w:rsidRPr="00256572">
              <w:rPr>
                <w:rFonts w:ascii="Times New Roman" w:hAnsi="Times New Roman" w:cs="Times New Roman"/>
                <w:sz w:val="20"/>
                <w:szCs w:val="20"/>
              </w:rPr>
              <w:t xml:space="preserve"> le MEM a assuré la fonction de sui-évaluation</w:t>
            </w:r>
          </w:p>
        </w:tc>
        <w:tc>
          <w:tcPr>
            <w:tcW w:w="60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Qualité globale de la mise en œuvre et de l’exécution </w:t>
            </w:r>
          </w:p>
        </w:tc>
        <w:tc>
          <w:tcPr>
            <w:tcW w:w="494"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Insatisfaisant</w:t>
            </w:r>
          </w:p>
        </w:tc>
        <w:tc>
          <w:tcPr>
            <w:tcW w:w="106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p>
        </w:tc>
      </w:tr>
      <w:tr w:rsidR="008641AB" w:rsidRPr="008641AB" w:rsidTr="002B1D0F">
        <w:trPr>
          <w:trHeight w:val="385"/>
        </w:trPr>
        <w:tc>
          <w:tcPr>
            <w:tcW w:w="751"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b/>
                <w:bCs/>
                <w:sz w:val="20"/>
                <w:szCs w:val="20"/>
              </w:rPr>
              <w:t xml:space="preserve">3 Évaluation des résultats </w:t>
            </w:r>
          </w:p>
        </w:tc>
        <w:tc>
          <w:tcPr>
            <w:tcW w:w="506"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b/>
                <w:bCs/>
                <w:sz w:val="20"/>
                <w:szCs w:val="20"/>
              </w:rPr>
              <w:t xml:space="preserve">Des agences d’exécution/ réalisation : </w:t>
            </w:r>
          </w:p>
        </w:tc>
        <w:tc>
          <w:tcPr>
            <w:tcW w:w="1573" w:type="pct"/>
          </w:tcPr>
          <w:p w:rsidR="008641AB" w:rsidRPr="008641AB" w:rsidRDefault="008641AB" w:rsidP="008641AB">
            <w:pPr>
              <w:autoSpaceDE w:val="0"/>
              <w:autoSpaceDN w:val="0"/>
              <w:adjustRightInd w:val="0"/>
              <w:spacing w:after="0" w:line="276" w:lineRule="auto"/>
              <w:rPr>
                <w:rFonts w:ascii="Times New Roman" w:hAnsi="Times New Roman" w:cs="Times New Roman"/>
                <w:b/>
                <w:bCs/>
                <w:sz w:val="20"/>
                <w:szCs w:val="20"/>
              </w:rPr>
            </w:pPr>
          </w:p>
        </w:tc>
        <w:tc>
          <w:tcPr>
            <w:tcW w:w="60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b/>
                <w:bCs/>
                <w:sz w:val="20"/>
                <w:szCs w:val="20"/>
              </w:rPr>
              <w:t xml:space="preserve">4 Durabilité </w:t>
            </w:r>
          </w:p>
        </w:tc>
        <w:tc>
          <w:tcPr>
            <w:tcW w:w="494"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b/>
                <w:bCs/>
                <w:sz w:val="20"/>
                <w:szCs w:val="20"/>
              </w:rPr>
              <w:t xml:space="preserve">Des agences d’exécution / réalisation : </w:t>
            </w:r>
          </w:p>
        </w:tc>
        <w:tc>
          <w:tcPr>
            <w:tcW w:w="1069" w:type="pct"/>
          </w:tcPr>
          <w:p w:rsidR="008641AB" w:rsidRPr="008641AB" w:rsidRDefault="008641AB" w:rsidP="008641AB">
            <w:pPr>
              <w:autoSpaceDE w:val="0"/>
              <w:autoSpaceDN w:val="0"/>
              <w:adjustRightInd w:val="0"/>
              <w:spacing w:after="0" w:line="276" w:lineRule="auto"/>
              <w:rPr>
                <w:rFonts w:ascii="Times New Roman" w:hAnsi="Times New Roman" w:cs="Times New Roman"/>
                <w:b/>
                <w:bCs/>
                <w:sz w:val="20"/>
                <w:szCs w:val="20"/>
              </w:rPr>
            </w:pPr>
          </w:p>
        </w:tc>
      </w:tr>
      <w:tr w:rsidR="008641AB" w:rsidRPr="008641AB" w:rsidTr="002B1D0F">
        <w:trPr>
          <w:trHeight w:val="110"/>
        </w:trPr>
        <w:tc>
          <w:tcPr>
            <w:tcW w:w="751"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Pertinence </w:t>
            </w:r>
          </w:p>
        </w:tc>
        <w:tc>
          <w:tcPr>
            <w:tcW w:w="506" w:type="pct"/>
          </w:tcPr>
          <w:p w:rsidR="008641AB" w:rsidRPr="008641AB" w:rsidRDefault="008641AB" w:rsidP="008641AB">
            <w:pPr>
              <w:autoSpaceDE w:val="0"/>
              <w:autoSpaceDN w:val="0"/>
              <w:adjustRightInd w:val="0"/>
              <w:spacing w:after="0" w:line="276" w:lineRule="auto"/>
              <w:rPr>
                <w:rFonts w:ascii="Times New Roman" w:hAnsi="Times New Roman" w:cs="Times New Roman"/>
                <w:b/>
                <w:sz w:val="20"/>
                <w:szCs w:val="20"/>
              </w:rPr>
            </w:pPr>
            <w:r w:rsidRPr="008641AB">
              <w:rPr>
                <w:rFonts w:ascii="Times New Roman" w:hAnsi="Times New Roman" w:cs="Times New Roman"/>
                <w:b/>
                <w:sz w:val="20"/>
                <w:szCs w:val="20"/>
              </w:rPr>
              <w:t>Satisfaisant</w:t>
            </w:r>
          </w:p>
        </w:tc>
        <w:tc>
          <w:tcPr>
            <w:tcW w:w="1573"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En référence à ses objectifs et aux résultats attendus, le projet est pertinent car l’énergie et les mines sont les piliers importants du développement économique et social du Burundi au regard des défis de l’heure : ODD, SE4ALL, ITIE, Africa Mining</w:t>
            </w:r>
            <w:r w:rsidR="00075A74">
              <w:rPr>
                <w:rFonts w:ascii="Times New Roman" w:hAnsi="Times New Roman" w:cs="Times New Roman"/>
                <w:sz w:val="20"/>
                <w:szCs w:val="20"/>
              </w:rPr>
              <w:t xml:space="preserve"> Vision</w:t>
            </w:r>
          </w:p>
        </w:tc>
        <w:tc>
          <w:tcPr>
            <w:tcW w:w="60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Ressources financières : </w:t>
            </w:r>
          </w:p>
        </w:tc>
        <w:tc>
          <w:tcPr>
            <w:tcW w:w="494"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Pr>
                <w:rFonts w:ascii="Times New Roman" w:hAnsi="Times New Roman" w:cs="Times New Roman"/>
                <w:sz w:val="20"/>
                <w:szCs w:val="20"/>
              </w:rPr>
              <w:t>Improbable</w:t>
            </w:r>
          </w:p>
        </w:tc>
        <w:tc>
          <w:tcPr>
            <w:tcW w:w="106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Le PNUD a cependant bien programmé les ressources annoncées (719 500 USD</w:t>
            </w:r>
            <w:r>
              <w:rPr>
                <w:rFonts w:ascii="Times New Roman" w:hAnsi="Times New Roman" w:cs="Times New Roman"/>
                <w:sz w:val="20"/>
                <w:szCs w:val="20"/>
              </w:rPr>
              <w:t>) ;</w:t>
            </w:r>
            <w:r w:rsidRPr="008641AB">
              <w:rPr>
                <w:rFonts w:ascii="Times New Roman" w:hAnsi="Times New Roman" w:cs="Times New Roman"/>
                <w:sz w:val="20"/>
                <w:szCs w:val="20"/>
              </w:rPr>
              <w:t xml:space="preserve"> mais l’après projet n’est pas assuré clairement </w:t>
            </w:r>
          </w:p>
        </w:tc>
      </w:tr>
      <w:tr w:rsidR="008641AB" w:rsidRPr="008641AB" w:rsidTr="002B1D0F">
        <w:trPr>
          <w:trHeight w:val="110"/>
        </w:trPr>
        <w:tc>
          <w:tcPr>
            <w:tcW w:w="751"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Efficacité </w:t>
            </w:r>
          </w:p>
        </w:tc>
        <w:tc>
          <w:tcPr>
            <w:tcW w:w="506"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Insatisfaisant </w:t>
            </w:r>
          </w:p>
        </w:tc>
        <w:tc>
          <w:tcPr>
            <w:tcW w:w="1573"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Les objectifs et les résultats n’ont pas été atteints </w:t>
            </w:r>
          </w:p>
        </w:tc>
        <w:tc>
          <w:tcPr>
            <w:tcW w:w="60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Sociopolitique: </w:t>
            </w:r>
          </w:p>
        </w:tc>
        <w:tc>
          <w:tcPr>
            <w:tcW w:w="494"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Pr>
                <w:rFonts w:ascii="Times New Roman" w:hAnsi="Times New Roman" w:cs="Times New Roman"/>
                <w:sz w:val="20"/>
                <w:szCs w:val="20"/>
              </w:rPr>
              <w:t>Moyennement probable</w:t>
            </w:r>
          </w:p>
        </w:tc>
        <w:tc>
          <w:tcPr>
            <w:tcW w:w="1069" w:type="pct"/>
          </w:tcPr>
          <w:p w:rsidR="009F6E05" w:rsidRPr="00256572" w:rsidRDefault="009F6E05" w:rsidP="008641AB">
            <w:pPr>
              <w:autoSpaceDE w:val="0"/>
              <w:autoSpaceDN w:val="0"/>
              <w:adjustRightInd w:val="0"/>
              <w:spacing w:after="0" w:line="276" w:lineRule="auto"/>
              <w:rPr>
                <w:rFonts w:ascii="Times New Roman" w:hAnsi="Times New Roman" w:cs="Times New Roman"/>
                <w:sz w:val="20"/>
                <w:szCs w:val="20"/>
              </w:rPr>
            </w:pPr>
            <w:r w:rsidRPr="00256572">
              <w:rPr>
                <w:rFonts w:ascii="Times New Roman" w:hAnsi="Times New Roman" w:cs="Times New Roman"/>
                <w:sz w:val="20"/>
                <w:szCs w:val="20"/>
              </w:rPr>
              <w:t>Lacunes au</w:t>
            </w:r>
            <w:r w:rsidR="00256572" w:rsidRPr="00256572">
              <w:rPr>
                <w:rFonts w:ascii="Times New Roman" w:hAnsi="Times New Roman" w:cs="Times New Roman"/>
                <w:sz w:val="20"/>
                <w:szCs w:val="20"/>
              </w:rPr>
              <w:t xml:space="preserve"> niveau de l’entité d’exécution</w:t>
            </w:r>
            <w:r w:rsidRPr="00256572">
              <w:rPr>
                <w:rFonts w:ascii="Times New Roman" w:hAnsi="Times New Roman" w:cs="Times New Roman"/>
                <w:sz w:val="20"/>
                <w:szCs w:val="20"/>
              </w:rPr>
              <w:t xml:space="preserve"> nationale et de l’accompagnement du PNUD</w:t>
            </w:r>
          </w:p>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L’environnement politico-sécuritaire n’a pas été favorable </w:t>
            </w:r>
          </w:p>
        </w:tc>
      </w:tr>
      <w:tr w:rsidR="008641AB" w:rsidRPr="008641AB" w:rsidTr="002B1D0F">
        <w:trPr>
          <w:trHeight w:val="110"/>
        </w:trPr>
        <w:tc>
          <w:tcPr>
            <w:tcW w:w="751"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lastRenderedPageBreak/>
              <w:t xml:space="preserve">Efficience </w:t>
            </w:r>
          </w:p>
        </w:tc>
        <w:tc>
          <w:tcPr>
            <w:tcW w:w="506"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Insatisfaisant </w:t>
            </w:r>
          </w:p>
        </w:tc>
        <w:tc>
          <w:tcPr>
            <w:tcW w:w="1573"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Les ressources du projet ne sont pas converties en résultats de façon optimale : A part l’élaboration de nouveaux textes légaux et règlementaires dans les secteurs de l’Energie et des Mines (cadastre, le règlement et politique minière) les crédits alloués n’ont pas permis de mener les activités phares</w:t>
            </w:r>
          </w:p>
        </w:tc>
        <w:tc>
          <w:tcPr>
            <w:tcW w:w="60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Cadre institutionnel et gouvernance: </w:t>
            </w:r>
          </w:p>
        </w:tc>
        <w:tc>
          <w:tcPr>
            <w:tcW w:w="494" w:type="pct"/>
          </w:tcPr>
          <w:p w:rsidR="008641AB" w:rsidRPr="008641AB" w:rsidRDefault="002558C8" w:rsidP="008641AB">
            <w:pPr>
              <w:autoSpaceDE w:val="0"/>
              <w:autoSpaceDN w:val="0"/>
              <w:adjustRightInd w:val="0"/>
              <w:spacing w:after="0" w:line="276" w:lineRule="auto"/>
              <w:rPr>
                <w:rFonts w:ascii="Times New Roman" w:hAnsi="Times New Roman" w:cs="Times New Roman"/>
                <w:sz w:val="20"/>
                <w:szCs w:val="20"/>
              </w:rPr>
            </w:pPr>
            <w:r>
              <w:rPr>
                <w:rFonts w:ascii="Times New Roman" w:hAnsi="Times New Roman" w:cs="Times New Roman"/>
                <w:sz w:val="20"/>
                <w:szCs w:val="20"/>
              </w:rPr>
              <w:t>Moyennement probable</w:t>
            </w:r>
            <w:r w:rsidR="008641AB" w:rsidRPr="008641AB">
              <w:rPr>
                <w:rFonts w:ascii="Times New Roman" w:hAnsi="Times New Roman" w:cs="Times New Roman"/>
                <w:sz w:val="20"/>
                <w:szCs w:val="20"/>
              </w:rPr>
              <w:t xml:space="preserve"> </w:t>
            </w:r>
          </w:p>
        </w:tc>
        <w:tc>
          <w:tcPr>
            <w:tcW w:w="106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Seulement 2 réunions du copil ; changements fréquents du Directeur national du projet. </w:t>
            </w:r>
          </w:p>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Cependant le Gouvernement poursuit l’amélioration de l’environnement institutionnel des secteurs de l’Energie et des mines avec la création de l’AREEM, la poursuite du processus ITIE, l’’engagement aux initiatives globales comme les ODD, l’Initiative SE4ALL</w:t>
            </w:r>
          </w:p>
        </w:tc>
      </w:tr>
      <w:tr w:rsidR="008641AB" w:rsidRPr="008641AB" w:rsidTr="002B1D0F">
        <w:trPr>
          <w:trHeight w:val="418"/>
        </w:trPr>
        <w:tc>
          <w:tcPr>
            <w:tcW w:w="751"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Note globale de la réalisation du projet </w:t>
            </w:r>
          </w:p>
        </w:tc>
        <w:tc>
          <w:tcPr>
            <w:tcW w:w="506" w:type="pct"/>
          </w:tcPr>
          <w:p w:rsidR="008641AB" w:rsidRPr="008641AB" w:rsidRDefault="008641AB" w:rsidP="008641AB">
            <w:pPr>
              <w:autoSpaceDE w:val="0"/>
              <w:autoSpaceDN w:val="0"/>
              <w:adjustRightInd w:val="0"/>
              <w:spacing w:after="0" w:line="276" w:lineRule="auto"/>
              <w:rPr>
                <w:rFonts w:ascii="Times New Roman" w:hAnsi="Times New Roman" w:cs="Times New Roman"/>
                <w:b/>
                <w:sz w:val="20"/>
                <w:szCs w:val="20"/>
              </w:rPr>
            </w:pPr>
            <w:r w:rsidRPr="008641AB">
              <w:rPr>
                <w:rFonts w:ascii="Times New Roman" w:hAnsi="Times New Roman" w:cs="Times New Roman"/>
                <w:b/>
                <w:sz w:val="20"/>
                <w:szCs w:val="20"/>
              </w:rPr>
              <w:t>Insatisfaisant</w:t>
            </w:r>
          </w:p>
        </w:tc>
        <w:tc>
          <w:tcPr>
            <w:tcW w:w="1573"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p>
        </w:tc>
        <w:tc>
          <w:tcPr>
            <w:tcW w:w="60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 xml:space="preserve">Environnementale: </w:t>
            </w:r>
          </w:p>
        </w:tc>
        <w:tc>
          <w:tcPr>
            <w:tcW w:w="494"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p>
        </w:tc>
        <w:tc>
          <w:tcPr>
            <w:tcW w:w="106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p>
        </w:tc>
      </w:tr>
      <w:tr w:rsidR="008641AB" w:rsidRPr="008641AB" w:rsidTr="002B1D0F">
        <w:trPr>
          <w:trHeight w:val="110"/>
        </w:trPr>
        <w:tc>
          <w:tcPr>
            <w:tcW w:w="751"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p>
        </w:tc>
        <w:tc>
          <w:tcPr>
            <w:tcW w:w="506"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p>
        </w:tc>
        <w:tc>
          <w:tcPr>
            <w:tcW w:w="1573"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p>
        </w:tc>
        <w:tc>
          <w:tcPr>
            <w:tcW w:w="60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r w:rsidRPr="008641AB">
              <w:rPr>
                <w:rFonts w:ascii="Times New Roman" w:hAnsi="Times New Roman" w:cs="Times New Roman"/>
                <w:sz w:val="20"/>
                <w:szCs w:val="20"/>
              </w:rPr>
              <w:t>Probabilité globale de la durabilité :</w:t>
            </w:r>
          </w:p>
        </w:tc>
        <w:tc>
          <w:tcPr>
            <w:tcW w:w="494" w:type="pct"/>
          </w:tcPr>
          <w:p w:rsidR="008641AB" w:rsidRPr="008641AB" w:rsidRDefault="002558C8" w:rsidP="008641AB">
            <w:pPr>
              <w:autoSpaceDE w:val="0"/>
              <w:autoSpaceDN w:val="0"/>
              <w:adjustRightInd w:val="0"/>
              <w:spacing w:after="0" w:line="276" w:lineRule="auto"/>
              <w:rPr>
                <w:rFonts w:ascii="Times New Roman" w:hAnsi="Times New Roman" w:cs="Times New Roman"/>
                <w:sz w:val="20"/>
                <w:szCs w:val="20"/>
              </w:rPr>
            </w:pPr>
            <w:r>
              <w:rPr>
                <w:rFonts w:ascii="Times New Roman" w:hAnsi="Times New Roman" w:cs="Times New Roman"/>
                <w:sz w:val="20"/>
                <w:szCs w:val="20"/>
              </w:rPr>
              <w:t>Moyennement Probable</w:t>
            </w:r>
          </w:p>
        </w:tc>
        <w:tc>
          <w:tcPr>
            <w:tcW w:w="1069" w:type="pct"/>
          </w:tcPr>
          <w:p w:rsidR="008641AB" w:rsidRPr="008641AB" w:rsidRDefault="008641AB" w:rsidP="008641AB">
            <w:pPr>
              <w:autoSpaceDE w:val="0"/>
              <w:autoSpaceDN w:val="0"/>
              <w:adjustRightInd w:val="0"/>
              <w:spacing w:after="0" w:line="276" w:lineRule="auto"/>
              <w:rPr>
                <w:rFonts w:ascii="Times New Roman" w:hAnsi="Times New Roman" w:cs="Times New Roman"/>
                <w:sz w:val="20"/>
                <w:szCs w:val="20"/>
              </w:rPr>
            </w:pPr>
          </w:p>
        </w:tc>
      </w:tr>
    </w:tbl>
    <w:p w:rsidR="006B59F4" w:rsidRPr="006B59F4" w:rsidRDefault="006B59F4" w:rsidP="002558C8">
      <w:pPr>
        <w:spacing w:before="240" w:line="276" w:lineRule="auto"/>
        <w:jc w:val="center"/>
        <w:rPr>
          <w:rFonts w:ascii="Times New Roman" w:hAnsi="Times New Roman" w:cs="Times New Roman"/>
          <w:bCs/>
          <w:sz w:val="24"/>
          <w:szCs w:val="24"/>
        </w:rPr>
        <w:sectPr w:rsidR="006B59F4" w:rsidRPr="006B59F4" w:rsidSect="00E865E0">
          <w:footerReference w:type="default" r:id="rId14"/>
          <w:pgSz w:w="16838" w:h="11906" w:orient="landscape"/>
          <w:pgMar w:top="1417" w:right="1417" w:bottom="1417" w:left="1417" w:header="708" w:footer="708" w:gutter="0"/>
          <w:pgNumType w:fmt="lowerRoman"/>
          <w:cols w:space="708"/>
          <w:docGrid w:linePitch="360"/>
        </w:sectPr>
      </w:pPr>
      <w:bookmarkStart w:id="8" w:name="_Toc500352816"/>
      <w:r w:rsidRPr="006B59F4">
        <w:rPr>
          <w:rFonts w:ascii="Times New Roman" w:hAnsi="Times New Roman" w:cs="Times New Roman"/>
          <w:sz w:val="24"/>
        </w:rPr>
        <w:t xml:space="preserve">Tableau </w:t>
      </w:r>
      <w:r w:rsidRPr="006B59F4">
        <w:rPr>
          <w:rFonts w:ascii="Times New Roman" w:hAnsi="Times New Roman" w:cs="Times New Roman"/>
          <w:i/>
          <w:sz w:val="24"/>
        </w:rPr>
        <w:fldChar w:fldCharType="begin"/>
      </w:r>
      <w:r w:rsidRPr="006B59F4">
        <w:rPr>
          <w:rFonts w:ascii="Times New Roman" w:hAnsi="Times New Roman" w:cs="Times New Roman"/>
          <w:sz w:val="24"/>
        </w:rPr>
        <w:instrText xml:space="preserve"> SEQ Tableau \* ARABIC </w:instrText>
      </w:r>
      <w:r w:rsidRPr="006B59F4">
        <w:rPr>
          <w:rFonts w:ascii="Times New Roman" w:hAnsi="Times New Roman" w:cs="Times New Roman"/>
          <w:i/>
          <w:sz w:val="24"/>
        </w:rPr>
        <w:fldChar w:fldCharType="separate"/>
      </w:r>
      <w:r w:rsidR="00531EA9">
        <w:rPr>
          <w:rFonts w:ascii="Times New Roman" w:hAnsi="Times New Roman" w:cs="Times New Roman"/>
          <w:noProof/>
          <w:sz w:val="24"/>
        </w:rPr>
        <w:t>2</w:t>
      </w:r>
      <w:r w:rsidRPr="006B59F4">
        <w:rPr>
          <w:rFonts w:ascii="Times New Roman" w:hAnsi="Times New Roman" w:cs="Times New Roman"/>
          <w:i/>
          <w:sz w:val="24"/>
        </w:rPr>
        <w:fldChar w:fldCharType="end"/>
      </w:r>
      <w:r w:rsidRPr="006B59F4">
        <w:rPr>
          <w:rFonts w:ascii="Times New Roman" w:hAnsi="Times New Roman" w:cs="Times New Roman"/>
          <w:sz w:val="24"/>
        </w:rPr>
        <w:t xml:space="preserve"> :</w:t>
      </w:r>
      <w:r w:rsidR="002558C8">
        <w:rPr>
          <w:rFonts w:ascii="Times New Roman" w:hAnsi="Times New Roman" w:cs="Times New Roman"/>
          <w:sz w:val="24"/>
        </w:rPr>
        <w:t xml:space="preserve"> </w:t>
      </w:r>
      <w:r w:rsidR="002558C8" w:rsidRPr="006B59F4">
        <w:rPr>
          <w:rFonts w:ascii="Times New Roman" w:hAnsi="Times New Roman" w:cs="Times New Roman"/>
          <w:sz w:val="24"/>
        </w:rPr>
        <w:t>Tableau de notation</w:t>
      </w:r>
      <w:bookmarkEnd w:id="8"/>
      <w:r w:rsidRPr="006B59F4">
        <w:rPr>
          <w:rFonts w:ascii="Times New Roman" w:hAnsi="Times New Roman" w:cs="Times New Roman"/>
          <w:sz w:val="24"/>
        </w:rPr>
        <w:t xml:space="preserve"> </w:t>
      </w:r>
    </w:p>
    <w:p w:rsidR="001674FB" w:rsidRPr="008E5AD7" w:rsidRDefault="00386B2F" w:rsidP="00AA6908">
      <w:pPr>
        <w:pStyle w:val="Paragraphedeliste"/>
        <w:numPr>
          <w:ilvl w:val="0"/>
          <w:numId w:val="1"/>
        </w:numPr>
        <w:spacing w:line="276" w:lineRule="auto"/>
        <w:jc w:val="both"/>
        <w:outlineLvl w:val="1"/>
        <w:rPr>
          <w:rFonts w:ascii="Times New Roman" w:hAnsi="Times New Roman" w:cs="Times New Roman"/>
          <w:b/>
          <w:bCs/>
          <w:sz w:val="24"/>
          <w:szCs w:val="24"/>
        </w:rPr>
      </w:pPr>
      <w:bookmarkStart w:id="9" w:name="_Toc500352699"/>
      <w:r w:rsidRPr="008E5AD7">
        <w:rPr>
          <w:rFonts w:ascii="Times New Roman" w:hAnsi="Times New Roman" w:cs="Times New Roman"/>
          <w:b/>
          <w:bCs/>
          <w:sz w:val="24"/>
          <w:szCs w:val="24"/>
        </w:rPr>
        <w:lastRenderedPageBreak/>
        <w:t>Conclusions, recommandations et</w:t>
      </w:r>
      <w:r w:rsidR="001674FB" w:rsidRPr="008E5AD7">
        <w:rPr>
          <w:rFonts w:ascii="Times New Roman" w:hAnsi="Times New Roman" w:cs="Times New Roman"/>
          <w:b/>
          <w:bCs/>
          <w:sz w:val="24"/>
          <w:szCs w:val="24"/>
        </w:rPr>
        <w:t xml:space="preserve"> enseignements</w:t>
      </w:r>
      <w:bookmarkEnd w:id="9"/>
    </w:p>
    <w:p w:rsidR="00051E05" w:rsidRDefault="00051E05" w:rsidP="001674FB">
      <w:pPr>
        <w:spacing w:line="276" w:lineRule="auto"/>
        <w:jc w:val="both"/>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5688"/>
        <w:gridCol w:w="6220"/>
      </w:tblGrid>
      <w:tr w:rsidR="00C52BE0" w:rsidRPr="00531EA9" w:rsidTr="00C52BE0">
        <w:trPr>
          <w:trHeight w:val="100"/>
        </w:trPr>
        <w:tc>
          <w:tcPr>
            <w:tcW w:w="813" w:type="pct"/>
            <w:shd w:val="clear" w:color="auto" w:fill="BFBFBF" w:themeFill="background1" w:themeFillShade="BF"/>
            <w:vAlign w:val="center"/>
          </w:tcPr>
          <w:p w:rsidR="00C52BE0" w:rsidRPr="008E2A16" w:rsidRDefault="00C52BE0" w:rsidP="00531EA9">
            <w:pPr>
              <w:autoSpaceDE w:val="0"/>
              <w:autoSpaceDN w:val="0"/>
              <w:adjustRightInd w:val="0"/>
              <w:spacing w:after="0" w:line="240" w:lineRule="auto"/>
              <w:rPr>
                <w:rFonts w:ascii="Times New Roman" w:eastAsia="Calibri" w:hAnsi="Times New Roman" w:cs="Times New Roman"/>
                <w:b/>
                <w:color w:val="000000"/>
                <w:sz w:val="20"/>
                <w:szCs w:val="20"/>
                <w:lang w:eastAsia="fr-FR"/>
              </w:rPr>
            </w:pPr>
            <w:r w:rsidRPr="008E2A16">
              <w:rPr>
                <w:rFonts w:ascii="Times New Roman" w:eastAsia="Calibri" w:hAnsi="Times New Roman" w:cs="Times New Roman"/>
                <w:b/>
                <w:color w:val="000000"/>
                <w:sz w:val="20"/>
                <w:szCs w:val="20"/>
                <w:lang w:eastAsia="fr-FR"/>
              </w:rPr>
              <w:t>Résultat 1</w:t>
            </w:r>
          </w:p>
        </w:tc>
        <w:tc>
          <w:tcPr>
            <w:tcW w:w="4187" w:type="pct"/>
            <w:gridSpan w:val="2"/>
            <w:shd w:val="clear" w:color="auto" w:fill="BFBFBF" w:themeFill="background1" w:themeFillShade="BF"/>
            <w:vAlign w:val="center"/>
          </w:tcPr>
          <w:p w:rsidR="00C52BE0" w:rsidRPr="008E2A16" w:rsidRDefault="00C52BE0" w:rsidP="00531EA9">
            <w:pPr>
              <w:autoSpaceDE w:val="0"/>
              <w:autoSpaceDN w:val="0"/>
              <w:adjustRightInd w:val="0"/>
              <w:spacing w:after="0" w:line="240" w:lineRule="auto"/>
              <w:rPr>
                <w:rFonts w:ascii="Times New Roman" w:eastAsia="Calibri" w:hAnsi="Times New Roman" w:cs="Times New Roman"/>
                <w:b/>
                <w:bCs/>
                <w:color w:val="000000"/>
                <w:sz w:val="20"/>
                <w:szCs w:val="20"/>
                <w:lang w:eastAsia="fr-FR"/>
              </w:rPr>
            </w:pPr>
            <w:r w:rsidRPr="008E2A16">
              <w:rPr>
                <w:rFonts w:ascii="Times New Roman" w:eastAsia="Times New Roman" w:hAnsi="Times New Roman" w:cs="Times New Roman"/>
                <w:b/>
                <w:bCs/>
                <w:sz w:val="20"/>
                <w:szCs w:val="20"/>
              </w:rPr>
              <w:t>Les Politiques, stratégies et cadres légaux et réglementaires régissant les secteurs de l’Energie et des Mines modernisés en vue d’une plus grande attractivité de ces secteurs pour les investisseurs potentiels</w:t>
            </w:r>
          </w:p>
        </w:tc>
      </w:tr>
      <w:tr w:rsidR="00531EA9" w:rsidRPr="00531EA9" w:rsidTr="00531EA9">
        <w:trPr>
          <w:trHeight w:val="100"/>
        </w:trPr>
        <w:tc>
          <w:tcPr>
            <w:tcW w:w="813" w:type="pct"/>
          </w:tcPr>
          <w:p w:rsidR="00531EA9" w:rsidRPr="00256572" w:rsidRDefault="00C52BE0" w:rsidP="00531EA9">
            <w:pPr>
              <w:autoSpaceDE w:val="0"/>
              <w:autoSpaceDN w:val="0"/>
              <w:adjustRightInd w:val="0"/>
              <w:spacing w:after="0" w:line="240" w:lineRule="auto"/>
              <w:rPr>
                <w:rFonts w:ascii="Times New Roman" w:eastAsia="Calibri" w:hAnsi="Times New Roman" w:cs="Times New Roman"/>
                <w:b/>
                <w:sz w:val="20"/>
                <w:szCs w:val="20"/>
                <w:lang w:eastAsia="fr-FR"/>
              </w:rPr>
            </w:pPr>
            <w:r w:rsidRPr="00256572">
              <w:rPr>
                <w:rFonts w:ascii="Times New Roman" w:eastAsia="Calibri" w:hAnsi="Times New Roman" w:cs="Times New Roman"/>
                <w:b/>
                <w:sz w:val="20"/>
                <w:szCs w:val="20"/>
                <w:lang w:eastAsia="fr-FR"/>
              </w:rPr>
              <w:t>Produits escomptés</w:t>
            </w:r>
          </w:p>
        </w:tc>
        <w:tc>
          <w:tcPr>
            <w:tcW w:w="2000" w:type="pct"/>
          </w:tcPr>
          <w:p w:rsidR="00531EA9" w:rsidRPr="00256572" w:rsidRDefault="00C52BE0" w:rsidP="00B97D6C">
            <w:pPr>
              <w:autoSpaceDE w:val="0"/>
              <w:autoSpaceDN w:val="0"/>
              <w:adjustRightInd w:val="0"/>
              <w:spacing w:after="0" w:line="240" w:lineRule="auto"/>
              <w:rPr>
                <w:rFonts w:ascii="Times New Roman" w:eastAsia="Calibri" w:hAnsi="Times New Roman" w:cs="Times New Roman"/>
                <w:sz w:val="20"/>
                <w:szCs w:val="20"/>
                <w:lang w:eastAsia="fr-FR"/>
              </w:rPr>
            </w:pPr>
            <w:r w:rsidRPr="00256572">
              <w:rPr>
                <w:rFonts w:ascii="Times New Roman" w:eastAsia="Calibri" w:hAnsi="Times New Roman" w:cs="Times New Roman"/>
                <w:b/>
                <w:bCs/>
                <w:sz w:val="20"/>
                <w:szCs w:val="20"/>
                <w:lang w:eastAsia="fr-FR"/>
              </w:rPr>
              <w:t>Etat d’exécution</w:t>
            </w:r>
            <w:r w:rsidR="003D7844" w:rsidRPr="00256572">
              <w:rPr>
                <w:rFonts w:ascii="Times New Roman" w:eastAsia="Calibri" w:hAnsi="Times New Roman" w:cs="Times New Roman"/>
                <w:b/>
                <w:bCs/>
                <w:sz w:val="20"/>
                <w:szCs w:val="20"/>
                <w:lang w:eastAsia="fr-FR"/>
              </w:rPr>
              <w:t xml:space="preserve">  </w:t>
            </w:r>
          </w:p>
        </w:tc>
        <w:tc>
          <w:tcPr>
            <w:tcW w:w="2187" w:type="pct"/>
          </w:tcPr>
          <w:p w:rsidR="00531EA9" w:rsidRPr="00256572" w:rsidRDefault="00C52BE0" w:rsidP="00531EA9">
            <w:pPr>
              <w:autoSpaceDE w:val="0"/>
              <w:autoSpaceDN w:val="0"/>
              <w:adjustRightInd w:val="0"/>
              <w:spacing w:after="0" w:line="240" w:lineRule="auto"/>
              <w:rPr>
                <w:rFonts w:ascii="Times New Roman" w:eastAsia="Calibri" w:hAnsi="Times New Roman" w:cs="Times New Roman"/>
                <w:b/>
                <w:bCs/>
                <w:sz w:val="20"/>
                <w:szCs w:val="20"/>
                <w:lang w:eastAsia="fr-FR"/>
              </w:rPr>
            </w:pPr>
            <w:r w:rsidRPr="00256572">
              <w:rPr>
                <w:rFonts w:ascii="Times New Roman" w:eastAsia="Calibri" w:hAnsi="Times New Roman" w:cs="Times New Roman"/>
                <w:b/>
                <w:bCs/>
                <w:sz w:val="20"/>
                <w:szCs w:val="20"/>
                <w:lang w:eastAsia="fr-FR"/>
              </w:rPr>
              <w:t>Principales recommandations</w:t>
            </w:r>
            <w:r w:rsidR="00B97D6C" w:rsidRPr="00256572">
              <w:rPr>
                <w:rFonts w:ascii="Times New Roman" w:eastAsia="Calibri" w:hAnsi="Times New Roman" w:cs="Times New Roman"/>
                <w:b/>
                <w:bCs/>
                <w:sz w:val="20"/>
                <w:szCs w:val="20"/>
                <w:lang w:eastAsia="fr-FR"/>
              </w:rPr>
              <w:t xml:space="preserve"> et Observations</w:t>
            </w:r>
          </w:p>
        </w:tc>
      </w:tr>
      <w:tr w:rsidR="002045D0" w:rsidRPr="00531EA9" w:rsidTr="00E177FA">
        <w:trPr>
          <w:trHeight w:val="5520"/>
        </w:trPr>
        <w:tc>
          <w:tcPr>
            <w:tcW w:w="813" w:type="pct"/>
            <w:vAlign w:val="center"/>
          </w:tcPr>
          <w:p w:rsidR="002045D0" w:rsidRPr="00256572" w:rsidRDefault="002045D0" w:rsidP="00531EA9">
            <w:pPr>
              <w:autoSpaceDE w:val="0"/>
              <w:autoSpaceDN w:val="0"/>
              <w:adjustRightInd w:val="0"/>
              <w:spacing w:after="0" w:line="240" w:lineRule="auto"/>
              <w:rPr>
                <w:rFonts w:ascii="Times New Roman" w:eastAsia="Calibri" w:hAnsi="Times New Roman" w:cs="Times New Roman"/>
                <w:b/>
                <w:sz w:val="20"/>
                <w:szCs w:val="20"/>
                <w:lang w:eastAsia="fr-FR"/>
              </w:rPr>
            </w:pPr>
            <w:r w:rsidRPr="00256572">
              <w:rPr>
                <w:rFonts w:ascii="Times New Roman" w:eastAsia="Calibri" w:hAnsi="Times New Roman" w:cs="Times New Roman"/>
                <w:b/>
                <w:sz w:val="20"/>
                <w:szCs w:val="20"/>
                <w:lang w:eastAsia="fr-FR"/>
              </w:rPr>
              <w:t>A.1 : Disponibilité de nouveaux outils de politique et stratégie dans les domaines de l’Energie et des mines</w:t>
            </w:r>
          </w:p>
          <w:p w:rsidR="002045D0" w:rsidRPr="00256572" w:rsidRDefault="002045D0" w:rsidP="00531EA9">
            <w:pPr>
              <w:autoSpaceDE w:val="0"/>
              <w:autoSpaceDN w:val="0"/>
              <w:adjustRightInd w:val="0"/>
              <w:spacing w:after="0" w:line="240" w:lineRule="auto"/>
              <w:rPr>
                <w:rFonts w:ascii="Times New Roman" w:eastAsia="Calibri" w:hAnsi="Times New Roman" w:cs="Times New Roman"/>
                <w:sz w:val="20"/>
                <w:szCs w:val="20"/>
                <w:lang w:eastAsia="fr-FR"/>
              </w:rPr>
            </w:pPr>
          </w:p>
        </w:tc>
        <w:tc>
          <w:tcPr>
            <w:tcW w:w="2000" w:type="pct"/>
            <w:vAlign w:val="center"/>
          </w:tcPr>
          <w:p w:rsidR="002045D0" w:rsidRPr="00256572" w:rsidRDefault="002045D0" w:rsidP="00531EA9">
            <w:p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 Elaboration de certains textes d’application du nouveau code minier notamment un projet de cadastre et un nouveau code minier- Ce dernier a été adopté par le Groupe sectoriel « Mines et carrières »</w:t>
            </w:r>
          </w:p>
          <w:p w:rsidR="002045D0" w:rsidRPr="00256572" w:rsidRDefault="002045D0" w:rsidP="00531EA9">
            <w:p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 xml:space="preserve">* Organisation de plusieurs ateliers regroupant  le Gouvernement, les PTF, les  entreprises minières et les OSC dans le cadre de la préparation des projets de Règlement Minier et du Cadastre Minier du Burundi </w:t>
            </w:r>
          </w:p>
          <w:p w:rsidR="002045D0" w:rsidRPr="00256572" w:rsidRDefault="002045D0" w:rsidP="00531EA9">
            <w:p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*Organisation des ateliers provinciaux de diffusion des textes d’application du Code Minier afin de permettre leur appropriation par tous les acteurs locaux en vue de leur mise en application effective.</w:t>
            </w:r>
          </w:p>
          <w:p w:rsidR="002045D0" w:rsidRPr="00256572" w:rsidRDefault="002045D0" w:rsidP="00531EA9">
            <w:p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 Elaboration d’un nouveau projet intitulé « Innovation pour les énergies renouvelables », fruit d’une coopération trilatérale entre la Chine, le Burundi et le PNUD –  Cependant, le Document de projet  n’a pas été signé</w:t>
            </w:r>
          </w:p>
          <w:p w:rsidR="002045D0" w:rsidRPr="00256572" w:rsidRDefault="002045D0" w:rsidP="00B25C01">
            <w:p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*Appui au MEM pour la réalisation d’un film documentaire du secteur minier ;</w:t>
            </w:r>
          </w:p>
          <w:p w:rsidR="002045D0" w:rsidRPr="00256572" w:rsidRDefault="002045D0" w:rsidP="00B25C01">
            <w:p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 Appui d’un cadre du secteur minier pour participer au 8ème Forum CIRGL-OCDE-Groupe d’Experts des Nations Unies sur les chaînes d’approvisionnement responsables en minerais, et à la troisième réunion des ministres en charge des mines de la CIRGL</w:t>
            </w:r>
          </w:p>
          <w:p w:rsidR="002045D0" w:rsidRPr="00256572" w:rsidRDefault="002045D0" w:rsidP="00B25C01">
            <w:p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 Appui à l’organisation du « SHIFT 2014 EVENT</w:t>
            </w:r>
          </w:p>
          <w:p w:rsidR="00A64828" w:rsidRPr="00256572" w:rsidRDefault="00A64828" w:rsidP="00B25C01">
            <w:p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*Stratégie nationale sur les EnRs  réalèse et adoptée</w:t>
            </w:r>
          </w:p>
          <w:p w:rsidR="006E512E" w:rsidRDefault="006E512E" w:rsidP="00B25C01">
            <w:pPr>
              <w:autoSpaceDE w:val="0"/>
              <w:autoSpaceDN w:val="0"/>
              <w:adjustRightInd w:val="0"/>
              <w:spacing w:after="0" w:line="240" w:lineRule="auto"/>
              <w:rPr>
                <w:rFonts w:ascii="Times New Roman" w:eastAsia="Calibri" w:hAnsi="Times New Roman" w:cs="Times New Roman"/>
                <w:bCs/>
                <w:sz w:val="20"/>
                <w:szCs w:val="20"/>
                <w:lang w:eastAsia="fr-FR"/>
              </w:rPr>
            </w:pPr>
          </w:p>
          <w:p w:rsidR="00256572" w:rsidRPr="00256572" w:rsidRDefault="00256572" w:rsidP="00B25C01">
            <w:pPr>
              <w:autoSpaceDE w:val="0"/>
              <w:autoSpaceDN w:val="0"/>
              <w:adjustRightInd w:val="0"/>
              <w:spacing w:after="0" w:line="240" w:lineRule="auto"/>
              <w:rPr>
                <w:rFonts w:ascii="Times New Roman" w:eastAsia="Calibri" w:hAnsi="Times New Roman" w:cs="Times New Roman"/>
                <w:bCs/>
                <w:sz w:val="20"/>
                <w:szCs w:val="20"/>
                <w:lang w:eastAsia="fr-FR"/>
              </w:rPr>
            </w:pPr>
          </w:p>
          <w:p w:rsidR="006E512E" w:rsidRPr="00256572" w:rsidRDefault="006E512E" w:rsidP="00B25C01">
            <w:pPr>
              <w:autoSpaceDE w:val="0"/>
              <w:autoSpaceDN w:val="0"/>
              <w:adjustRightInd w:val="0"/>
              <w:spacing w:after="0" w:line="240" w:lineRule="auto"/>
              <w:rPr>
                <w:rFonts w:ascii="Times New Roman" w:eastAsia="Calibri" w:hAnsi="Times New Roman" w:cs="Times New Roman"/>
                <w:bCs/>
                <w:sz w:val="20"/>
                <w:szCs w:val="20"/>
                <w:lang w:eastAsia="fr-FR"/>
              </w:rPr>
            </w:pPr>
          </w:p>
          <w:p w:rsidR="006E512E" w:rsidRPr="00256572" w:rsidRDefault="006E512E" w:rsidP="00B25C01">
            <w:pPr>
              <w:autoSpaceDE w:val="0"/>
              <w:autoSpaceDN w:val="0"/>
              <w:adjustRightInd w:val="0"/>
              <w:spacing w:after="0" w:line="240" w:lineRule="auto"/>
              <w:rPr>
                <w:rFonts w:ascii="Times New Roman" w:eastAsia="Calibri" w:hAnsi="Times New Roman" w:cs="Times New Roman"/>
                <w:bCs/>
                <w:sz w:val="20"/>
                <w:szCs w:val="20"/>
                <w:lang w:eastAsia="fr-FR"/>
              </w:rPr>
            </w:pPr>
          </w:p>
          <w:p w:rsidR="006E512E" w:rsidRPr="00256572" w:rsidRDefault="006E512E" w:rsidP="00B25C01">
            <w:pPr>
              <w:autoSpaceDE w:val="0"/>
              <w:autoSpaceDN w:val="0"/>
              <w:adjustRightInd w:val="0"/>
              <w:spacing w:after="0" w:line="240" w:lineRule="auto"/>
              <w:rPr>
                <w:rFonts w:ascii="Times New Roman" w:eastAsia="Calibri" w:hAnsi="Times New Roman" w:cs="Times New Roman"/>
                <w:bCs/>
                <w:sz w:val="20"/>
                <w:szCs w:val="20"/>
                <w:lang w:eastAsia="fr-FR"/>
              </w:rPr>
            </w:pPr>
          </w:p>
          <w:p w:rsidR="006E512E" w:rsidRPr="00256572" w:rsidRDefault="006E512E" w:rsidP="00B25C01">
            <w:pPr>
              <w:autoSpaceDE w:val="0"/>
              <w:autoSpaceDN w:val="0"/>
              <w:adjustRightInd w:val="0"/>
              <w:spacing w:after="0" w:line="240" w:lineRule="auto"/>
              <w:rPr>
                <w:rFonts w:ascii="Times New Roman" w:eastAsia="Calibri" w:hAnsi="Times New Roman" w:cs="Times New Roman"/>
                <w:bCs/>
                <w:sz w:val="20"/>
                <w:szCs w:val="20"/>
                <w:lang w:eastAsia="fr-FR"/>
              </w:rPr>
            </w:pPr>
          </w:p>
          <w:p w:rsidR="002045D0" w:rsidRPr="00256572" w:rsidRDefault="002045D0" w:rsidP="00531EA9">
            <w:pPr>
              <w:autoSpaceDE w:val="0"/>
              <w:autoSpaceDN w:val="0"/>
              <w:adjustRightInd w:val="0"/>
              <w:spacing w:after="0" w:line="240" w:lineRule="auto"/>
              <w:rPr>
                <w:rFonts w:ascii="Times New Roman" w:eastAsia="Calibri" w:hAnsi="Times New Roman" w:cs="Times New Roman"/>
                <w:bCs/>
                <w:sz w:val="20"/>
                <w:szCs w:val="20"/>
                <w:lang w:eastAsia="fr-FR"/>
              </w:rPr>
            </w:pPr>
          </w:p>
        </w:tc>
        <w:tc>
          <w:tcPr>
            <w:tcW w:w="2187" w:type="pct"/>
            <w:vAlign w:val="center"/>
          </w:tcPr>
          <w:p w:rsidR="002045D0" w:rsidRDefault="002045D0" w:rsidP="00F335A9">
            <w:pPr>
              <w:pStyle w:val="Paragraphedeliste"/>
              <w:numPr>
                <w:ilvl w:val="0"/>
                <w:numId w:val="48"/>
              </w:num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Réaliser une étude pour la mise en place et l’adoption d’un cadre juridique, règlementaire et attractif du sous – secteur des Energies renouvelables</w:t>
            </w:r>
          </w:p>
          <w:p w:rsidR="00256572" w:rsidRPr="00256572" w:rsidRDefault="00256572" w:rsidP="00256572">
            <w:pPr>
              <w:pStyle w:val="Paragraphedeliste"/>
              <w:autoSpaceDE w:val="0"/>
              <w:autoSpaceDN w:val="0"/>
              <w:adjustRightInd w:val="0"/>
              <w:spacing w:after="0" w:line="240" w:lineRule="auto"/>
              <w:rPr>
                <w:rFonts w:ascii="Times New Roman" w:eastAsia="Calibri" w:hAnsi="Times New Roman" w:cs="Times New Roman"/>
                <w:bCs/>
                <w:sz w:val="20"/>
                <w:szCs w:val="20"/>
                <w:lang w:eastAsia="fr-FR"/>
              </w:rPr>
            </w:pPr>
          </w:p>
          <w:p w:rsidR="002045D0" w:rsidRPr="00256572" w:rsidRDefault="002045D0" w:rsidP="00531EA9">
            <w:pPr>
              <w:autoSpaceDE w:val="0"/>
              <w:autoSpaceDN w:val="0"/>
              <w:adjustRightInd w:val="0"/>
              <w:spacing w:after="0" w:line="240" w:lineRule="auto"/>
              <w:rPr>
                <w:rFonts w:ascii="Times New Roman" w:eastAsia="Calibri" w:hAnsi="Times New Roman" w:cs="Times New Roman"/>
                <w:bCs/>
                <w:i/>
                <w:sz w:val="20"/>
                <w:szCs w:val="20"/>
                <w:lang w:eastAsia="fr-FR"/>
              </w:rPr>
            </w:pPr>
            <w:r w:rsidRPr="00256572">
              <w:rPr>
                <w:rFonts w:ascii="Times New Roman" w:eastAsia="Calibri" w:hAnsi="Times New Roman" w:cs="Times New Roman"/>
                <w:b/>
                <w:bCs/>
                <w:i/>
                <w:sz w:val="20"/>
                <w:szCs w:val="20"/>
                <w:lang w:eastAsia="fr-FR"/>
              </w:rPr>
              <w:t>NB</w:t>
            </w:r>
            <w:r w:rsidR="00B97D6C" w:rsidRPr="00256572">
              <w:rPr>
                <w:rFonts w:ascii="Times New Roman" w:eastAsia="Calibri" w:hAnsi="Times New Roman" w:cs="Times New Roman"/>
                <w:b/>
                <w:bCs/>
                <w:i/>
                <w:sz w:val="20"/>
                <w:szCs w:val="20"/>
                <w:lang w:eastAsia="fr-FR"/>
              </w:rPr>
              <w:t>1</w:t>
            </w:r>
            <w:r w:rsidRPr="00256572">
              <w:rPr>
                <w:rFonts w:ascii="Times New Roman" w:eastAsia="Calibri" w:hAnsi="Times New Roman" w:cs="Times New Roman"/>
                <w:bCs/>
                <w:i/>
                <w:sz w:val="20"/>
                <w:szCs w:val="20"/>
                <w:lang w:eastAsia="fr-FR"/>
              </w:rPr>
              <w:t xml:space="preserve"> : </w:t>
            </w:r>
            <w:r w:rsidR="00256572">
              <w:rPr>
                <w:rFonts w:ascii="Times New Roman" w:eastAsia="Calibri" w:hAnsi="Times New Roman" w:cs="Times New Roman"/>
                <w:bCs/>
                <w:i/>
                <w:sz w:val="20"/>
                <w:szCs w:val="20"/>
                <w:lang w:eastAsia="fr-FR"/>
              </w:rPr>
              <w:t>Cette étude relative aux EnRs,</w:t>
            </w:r>
            <w:r w:rsidR="00B97D6C" w:rsidRPr="00256572">
              <w:rPr>
                <w:rFonts w:ascii="Times New Roman" w:eastAsia="Calibri" w:hAnsi="Times New Roman" w:cs="Times New Roman"/>
                <w:bCs/>
                <w:i/>
                <w:sz w:val="20"/>
                <w:szCs w:val="20"/>
                <w:lang w:eastAsia="fr-FR"/>
              </w:rPr>
              <w:t xml:space="preserve"> avec</w:t>
            </w:r>
            <w:r w:rsidR="00F536DC" w:rsidRPr="00256572">
              <w:rPr>
                <w:rFonts w:ascii="Times New Roman" w:eastAsia="Calibri" w:hAnsi="Times New Roman" w:cs="Times New Roman"/>
                <w:bCs/>
                <w:i/>
                <w:sz w:val="20"/>
                <w:szCs w:val="20"/>
                <w:lang w:eastAsia="fr-FR"/>
              </w:rPr>
              <w:t xml:space="preserve"> la stratégie sur les EnRs et</w:t>
            </w:r>
            <w:r w:rsidR="00256572">
              <w:rPr>
                <w:rFonts w:ascii="Times New Roman" w:eastAsia="Calibri" w:hAnsi="Times New Roman" w:cs="Times New Roman"/>
                <w:bCs/>
                <w:i/>
                <w:sz w:val="20"/>
                <w:szCs w:val="20"/>
                <w:lang w:eastAsia="fr-FR"/>
              </w:rPr>
              <w:t xml:space="preserve"> le</w:t>
            </w:r>
            <w:r w:rsidRPr="00256572">
              <w:rPr>
                <w:rFonts w:ascii="Times New Roman" w:eastAsia="Calibri" w:hAnsi="Times New Roman" w:cs="Times New Roman"/>
                <w:bCs/>
                <w:i/>
                <w:sz w:val="20"/>
                <w:szCs w:val="20"/>
                <w:lang w:eastAsia="fr-FR"/>
              </w:rPr>
              <w:t xml:space="preserve"> projet JIji Mulembwe </w:t>
            </w:r>
            <w:r w:rsidR="00B97D6C" w:rsidRPr="00256572">
              <w:rPr>
                <w:rFonts w:ascii="Times New Roman" w:eastAsia="Calibri" w:hAnsi="Times New Roman" w:cs="Times New Roman"/>
                <w:bCs/>
                <w:i/>
                <w:sz w:val="20"/>
                <w:szCs w:val="20"/>
                <w:lang w:eastAsia="fr-FR"/>
              </w:rPr>
              <w:t xml:space="preserve">qui </w:t>
            </w:r>
            <w:r w:rsidRPr="00256572">
              <w:rPr>
                <w:rFonts w:ascii="Times New Roman" w:eastAsia="Calibri" w:hAnsi="Times New Roman" w:cs="Times New Roman"/>
                <w:bCs/>
                <w:i/>
                <w:sz w:val="20"/>
                <w:szCs w:val="20"/>
                <w:lang w:eastAsia="fr-FR"/>
              </w:rPr>
              <w:t>a une composante institutionnelle dans le secteur électricité</w:t>
            </w:r>
            <w:r w:rsidR="004543F8" w:rsidRPr="00256572">
              <w:rPr>
                <w:rFonts w:ascii="Times New Roman" w:eastAsia="Calibri" w:hAnsi="Times New Roman" w:cs="Times New Roman"/>
                <w:bCs/>
                <w:i/>
                <w:sz w:val="20"/>
                <w:szCs w:val="20"/>
                <w:lang w:eastAsia="fr-FR"/>
              </w:rPr>
              <w:t xml:space="preserve">, </w:t>
            </w:r>
            <w:r w:rsidR="00B97D6C" w:rsidRPr="00256572">
              <w:rPr>
                <w:rFonts w:ascii="Times New Roman" w:eastAsia="Calibri" w:hAnsi="Times New Roman" w:cs="Times New Roman"/>
                <w:bCs/>
                <w:i/>
                <w:sz w:val="20"/>
                <w:szCs w:val="20"/>
                <w:lang w:eastAsia="fr-FR"/>
              </w:rPr>
              <w:t>devrait compléter les outils légaux et règlementaires pour promouvoir les investissements du secteur de l’Energie</w:t>
            </w:r>
          </w:p>
          <w:p w:rsidR="002045D0" w:rsidRPr="00256572" w:rsidRDefault="002045D0" w:rsidP="00531EA9">
            <w:pPr>
              <w:autoSpaceDE w:val="0"/>
              <w:autoSpaceDN w:val="0"/>
              <w:adjustRightInd w:val="0"/>
              <w:spacing w:after="0" w:line="240" w:lineRule="auto"/>
              <w:rPr>
                <w:rFonts w:ascii="Times New Roman" w:eastAsia="Calibri" w:hAnsi="Times New Roman" w:cs="Times New Roman"/>
                <w:bCs/>
                <w:i/>
                <w:sz w:val="20"/>
                <w:szCs w:val="20"/>
                <w:lang w:eastAsia="fr-FR"/>
              </w:rPr>
            </w:pPr>
          </w:p>
          <w:p w:rsidR="002045D0" w:rsidRPr="00256572" w:rsidRDefault="002045D0" w:rsidP="00F335A9">
            <w:pPr>
              <w:pStyle w:val="Paragraphedeliste"/>
              <w:numPr>
                <w:ilvl w:val="0"/>
                <w:numId w:val="48"/>
              </w:num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Recruter un Assistant technique international pour (i) consolider les résultats du projet d’Assistance technique préparatoire et (ii) appuyer le Ministère en charge de l’Energie à la définition et à la mise en œuvre de sa politique énergétique dans le cadre des ODD, de SE4ALL et du changement climatique</w:t>
            </w:r>
          </w:p>
          <w:p w:rsidR="002045D0" w:rsidRPr="00256572" w:rsidRDefault="002045D0" w:rsidP="002045D0">
            <w:pPr>
              <w:pStyle w:val="Paragraphedeliste"/>
              <w:autoSpaceDE w:val="0"/>
              <w:autoSpaceDN w:val="0"/>
              <w:adjustRightInd w:val="0"/>
              <w:spacing w:after="0" w:line="240" w:lineRule="auto"/>
              <w:rPr>
                <w:rFonts w:ascii="Times New Roman" w:eastAsia="Calibri" w:hAnsi="Times New Roman" w:cs="Times New Roman"/>
                <w:bCs/>
                <w:sz w:val="20"/>
                <w:szCs w:val="20"/>
                <w:lang w:eastAsia="fr-FR"/>
              </w:rPr>
            </w:pPr>
          </w:p>
          <w:p w:rsidR="002045D0" w:rsidRPr="00256572" w:rsidRDefault="002045D0" w:rsidP="002045D0">
            <w:pPr>
              <w:autoSpaceDE w:val="0"/>
              <w:autoSpaceDN w:val="0"/>
              <w:adjustRightInd w:val="0"/>
              <w:spacing w:after="0" w:line="240" w:lineRule="auto"/>
              <w:rPr>
                <w:rFonts w:ascii="Times New Roman" w:eastAsia="Calibri" w:hAnsi="Times New Roman" w:cs="Times New Roman"/>
                <w:bCs/>
                <w:i/>
                <w:sz w:val="20"/>
                <w:szCs w:val="20"/>
                <w:lang w:eastAsia="fr-FR"/>
              </w:rPr>
            </w:pPr>
            <w:r w:rsidRPr="00256572">
              <w:rPr>
                <w:rFonts w:ascii="Times New Roman" w:eastAsia="Calibri" w:hAnsi="Times New Roman" w:cs="Times New Roman"/>
                <w:b/>
                <w:bCs/>
                <w:i/>
                <w:sz w:val="20"/>
                <w:szCs w:val="20"/>
                <w:lang w:eastAsia="fr-FR"/>
              </w:rPr>
              <w:t>NB</w:t>
            </w:r>
            <w:r w:rsidR="00B97D6C" w:rsidRPr="00256572">
              <w:rPr>
                <w:rFonts w:ascii="Times New Roman" w:eastAsia="Calibri" w:hAnsi="Times New Roman" w:cs="Times New Roman"/>
                <w:b/>
                <w:bCs/>
                <w:i/>
                <w:sz w:val="20"/>
                <w:szCs w:val="20"/>
                <w:lang w:eastAsia="fr-FR"/>
              </w:rPr>
              <w:t>2</w:t>
            </w:r>
            <w:r w:rsidRPr="00256572">
              <w:rPr>
                <w:rFonts w:ascii="Times New Roman" w:eastAsia="Calibri" w:hAnsi="Times New Roman" w:cs="Times New Roman"/>
                <w:bCs/>
                <w:i/>
                <w:sz w:val="20"/>
                <w:szCs w:val="20"/>
                <w:lang w:eastAsia="fr-FR"/>
              </w:rPr>
              <w:t xml:space="preserve"> : Un besoin express a été noté lors de l’évaluation au niveau des acteurs et des décideurs car le Burundi est très en retard par rapport aux initiatives globales de l’heure </w:t>
            </w:r>
            <w:r w:rsidR="004543F8" w:rsidRPr="00256572">
              <w:rPr>
                <w:rFonts w:ascii="Times New Roman" w:eastAsia="Calibri" w:hAnsi="Times New Roman" w:cs="Times New Roman"/>
                <w:bCs/>
                <w:i/>
                <w:sz w:val="20"/>
                <w:szCs w:val="20"/>
                <w:lang w:eastAsia="fr-FR"/>
              </w:rPr>
              <w:t xml:space="preserve">auxquelles </w:t>
            </w:r>
            <w:r w:rsidRPr="00256572">
              <w:rPr>
                <w:rFonts w:ascii="Times New Roman" w:eastAsia="Calibri" w:hAnsi="Times New Roman" w:cs="Times New Roman"/>
                <w:bCs/>
                <w:i/>
                <w:sz w:val="20"/>
                <w:szCs w:val="20"/>
                <w:lang w:eastAsia="fr-FR"/>
              </w:rPr>
              <w:t xml:space="preserve">il a adhéré à l’instar de la communauté internationale.  </w:t>
            </w:r>
          </w:p>
          <w:p w:rsidR="002045D0" w:rsidRPr="00256572" w:rsidRDefault="002045D0" w:rsidP="002045D0">
            <w:pPr>
              <w:autoSpaceDE w:val="0"/>
              <w:autoSpaceDN w:val="0"/>
              <w:adjustRightInd w:val="0"/>
              <w:spacing w:after="0" w:line="240" w:lineRule="auto"/>
              <w:rPr>
                <w:rFonts w:ascii="Times New Roman" w:eastAsia="Calibri" w:hAnsi="Times New Roman" w:cs="Times New Roman"/>
                <w:bCs/>
                <w:i/>
                <w:sz w:val="20"/>
                <w:szCs w:val="20"/>
                <w:lang w:eastAsia="fr-FR"/>
              </w:rPr>
            </w:pPr>
          </w:p>
          <w:p w:rsidR="002045D0" w:rsidRPr="00256572" w:rsidRDefault="002045D0" w:rsidP="002045D0">
            <w:pPr>
              <w:pStyle w:val="Paragraphedeliste"/>
              <w:numPr>
                <w:ilvl w:val="0"/>
                <w:numId w:val="48"/>
              </w:num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Accélérer le processus d’adhésion du Burundi à l’ITIE</w:t>
            </w:r>
          </w:p>
          <w:p w:rsidR="00B97D6C" w:rsidRPr="00256572" w:rsidRDefault="00B97D6C" w:rsidP="00B97D6C">
            <w:pPr>
              <w:pStyle w:val="Paragraphedeliste"/>
              <w:autoSpaceDE w:val="0"/>
              <w:autoSpaceDN w:val="0"/>
              <w:adjustRightInd w:val="0"/>
              <w:spacing w:after="0" w:line="240" w:lineRule="auto"/>
              <w:rPr>
                <w:rFonts w:ascii="Times New Roman" w:eastAsia="Calibri" w:hAnsi="Times New Roman" w:cs="Times New Roman"/>
                <w:bCs/>
                <w:sz w:val="20"/>
                <w:szCs w:val="20"/>
                <w:lang w:eastAsia="fr-FR"/>
              </w:rPr>
            </w:pPr>
          </w:p>
          <w:p w:rsidR="002045D0" w:rsidRPr="00256572" w:rsidRDefault="00B97D6C" w:rsidP="00531EA9">
            <w:pPr>
              <w:autoSpaceDE w:val="0"/>
              <w:autoSpaceDN w:val="0"/>
              <w:adjustRightInd w:val="0"/>
              <w:spacing w:after="0" w:line="240" w:lineRule="auto"/>
              <w:rPr>
                <w:rFonts w:ascii="Times New Roman" w:eastAsia="Calibri" w:hAnsi="Times New Roman" w:cs="Times New Roman"/>
                <w:bCs/>
                <w:i/>
                <w:sz w:val="20"/>
                <w:szCs w:val="20"/>
                <w:lang w:eastAsia="fr-FR"/>
              </w:rPr>
            </w:pPr>
            <w:r w:rsidRPr="00256572">
              <w:rPr>
                <w:rFonts w:ascii="Times New Roman" w:eastAsia="Calibri" w:hAnsi="Times New Roman" w:cs="Times New Roman"/>
                <w:b/>
                <w:bCs/>
                <w:i/>
                <w:sz w:val="20"/>
                <w:szCs w:val="20"/>
                <w:lang w:eastAsia="fr-FR"/>
              </w:rPr>
              <w:t>NB</w:t>
            </w:r>
            <w:r w:rsidR="009F6B22" w:rsidRPr="00256572">
              <w:rPr>
                <w:rFonts w:ascii="Times New Roman" w:eastAsia="Calibri" w:hAnsi="Times New Roman" w:cs="Times New Roman"/>
                <w:b/>
                <w:bCs/>
                <w:i/>
                <w:sz w:val="20"/>
                <w:szCs w:val="20"/>
                <w:lang w:eastAsia="fr-FR"/>
              </w:rPr>
              <w:t>3</w:t>
            </w:r>
            <w:r w:rsidRPr="00256572">
              <w:rPr>
                <w:rFonts w:ascii="Times New Roman" w:eastAsia="Calibri" w:hAnsi="Times New Roman" w:cs="Times New Roman"/>
                <w:bCs/>
                <w:i/>
                <w:sz w:val="20"/>
                <w:szCs w:val="20"/>
                <w:lang w:eastAsia="fr-FR"/>
              </w:rPr>
              <w:t xml:space="preserve"> : Le MEM a déjà intégré cette recommandation dans son Agenda </w:t>
            </w:r>
            <w:r w:rsidR="009F6B22" w:rsidRPr="00256572">
              <w:rPr>
                <w:rFonts w:ascii="Times New Roman" w:eastAsia="Calibri" w:hAnsi="Times New Roman" w:cs="Times New Roman"/>
                <w:bCs/>
                <w:i/>
                <w:sz w:val="20"/>
                <w:szCs w:val="20"/>
                <w:lang w:eastAsia="fr-FR"/>
              </w:rPr>
              <w:t>et de la politique minière en vigueur</w:t>
            </w:r>
          </w:p>
        </w:tc>
      </w:tr>
      <w:tr w:rsidR="009F6B22" w:rsidRPr="00531EA9" w:rsidTr="009F6B22">
        <w:trPr>
          <w:trHeight w:val="100"/>
        </w:trPr>
        <w:tc>
          <w:tcPr>
            <w:tcW w:w="813" w:type="pct"/>
            <w:shd w:val="clear" w:color="auto" w:fill="BFBFBF" w:themeFill="background1" w:themeFillShade="BF"/>
            <w:vAlign w:val="center"/>
          </w:tcPr>
          <w:p w:rsidR="009F6B22" w:rsidRPr="00256572" w:rsidRDefault="009F6B22" w:rsidP="00531EA9">
            <w:pPr>
              <w:autoSpaceDE w:val="0"/>
              <w:autoSpaceDN w:val="0"/>
              <w:adjustRightInd w:val="0"/>
              <w:spacing w:after="0" w:line="240" w:lineRule="auto"/>
              <w:rPr>
                <w:rFonts w:ascii="Times New Roman" w:eastAsia="Calibri" w:hAnsi="Times New Roman" w:cs="Times New Roman"/>
                <w:b/>
                <w:sz w:val="20"/>
                <w:szCs w:val="20"/>
                <w:lang w:eastAsia="fr-FR"/>
              </w:rPr>
            </w:pPr>
            <w:r w:rsidRPr="00256572">
              <w:rPr>
                <w:rFonts w:ascii="Times New Roman" w:eastAsia="Calibri" w:hAnsi="Times New Roman" w:cs="Times New Roman"/>
                <w:b/>
                <w:sz w:val="20"/>
                <w:szCs w:val="20"/>
                <w:lang w:eastAsia="fr-FR"/>
              </w:rPr>
              <w:lastRenderedPageBreak/>
              <w:t>Résultat 2</w:t>
            </w:r>
          </w:p>
          <w:p w:rsidR="009F6B22" w:rsidRPr="00256572" w:rsidRDefault="009F6B22" w:rsidP="00531EA9">
            <w:pPr>
              <w:autoSpaceDE w:val="0"/>
              <w:autoSpaceDN w:val="0"/>
              <w:adjustRightInd w:val="0"/>
              <w:spacing w:after="0" w:line="240" w:lineRule="auto"/>
              <w:rPr>
                <w:rFonts w:ascii="Times New Roman" w:eastAsia="Calibri" w:hAnsi="Times New Roman" w:cs="Times New Roman"/>
                <w:b/>
                <w:sz w:val="20"/>
                <w:szCs w:val="20"/>
                <w:lang w:eastAsia="fr-FR"/>
              </w:rPr>
            </w:pPr>
          </w:p>
        </w:tc>
        <w:tc>
          <w:tcPr>
            <w:tcW w:w="4187" w:type="pct"/>
            <w:gridSpan w:val="2"/>
            <w:shd w:val="clear" w:color="auto" w:fill="BFBFBF" w:themeFill="background1" w:themeFillShade="BF"/>
            <w:vAlign w:val="center"/>
          </w:tcPr>
          <w:p w:rsidR="009F6B22" w:rsidRPr="00256572" w:rsidRDefault="009F6B22" w:rsidP="00531EA9">
            <w:pPr>
              <w:autoSpaceDE w:val="0"/>
              <w:autoSpaceDN w:val="0"/>
              <w:adjustRightInd w:val="0"/>
              <w:spacing w:after="0" w:line="240" w:lineRule="auto"/>
              <w:rPr>
                <w:rFonts w:ascii="Times New Roman" w:eastAsia="Calibri" w:hAnsi="Times New Roman" w:cs="Times New Roman"/>
                <w:b/>
                <w:bCs/>
                <w:sz w:val="20"/>
                <w:szCs w:val="20"/>
                <w:lang w:eastAsia="fr-FR"/>
              </w:rPr>
            </w:pPr>
            <w:r w:rsidRPr="00256572">
              <w:rPr>
                <w:rFonts w:ascii="Times New Roman" w:eastAsia="Times New Roman" w:hAnsi="Times New Roman" w:cs="Times New Roman"/>
                <w:b/>
                <w:bCs/>
                <w:sz w:val="20"/>
                <w:szCs w:val="20"/>
              </w:rPr>
              <w:t>Les capacités institutionnelles du Ministère de l’Energie et des Mines renforcés particulièrement en matière de négociation de contrats</w:t>
            </w:r>
          </w:p>
        </w:tc>
      </w:tr>
      <w:tr w:rsidR="00531EA9" w:rsidRPr="00531EA9" w:rsidTr="00531EA9">
        <w:trPr>
          <w:trHeight w:val="100"/>
        </w:trPr>
        <w:tc>
          <w:tcPr>
            <w:tcW w:w="813" w:type="pct"/>
          </w:tcPr>
          <w:p w:rsidR="00531EA9" w:rsidRPr="00256572" w:rsidRDefault="00A64828" w:rsidP="00531EA9">
            <w:pPr>
              <w:autoSpaceDE w:val="0"/>
              <w:autoSpaceDN w:val="0"/>
              <w:adjustRightInd w:val="0"/>
              <w:spacing w:after="0" w:line="240" w:lineRule="auto"/>
              <w:rPr>
                <w:rFonts w:ascii="Times New Roman" w:eastAsia="Calibri" w:hAnsi="Times New Roman" w:cs="Times New Roman"/>
                <w:sz w:val="20"/>
                <w:szCs w:val="20"/>
                <w:lang w:eastAsia="fr-FR"/>
              </w:rPr>
            </w:pPr>
            <w:r w:rsidRPr="00256572">
              <w:rPr>
                <w:rFonts w:ascii="Times New Roman" w:eastAsia="Calibri" w:hAnsi="Times New Roman" w:cs="Times New Roman"/>
                <w:b/>
                <w:sz w:val="20"/>
                <w:szCs w:val="20"/>
                <w:lang w:eastAsia="fr-FR"/>
              </w:rPr>
              <w:t>Produits escomptés</w:t>
            </w:r>
          </w:p>
        </w:tc>
        <w:tc>
          <w:tcPr>
            <w:tcW w:w="2000" w:type="pct"/>
          </w:tcPr>
          <w:p w:rsidR="00531EA9" w:rsidRPr="00256572" w:rsidRDefault="00A64828" w:rsidP="00531EA9">
            <w:pPr>
              <w:autoSpaceDE w:val="0"/>
              <w:autoSpaceDN w:val="0"/>
              <w:adjustRightInd w:val="0"/>
              <w:spacing w:after="0" w:line="240" w:lineRule="auto"/>
              <w:rPr>
                <w:rFonts w:ascii="Times New Roman" w:eastAsia="Calibri" w:hAnsi="Times New Roman" w:cs="Times New Roman"/>
                <w:sz w:val="20"/>
                <w:szCs w:val="20"/>
                <w:lang w:eastAsia="fr-FR"/>
              </w:rPr>
            </w:pPr>
            <w:r w:rsidRPr="00256572">
              <w:rPr>
                <w:rFonts w:ascii="Times New Roman" w:eastAsia="Calibri" w:hAnsi="Times New Roman" w:cs="Times New Roman"/>
                <w:b/>
                <w:bCs/>
                <w:sz w:val="20"/>
                <w:szCs w:val="20"/>
                <w:lang w:eastAsia="fr-FR"/>
              </w:rPr>
              <w:t xml:space="preserve">Etat d’exécution </w:t>
            </w:r>
          </w:p>
        </w:tc>
        <w:tc>
          <w:tcPr>
            <w:tcW w:w="2187" w:type="pct"/>
          </w:tcPr>
          <w:p w:rsidR="00531EA9" w:rsidRPr="00256572" w:rsidRDefault="00A64828" w:rsidP="00531EA9">
            <w:pPr>
              <w:autoSpaceDE w:val="0"/>
              <w:autoSpaceDN w:val="0"/>
              <w:adjustRightInd w:val="0"/>
              <w:spacing w:after="0" w:line="240" w:lineRule="auto"/>
              <w:rPr>
                <w:rFonts w:ascii="Times New Roman" w:eastAsia="Calibri" w:hAnsi="Times New Roman" w:cs="Times New Roman"/>
                <w:b/>
                <w:bCs/>
                <w:sz w:val="20"/>
                <w:szCs w:val="20"/>
                <w:lang w:eastAsia="fr-FR"/>
              </w:rPr>
            </w:pPr>
            <w:r w:rsidRPr="00256572">
              <w:rPr>
                <w:rFonts w:ascii="Times New Roman" w:eastAsia="Calibri" w:hAnsi="Times New Roman" w:cs="Times New Roman"/>
                <w:b/>
                <w:bCs/>
                <w:sz w:val="20"/>
                <w:szCs w:val="20"/>
                <w:lang w:eastAsia="fr-FR"/>
              </w:rPr>
              <w:t>Principale recommandation </w:t>
            </w:r>
          </w:p>
        </w:tc>
      </w:tr>
      <w:tr w:rsidR="00531EA9" w:rsidRPr="00531EA9" w:rsidTr="00531EA9">
        <w:trPr>
          <w:trHeight w:val="100"/>
        </w:trPr>
        <w:tc>
          <w:tcPr>
            <w:tcW w:w="813" w:type="pct"/>
            <w:vAlign w:val="center"/>
          </w:tcPr>
          <w:p w:rsidR="00531EA9" w:rsidRPr="00256572" w:rsidRDefault="00531EA9" w:rsidP="006E512E">
            <w:pPr>
              <w:autoSpaceDE w:val="0"/>
              <w:autoSpaceDN w:val="0"/>
              <w:adjustRightInd w:val="0"/>
              <w:spacing w:after="0" w:line="240" w:lineRule="auto"/>
              <w:rPr>
                <w:rFonts w:ascii="Times New Roman" w:eastAsia="Calibri" w:hAnsi="Times New Roman" w:cs="Times New Roman"/>
                <w:sz w:val="20"/>
                <w:szCs w:val="20"/>
                <w:lang w:eastAsia="fr-FR"/>
              </w:rPr>
            </w:pPr>
            <w:r w:rsidRPr="00256572">
              <w:rPr>
                <w:rFonts w:ascii="Times New Roman" w:eastAsia="Calibri" w:hAnsi="Times New Roman" w:cs="Times New Roman"/>
                <w:b/>
                <w:sz w:val="20"/>
                <w:szCs w:val="20"/>
                <w:lang w:eastAsia="fr-FR"/>
              </w:rPr>
              <w:t>B.1</w:t>
            </w:r>
            <w:r w:rsidR="009F6B22" w:rsidRPr="00256572">
              <w:rPr>
                <w:rFonts w:ascii="Times New Roman" w:eastAsia="Calibri" w:hAnsi="Times New Roman" w:cs="Times New Roman"/>
                <w:b/>
                <w:sz w:val="20"/>
                <w:szCs w:val="20"/>
                <w:lang w:eastAsia="fr-FR"/>
              </w:rPr>
              <w:t xml:space="preserve"> : Nombre et qualités de </w:t>
            </w:r>
            <w:r w:rsidR="00042DFE" w:rsidRPr="00256572">
              <w:rPr>
                <w:rFonts w:ascii="Times New Roman" w:eastAsia="Calibri" w:hAnsi="Times New Roman" w:cs="Times New Roman"/>
                <w:b/>
                <w:sz w:val="20"/>
                <w:szCs w:val="20"/>
                <w:lang w:eastAsia="fr-FR"/>
              </w:rPr>
              <w:t xml:space="preserve">modèles de contrats adoptés et nombre de cadres formés en matière </w:t>
            </w:r>
            <w:r w:rsidR="006E512E" w:rsidRPr="00256572">
              <w:rPr>
                <w:rFonts w:ascii="Times New Roman" w:eastAsia="Calibri" w:hAnsi="Times New Roman" w:cs="Times New Roman"/>
                <w:b/>
                <w:sz w:val="20"/>
                <w:szCs w:val="20"/>
                <w:lang w:eastAsia="fr-FR"/>
              </w:rPr>
              <w:t xml:space="preserve">de </w:t>
            </w:r>
            <w:r w:rsidR="00A64828" w:rsidRPr="00256572">
              <w:rPr>
                <w:rFonts w:ascii="Times New Roman" w:eastAsia="Calibri" w:hAnsi="Times New Roman" w:cs="Times New Roman"/>
                <w:b/>
                <w:sz w:val="20"/>
                <w:szCs w:val="20"/>
                <w:lang w:eastAsia="fr-FR"/>
              </w:rPr>
              <w:t>négociations</w:t>
            </w:r>
          </w:p>
        </w:tc>
        <w:tc>
          <w:tcPr>
            <w:tcW w:w="2000" w:type="pct"/>
            <w:vAlign w:val="center"/>
          </w:tcPr>
          <w:p w:rsidR="00F536DC" w:rsidRPr="00256572" w:rsidRDefault="00F536DC" w:rsidP="00531EA9">
            <w:p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*Les cadres du MEM ont été formés notamment dans le domaine des mines</w:t>
            </w:r>
          </w:p>
          <w:p w:rsidR="00531EA9" w:rsidRPr="00256572" w:rsidRDefault="00F536DC" w:rsidP="00256572">
            <w:p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*Aucun modèle de contra</w:t>
            </w:r>
            <w:r w:rsidR="00C54FE9" w:rsidRPr="00256572">
              <w:rPr>
                <w:rFonts w:ascii="Times New Roman" w:eastAsia="Calibri" w:hAnsi="Times New Roman" w:cs="Times New Roman"/>
                <w:bCs/>
                <w:sz w:val="20"/>
                <w:szCs w:val="20"/>
                <w:lang w:eastAsia="fr-FR"/>
              </w:rPr>
              <w:t xml:space="preserve">ts n’a été cependant adopté pour les deux secteurs de l’énergie et des mines </w:t>
            </w:r>
          </w:p>
        </w:tc>
        <w:tc>
          <w:tcPr>
            <w:tcW w:w="2187" w:type="pct"/>
            <w:vAlign w:val="center"/>
          </w:tcPr>
          <w:p w:rsidR="00531EA9" w:rsidRPr="00256572" w:rsidRDefault="00F536DC" w:rsidP="00F536DC">
            <w:pPr>
              <w:pStyle w:val="Paragraphedeliste"/>
              <w:numPr>
                <w:ilvl w:val="0"/>
                <w:numId w:val="48"/>
              </w:num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Renforcement de capacités des Agents du Ministère de l’Energie et des Mines dans le domaine de la Régulation du secteur de l’électricité</w:t>
            </w:r>
          </w:p>
          <w:p w:rsidR="00F536DC" w:rsidRPr="00256572" w:rsidRDefault="00F536DC" w:rsidP="00531EA9">
            <w:pPr>
              <w:autoSpaceDE w:val="0"/>
              <w:autoSpaceDN w:val="0"/>
              <w:adjustRightInd w:val="0"/>
              <w:spacing w:after="0" w:line="240" w:lineRule="auto"/>
              <w:rPr>
                <w:rFonts w:ascii="Times New Roman" w:eastAsia="Calibri" w:hAnsi="Times New Roman" w:cs="Times New Roman"/>
                <w:bCs/>
                <w:sz w:val="20"/>
                <w:szCs w:val="20"/>
                <w:lang w:eastAsia="fr-FR"/>
              </w:rPr>
            </w:pPr>
          </w:p>
          <w:p w:rsidR="00F536DC" w:rsidRPr="00256572" w:rsidRDefault="00F536DC" w:rsidP="00531EA9">
            <w:pPr>
              <w:autoSpaceDE w:val="0"/>
              <w:autoSpaceDN w:val="0"/>
              <w:adjustRightInd w:val="0"/>
              <w:spacing w:after="0" w:line="240" w:lineRule="auto"/>
              <w:rPr>
                <w:rFonts w:ascii="Times New Roman" w:eastAsia="Calibri" w:hAnsi="Times New Roman" w:cs="Times New Roman"/>
                <w:bCs/>
                <w:i/>
                <w:sz w:val="20"/>
                <w:szCs w:val="20"/>
                <w:lang w:eastAsia="fr-FR"/>
              </w:rPr>
            </w:pPr>
            <w:r w:rsidRPr="00256572">
              <w:rPr>
                <w:rFonts w:ascii="Times New Roman" w:eastAsia="Calibri" w:hAnsi="Times New Roman" w:cs="Times New Roman"/>
                <w:b/>
                <w:bCs/>
                <w:i/>
                <w:sz w:val="20"/>
                <w:szCs w:val="20"/>
                <w:lang w:eastAsia="fr-FR"/>
              </w:rPr>
              <w:t>NB</w:t>
            </w:r>
            <w:r w:rsidR="00E177FA" w:rsidRPr="00256572">
              <w:rPr>
                <w:rFonts w:ascii="Times New Roman" w:eastAsia="Calibri" w:hAnsi="Times New Roman" w:cs="Times New Roman"/>
                <w:b/>
                <w:bCs/>
                <w:i/>
                <w:sz w:val="20"/>
                <w:szCs w:val="20"/>
                <w:lang w:eastAsia="fr-FR"/>
              </w:rPr>
              <w:t>4</w:t>
            </w:r>
            <w:r w:rsidRPr="00256572">
              <w:rPr>
                <w:rFonts w:ascii="Times New Roman" w:eastAsia="Calibri" w:hAnsi="Times New Roman" w:cs="Times New Roman"/>
                <w:bCs/>
                <w:i/>
                <w:sz w:val="20"/>
                <w:szCs w:val="20"/>
                <w:lang w:eastAsia="fr-FR"/>
              </w:rPr>
              <w:t> : L’AREEM, dans le cadre de sa mission, a besoin de se mettre son personnel  à niveau en s’enquérant  de l’expérience des autres Agences de régulation et disposer d’outils adéquats</w:t>
            </w:r>
          </w:p>
        </w:tc>
      </w:tr>
      <w:tr w:rsidR="00C54FE9" w:rsidRPr="00531EA9" w:rsidTr="00E177FA">
        <w:trPr>
          <w:trHeight w:val="3920"/>
        </w:trPr>
        <w:tc>
          <w:tcPr>
            <w:tcW w:w="813" w:type="pct"/>
            <w:vAlign w:val="center"/>
          </w:tcPr>
          <w:p w:rsidR="00C54FE9" w:rsidRPr="00256572" w:rsidRDefault="00C54FE9" w:rsidP="00256572">
            <w:pPr>
              <w:autoSpaceDE w:val="0"/>
              <w:autoSpaceDN w:val="0"/>
              <w:adjustRightInd w:val="0"/>
              <w:spacing w:after="0" w:line="240" w:lineRule="auto"/>
              <w:rPr>
                <w:rFonts w:ascii="Times New Roman" w:eastAsia="Calibri" w:hAnsi="Times New Roman" w:cs="Times New Roman"/>
                <w:b/>
                <w:sz w:val="20"/>
                <w:szCs w:val="20"/>
                <w:lang w:eastAsia="fr-FR"/>
              </w:rPr>
            </w:pPr>
            <w:r w:rsidRPr="00256572">
              <w:rPr>
                <w:rFonts w:ascii="Times New Roman" w:eastAsia="Calibri" w:hAnsi="Times New Roman" w:cs="Times New Roman"/>
                <w:b/>
                <w:sz w:val="20"/>
                <w:szCs w:val="20"/>
                <w:lang w:eastAsia="fr-FR"/>
              </w:rPr>
              <w:t xml:space="preserve">B.2 : Deux documents de projet de renforcement de capacités du Ministère sont disponibles </w:t>
            </w:r>
          </w:p>
        </w:tc>
        <w:tc>
          <w:tcPr>
            <w:tcW w:w="2000" w:type="pct"/>
            <w:vAlign w:val="center"/>
          </w:tcPr>
          <w:p w:rsidR="00C54FE9" w:rsidRPr="00256572" w:rsidRDefault="00C54FE9" w:rsidP="00531EA9">
            <w:pPr>
              <w:autoSpaceDE w:val="0"/>
              <w:autoSpaceDN w:val="0"/>
              <w:adjustRightInd w:val="0"/>
              <w:spacing w:after="0" w:line="240" w:lineRule="auto"/>
              <w:rPr>
                <w:rFonts w:ascii="Times New Roman" w:eastAsia="Calibri" w:hAnsi="Times New Roman" w:cs="Times New Roman"/>
                <w:b/>
                <w:bCs/>
                <w:sz w:val="20"/>
                <w:szCs w:val="20"/>
                <w:lang w:eastAsia="fr-FR"/>
              </w:rPr>
            </w:pPr>
            <w:r w:rsidRPr="00256572">
              <w:rPr>
                <w:rFonts w:ascii="Times New Roman" w:eastAsia="Calibri" w:hAnsi="Times New Roman" w:cs="Times New Roman"/>
                <w:b/>
                <w:bCs/>
                <w:sz w:val="20"/>
                <w:szCs w:val="20"/>
                <w:lang w:eastAsia="fr-FR"/>
              </w:rPr>
              <w:t>NEANT</w:t>
            </w:r>
          </w:p>
        </w:tc>
        <w:tc>
          <w:tcPr>
            <w:tcW w:w="2187" w:type="pct"/>
            <w:vAlign w:val="center"/>
          </w:tcPr>
          <w:p w:rsidR="00C54FE9" w:rsidRPr="00256572" w:rsidRDefault="00C54FE9" w:rsidP="00531EA9">
            <w:pPr>
              <w:autoSpaceDE w:val="0"/>
              <w:autoSpaceDN w:val="0"/>
              <w:adjustRightInd w:val="0"/>
              <w:spacing w:after="0" w:line="240" w:lineRule="auto"/>
              <w:rPr>
                <w:rFonts w:ascii="Times New Roman" w:eastAsia="Calibri" w:hAnsi="Times New Roman" w:cs="Times New Roman"/>
                <w:bCs/>
                <w:sz w:val="20"/>
                <w:szCs w:val="20"/>
                <w:lang w:eastAsia="fr-FR"/>
              </w:rPr>
            </w:pPr>
          </w:p>
          <w:p w:rsidR="00C54FE9" w:rsidRDefault="00C54FE9" w:rsidP="00C54FE9">
            <w:pPr>
              <w:pStyle w:val="Paragraphedeliste"/>
              <w:numPr>
                <w:ilvl w:val="0"/>
                <w:numId w:val="48"/>
              </w:num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 xml:space="preserve">Renforcer  les capacités des Agents du Ministère de l’Energie et des Mines en matière de négociation de contrats PPP du secteur de l’énergie </w:t>
            </w:r>
          </w:p>
          <w:p w:rsidR="00256572" w:rsidRPr="00256572" w:rsidRDefault="00256572" w:rsidP="00C54FE9">
            <w:pPr>
              <w:pStyle w:val="Paragraphedeliste"/>
              <w:numPr>
                <w:ilvl w:val="0"/>
                <w:numId w:val="48"/>
              </w:numPr>
              <w:autoSpaceDE w:val="0"/>
              <w:autoSpaceDN w:val="0"/>
              <w:adjustRightInd w:val="0"/>
              <w:spacing w:after="0" w:line="240" w:lineRule="auto"/>
              <w:rPr>
                <w:rFonts w:ascii="Times New Roman" w:eastAsia="Calibri" w:hAnsi="Times New Roman" w:cs="Times New Roman"/>
                <w:bCs/>
                <w:sz w:val="20"/>
                <w:szCs w:val="20"/>
                <w:lang w:eastAsia="fr-FR"/>
              </w:rPr>
            </w:pPr>
          </w:p>
          <w:p w:rsidR="00C54FE9" w:rsidRPr="00256572" w:rsidRDefault="00E177FA" w:rsidP="00C54FE9">
            <w:p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
                <w:bCs/>
                <w:i/>
                <w:sz w:val="20"/>
                <w:szCs w:val="20"/>
                <w:lang w:eastAsia="fr-FR"/>
              </w:rPr>
              <w:t>NB5</w:t>
            </w:r>
            <w:r w:rsidR="00C54FE9" w:rsidRPr="00256572">
              <w:rPr>
                <w:rFonts w:ascii="Times New Roman" w:eastAsia="Calibri" w:hAnsi="Times New Roman" w:cs="Times New Roman"/>
                <w:bCs/>
                <w:i/>
                <w:sz w:val="20"/>
                <w:szCs w:val="20"/>
                <w:lang w:eastAsia="fr-FR"/>
              </w:rPr>
              <w:t xml:space="preserve"> : </w:t>
            </w:r>
            <w:r w:rsidRPr="00256572">
              <w:rPr>
                <w:rFonts w:ascii="Times New Roman" w:eastAsia="Calibri" w:hAnsi="Times New Roman" w:cs="Times New Roman"/>
                <w:bCs/>
                <w:i/>
                <w:sz w:val="20"/>
                <w:szCs w:val="20"/>
                <w:lang w:eastAsia="fr-FR"/>
              </w:rPr>
              <w:t xml:space="preserve">Pour le secteur des </w:t>
            </w:r>
            <w:r w:rsidR="00C54FE9" w:rsidRPr="00256572">
              <w:rPr>
                <w:rFonts w:ascii="Times New Roman" w:eastAsia="Calibri" w:hAnsi="Times New Roman" w:cs="Times New Roman"/>
                <w:bCs/>
                <w:i/>
                <w:sz w:val="20"/>
                <w:szCs w:val="20"/>
                <w:lang w:eastAsia="fr-FR"/>
              </w:rPr>
              <w:t>mines cette activité est prise en compte par un important projet financé par la Banque mondiale et intitulé « Projet de Renforcement de Capacités Institutionnelle pour l’Efficac</w:t>
            </w:r>
            <w:r w:rsidR="00256572">
              <w:rPr>
                <w:rFonts w:ascii="Times New Roman" w:eastAsia="Calibri" w:hAnsi="Times New Roman" w:cs="Times New Roman"/>
                <w:bCs/>
                <w:i/>
                <w:sz w:val="20"/>
                <w:szCs w:val="20"/>
                <w:lang w:eastAsia="fr-FR"/>
              </w:rPr>
              <w:t xml:space="preserve">ité de la Gouvernance (PRCIEG) </w:t>
            </w:r>
            <w:r w:rsidR="00C54FE9" w:rsidRPr="00256572">
              <w:rPr>
                <w:rFonts w:ascii="Times New Roman" w:eastAsia="Calibri" w:hAnsi="Times New Roman" w:cs="Times New Roman"/>
                <w:bCs/>
                <w:i/>
                <w:sz w:val="20"/>
                <w:szCs w:val="20"/>
                <w:lang w:eastAsia="fr-FR"/>
              </w:rPr>
              <w:t>qui dispose d’une ligne de 3.8 millions US$ dédiée aux mines  - A suivre</w:t>
            </w:r>
            <w:r w:rsidR="00C54FE9" w:rsidRPr="00256572">
              <w:rPr>
                <w:rFonts w:ascii="Times New Roman" w:eastAsia="Calibri" w:hAnsi="Times New Roman" w:cs="Times New Roman"/>
                <w:bCs/>
                <w:sz w:val="20"/>
                <w:szCs w:val="20"/>
                <w:lang w:eastAsia="fr-FR"/>
              </w:rPr>
              <w:t xml:space="preserve">. </w:t>
            </w:r>
          </w:p>
          <w:p w:rsidR="00C54FE9" w:rsidRPr="00256572" w:rsidRDefault="00C54FE9" w:rsidP="00531EA9">
            <w:pPr>
              <w:autoSpaceDE w:val="0"/>
              <w:autoSpaceDN w:val="0"/>
              <w:adjustRightInd w:val="0"/>
              <w:spacing w:after="0" w:line="240" w:lineRule="auto"/>
              <w:rPr>
                <w:rFonts w:ascii="Times New Roman" w:eastAsia="Calibri" w:hAnsi="Times New Roman" w:cs="Times New Roman"/>
                <w:b/>
                <w:bCs/>
                <w:i/>
                <w:sz w:val="20"/>
                <w:szCs w:val="20"/>
                <w:lang w:eastAsia="fr-FR"/>
              </w:rPr>
            </w:pPr>
          </w:p>
          <w:p w:rsidR="00C54FE9" w:rsidRDefault="00C54FE9" w:rsidP="00C54FE9">
            <w:pPr>
              <w:pStyle w:val="Paragraphedeliste"/>
              <w:numPr>
                <w:ilvl w:val="0"/>
                <w:numId w:val="48"/>
              </w:num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Cs/>
                <w:sz w:val="20"/>
                <w:szCs w:val="20"/>
                <w:lang w:eastAsia="fr-FR"/>
              </w:rPr>
              <w:t>Renforcer les  capacités des Agents du Ministère de l’Energie et des Mines particulièrement en matière de planification énergétique par (i) la mise en en place d’un Observatoire national de l’Energie et (ii) l’élaboration d’un Atlas des énergies renouvelables</w:t>
            </w:r>
          </w:p>
          <w:p w:rsidR="00256572" w:rsidRPr="00256572" w:rsidRDefault="00256572" w:rsidP="00256572">
            <w:pPr>
              <w:pStyle w:val="Paragraphedeliste"/>
              <w:autoSpaceDE w:val="0"/>
              <w:autoSpaceDN w:val="0"/>
              <w:adjustRightInd w:val="0"/>
              <w:spacing w:after="0" w:line="240" w:lineRule="auto"/>
              <w:rPr>
                <w:rFonts w:ascii="Times New Roman" w:eastAsia="Calibri" w:hAnsi="Times New Roman" w:cs="Times New Roman"/>
                <w:bCs/>
                <w:sz w:val="20"/>
                <w:szCs w:val="20"/>
                <w:lang w:eastAsia="fr-FR"/>
              </w:rPr>
            </w:pPr>
          </w:p>
          <w:p w:rsidR="00C54FE9" w:rsidRPr="00256572" w:rsidRDefault="00E177FA" w:rsidP="00531EA9">
            <w:pPr>
              <w:autoSpaceDE w:val="0"/>
              <w:autoSpaceDN w:val="0"/>
              <w:adjustRightInd w:val="0"/>
              <w:spacing w:after="0" w:line="240" w:lineRule="auto"/>
              <w:rPr>
                <w:rFonts w:ascii="Times New Roman" w:eastAsia="Calibri" w:hAnsi="Times New Roman" w:cs="Times New Roman"/>
                <w:bCs/>
                <w:sz w:val="20"/>
                <w:szCs w:val="20"/>
                <w:lang w:eastAsia="fr-FR"/>
              </w:rPr>
            </w:pPr>
            <w:r w:rsidRPr="00256572">
              <w:rPr>
                <w:rFonts w:ascii="Times New Roman" w:eastAsia="Calibri" w:hAnsi="Times New Roman" w:cs="Times New Roman"/>
                <w:b/>
                <w:bCs/>
                <w:i/>
                <w:sz w:val="20"/>
                <w:szCs w:val="20"/>
                <w:lang w:eastAsia="fr-FR"/>
              </w:rPr>
              <w:t>NB6</w:t>
            </w:r>
            <w:r w:rsidR="00C54FE9" w:rsidRPr="00256572">
              <w:rPr>
                <w:rFonts w:ascii="Times New Roman" w:eastAsia="Calibri" w:hAnsi="Times New Roman" w:cs="Times New Roman"/>
                <w:b/>
                <w:bCs/>
                <w:i/>
                <w:sz w:val="20"/>
                <w:szCs w:val="20"/>
                <w:lang w:eastAsia="fr-FR"/>
              </w:rPr>
              <w:t> :</w:t>
            </w:r>
            <w:r w:rsidR="00C54FE9" w:rsidRPr="00256572">
              <w:rPr>
                <w:rFonts w:ascii="Times New Roman" w:eastAsia="Calibri" w:hAnsi="Times New Roman" w:cs="Times New Roman"/>
                <w:bCs/>
                <w:i/>
                <w:sz w:val="20"/>
                <w:szCs w:val="20"/>
                <w:lang w:eastAsia="fr-FR"/>
              </w:rPr>
              <w:t xml:space="preserve"> L’Observatoire et l’Atlas sont des outils d’ai</w:t>
            </w:r>
            <w:r w:rsidRPr="00256572">
              <w:rPr>
                <w:rFonts w:ascii="Times New Roman" w:eastAsia="Calibri" w:hAnsi="Times New Roman" w:cs="Times New Roman"/>
                <w:bCs/>
                <w:i/>
                <w:sz w:val="20"/>
                <w:szCs w:val="20"/>
                <w:lang w:eastAsia="fr-FR"/>
              </w:rPr>
              <w:t>de à la décision indispensables pour une b</w:t>
            </w:r>
            <w:r w:rsidR="004C65AB">
              <w:rPr>
                <w:rFonts w:ascii="Times New Roman" w:eastAsia="Calibri" w:hAnsi="Times New Roman" w:cs="Times New Roman"/>
                <w:bCs/>
                <w:i/>
                <w:sz w:val="20"/>
                <w:szCs w:val="20"/>
                <w:lang w:eastAsia="fr-FR"/>
              </w:rPr>
              <w:t>onne planification énergétique et un développement rural mieux intégré</w:t>
            </w:r>
            <w:r w:rsidR="00C54FE9" w:rsidRPr="00256572">
              <w:rPr>
                <w:rFonts w:ascii="Times New Roman" w:eastAsia="Calibri" w:hAnsi="Times New Roman" w:cs="Times New Roman"/>
                <w:bCs/>
                <w:i/>
                <w:sz w:val="20"/>
                <w:szCs w:val="20"/>
                <w:lang w:eastAsia="fr-FR"/>
              </w:rPr>
              <w:t xml:space="preserve"> </w:t>
            </w:r>
          </w:p>
        </w:tc>
      </w:tr>
    </w:tbl>
    <w:p w:rsidR="00531EA9" w:rsidRPr="00531EA9" w:rsidRDefault="00531EA9" w:rsidP="00531EA9">
      <w:pPr>
        <w:pStyle w:val="Lgende"/>
        <w:spacing w:before="240" w:line="276" w:lineRule="auto"/>
        <w:jc w:val="center"/>
        <w:rPr>
          <w:rFonts w:ascii="Times New Roman" w:hAnsi="Times New Roman" w:cs="Times New Roman"/>
          <w:b/>
          <w:bCs/>
          <w:i w:val="0"/>
          <w:color w:val="auto"/>
          <w:sz w:val="24"/>
          <w:szCs w:val="24"/>
        </w:rPr>
      </w:pPr>
      <w:bookmarkStart w:id="10" w:name="_Toc500352817"/>
      <w:r w:rsidRPr="00531EA9">
        <w:rPr>
          <w:rFonts w:ascii="Times New Roman" w:hAnsi="Times New Roman" w:cs="Times New Roman"/>
          <w:i w:val="0"/>
          <w:color w:val="auto"/>
          <w:sz w:val="24"/>
          <w:szCs w:val="24"/>
        </w:rPr>
        <w:t xml:space="preserve">Tableau </w:t>
      </w:r>
      <w:r w:rsidRPr="00531EA9">
        <w:rPr>
          <w:rFonts w:ascii="Times New Roman" w:hAnsi="Times New Roman" w:cs="Times New Roman"/>
          <w:i w:val="0"/>
          <w:color w:val="auto"/>
          <w:sz w:val="24"/>
          <w:szCs w:val="24"/>
        </w:rPr>
        <w:fldChar w:fldCharType="begin"/>
      </w:r>
      <w:r w:rsidRPr="00531EA9">
        <w:rPr>
          <w:rFonts w:ascii="Times New Roman" w:hAnsi="Times New Roman" w:cs="Times New Roman"/>
          <w:i w:val="0"/>
          <w:color w:val="auto"/>
          <w:sz w:val="24"/>
          <w:szCs w:val="24"/>
        </w:rPr>
        <w:instrText xml:space="preserve"> SEQ Tableau \* ARABIC </w:instrText>
      </w:r>
      <w:r w:rsidRPr="00531EA9">
        <w:rPr>
          <w:rFonts w:ascii="Times New Roman" w:hAnsi="Times New Roman" w:cs="Times New Roman"/>
          <w:i w:val="0"/>
          <w:color w:val="auto"/>
          <w:sz w:val="24"/>
          <w:szCs w:val="24"/>
        </w:rPr>
        <w:fldChar w:fldCharType="separate"/>
      </w:r>
      <w:r w:rsidRPr="00531EA9">
        <w:rPr>
          <w:rFonts w:ascii="Times New Roman" w:hAnsi="Times New Roman" w:cs="Times New Roman"/>
          <w:i w:val="0"/>
          <w:noProof/>
          <w:color w:val="auto"/>
          <w:sz w:val="24"/>
          <w:szCs w:val="24"/>
        </w:rPr>
        <w:t>3</w:t>
      </w:r>
      <w:r w:rsidRPr="00531EA9">
        <w:rPr>
          <w:rFonts w:ascii="Times New Roman" w:hAnsi="Times New Roman" w:cs="Times New Roman"/>
          <w:i w:val="0"/>
          <w:color w:val="auto"/>
          <w:sz w:val="24"/>
          <w:szCs w:val="24"/>
        </w:rPr>
        <w:fldChar w:fldCharType="end"/>
      </w:r>
      <w:r w:rsidRPr="00531EA9">
        <w:rPr>
          <w:rFonts w:ascii="Times New Roman" w:hAnsi="Times New Roman" w:cs="Times New Roman"/>
          <w:i w:val="0"/>
          <w:color w:val="auto"/>
          <w:sz w:val="24"/>
          <w:szCs w:val="24"/>
        </w:rPr>
        <w:t xml:space="preserve"> : Recommandation</w:t>
      </w:r>
      <w:r>
        <w:rPr>
          <w:rFonts w:ascii="Times New Roman" w:hAnsi="Times New Roman" w:cs="Times New Roman"/>
          <w:i w:val="0"/>
          <w:color w:val="auto"/>
          <w:sz w:val="24"/>
          <w:szCs w:val="24"/>
        </w:rPr>
        <w:t>s</w:t>
      </w:r>
      <w:bookmarkEnd w:id="10"/>
    </w:p>
    <w:p w:rsidR="00531EA9" w:rsidRDefault="00531EA9" w:rsidP="001674FB">
      <w:pPr>
        <w:spacing w:line="276" w:lineRule="auto"/>
        <w:jc w:val="both"/>
        <w:rPr>
          <w:rFonts w:ascii="Times New Roman" w:hAnsi="Times New Roman" w:cs="Times New Roman"/>
          <w:b/>
          <w:bCs/>
          <w:sz w:val="24"/>
          <w:szCs w:val="24"/>
        </w:rPr>
      </w:pPr>
    </w:p>
    <w:p w:rsidR="00531EA9" w:rsidRDefault="00531EA9" w:rsidP="001674FB">
      <w:pPr>
        <w:spacing w:line="276" w:lineRule="auto"/>
        <w:jc w:val="both"/>
        <w:rPr>
          <w:rFonts w:ascii="Times New Roman" w:hAnsi="Times New Roman" w:cs="Times New Roman"/>
          <w:b/>
          <w:bCs/>
          <w:sz w:val="24"/>
          <w:szCs w:val="24"/>
        </w:rPr>
        <w:sectPr w:rsidR="00531EA9" w:rsidSect="00AD7338">
          <w:footerReference w:type="default" r:id="rId15"/>
          <w:pgSz w:w="16838" w:h="11906" w:orient="landscape"/>
          <w:pgMar w:top="1417" w:right="1417" w:bottom="1417" w:left="1417" w:header="708" w:footer="708" w:gutter="0"/>
          <w:pgNumType w:fmt="lowerRoman"/>
          <w:cols w:space="708"/>
          <w:docGrid w:linePitch="360"/>
        </w:sectPr>
      </w:pPr>
    </w:p>
    <w:p w:rsidR="001674FB" w:rsidRDefault="001674FB" w:rsidP="001674FB">
      <w:pPr>
        <w:spacing w:line="276" w:lineRule="auto"/>
        <w:jc w:val="both"/>
        <w:rPr>
          <w:rFonts w:ascii="Times New Roman" w:hAnsi="Times New Roman" w:cs="Times New Roman"/>
          <w:b/>
          <w:bCs/>
          <w:sz w:val="24"/>
          <w:szCs w:val="24"/>
        </w:rPr>
      </w:pPr>
      <w:r w:rsidRPr="001674FB">
        <w:rPr>
          <w:rFonts w:ascii="Times New Roman" w:hAnsi="Times New Roman" w:cs="Times New Roman"/>
          <w:b/>
          <w:bCs/>
          <w:sz w:val="24"/>
          <w:szCs w:val="24"/>
        </w:rPr>
        <w:lastRenderedPageBreak/>
        <w:t xml:space="preserve">iii. Acronymes et abréviations </w:t>
      </w:r>
    </w:p>
    <w:p w:rsidR="00256572" w:rsidRPr="009A0C9F" w:rsidRDefault="00256572" w:rsidP="00256572">
      <w:pPr>
        <w:spacing w:after="0" w:line="276" w:lineRule="auto"/>
        <w:jc w:val="both"/>
        <w:rPr>
          <w:rFonts w:ascii="Times New Roman" w:hAnsi="Times New Roman" w:cs="Times New Roman"/>
          <w:bCs/>
          <w:sz w:val="24"/>
          <w:szCs w:val="24"/>
        </w:rPr>
      </w:pPr>
      <w:r w:rsidRPr="009A0C9F">
        <w:rPr>
          <w:rFonts w:ascii="Times New Roman" w:hAnsi="Times New Roman" w:cs="Times New Roman"/>
          <w:bCs/>
          <w:sz w:val="24"/>
          <w:szCs w:val="24"/>
        </w:rPr>
        <w:t>ABC :</w:t>
      </w:r>
      <w:r>
        <w:rPr>
          <w:rFonts w:ascii="Times New Roman" w:hAnsi="Times New Roman" w:cs="Times New Roman"/>
          <w:bCs/>
          <w:sz w:val="24"/>
          <w:szCs w:val="24"/>
        </w:rPr>
        <w:tab/>
      </w:r>
      <w:r>
        <w:rPr>
          <w:rFonts w:ascii="Times New Roman" w:hAnsi="Times New Roman" w:cs="Times New Roman"/>
          <w:bCs/>
          <w:sz w:val="24"/>
          <w:szCs w:val="24"/>
        </w:rPr>
        <w:tab/>
      </w:r>
      <w:r w:rsidRPr="009A0C9F">
        <w:rPr>
          <w:rFonts w:ascii="Times New Roman" w:hAnsi="Times New Roman" w:cs="Times New Roman"/>
          <w:bCs/>
          <w:sz w:val="24"/>
          <w:szCs w:val="24"/>
        </w:rPr>
        <w:t>Association Burundaise des Consommateurs</w:t>
      </w:r>
    </w:p>
    <w:p w:rsidR="00100CA7" w:rsidRDefault="00100CA7" w:rsidP="00100CA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ABER :</w:t>
      </w:r>
      <w:r>
        <w:rPr>
          <w:rFonts w:ascii="Times New Roman" w:hAnsi="Times New Roman" w:cs="Times New Roman"/>
          <w:bCs/>
          <w:sz w:val="24"/>
          <w:szCs w:val="24"/>
        </w:rPr>
        <w:tab/>
        <w:t xml:space="preserve">Agence Burundaise d’Electrification Rurale </w:t>
      </w:r>
    </w:p>
    <w:p w:rsidR="00256572" w:rsidRDefault="00256572" w:rsidP="0025657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AREEM :</w:t>
      </w:r>
      <w:r>
        <w:rPr>
          <w:rFonts w:ascii="Times New Roman" w:hAnsi="Times New Roman" w:cs="Times New Roman"/>
          <w:bCs/>
          <w:sz w:val="24"/>
          <w:szCs w:val="24"/>
        </w:rPr>
        <w:tab/>
        <w:t>Agence de Régulation de l’Eau, de l’Energie et des Mines</w:t>
      </w:r>
    </w:p>
    <w:p w:rsidR="00256572" w:rsidRDefault="00256572" w:rsidP="0025657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BAD :</w:t>
      </w:r>
      <w:r>
        <w:rPr>
          <w:rFonts w:ascii="Times New Roman" w:hAnsi="Times New Roman" w:cs="Times New Roman"/>
          <w:bCs/>
          <w:sz w:val="24"/>
          <w:szCs w:val="24"/>
        </w:rPr>
        <w:tab/>
      </w:r>
      <w:r>
        <w:rPr>
          <w:rFonts w:ascii="Times New Roman" w:hAnsi="Times New Roman" w:cs="Times New Roman"/>
          <w:bCs/>
          <w:sz w:val="24"/>
          <w:szCs w:val="24"/>
        </w:rPr>
        <w:tab/>
        <w:t>Banque Africaine de Développement</w:t>
      </w:r>
    </w:p>
    <w:p w:rsidR="00256572" w:rsidRDefault="00256572" w:rsidP="0025657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BM :</w:t>
      </w:r>
      <w:r>
        <w:rPr>
          <w:rFonts w:ascii="Times New Roman" w:hAnsi="Times New Roman" w:cs="Times New Roman"/>
          <w:bCs/>
          <w:sz w:val="24"/>
          <w:szCs w:val="24"/>
        </w:rPr>
        <w:tab/>
      </w:r>
      <w:r>
        <w:rPr>
          <w:rFonts w:ascii="Times New Roman" w:hAnsi="Times New Roman" w:cs="Times New Roman"/>
          <w:bCs/>
          <w:sz w:val="24"/>
          <w:szCs w:val="24"/>
        </w:rPr>
        <w:tab/>
        <w:t>Banque mondiale</w:t>
      </w:r>
    </w:p>
    <w:p w:rsidR="004C65AB" w:rsidRDefault="004C65AB" w:rsidP="0025657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CEA :              Communauté Est Africaine</w:t>
      </w:r>
    </w:p>
    <w:p w:rsidR="00256572" w:rsidRDefault="00256572" w:rsidP="0025657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CFCIB :</w:t>
      </w:r>
      <w:r>
        <w:rPr>
          <w:rFonts w:ascii="Times New Roman" w:hAnsi="Times New Roman" w:cs="Times New Roman"/>
          <w:bCs/>
          <w:sz w:val="24"/>
          <w:szCs w:val="24"/>
        </w:rPr>
        <w:tab/>
        <w:t>Chambre Fédérale du Commerce et de l’Industrie du Burundi</w:t>
      </w:r>
    </w:p>
    <w:p w:rsidR="00EB350B" w:rsidRDefault="00EB350B" w:rsidP="0025657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CIRGL :          Conférence Internationale pour la Région des Grands Lacs  </w:t>
      </w:r>
    </w:p>
    <w:p w:rsidR="00100CA7" w:rsidRDefault="00100CA7" w:rsidP="00100CA7">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Copil :</w:t>
      </w:r>
      <w:r>
        <w:rPr>
          <w:rFonts w:ascii="Times New Roman" w:hAnsi="Times New Roman" w:cs="Times New Roman"/>
          <w:bCs/>
          <w:sz w:val="24"/>
          <w:szCs w:val="24"/>
        </w:rPr>
        <w:tab/>
      </w:r>
      <w:r>
        <w:rPr>
          <w:rFonts w:ascii="Times New Roman" w:hAnsi="Times New Roman" w:cs="Times New Roman"/>
          <w:bCs/>
          <w:sz w:val="24"/>
          <w:szCs w:val="24"/>
        </w:rPr>
        <w:tab/>
      </w:r>
      <w:r w:rsidRPr="00D049F2">
        <w:rPr>
          <w:rFonts w:ascii="Times New Roman" w:hAnsi="Times New Roman" w:cs="Times New Roman"/>
          <w:sz w:val="24"/>
          <w:szCs w:val="24"/>
        </w:rPr>
        <w:t>Comité d</w:t>
      </w:r>
      <w:r>
        <w:rPr>
          <w:rFonts w:ascii="Times New Roman" w:hAnsi="Times New Roman" w:cs="Times New Roman"/>
          <w:sz w:val="24"/>
          <w:szCs w:val="24"/>
        </w:rPr>
        <w:t xml:space="preserve">e pilotage </w:t>
      </w:r>
    </w:p>
    <w:p w:rsidR="00256572" w:rsidRDefault="00256572" w:rsidP="00256572">
      <w:pPr>
        <w:spacing w:after="0" w:line="276" w:lineRule="auto"/>
        <w:jc w:val="both"/>
        <w:rPr>
          <w:rFonts w:ascii="Times New Roman" w:hAnsi="Times New Roman" w:cs="Times New Roman"/>
          <w:bCs/>
          <w:sz w:val="24"/>
          <w:szCs w:val="24"/>
        </w:rPr>
      </w:pPr>
      <w:r w:rsidRPr="00875B5C">
        <w:rPr>
          <w:rFonts w:ascii="Times New Roman" w:hAnsi="Times New Roman" w:cs="Times New Roman"/>
          <w:bCs/>
          <w:sz w:val="24"/>
          <w:szCs w:val="24"/>
        </w:rPr>
        <w:t>CSLP II :</w:t>
      </w:r>
      <w:r>
        <w:rPr>
          <w:rFonts w:ascii="Times New Roman" w:hAnsi="Times New Roman" w:cs="Times New Roman"/>
          <w:bCs/>
          <w:sz w:val="24"/>
          <w:szCs w:val="24"/>
        </w:rPr>
        <w:tab/>
      </w:r>
      <w:r w:rsidRPr="00875B5C">
        <w:rPr>
          <w:rFonts w:ascii="Times New Roman" w:hAnsi="Times New Roman" w:cs="Times New Roman"/>
          <w:bCs/>
          <w:sz w:val="24"/>
          <w:szCs w:val="24"/>
        </w:rPr>
        <w:t>Cadre Stratégique de deuxième génération</w:t>
      </w:r>
    </w:p>
    <w:p w:rsidR="004C65AB" w:rsidRDefault="004C65AB" w:rsidP="0025657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EGL :              Electricité des Grands Lacs</w:t>
      </w:r>
    </w:p>
    <w:p w:rsidR="00256572" w:rsidRDefault="00256572" w:rsidP="00256572">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ITIE :</w:t>
      </w:r>
      <w:r>
        <w:rPr>
          <w:rFonts w:ascii="Times New Roman" w:hAnsi="Times New Roman" w:cs="Times New Roman"/>
          <w:sz w:val="24"/>
          <w:szCs w:val="24"/>
        </w:rPr>
        <w:tab/>
      </w:r>
      <w:r>
        <w:rPr>
          <w:rFonts w:ascii="Times New Roman" w:hAnsi="Times New Roman" w:cs="Times New Roman"/>
          <w:sz w:val="24"/>
          <w:szCs w:val="24"/>
        </w:rPr>
        <w:tab/>
      </w:r>
      <w:r w:rsidRPr="00B060FE">
        <w:rPr>
          <w:rFonts w:ascii="Times New Roman" w:eastAsia="Cambria" w:hAnsi="Times New Roman" w:cs="Times New Roman"/>
          <w:sz w:val="24"/>
          <w:szCs w:val="24"/>
          <w:lang w:eastAsia="fr-FR"/>
        </w:rPr>
        <w:t>Initiative pour la Transparence dans les Industries Extractives</w:t>
      </w:r>
    </w:p>
    <w:p w:rsidR="00256572" w:rsidRDefault="00256572" w:rsidP="0025657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MEM :</w:t>
      </w:r>
      <w:r>
        <w:rPr>
          <w:rFonts w:ascii="Times New Roman" w:hAnsi="Times New Roman" w:cs="Times New Roman"/>
          <w:bCs/>
          <w:sz w:val="24"/>
          <w:szCs w:val="24"/>
        </w:rPr>
        <w:tab/>
      </w:r>
      <w:r>
        <w:rPr>
          <w:rFonts w:ascii="Times New Roman" w:hAnsi="Times New Roman" w:cs="Times New Roman"/>
          <w:bCs/>
          <w:sz w:val="24"/>
          <w:szCs w:val="24"/>
        </w:rPr>
        <w:tab/>
        <w:t>Ministère de l’Energie et des Mines</w:t>
      </w:r>
    </w:p>
    <w:p w:rsidR="00100CA7" w:rsidRDefault="00100CA7" w:rsidP="00100CA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NIM :</w:t>
      </w:r>
      <w:r>
        <w:rPr>
          <w:rFonts w:ascii="Times New Roman" w:hAnsi="Times New Roman" w:cs="Times New Roman"/>
          <w:bCs/>
          <w:sz w:val="24"/>
          <w:szCs w:val="24"/>
        </w:rPr>
        <w:tab/>
      </w:r>
      <w:r>
        <w:rPr>
          <w:rFonts w:ascii="Times New Roman" w:hAnsi="Times New Roman" w:cs="Times New Roman"/>
          <w:bCs/>
          <w:sz w:val="24"/>
          <w:szCs w:val="24"/>
        </w:rPr>
        <w:tab/>
      </w:r>
      <w:r w:rsidRPr="004B6EEB">
        <w:rPr>
          <w:rFonts w:ascii="Times New Roman" w:hAnsi="Times New Roman" w:cs="Times New Roman"/>
          <w:bCs/>
          <w:sz w:val="24"/>
          <w:szCs w:val="24"/>
        </w:rPr>
        <w:t>National Implementation</w:t>
      </w:r>
      <w:r>
        <w:rPr>
          <w:rFonts w:ascii="Times New Roman" w:hAnsi="Times New Roman" w:cs="Times New Roman"/>
          <w:bCs/>
          <w:sz w:val="24"/>
          <w:szCs w:val="24"/>
        </w:rPr>
        <w:t xml:space="preserve"> </w:t>
      </w:r>
    </w:p>
    <w:p w:rsidR="00256572" w:rsidRDefault="00256572" w:rsidP="0025657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OBM :</w:t>
      </w:r>
      <w:r>
        <w:rPr>
          <w:rFonts w:ascii="Times New Roman" w:hAnsi="Times New Roman" w:cs="Times New Roman"/>
          <w:bCs/>
          <w:sz w:val="24"/>
          <w:szCs w:val="24"/>
        </w:rPr>
        <w:tab/>
      </w:r>
      <w:r>
        <w:rPr>
          <w:rFonts w:ascii="Times New Roman" w:hAnsi="Times New Roman" w:cs="Times New Roman"/>
          <w:bCs/>
          <w:sz w:val="24"/>
          <w:szCs w:val="24"/>
        </w:rPr>
        <w:tab/>
        <w:t>Office Burundais des Mines</w:t>
      </w:r>
    </w:p>
    <w:p w:rsidR="00256572" w:rsidRDefault="00256572" w:rsidP="0025657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ODD :</w:t>
      </w:r>
      <w:r>
        <w:rPr>
          <w:rFonts w:ascii="Times New Roman" w:hAnsi="Times New Roman" w:cs="Times New Roman"/>
          <w:bCs/>
          <w:sz w:val="24"/>
          <w:szCs w:val="24"/>
        </w:rPr>
        <w:tab/>
      </w:r>
      <w:r>
        <w:rPr>
          <w:rFonts w:ascii="Times New Roman" w:hAnsi="Times New Roman" w:cs="Times New Roman"/>
          <w:bCs/>
          <w:sz w:val="24"/>
          <w:szCs w:val="24"/>
        </w:rPr>
        <w:tab/>
        <w:t>Objectifs de Développement Durables</w:t>
      </w:r>
    </w:p>
    <w:p w:rsidR="00100CA7" w:rsidRPr="00256572" w:rsidRDefault="00100CA7" w:rsidP="00100CA7">
      <w:pPr>
        <w:spacing w:after="0" w:line="276" w:lineRule="auto"/>
        <w:jc w:val="both"/>
        <w:rPr>
          <w:rFonts w:ascii="Times New Roman" w:hAnsi="Times New Roman" w:cs="Times New Roman"/>
          <w:bCs/>
          <w:sz w:val="24"/>
          <w:szCs w:val="24"/>
        </w:rPr>
      </w:pPr>
      <w:r w:rsidRPr="00256572">
        <w:rPr>
          <w:rFonts w:ascii="Times New Roman" w:hAnsi="Times New Roman" w:cs="Times New Roman"/>
          <w:bCs/>
          <w:sz w:val="24"/>
          <w:szCs w:val="24"/>
        </w:rPr>
        <w:t>OSC :</w:t>
      </w:r>
      <w:r>
        <w:rPr>
          <w:rFonts w:ascii="Times New Roman" w:hAnsi="Times New Roman" w:cs="Times New Roman"/>
          <w:bCs/>
          <w:sz w:val="24"/>
          <w:szCs w:val="24"/>
        </w:rPr>
        <w:tab/>
      </w:r>
      <w:r>
        <w:rPr>
          <w:rFonts w:ascii="Times New Roman" w:hAnsi="Times New Roman" w:cs="Times New Roman"/>
          <w:bCs/>
          <w:sz w:val="24"/>
          <w:szCs w:val="24"/>
        </w:rPr>
        <w:tab/>
      </w:r>
      <w:r w:rsidRPr="00256572">
        <w:rPr>
          <w:rFonts w:ascii="Times New Roman" w:hAnsi="Times New Roman" w:cs="Times New Roman"/>
          <w:bCs/>
          <w:sz w:val="24"/>
          <w:szCs w:val="24"/>
        </w:rPr>
        <w:t>Organisation de Société Civile</w:t>
      </w:r>
    </w:p>
    <w:p w:rsidR="00100CA7" w:rsidRPr="00256572" w:rsidRDefault="00100CA7" w:rsidP="00100CA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PTF :</w:t>
      </w:r>
      <w:r>
        <w:rPr>
          <w:rFonts w:ascii="Times New Roman" w:hAnsi="Times New Roman" w:cs="Times New Roman"/>
          <w:bCs/>
          <w:sz w:val="24"/>
          <w:szCs w:val="24"/>
        </w:rPr>
        <w:tab/>
      </w:r>
      <w:r>
        <w:rPr>
          <w:rFonts w:ascii="Times New Roman" w:hAnsi="Times New Roman" w:cs="Times New Roman"/>
          <w:bCs/>
          <w:sz w:val="24"/>
          <w:szCs w:val="24"/>
        </w:rPr>
        <w:tab/>
      </w:r>
      <w:r w:rsidRPr="00256572">
        <w:rPr>
          <w:rFonts w:ascii="Times New Roman" w:hAnsi="Times New Roman" w:cs="Times New Roman"/>
          <w:bCs/>
          <w:sz w:val="24"/>
          <w:szCs w:val="24"/>
        </w:rPr>
        <w:t>Partenaires Techniques et Financiers</w:t>
      </w:r>
    </w:p>
    <w:p w:rsidR="00256572" w:rsidRPr="00256572" w:rsidRDefault="00256572" w:rsidP="00256572">
      <w:pPr>
        <w:spacing w:after="0" w:line="276" w:lineRule="auto"/>
        <w:jc w:val="both"/>
        <w:rPr>
          <w:rFonts w:ascii="Times New Roman" w:hAnsi="Times New Roman" w:cs="Times New Roman"/>
          <w:iCs/>
          <w:sz w:val="24"/>
        </w:rPr>
      </w:pPr>
      <w:r w:rsidRPr="00256572">
        <w:rPr>
          <w:rFonts w:ascii="Times New Roman" w:hAnsi="Times New Roman" w:cs="Times New Roman"/>
          <w:bCs/>
          <w:sz w:val="24"/>
          <w:szCs w:val="24"/>
        </w:rPr>
        <w:t>SE4ALL :</w:t>
      </w:r>
      <w:r w:rsidRPr="00256572">
        <w:rPr>
          <w:rFonts w:ascii="Times New Roman" w:hAnsi="Times New Roman" w:cs="Times New Roman"/>
          <w:bCs/>
          <w:sz w:val="24"/>
          <w:szCs w:val="24"/>
        </w:rPr>
        <w:tab/>
        <w:t>I</w:t>
      </w:r>
      <w:r w:rsidRPr="00256572">
        <w:rPr>
          <w:rFonts w:ascii="Times New Roman" w:hAnsi="Times New Roman" w:cs="Times New Roman"/>
          <w:iCs/>
          <w:sz w:val="24"/>
        </w:rPr>
        <w:t>nitiative des Nations Unies de l’Energie Durable pour Tous</w:t>
      </w:r>
    </w:p>
    <w:p w:rsidR="00CE6CBC" w:rsidRDefault="0098717C" w:rsidP="006372F5">
      <w:pPr>
        <w:spacing w:after="0" w:line="276" w:lineRule="auto"/>
        <w:jc w:val="both"/>
        <w:rPr>
          <w:rFonts w:ascii="Times New Roman" w:hAnsi="Times New Roman" w:cs="Times New Roman"/>
          <w:iCs/>
          <w:sz w:val="24"/>
        </w:rPr>
      </w:pPr>
      <w:r w:rsidRPr="00256572">
        <w:rPr>
          <w:rFonts w:ascii="Times New Roman" w:hAnsi="Times New Roman" w:cs="Times New Roman"/>
          <w:bCs/>
          <w:sz w:val="24"/>
          <w:szCs w:val="24"/>
        </w:rPr>
        <w:t>UE :</w:t>
      </w:r>
      <w:r w:rsidR="00256572">
        <w:rPr>
          <w:rFonts w:ascii="Times New Roman" w:hAnsi="Times New Roman" w:cs="Times New Roman"/>
          <w:bCs/>
          <w:sz w:val="24"/>
          <w:szCs w:val="24"/>
        </w:rPr>
        <w:tab/>
      </w:r>
      <w:r w:rsidR="00256572">
        <w:rPr>
          <w:rFonts w:ascii="Times New Roman" w:hAnsi="Times New Roman" w:cs="Times New Roman"/>
          <w:bCs/>
          <w:sz w:val="24"/>
          <w:szCs w:val="24"/>
        </w:rPr>
        <w:tab/>
      </w:r>
      <w:r w:rsidRPr="00256572">
        <w:rPr>
          <w:rFonts w:ascii="Times New Roman" w:hAnsi="Times New Roman" w:cs="Times New Roman"/>
          <w:bCs/>
          <w:sz w:val="24"/>
          <w:szCs w:val="24"/>
        </w:rPr>
        <w:t xml:space="preserve">Union Européenne </w:t>
      </w:r>
    </w:p>
    <w:p w:rsidR="006372F5" w:rsidRPr="0098717C" w:rsidRDefault="006372F5" w:rsidP="006372F5">
      <w:pPr>
        <w:spacing w:after="0" w:line="276" w:lineRule="auto"/>
        <w:jc w:val="both"/>
        <w:rPr>
          <w:rFonts w:ascii="Times New Roman" w:hAnsi="Times New Roman" w:cs="Times New Roman"/>
          <w:bCs/>
          <w:sz w:val="24"/>
          <w:szCs w:val="24"/>
        </w:rPr>
        <w:sectPr w:rsidR="006372F5" w:rsidRPr="0098717C" w:rsidSect="00ED703A">
          <w:pgSz w:w="11906" w:h="16838"/>
          <w:pgMar w:top="1417" w:right="1417" w:bottom="1417" w:left="1417" w:header="708" w:footer="708" w:gutter="0"/>
          <w:pgNumType w:fmt="lowerRoman"/>
          <w:cols w:space="708"/>
          <w:docGrid w:linePitch="360"/>
        </w:sectPr>
      </w:pPr>
    </w:p>
    <w:p w:rsidR="001674FB" w:rsidRPr="00AA6908" w:rsidRDefault="001674FB" w:rsidP="00AA6908">
      <w:pPr>
        <w:pStyle w:val="Titre1"/>
        <w:spacing w:after="240" w:line="276" w:lineRule="auto"/>
        <w:jc w:val="both"/>
        <w:rPr>
          <w:rFonts w:ascii="Times New Roman" w:hAnsi="Times New Roman" w:cs="Times New Roman"/>
          <w:b/>
          <w:bCs/>
          <w:color w:val="auto"/>
          <w:sz w:val="24"/>
          <w:szCs w:val="24"/>
        </w:rPr>
      </w:pPr>
      <w:bookmarkStart w:id="11" w:name="_Toc500352700"/>
      <w:r w:rsidRPr="00AA6908">
        <w:rPr>
          <w:rFonts w:ascii="Times New Roman" w:hAnsi="Times New Roman" w:cs="Times New Roman"/>
          <w:b/>
          <w:bCs/>
          <w:color w:val="auto"/>
          <w:sz w:val="24"/>
          <w:szCs w:val="24"/>
        </w:rPr>
        <w:lastRenderedPageBreak/>
        <w:t>1. Introduction</w:t>
      </w:r>
      <w:bookmarkEnd w:id="11"/>
    </w:p>
    <w:p w:rsidR="001674FB" w:rsidRPr="008E5AD7" w:rsidRDefault="001674FB" w:rsidP="00AA6908">
      <w:pPr>
        <w:pStyle w:val="Paragraphedeliste"/>
        <w:spacing w:line="276" w:lineRule="auto"/>
        <w:jc w:val="both"/>
        <w:outlineLvl w:val="1"/>
        <w:rPr>
          <w:rFonts w:ascii="Times New Roman" w:hAnsi="Times New Roman" w:cs="Times New Roman"/>
          <w:b/>
          <w:bCs/>
          <w:sz w:val="24"/>
          <w:szCs w:val="24"/>
        </w:rPr>
      </w:pPr>
      <w:bookmarkStart w:id="12" w:name="_Toc500352701"/>
      <w:r w:rsidRPr="008E5AD7">
        <w:rPr>
          <w:rFonts w:ascii="Times New Roman" w:hAnsi="Times New Roman" w:cs="Times New Roman"/>
          <w:b/>
          <w:bCs/>
          <w:sz w:val="24"/>
          <w:szCs w:val="24"/>
        </w:rPr>
        <w:t>1.1. Contexte de l’étude</w:t>
      </w:r>
      <w:bookmarkEnd w:id="12"/>
    </w:p>
    <w:p w:rsidR="006B59F4" w:rsidRDefault="006B59F4" w:rsidP="006B59F4">
      <w:pPr>
        <w:spacing w:line="276" w:lineRule="auto"/>
        <w:jc w:val="both"/>
        <w:rPr>
          <w:rFonts w:ascii="Times New Roman" w:eastAsia="Times New Roman" w:hAnsi="Times New Roman" w:cs="Times New Roman"/>
          <w:sz w:val="24"/>
          <w:szCs w:val="24"/>
          <w:lang w:eastAsia="fr-FR"/>
        </w:rPr>
      </w:pPr>
      <w:r w:rsidRPr="006B59F4">
        <w:rPr>
          <w:rFonts w:ascii="Times New Roman" w:eastAsia="Times New Roman" w:hAnsi="Times New Roman" w:cs="Times New Roman"/>
          <w:sz w:val="24"/>
          <w:szCs w:val="24"/>
          <w:lang w:eastAsia="fr-FR"/>
        </w:rPr>
        <w:t>Cette évaluation</w:t>
      </w:r>
      <w:r>
        <w:rPr>
          <w:rFonts w:ascii="Times New Roman" w:eastAsia="Times New Roman" w:hAnsi="Times New Roman" w:cs="Times New Roman"/>
          <w:sz w:val="24"/>
          <w:szCs w:val="24"/>
          <w:lang w:eastAsia="fr-FR"/>
        </w:rPr>
        <w:t xml:space="preserve"> (étude)</w:t>
      </w:r>
      <w:r w:rsidR="003650B1">
        <w:rPr>
          <w:rFonts w:ascii="Times New Roman" w:eastAsia="Times New Roman" w:hAnsi="Times New Roman" w:cs="Times New Roman"/>
          <w:sz w:val="24"/>
          <w:szCs w:val="24"/>
          <w:lang w:eastAsia="fr-FR"/>
        </w:rPr>
        <w:t xml:space="preserve"> du « </w:t>
      </w:r>
      <w:r w:rsidR="003650B1" w:rsidRPr="006B59F4">
        <w:rPr>
          <w:rFonts w:ascii="Times New Roman" w:eastAsia="Times New Roman" w:hAnsi="Times New Roman" w:cs="Times New Roman"/>
          <w:sz w:val="24"/>
          <w:szCs w:val="24"/>
          <w:lang w:eastAsia="fr-FR"/>
        </w:rPr>
        <w:t>Projet d’Assistance Technique Préparatoire pour le renforcement du cadre légal, réglementaire et institutionnel des secteurs de l’Energie et des Mines</w:t>
      </w:r>
      <w:r w:rsidR="003650B1">
        <w:rPr>
          <w:rFonts w:ascii="Times New Roman" w:eastAsia="Times New Roman" w:hAnsi="Times New Roman" w:cs="Times New Roman"/>
          <w:sz w:val="24"/>
          <w:szCs w:val="24"/>
          <w:lang w:eastAsia="fr-FR"/>
        </w:rPr>
        <w:t> »,</w:t>
      </w:r>
      <w:r w:rsidR="003650B1" w:rsidRPr="008708A5">
        <w:rPr>
          <w:rFonts w:ascii="Times New Roman" w:eastAsia="Times New Roman" w:hAnsi="Times New Roman" w:cs="Times New Roman"/>
          <w:sz w:val="24"/>
          <w:szCs w:val="24"/>
          <w:lang w:eastAsia="fr-FR"/>
        </w:rPr>
        <w:t xml:space="preserve"> </w:t>
      </w:r>
      <w:r w:rsidRPr="006B59F4">
        <w:rPr>
          <w:rFonts w:ascii="Times New Roman" w:eastAsia="Times New Roman" w:hAnsi="Times New Roman" w:cs="Times New Roman"/>
          <w:sz w:val="24"/>
          <w:szCs w:val="24"/>
          <w:lang w:eastAsia="fr-FR"/>
        </w:rPr>
        <w:t xml:space="preserve">rentre dans le cadre de la mise en œuvre du Plan d’évaluation 2015-2017 du PNUD-Burundi et trouve son fondement dans le respect de la conformité de la politique d’évaluation et des exigences en matière de planification du PNUD. </w:t>
      </w:r>
    </w:p>
    <w:p w:rsidR="00051E05" w:rsidRPr="001674FB" w:rsidRDefault="006B59F4" w:rsidP="00051E05">
      <w:pPr>
        <w:spacing w:line="276" w:lineRule="auto"/>
        <w:jc w:val="both"/>
        <w:rPr>
          <w:rFonts w:ascii="Times New Roman" w:hAnsi="Times New Roman" w:cs="Times New Roman"/>
          <w:bCs/>
          <w:sz w:val="24"/>
          <w:szCs w:val="24"/>
        </w:rPr>
      </w:pPr>
      <w:r w:rsidRPr="008708A5">
        <w:rPr>
          <w:rFonts w:ascii="Times New Roman" w:eastAsia="Times New Roman" w:hAnsi="Times New Roman" w:cs="Times New Roman"/>
          <w:sz w:val="24"/>
          <w:szCs w:val="24"/>
          <w:lang w:eastAsia="fr-FR"/>
        </w:rPr>
        <w:t>Conformément aux dispositions pertinentes de la politique d’évaluation du PNUD, il a été programmé un</w:t>
      </w:r>
      <w:r>
        <w:rPr>
          <w:rFonts w:ascii="Times New Roman" w:eastAsia="Times New Roman" w:hAnsi="Times New Roman" w:cs="Times New Roman"/>
          <w:sz w:val="24"/>
          <w:szCs w:val="24"/>
          <w:lang w:eastAsia="fr-FR"/>
        </w:rPr>
        <w:t xml:space="preserve">e évaluation </w:t>
      </w:r>
      <w:r w:rsidR="003650B1">
        <w:rPr>
          <w:rFonts w:ascii="Times New Roman" w:eastAsia="Times New Roman" w:hAnsi="Times New Roman" w:cs="Times New Roman"/>
          <w:sz w:val="24"/>
          <w:szCs w:val="24"/>
          <w:lang w:eastAsia="fr-FR"/>
        </w:rPr>
        <w:t xml:space="preserve">dudit projet </w:t>
      </w:r>
      <w:r>
        <w:rPr>
          <w:rFonts w:ascii="Times New Roman" w:eastAsia="Times New Roman" w:hAnsi="Times New Roman" w:cs="Times New Roman"/>
          <w:sz w:val="24"/>
          <w:szCs w:val="24"/>
          <w:lang w:eastAsia="fr-FR"/>
        </w:rPr>
        <w:t xml:space="preserve">en profondeur </w:t>
      </w:r>
      <w:r w:rsidRPr="008708A5">
        <w:rPr>
          <w:rFonts w:ascii="Times New Roman" w:eastAsia="Times New Roman" w:hAnsi="Times New Roman" w:cs="Times New Roman"/>
          <w:sz w:val="24"/>
          <w:szCs w:val="24"/>
          <w:lang w:eastAsia="fr-FR"/>
        </w:rPr>
        <w:t>depuis 2016 afin d’apprécier de manière objective les résultats obtenus</w:t>
      </w:r>
      <w:r w:rsidR="003650B1">
        <w:rPr>
          <w:rFonts w:ascii="Times New Roman" w:eastAsia="Times New Roman" w:hAnsi="Times New Roman" w:cs="Times New Roman"/>
          <w:sz w:val="24"/>
          <w:szCs w:val="24"/>
          <w:lang w:eastAsia="fr-FR"/>
        </w:rPr>
        <w:t>.</w:t>
      </w:r>
    </w:p>
    <w:p w:rsidR="001674FB" w:rsidRPr="008E5AD7" w:rsidRDefault="001674FB" w:rsidP="00720FA2">
      <w:pPr>
        <w:pStyle w:val="Paragraphedeliste"/>
        <w:spacing w:line="276" w:lineRule="auto"/>
        <w:jc w:val="both"/>
        <w:outlineLvl w:val="1"/>
        <w:rPr>
          <w:rFonts w:ascii="Times New Roman" w:hAnsi="Times New Roman" w:cs="Times New Roman"/>
          <w:b/>
          <w:bCs/>
          <w:sz w:val="24"/>
          <w:szCs w:val="24"/>
        </w:rPr>
      </w:pPr>
      <w:bookmarkStart w:id="13" w:name="_Toc500352702"/>
      <w:r w:rsidRPr="008E5AD7">
        <w:rPr>
          <w:rFonts w:ascii="Times New Roman" w:hAnsi="Times New Roman" w:cs="Times New Roman"/>
          <w:b/>
          <w:bCs/>
          <w:sz w:val="24"/>
          <w:szCs w:val="24"/>
        </w:rPr>
        <w:t>1.2. Objectifs de l’évaluation</w:t>
      </w:r>
      <w:bookmarkEnd w:id="13"/>
    </w:p>
    <w:p w:rsidR="006B59F4" w:rsidRDefault="006B59F4" w:rsidP="006B59F4">
      <w:pPr>
        <w:spacing w:line="276" w:lineRule="auto"/>
        <w:jc w:val="both"/>
        <w:rPr>
          <w:rFonts w:ascii="Times New Roman" w:hAnsi="Times New Roman" w:cs="Times New Roman"/>
          <w:bCs/>
          <w:sz w:val="24"/>
          <w:szCs w:val="24"/>
        </w:rPr>
      </w:pPr>
      <w:r w:rsidRPr="006B59F4">
        <w:rPr>
          <w:rFonts w:ascii="Times New Roman" w:hAnsi="Times New Roman" w:cs="Times New Roman"/>
          <w:bCs/>
          <w:sz w:val="24"/>
          <w:szCs w:val="24"/>
        </w:rPr>
        <w:t>Le but de l’évaluation consiste à apprécier la réalisation des objectifs du projet et à tirer des enseignements qui peuvent améliorer la durabilité des avantages de ce projet et favoriser l’amélioration globale des programmes du PNUD.</w:t>
      </w:r>
      <w:r w:rsidR="00B342FE">
        <w:rPr>
          <w:rFonts w:ascii="Times New Roman" w:hAnsi="Times New Roman" w:cs="Times New Roman"/>
          <w:bCs/>
          <w:sz w:val="24"/>
          <w:szCs w:val="24"/>
        </w:rPr>
        <w:t xml:space="preserve"> </w:t>
      </w:r>
    </w:p>
    <w:p w:rsidR="006B59F4" w:rsidRPr="001674FB" w:rsidRDefault="00B342FE" w:rsidP="00B342FE">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Il s’agit d’une évaluation sommative </w:t>
      </w:r>
      <w:r w:rsidRPr="00B342FE">
        <w:rPr>
          <w:rFonts w:ascii="Times New Roman" w:hAnsi="Times New Roman" w:cs="Times New Roman"/>
          <w:bCs/>
          <w:sz w:val="24"/>
          <w:szCs w:val="24"/>
        </w:rPr>
        <w:t>et l’accent sera mis sur les résultats (conséquences) observés.</w:t>
      </w:r>
      <w:r>
        <w:rPr>
          <w:rFonts w:ascii="Times New Roman" w:hAnsi="Times New Roman" w:cs="Times New Roman"/>
          <w:bCs/>
          <w:sz w:val="24"/>
          <w:szCs w:val="24"/>
        </w:rPr>
        <w:t xml:space="preserve"> L’évaluation de fin de cycle de projet </w:t>
      </w:r>
      <w:r w:rsidRPr="00B342FE">
        <w:rPr>
          <w:rFonts w:ascii="Times New Roman" w:hAnsi="Times New Roman" w:cs="Times New Roman"/>
          <w:bCs/>
          <w:sz w:val="24"/>
          <w:szCs w:val="24"/>
        </w:rPr>
        <w:t>permettra de faire le bilan du projet dans une perspective de redevabilité vis-à-vis du gouvernement du Burundi et de tirer des enseignements qui alimenteront les interventions futures dans le même domaine.</w:t>
      </w:r>
    </w:p>
    <w:p w:rsidR="001674FB" w:rsidRPr="008E5AD7" w:rsidRDefault="001674FB" w:rsidP="00720FA2">
      <w:pPr>
        <w:pStyle w:val="Paragraphedeliste"/>
        <w:spacing w:line="276" w:lineRule="auto"/>
        <w:jc w:val="both"/>
        <w:outlineLvl w:val="1"/>
        <w:rPr>
          <w:rFonts w:ascii="Times New Roman" w:hAnsi="Times New Roman" w:cs="Times New Roman"/>
          <w:b/>
          <w:bCs/>
          <w:sz w:val="24"/>
          <w:szCs w:val="24"/>
        </w:rPr>
      </w:pPr>
      <w:bookmarkStart w:id="14" w:name="_Toc500352703"/>
      <w:r w:rsidRPr="008E5AD7">
        <w:rPr>
          <w:rFonts w:ascii="Times New Roman" w:hAnsi="Times New Roman" w:cs="Times New Roman"/>
          <w:b/>
          <w:bCs/>
          <w:sz w:val="24"/>
          <w:szCs w:val="24"/>
        </w:rPr>
        <w:t>1.3. Champ d’application</w:t>
      </w:r>
      <w:bookmarkEnd w:id="14"/>
    </w:p>
    <w:p w:rsidR="00B342FE" w:rsidRPr="00B342FE" w:rsidRDefault="00B342FE" w:rsidP="00B342FE">
      <w:pPr>
        <w:spacing w:line="276" w:lineRule="auto"/>
        <w:jc w:val="both"/>
        <w:rPr>
          <w:rFonts w:ascii="Times New Roman" w:hAnsi="Times New Roman" w:cs="Times New Roman"/>
          <w:sz w:val="24"/>
          <w:szCs w:val="24"/>
        </w:rPr>
      </w:pPr>
      <w:r>
        <w:rPr>
          <w:rFonts w:ascii="Times New Roman" w:hAnsi="Times New Roman" w:cs="Times New Roman"/>
          <w:sz w:val="24"/>
          <w:szCs w:val="24"/>
        </w:rPr>
        <w:t>Cette évaluation finale</w:t>
      </w:r>
      <w:r w:rsidRPr="00B342FE">
        <w:rPr>
          <w:rFonts w:ascii="Times New Roman" w:hAnsi="Times New Roman" w:cs="Times New Roman"/>
          <w:sz w:val="24"/>
          <w:szCs w:val="24"/>
        </w:rPr>
        <w:t xml:space="preserve"> c</w:t>
      </w:r>
      <w:r>
        <w:rPr>
          <w:rFonts w:ascii="Times New Roman" w:hAnsi="Times New Roman" w:cs="Times New Roman"/>
          <w:sz w:val="24"/>
          <w:szCs w:val="24"/>
        </w:rPr>
        <w:t>ouvre la période allant de juillet 2013</w:t>
      </w:r>
      <w:r w:rsidRPr="00B342FE">
        <w:rPr>
          <w:rFonts w:ascii="Times New Roman" w:hAnsi="Times New Roman" w:cs="Times New Roman"/>
          <w:sz w:val="24"/>
          <w:szCs w:val="24"/>
        </w:rPr>
        <w:t>, année de démarrage effectif des a</w:t>
      </w:r>
      <w:r>
        <w:rPr>
          <w:rFonts w:ascii="Times New Roman" w:hAnsi="Times New Roman" w:cs="Times New Roman"/>
          <w:sz w:val="24"/>
          <w:szCs w:val="24"/>
        </w:rPr>
        <w:t>ctivités, jusqu’en mars</w:t>
      </w:r>
      <w:r w:rsidRPr="00B342FE">
        <w:rPr>
          <w:rFonts w:ascii="Times New Roman" w:hAnsi="Times New Roman" w:cs="Times New Roman"/>
          <w:sz w:val="24"/>
          <w:szCs w:val="24"/>
        </w:rPr>
        <w:t xml:space="preserve"> 2017</w:t>
      </w:r>
      <w:r>
        <w:rPr>
          <w:rFonts w:ascii="Times New Roman" w:hAnsi="Times New Roman" w:cs="Times New Roman"/>
          <w:sz w:val="24"/>
          <w:szCs w:val="24"/>
        </w:rPr>
        <w:t>, date de clôture du projet</w:t>
      </w:r>
      <w:r w:rsidRPr="00B342FE">
        <w:rPr>
          <w:rFonts w:ascii="Times New Roman" w:hAnsi="Times New Roman" w:cs="Times New Roman"/>
          <w:sz w:val="24"/>
          <w:szCs w:val="24"/>
        </w:rPr>
        <w:t xml:space="preserve">. Elle a concerné les aspects ci-après liés au cadre stratégique et opérationnel (technique) de mise en œuvre du projet : </w:t>
      </w:r>
    </w:p>
    <w:p w:rsidR="00B342FE" w:rsidRPr="00B342FE" w:rsidRDefault="00B342FE" w:rsidP="00B342FE">
      <w:pPr>
        <w:numPr>
          <w:ilvl w:val="0"/>
          <w:numId w:val="4"/>
        </w:numPr>
        <w:spacing w:line="276" w:lineRule="auto"/>
        <w:contextualSpacing/>
        <w:jc w:val="both"/>
        <w:rPr>
          <w:rFonts w:ascii="Times New Roman" w:hAnsi="Times New Roman" w:cs="Times New Roman"/>
          <w:sz w:val="24"/>
          <w:szCs w:val="24"/>
        </w:rPr>
      </w:pPr>
      <w:r w:rsidRPr="00B342FE">
        <w:rPr>
          <w:rFonts w:ascii="Times New Roman" w:hAnsi="Times New Roman" w:cs="Times New Roman"/>
          <w:sz w:val="24"/>
          <w:szCs w:val="24"/>
        </w:rPr>
        <w:t>Cadre stratégique : conception et formulation du projet, cadre de résultat/cadre logique ;</w:t>
      </w:r>
    </w:p>
    <w:p w:rsidR="00B342FE" w:rsidRPr="00B342FE" w:rsidRDefault="00B342FE" w:rsidP="00B342FE">
      <w:pPr>
        <w:numPr>
          <w:ilvl w:val="0"/>
          <w:numId w:val="4"/>
        </w:numPr>
        <w:spacing w:line="276" w:lineRule="auto"/>
        <w:contextualSpacing/>
        <w:jc w:val="both"/>
        <w:rPr>
          <w:rFonts w:ascii="Times New Roman" w:hAnsi="Times New Roman" w:cs="Times New Roman"/>
          <w:sz w:val="24"/>
          <w:szCs w:val="24"/>
        </w:rPr>
      </w:pPr>
      <w:r w:rsidRPr="00B342FE">
        <w:rPr>
          <w:rFonts w:ascii="Times New Roman" w:hAnsi="Times New Roman" w:cs="Times New Roman"/>
          <w:sz w:val="24"/>
          <w:szCs w:val="24"/>
        </w:rPr>
        <w:t>Progrès réalisés en rapport avec la gestion adaptative, partenariat, coordination, système de suivi et évaluation, financement et co-financement, rapportage et communication ;</w:t>
      </w:r>
    </w:p>
    <w:p w:rsidR="00B342FE" w:rsidRPr="00B342FE" w:rsidRDefault="00B342FE" w:rsidP="00B342FE">
      <w:pPr>
        <w:numPr>
          <w:ilvl w:val="0"/>
          <w:numId w:val="4"/>
        </w:numPr>
        <w:spacing w:after="0" w:line="276" w:lineRule="auto"/>
        <w:contextualSpacing/>
        <w:jc w:val="both"/>
        <w:rPr>
          <w:rFonts w:ascii="Times New Roman" w:hAnsi="Times New Roman" w:cs="Times New Roman"/>
          <w:sz w:val="24"/>
          <w:szCs w:val="24"/>
        </w:rPr>
      </w:pPr>
      <w:r w:rsidRPr="00B342FE">
        <w:rPr>
          <w:rFonts w:ascii="Times New Roman" w:hAnsi="Times New Roman" w:cs="Times New Roman"/>
          <w:sz w:val="24"/>
          <w:szCs w:val="24"/>
        </w:rPr>
        <w:t>Performance en matière d’atteinte des résultats globaux, pertinence, efficacité et efficience, appropriation, intégration, durabilité et impacts.</w:t>
      </w:r>
    </w:p>
    <w:p w:rsidR="00B342FE" w:rsidRPr="001674FB" w:rsidRDefault="00B342FE" w:rsidP="00B342FE">
      <w:pPr>
        <w:spacing w:before="240" w:line="276" w:lineRule="auto"/>
        <w:jc w:val="both"/>
        <w:rPr>
          <w:rFonts w:ascii="Times New Roman" w:hAnsi="Times New Roman" w:cs="Times New Roman"/>
          <w:bCs/>
          <w:sz w:val="24"/>
          <w:szCs w:val="24"/>
        </w:rPr>
      </w:pPr>
      <w:r>
        <w:rPr>
          <w:rFonts w:ascii="Times New Roman" w:hAnsi="Times New Roman" w:cs="Times New Roman"/>
          <w:bCs/>
          <w:sz w:val="24"/>
          <w:szCs w:val="24"/>
        </w:rPr>
        <w:t>Le projet consistant à renforcer les capacités institutionnel</w:t>
      </w:r>
      <w:r w:rsidR="001835E0">
        <w:rPr>
          <w:rFonts w:ascii="Times New Roman" w:hAnsi="Times New Roman" w:cs="Times New Roman"/>
          <w:bCs/>
          <w:sz w:val="24"/>
          <w:szCs w:val="24"/>
        </w:rPr>
        <w:t>les</w:t>
      </w:r>
      <w:r>
        <w:rPr>
          <w:rFonts w:ascii="Times New Roman" w:hAnsi="Times New Roman" w:cs="Times New Roman"/>
          <w:bCs/>
          <w:sz w:val="24"/>
          <w:szCs w:val="24"/>
        </w:rPr>
        <w:t xml:space="preserve"> au niveau central, pratiquement toutes les parties prenantes à rencontrer se trouvent à Bujumbura.</w:t>
      </w:r>
    </w:p>
    <w:p w:rsidR="001674FB" w:rsidRPr="008E5AD7" w:rsidRDefault="001674FB" w:rsidP="00720FA2">
      <w:pPr>
        <w:pStyle w:val="Paragraphedeliste"/>
        <w:spacing w:line="276" w:lineRule="auto"/>
        <w:jc w:val="both"/>
        <w:outlineLvl w:val="1"/>
        <w:rPr>
          <w:rFonts w:ascii="Times New Roman" w:hAnsi="Times New Roman" w:cs="Times New Roman"/>
          <w:b/>
          <w:bCs/>
          <w:sz w:val="24"/>
          <w:szCs w:val="24"/>
        </w:rPr>
      </w:pPr>
      <w:bookmarkStart w:id="15" w:name="_Toc500352704"/>
      <w:r w:rsidRPr="008E5AD7">
        <w:rPr>
          <w:rFonts w:ascii="Times New Roman" w:hAnsi="Times New Roman" w:cs="Times New Roman"/>
          <w:b/>
          <w:bCs/>
          <w:sz w:val="24"/>
          <w:szCs w:val="24"/>
        </w:rPr>
        <w:t>1.4. Méthodologie</w:t>
      </w:r>
      <w:bookmarkEnd w:id="15"/>
    </w:p>
    <w:p w:rsidR="006F7598" w:rsidRPr="001674FB" w:rsidRDefault="006F7598" w:rsidP="006F7598">
      <w:pPr>
        <w:spacing w:line="276" w:lineRule="auto"/>
        <w:jc w:val="both"/>
        <w:rPr>
          <w:rFonts w:ascii="Times New Roman" w:hAnsi="Times New Roman" w:cs="Times New Roman"/>
          <w:bCs/>
          <w:sz w:val="24"/>
          <w:szCs w:val="24"/>
        </w:rPr>
      </w:pPr>
      <w:r w:rsidRPr="00A527C3">
        <w:rPr>
          <w:rFonts w:ascii="Times New Roman" w:hAnsi="Times New Roman" w:cs="Times New Roman"/>
          <w:sz w:val="24"/>
        </w:rPr>
        <w:t>La démarche méthodologique de la revue s’est basée sur la revue documentaire et la conduite des entretiens individuels et de groupe avec des personnes ciblées représentant les principales parties prenantes à l’élaboration, la mise en œuvre</w:t>
      </w:r>
      <w:r>
        <w:rPr>
          <w:rFonts w:ascii="Times New Roman" w:hAnsi="Times New Roman" w:cs="Times New Roman"/>
          <w:sz w:val="24"/>
        </w:rPr>
        <w:t xml:space="preserve"> et le suivi du </w:t>
      </w:r>
      <w:r w:rsidRPr="006F7598">
        <w:rPr>
          <w:rFonts w:ascii="Times New Roman" w:hAnsi="Times New Roman" w:cs="Times New Roman"/>
          <w:sz w:val="24"/>
        </w:rPr>
        <w:t xml:space="preserve">Projet d’Assistance Technique Préparatoire pour le renforcement du cadre légal, réglementaire et institutionnel </w:t>
      </w:r>
      <w:r w:rsidRPr="006F7598">
        <w:rPr>
          <w:rFonts w:ascii="Times New Roman" w:hAnsi="Times New Roman" w:cs="Times New Roman"/>
          <w:sz w:val="24"/>
        </w:rPr>
        <w:lastRenderedPageBreak/>
        <w:t>des secteurs de l’Energie et des Mines</w:t>
      </w:r>
      <w:r w:rsidRPr="00A527C3">
        <w:rPr>
          <w:rFonts w:ascii="Times New Roman" w:hAnsi="Times New Roman" w:cs="Times New Roman"/>
          <w:sz w:val="24"/>
        </w:rPr>
        <w:t>. Il a été adopté une méthode d’échantillonnage non aléatoire raisonné qui a consisté à sélectionner les personnes à interviewer en tenant compte des besoins des données et d’informations pour répondre aux questions évaluatives. Par ailleurs, la collecte des données secondaires et le choix des personnes ciblées pour les entretiens ont été aussi guidés par l’exigence de la triangulation des données et des informations</w:t>
      </w:r>
      <w:r w:rsidR="001835E0">
        <w:rPr>
          <w:rFonts w:ascii="Times New Roman" w:hAnsi="Times New Roman" w:cs="Times New Roman"/>
          <w:sz w:val="24"/>
        </w:rPr>
        <w:t xml:space="preserve">. </w:t>
      </w:r>
    </w:p>
    <w:p w:rsidR="001674FB" w:rsidRPr="008E5AD7" w:rsidRDefault="001674FB" w:rsidP="008E5AD7">
      <w:pPr>
        <w:spacing w:line="276" w:lineRule="auto"/>
        <w:ind w:left="708"/>
        <w:jc w:val="both"/>
        <w:rPr>
          <w:rFonts w:ascii="Times New Roman" w:hAnsi="Times New Roman" w:cs="Times New Roman"/>
          <w:b/>
          <w:bCs/>
          <w:sz w:val="24"/>
          <w:szCs w:val="24"/>
        </w:rPr>
      </w:pPr>
      <w:r w:rsidRPr="008E5AD7">
        <w:rPr>
          <w:rFonts w:ascii="Times New Roman" w:hAnsi="Times New Roman" w:cs="Times New Roman"/>
          <w:b/>
          <w:bCs/>
          <w:sz w:val="24"/>
          <w:szCs w:val="24"/>
        </w:rPr>
        <w:t>a) Revue documentaire</w:t>
      </w:r>
    </w:p>
    <w:p w:rsidR="006F7598" w:rsidRDefault="006F7598" w:rsidP="006F7598">
      <w:pPr>
        <w:spacing w:line="276" w:lineRule="auto"/>
        <w:jc w:val="both"/>
        <w:rPr>
          <w:rFonts w:ascii="Times New Roman" w:hAnsi="Times New Roman" w:cs="Times New Roman"/>
          <w:bCs/>
          <w:sz w:val="24"/>
          <w:szCs w:val="24"/>
        </w:rPr>
      </w:pPr>
      <w:r w:rsidRPr="00A527C3">
        <w:rPr>
          <w:rFonts w:ascii="Times New Roman" w:hAnsi="Times New Roman" w:cs="Times New Roman"/>
          <w:sz w:val="24"/>
        </w:rPr>
        <w:t>Le consultant évaluateur a parcouru divers documents de contexte relatifs aux politiques nationales et sectorielles. Il a reçu de la coordination du projet et du PNUD de</w:t>
      </w:r>
      <w:r w:rsidR="00CF1DF6">
        <w:rPr>
          <w:rFonts w:ascii="Times New Roman" w:hAnsi="Times New Roman" w:cs="Times New Roman"/>
          <w:sz w:val="24"/>
        </w:rPr>
        <w:t>s</w:t>
      </w:r>
      <w:r w:rsidRPr="00A527C3">
        <w:rPr>
          <w:rFonts w:ascii="Times New Roman" w:hAnsi="Times New Roman" w:cs="Times New Roman"/>
          <w:sz w:val="24"/>
        </w:rPr>
        <w:t xml:space="preserve"> rapports concernant le projet, principalement les rapports d’exécution, les rapports de suivi, les études réalisées et les documents statutaires (document de projet ou la convention de financement, rapports d’avancement). La bibliographie consultée à cet effet est listée en annexe </w:t>
      </w:r>
      <w:r>
        <w:rPr>
          <w:rFonts w:ascii="Times New Roman" w:hAnsi="Times New Roman" w:cs="Times New Roman"/>
          <w:sz w:val="24"/>
        </w:rPr>
        <w:t>6</w:t>
      </w:r>
      <w:r w:rsidR="000F282E">
        <w:rPr>
          <w:rFonts w:ascii="Times New Roman" w:hAnsi="Times New Roman" w:cs="Times New Roman"/>
          <w:sz w:val="24"/>
        </w:rPr>
        <w:t xml:space="preserve">. </w:t>
      </w:r>
    </w:p>
    <w:p w:rsidR="006F7598" w:rsidRPr="00855142" w:rsidRDefault="001674FB" w:rsidP="008E5AD7">
      <w:pPr>
        <w:spacing w:line="276" w:lineRule="auto"/>
        <w:ind w:left="708"/>
        <w:jc w:val="both"/>
        <w:rPr>
          <w:rFonts w:ascii="Times New Roman" w:hAnsi="Times New Roman" w:cs="Times New Roman"/>
          <w:b/>
          <w:bCs/>
          <w:sz w:val="24"/>
          <w:szCs w:val="24"/>
        </w:rPr>
      </w:pPr>
      <w:r w:rsidRPr="00855142">
        <w:rPr>
          <w:rFonts w:ascii="Times New Roman" w:hAnsi="Times New Roman" w:cs="Times New Roman"/>
          <w:b/>
          <w:bCs/>
          <w:sz w:val="24"/>
          <w:szCs w:val="24"/>
        </w:rPr>
        <w:t xml:space="preserve">b) Entretiens </w:t>
      </w:r>
    </w:p>
    <w:p w:rsidR="00BE6379" w:rsidRPr="00855142" w:rsidRDefault="00BE6379" w:rsidP="00BE6379">
      <w:pPr>
        <w:numPr>
          <w:ilvl w:val="0"/>
          <w:numId w:val="38"/>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855142">
        <w:rPr>
          <w:rFonts w:ascii="Times New Roman" w:hAnsi="Times New Roman" w:cs="Times New Roman"/>
          <w:sz w:val="24"/>
        </w:rPr>
        <w:t xml:space="preserve">Les entretiens ont débuté par une réunion de briefing, tenu à Bujumbura avec </w:t>
      </w:r>
      <w:r w:rsidR="00855142" w:rsidRPr="00855142">
        <w:rPr>
          <w:rFonts w:ascii="Times New Roman" w:hAnsi="Times New Roman" w:cs="Times New Roman"/>
          <w:sz w:val="24"/>
        </w:rPr>
        <w:t xml:space="preserve">Messieurs </w:t>
      </w:r>
      <w:r w:rsidR="00855142" w:rsidRPr="00855142">
        <w:rPr>
          <w:rFonts w:ascii="Times New Roman" w:hAnsi="Times New Roman" w:cs="Times New Roman"/>
          <w:sz w:val="24"/>
          <w:szCs w:val="24"/>
        </w:rPr>
        <w:t>Ernest  BAMOU Responsable UPS</w:t>
      </w:r>
      <w:r w:rsidR="00855142" w:rsidRPr="00855142">
        <w:rPr>
          <w:rFonts w:ascii="Times New Roman" w:hAnsi="Times New Roman" w:cs="Times New Roman"/>
          <w:color w:val="000000"/>
          <w:sz w:val="24"/>
          <w:szCs w:val="24"/>
        </w:rPr>
        <w:t xml:space="preserve"> </w:t>
      </w:r>
      <w:r w:rsidR="00855142" w:rsidRPr="00855142">
        <w:rPr>
          <w:rFonts w:ascii="Times New Roman" w:hAnsi="Times New Roman" w:cs="Times New Roman"/>
          <w:sz w:val="24"/>
          <w:szCs w:val="24"/>
        </w:rPr>
        <w:t>Arthur RUSHEMEZA Economiste UPS</w:t>
      </w:r>
    </w:p>
    <w:p w:rsidR="00855142" w:rsidRPr="00D049F2" w:rsidRDefault="00BE6379" w:rsidP="00D049F2">
      <w:pPr>
        <w:spacing w:line="276" w:lineRule="auto"/>
        <w:jc w:val="both"/>
        <w:rPr>
          <w:rFonts w:ascii="Times New Roman" w:hAnsi="Times New Roman" w:cs="Times New Roman"/>
          <w:sz w:val="24"/>
          <w:szCs w:val="24"/>
        </w:rPr>
      </w:pPr>
      <w:r w:rsidRPr="00D049F2">
        <w:rPr>
          <w:rFonts w:ascii="Times New Roman" w:hAnsi="Times New Roman" w:cs="Times New Roman"/>
          <w:sz w:val="24"/>
        </w:rPr>
        <w:t>D’autres entretiens ont eu lieu toujours à Bujumbura</w:t>
      </w:r>
      <w:r w:rsidR="00855142" w:rsidRPr="00D049F2">
        <w:rPr>
          <w:rFonts w:ascii="Times New Roman" w:hAnsi="Times New Roman" w:cs="Times New Roman"/>
          <w:sz w:val="24"/>
        </w:rPr>
        <w:t xml:space="preserve"> notamment avec les hauts responsables du </w:t>
      </w:r>
      <w:r w:rsidR="00D049F2" w:rsidRPr="00D049F2">
        <w:rPr>
          <w:rFonts w:ascii="Times New Roman" w:hAnsi="Times New Roman" w:cs="Times New Roman"/>
          <w:sz w:val="24"/>
        </w:rPr>
        <w:t>Ministère</w:t>
      </w:r>
      <w:r w:rsidR="00855142" w:rsidRPr="00D049F2">
        <w:rPr>
          <w:rFonts w:ascii="Times New Roman" w:hAnsi="Times New Roman" w:cs="Times New Roman"/>
          <w:sz w:val="24"/>
        </w:rPr>
        <w:t xml:space="preserve"> de l’Energie</w:t>
      </w:r>
      <w:r w:rsidR="00855142">
        <w:rPr>
          <w:rFonts w:ascii="Times New Roman" w:hAnsi="Times New Roman" w:cs="Times New Roman"/>
          <w:sz w:val="24"/>
        </w:rPr>
        <w:t xml:space="preserve"> et des Mine</w:t>
      </w:r>
      <w:r w:rsidR="00D049F2">
        <w:rPr>
          <w:rFonts w:ascii="Times New Roman" w:hAnsi="Times New Roman" w:cs="Times New Roman"/>
          <w:sz w:val="24"/>
        </w:rPr>
        <w:t xml:space="preserve">s sous la supervision </w:t>
      </w:r>
      <w:r w:rsidR="00D049F2" w:rsidRPr="00D049F2">
        <w:rPr>
          <w:rFonts w:ascii="Times New Roman" w:hAnsi="Times New Roman" w:cs="Times New Roman"/>
          <w:sz w:val="24"/>
        </w:rPr>
        <w:t xml:space="preserve">de Monsieur </w:t>
      </w:r>
      <w:r w:rsidR="00D049F2" w:rsidRPr="00D049F2">
        <w:rPr>
          <w:rFonts w:ascii="Times New Roman" w:hAnsi="Times New Roman" w:cs="Times New Roman"/>
          <w:sz w:val="24"/>
          <w:szCs w:val="24"/>
        </w:rPr>
        <w:t>M. Siméon HABONIMANA Secrétaire permanent et Président du</w:t>
      </w:r>
      <w:r w:rsidR="000F282E">
        <w:rPr>
          <w:rFonts w:ascii="Times New Roman" w:hAnsi="Times New Roman" w:cs="Times New Roman"/>
          <w:sz w:val="24"/>
          <w:szCs w:val="24"/>
        </w:rPr>
        <w:t xml:space="preserve"> Comité de pilotage (Copil). Il s’agit des responsables suivants : </w:t>
      </w:r>
      <w:r w:rsidR="00D049F2" w:rsidRPr="00D049F2">
        <w:rPr>
          <w:rFonts w:ascii="Times New Roman" w:hAnsi="Times New Roman" w:cs="Times New Roman"/>
          <w:sz w:val="24"/>
          <w:szCs w:val="24"/>
        </w:rPr>
        <w:t xml:space="preserve"> : </w:t>
      </w:r>
    </w:p>
    <w:p w:rsidR="00855142" w:rsidRDefault="00855142" w:rsidP="00855142">
      <w:pPr>
        <w:pStyle w:val="Paragraphedeliste"/>
        <w:numPr>
          <w:ilvl w:val="0"/>
          <w:numId w:val="38"/>
        </w:numPr>
        <w:spacing w:line="276" w:lineRule="auto"/>
        <w:jc w:val="both"/>
        <w:rPr>
          <w:rFonts w:ascii="Times New Roman" w:hAnsi="Times New Roman" w:cs="Times New Roman"/>
          <w:sz w:val="24"/>
        </w:rPr>
      </w:pPr>
      <w:r w:rsidRPr="00855142">
        <w:rPr>
          <w:rFonts w:ascii="Times New Roman" w:hAnsi="Times New Roman" w:cs="Times New Roman"/>
          <w:sz w:val="24"/>
        </w:rPr>
        <w:t>le Directeur national du projet (4</w:t>
      </w:r>
      <w:r w:rsidRPr="00855142">
        <w:rPr>
          <w:rFonts w:ascii="Times New Roman" w:hAnsi="Times New Roman" w:cs="Times New Roman"/>
          <w:sz w:val="24"/>
          <w:vertAlign w:val="superscript"/>
        </w:rPr>
        <w:t>ème</w:t>
      </w:r>
      <w:r w:rsidRPr="00855142">
        <w:rPr>
          <w:rFonts w:ascii="Times New Roman" w:hAnsi="Times New Roman" w:cs="Times New Roman"/>
          <w:sz w:val="24"/>
        </w:rPr>
        <w:t xml:space="preserve"> à occuper le poste) ; </w:t>
      </w:r>
    </w:p>
    <w:p w:rsidR="00855142" w:rsidRDefault="00855142" w:rsidP="00BE6379">
      <w:pPr>
        <w:pStyle w:val="Paragraphedeliste"/>
        <w:numPr>
          <w:ilvl w:val="0"/>
          <w:numId w:val="38"/>
        </w:numPr>
        <w:spacing w:line="276" w:lineRule="auto"/>
        <w:jc w:val="both"/>
        <w:rPr>
          <w:rFonts w:ascii="Times New Roman" w:hAnsi="Times New Roman" w:cs="Times New Roman"/>
          <w:sz w:val="24"/>
        </w:rPr>
      </w:pPr>
      <w:r w:rsidRPr="00855142">
        <w:rPr>
          <w:rFonts w:ascii="Times New Roman" w:hAnsi="Times New Roman" w:cs="Times New Roman"/>
          <w:sz w:val="24"/>
        </w:rPr>
        <w:t>le Directeur</w:t>
      </w:r>
      <w:r w:rsidR="00D049F2">
        <w:rPr>
          <w:rFonts w:ascii="Times New Roman" w:hAnsi="Times New Roman" w:cs="Times New Roman"/>
          <w:sz w:val="24"/>
        </w:rPr>
        <w:t xml:space="preserve"> Général</w:t>
      </w:r>
      <w:r w:rsidRPr="00855142">
        <w:rPr>
          <w:rFonts w:ascii="Times New Roman" w:hAnsi="Times New Roman" w:cs="Times New Roman"/>
          <w:sz w:val="24"/>
        </w:rPr>
        <w:t xml:space="preserve"> de la Recherche Géologique et du Cadastre Minier (2</w:t>
      </w:r>
      <w:r w:rsidRPr="00855142">
        <w:rPr>
          <w:rFonts w:ascii="Times New Roman" w:hAnsi="Times New Roman" w:cs="Times New Roman"/>
          <w:sz w:val="24"/>
          <w:vertAlign w:val="superscript"/>
        </w:rPr>
        <w:t>ème</w:t>
      </w:r>
      <w:r w:rsidRPr="00855142">
        <w:rPr>
          <w:rFonts w:ascii="Times New Roman" w:hAnsi="Times New Roman" w:cs="Times New Roman"/>
          <w:sz w:val="24"/>
        </w:rPr>
        <w:t xml:space="preserve"> à occuper le poste)</w:t>
      </w:r>
      <w:r>
        <w:rPr>
          <w:rFonts w:ascii="Times New Roman" w:hAnsi="Times New Roman" w:cs="Times New Roman"/>
          <w:sz w:val="24"/>
        </w:rPr>
        <w:t xml:space="preserve"> ; </w:t>
      </w:r>
    </w:p>
    <w:p w:rsidR="00855142" w:rsidRDefault="00D049F2" w:rsidP="00BE6379">
      <w:pPr>
        <w:pStyle w:val="Paragraphedeliste"/>
        <w:numPr>
          <w:ilvl w:val="0"/>
          <w:numId w:val="38"/>
        </w:numPr>
        <w:spacing w:line="276" w:lineRule="auto"/>
        <w:jc w:val="both"/>
        <w:rPr>
          <w:rFonts w:ascii="Times New Roman" w:hAnsi="Times New Roman" w:cs="Times New Roman"/>
          <w:sz w:val="24"/>
        </w:rPr>
      </w:pPr>
      <w:r>
        <w:rPr>
          <w:rFonts w:ascii="Times New Roman" w:hAnsi="Times New Roman" w:cs="Times New Roman"/>
          <w:sz w:val="24"/>
        </w:rPr>
        <w:t>le Directeur Général de l’Energie</w:t>
      </w:r>
      <w:r w:rsidR="000F282E">
        <w:rPr>
          <w:rFonts w:ascii="Times New Roman" w:hAnsi="Times New Roman" w:cs="Times New Roman"/>
          <w:sz w:val="24"/>
        </w:rPr>
        <w:t xml:space="preserve">. </w:t>
      </w:r>
    </w:p>
    <w:p w:rsidR="00BE6379" w:rsidRPr="00D049F2" w:rsidRDefault="00BE6379" w:rsidP="00D049F2">
      <w:pPr>
        <w:spacing w:line="276" w:lineRule="auto"/>
        <w:jc w:val="both"/>
        <w:rPr>
          <w:rFonts w:ascii="Times New Roman" w:hAnsi="Times New Roman" w:cs="Times New Roman"/>
          <w:sz w:val="24"/>
        </w:rPr>
      </w:pPr>
      <w:r w:rsidRPr="00D049F2">
        <w:rPr>
          <w:rFonts w:ascii="Times New Roman" w:hAnsi="Times New Roman" w:cs="Times New Roman"/>
          <w:sz w:val="24"/>
        </w:rPr>
        <w:t>La liste</w:t>
      </w:r>
      <w:r w:rsidR="00D049F2">
        <w:rPr>
          <w:rFonts w:ascii="Times New Roman" w:hAnsi="Times New Roman" w:cs="Times New Roman"/>
          <w:sz w:val="24"/>
        </w:rPr>
        <w:t xml:space="preserve"> des personnes renco</w:t>
      </w:r>
      <w:r w:rsidR="00305EF4">
        <w:rPr>
          <w:rFonts w:ascii="Times New Roman" w:hAnsi="Times New Roman" w:cs="Times New Roman"/>
          <w:sz w:val="24"/>
        </w:rPr>
        <w:t>n</w:t>
      </w:r>
      <w:r w:rsidR="00D049F2">
        <w:rPr>
          <w:rFonts w:ascii="Times New Roman" w:hAnsi="Times New Roman" w:cs="Times New Roman"/>
          <w:sz w:val="24"/>
        </w:rPr>
        <w:t>trées</w:t>
      </w:r>
      <w:r w:rsidRPr="00D049F2">
        <w:rPr>
          <w:rFonts w:ascii="Times New Roman" w:hAnsi="Times New Roman" w:cs="Times New Roman"/>
          <w:sz w:val="24"/>
        </w:rPr>
        <w:t xml:space="preserve"> se trouve à l’annexe 4. </w:t>
      </w:r>
    </w:p>
    <w:p w:rsidR="001674FB" w:rsidRPr="008E5AD7" w:rsidRDefault="001674FB" w:rsidP="008E5AD7">
      <w:pPr>
        <w:spacing w:line="276" w:lineRule="auto"/>
        <w:ind w:left="708"/>
        <w:jc w:val="both"/>
        <w:rPr>
          <w:rFonts w:ascii="Times New Roman" w:hAnsi="Times New Roman" w:cs="Times New Roman"/>
          <w:b/>
          <w:bCs/>
          <w:sz w:val="24"/>
          <w:szCs w:val="24"/>
        </w:rPr>
      </w:pPr>
      <w:r w:rsidRPr="008E5AD7">
        <w:rPr>
          <w:rFonts w:ascii="Times New Roman" w:hAnsi="Times New Roman" w:cs="Times New Roman"/>
          <w:b/>
          <w:bCs/>
          <w:sz w:val="24"/>
          <w:szCs w:val="24"/>
        </w:rPr>
        <w:t xml:space="preserve">c) Cadre d’analyse </w:t>
      </w:r>
    </w:p>
    <w:p w:rsidR="008E5AD7" w:rsidRPr="008E5AD7" w:rsidRDefault="008E5AD7" w:rsidP="008E5AD7">
      <w:pPr>
        <w:spacing w:line="276" w:lineRule="auto"/>
        <w:jc w:val="both"/>
        <w:rPr>
          <w:rFonts w:ascii="Times New Roman" w:hAnsi="Times New Roman" w:cs="Times New Roman"/>
          <w:sz w:val="24"/>
        </w:rPr>
      </w:pPr>
      <w:r w:rsidRPr="008E5AD7">
        <w:rPr>
          <w:rFonts w:ascii="Times New Roman" w:hAnsi="Times New Roman" w:cs="Times New Roman"/>
          <w:sz w:val="24"/>
        </w:rPr>
        <w:t xml:space="preserve">Le cadre analytique adopté s’appuie sur les critères classiques de l’évaluation, eux-mêmes explicitement indiqués dans les termes de référence de la mission : </w:t>
      </w:r>
    </w:p>
    <w:p w:rsidR="008E5AD7" w:rsidRPr="008E5AD7" w:rsidRDefault="008E5AD7" w:rsidP="008E5AD7">
      <w:pPr>
        <w:numPr>
          <w:ilvl w:val="0"/>
          <w:numId w:val="5"/>
        </w:numPr>
        <w:spacing w:after="0" w:line="276" w:lineRule="auto"/>
        <w:jc w:val="both"/>
        <w:rPr>
          <w:rFonts w:ascii="Times New Roman" w:eastAsia="Calibri" w:hAnsi="Times New Roman" w:cs="Times New Roman"/>
          <w:sz w:val="24"/>
          <w:szCs w:val="24"/>
        </w:rPr>
      </w:pPr>
      <w:r w:rsidRPr="008E5AD7">
        <w:rPr>
          <w:rFonts w:ascii="Times New Roman" w:eastAsia="Calibri" w:hAnsi="Times New Roman" w:cs="Times New Roman"/>
          <w:b/>
          <w:sz w:val="24"/>
          <w:szCs w:val="24"/>
        </w:rPr>
        <w:t xml:space="preserve">la pertinence : </w:t>
      </w:r>
      <w:r w:rsidRPr="008E5AD7">
        <w:rPr>
          <w:rFonts w:ascii="Times New Roman" w:eastAsia="Calibri" w:hAnsi="Times New Roman" w:cs="Times New Roman"/>
          <w:sz w:val="24"/>
          <w:szCs w:val="24"/>
        </w:rPr>
        <w:t>conception du projet et analyse du cadre des résultats / cadre logique ;</w:t>
      </w:r>
    </w:p>
    <w:p w:rsidR="008E5AD7" w:rsidRPr="008E5AD7" w:rsidRDefault="008E5AD7" w:rsidP="008E5AD7">
      <w:pPr>
        <w:numPr>
          <w:ilvl w:val="0"/>
          <w:numId w:val="5"/>
        </w:numPr>
        <w:shd w:val="clear" w:color="auto" w:fill="FFFFFF"/>
        <w:spacing w:line="276" w:lineRule="auto"/>
        <w:contextualSpacing/>
        <w:jc w:val="both"/>
        <w:rPr>
          <w:rFonts w:ascii="Times New Roman" w:eastAsia="Calibri" w:hAnsi="Times New Roman" w:cs="Times New Roman"/>
          <w:sz w:val="24"/>
          <w:szCs w:val="24"/>
        </w:rPr>
      </w:pPr>
      <w:r w:rsidRPr="008E5AD7">
        <w:rPr>
          <w:rFonts w:ascii="Times New Roman" w:eastAsia="Calibri" w:hAnsi="Times New Roman" w:cs="Times New Roman"/>
          <w:b/>
          <w:sz w:val="24"/>
          <w:szCs w:val="24"/>
        </w:rPr>
        <w:t>L’efficacité :</w:t>
      </w:r>
      <w:r w:rsidRPr="008E5AD7">
        <w:rPr>
          <w:rFonts w:ascii="Times New Roman" w:eastAsia="Calibri" w:hAnsi="Times New Roman" w:cs="Times New Roman"/>
          <w:sz w:val="24"/>
          <w:szCs w:val="24"/>
        </w:rPr>
        <w:t xml:space="preserve"> progrès vers la réalisation des résultats ;</w:t>
      </w:r>
    </w:p>
    <w:p w:rsidR="008E5AD7" w:rsidRPr="008E5AD7" w:rsidRDefault="008E5AD7" w:rsidP="008E5AD7">
      <w:pPr>
        <w:numPr>
          <w:ilvl w:val="0"/>
          <w:numId w:val="5"/>
        </w:numPr>
        <w:shd w:val="clear" w:color="auto" w:fill="FFFFFF"/>
        <w:spacing w:line="276" w:lineRule="auto"/>
        <w:contextualSpacing/>
        <w:jc w:val="both"/>
        <w:rPr>
          <w:rFonts w:ascii="Times New Roman" w:eastAsia="Calibri" w:hAnsi="Times New Roman" w:cs="Times New Roman"/>
          <w:sz w:val="24"/>
          <w:szCs w:val="24"/>
        </w:rPr>
      </w:pPr>
      <w:r w:rsidRPr="008E5AD7">
        <w:rPr>
          <w:rFonts w:ascii="Times New Roman" w:eastAsia="Calibri" w:hAnsi="Times New Roman" w:cs="Times New Roman"/>
          <w:b/>
          <w:sz w:val="24"/>
          <w:szCs w:val="24"/>
        </w:rPr>
        <w:t>L’efficience </w:t>
      </w:r>
      <w:r w:rsidRPr="008E5AD7">
        <w:rPr>
          <w:rFonts w:ascii="Times New Roman" w:eastAsia="Calibri" w:hAnsi="Times New Roman" w:cs="Times New Roman"/>
          <w:sz w:val="24"/>
          <w:szCs w:val="24"/>
        </w:rPr>
        <w:t>: mise en œuvre du projet et gestion réactive ;</w:t>
      </w:r>
    </w:p>
    <w:p w:rsidR="008E5AD7" w:rsidRPr="008E5AD7" w:rsidRDefault="008E5AD7" w:rsidP="008E5AD7">
      <w:pPr>
        <w:numPr>
          <w:ilvl w:val="0"/>
          <w:numId w:val="5"/>
        </w:numPr>
        <w:shd w:val="clear" w:color="auto" w:fill="FFFFFF"/>
        <w:spacing w:line="276" w:lineRule="auto"/>
        <w:contextualSpacing/>
        <w:jc w:val="both"/>
        <w:rPr>
          <w:rFonts w:ascii="Times New Roman" w:eastAsia="Arial Unicode MS" w:hAnsi="Times New Roman" w:cs="Times New Roman"/>
          <w:sz w:val="24"/>
          <w:szCs w:val="24"/>
        </w:rPr>
      </w:pPr>
      <w:r w:rsidRPr="008E5AD7">
        <w:rPr>
          <w:rFonts w:ascii="Times New Roman" w:eastAsia="Calibri" w:hAnsi="Times New Roman" w:cs="Times New Roman"/>
          <w:b/>
          <w:sz w:val="24"/>
          <w:szCs w:val="24"/>
        </w:rPr>
        <w:t xml:space="preserve">Durabilité : </w:t>
      </w:r>
      <w:r w:rsidRPr="008E5AD7">
        <w:rPr>
          <w:rFonts w:ascii="Times New Roman" w:eastAsia="Calibri" w:hAnsi="Times New Roman" w:cs="Times New Roman"/>
          <w:sz w:val="24"/>
          <w:szCs w:val="24"/>
        </w:rPr>
        <w:t>risques financiers, socio-économiques, environnementaux pour la durabilité du programme, le cadre institutionnel et la gouvernance</w:t>
      </w:r>
      <w:r w:rsidRPr="008E5AD7">
        <w:rPr>
          <w:rFonts w:ascii="Times New Roman" w:eastAsia="Arial Unicode MS" w:hAnsi="Times New Roman" w:cs="Times New Roman"/>
          <w:sz w:val="24"/>
          <w:szCs w:val="24"/>
        </w:rPr>
        <w:t>.</w:t>
      </w:r>
    </w:p>
    <w:p w:rsidR="008E5AD7" w:rsidRPr="008E5AD7" w:rsidRDefault="008E5AD7" w:rsidP="008E5AD7">
      <w:pPr>
        <w:shd w:val="clear" w:color="auto" w:fill="FFFFFF"/>
        <w:spacing w:before="240" w:line="276" w:lineRule="auto"/>
        <w:jc w:val="both"/>
        <w:rPr>
          <w:rFonts w:ascii="Times New Roman" w:hAnsi="Times New Roman" w:cs="Times New Roman"/>
          <w:sz w:val="24"/>
        </w:rPr>
      </w:pPr>
      <w:r w:rsidRPr="008E5AD7">
        <w:rPr>
          <w:rFonts w:ascii="Times New Roman" w:hAnsi="Times New Roman" w:cs="Times New Roman"/>
          <w:sz w:val="24"/>
        </w:rPr>
        <w:t>Par ailleurs d’autres critères sont pris en compte, à savoir :</w:t>
      </w:r>
    </w:p>
    <w:p w:rsidR="008E5AD7" w:rsidRPr="00F65C63" w:rsidRDefault="008E5AD7" w:rsidP="008E5AD7">
      <w:pPr>
        <w:numPr>
          <w:ilvl w:val="0"/>
          <w:numId w:val="6"/>
        </w:numPr>
        <w:shd w:val="clear" w:color="auto" w:fill="FFFFFF"/>
        <w:spacing w:after="240" w:line="276" w:lineRule="auto"/>
        <w:contextualSpacing/>
        <w:jc w:val="both"/>
        <w:rPr>
          <w:rFonts w:ascii="Times New Roman" w:hAnsi="Times New Roman" w:cs="Times New Roman"/>
          <w:b/>
          <w:sz w:val="24"/>
        </w:rPr>
      </w:pPr>
      <w:r w:rsidRPr="008E5AD7">
        <w:rPr>
          <w:rFonts w:ascii="Times New Roman" w:hAnsi="Times New Roman" w:cs="Times New Roman"/>
          <w:b/>
          <w:sz w:val="24"/>
        </w:rPr>
        <w:t xml:space="preserve">Financement cofinancement : </w:t>
      </w:r>
      <w:r w:rsidRPr="008E5AD7">
        <w:rPr>
          <w:rFonts w:ascii="Times New Roman" w:hAnsi="Times New Roman" w:cs="Times New Roman"/>
          <w:sz w:val="24"/>
        </w:rPr>
        <w:t xml:space="preserve">principaux aspects financiers du projet, notamment la </w:t>
      </w:r>
      <w:r w:rsidRPr="00F65C63">
        <w:rPr>
          <w:rFonts w:ascii="Times New Roman" w:hAnsi="Times New Roman" w:cs="Times New Roman"/>
          <w:sz w:val="24"/>
        </w:rPr>
        <w:t>part de cofinancement prévue et réalisée. ;</w:t>
      </w:r>
    </w:p>
    <w:p w:rsidR="008E5AD7" w:rsidRPr="00F65C63" w:rsidRDefault="008E5AD7" w:rsidP="008E5AD7">
      <w:pPr>
        <w:numPr>
          <w:ilvl w:val="0"/>
          <w:numId w:val="6"/>
        </w:numPr>
        <w:shd w:val="clear" w:color="auto" w:fill="FFFFFF"/>
        <w:spacing w:after="240" w:line="276" w:lineRule="auto"/>
        <w:contextualSpacing/>
        <w:jc w:val="both"/>
        <w:rPr>
          <w:rFonts w:ascii="Times New Roman" w:hAnsi="Times New Roman" w:cs="Times New Roman"/>
          <w:b/>
          <w:sz w:val="24"/>
        </w:rPr>
      </w:pPr>
      <w:r w:rsidRPr="00F65C63">
        <w:rPr>
          <w:rFonts w:ascii="Times New Roman" w:hAnsi="Times New Roman" w:cs="Times New Roman"/>
          <w:b/>
          <w:sz w:val="24"/>
        </w:rPr>
        <w:t xml:space="preserve">Intégration : </w:t>
      </w:r>
      <w:r w:rsidRPr="00F65C63">
        <w:rPr>
          <w:rFonts w:ascii="Times New Roman" w:hAnsi="Times New Roman" w:cs="Times New Roman"/>
          <w:sz w:val="24"/>
        </w:rPr>
        <w:t xml:space="preserve">mesure dans laquelle le projet a été intégré avec succès dans les priorités du PNUD, y compris l’atténuation de la pauvreté, l’amélioration de la gouvernance, la </w:t>
      </w:r>
      <w:r w:rsidRPr="00F65C63">
        <w:rPr>
          <w:rFonts w:ascii="Times New Roman" w:hAnsi="Times New Roman" w:cs="Times New Roman"/>
          <w:sz w:val="24"/>
        </w:rPr>
        <w:lastRenderedPageBreak/>
        <w:t>prévention des catastrophes naturelles et le relèvement après celles-ci ainsi que la problématique hommes-femmes ;</w:t>
      </w:r>
    </w:p>
    <w:p w:rsidR="008E5AD7" w:rsidRPr="00F65C63" w:rsidRDefault="008E5AD7" w:rsidP="008E5AD7">
      <w:pPr>
        <w:numPr>
          <w:ilvl w:val="0"/>
          <w:numId w:val="6"/>
        </w:numPr>
        <w:shd w:val="clear" w:color="auto" w:fill="FFFFFF"/>
        <w:spacing w:after="0" w:line="276" w:lineRule="auto"/>
        <w:contextualSpacing/>
        <w:jc w:val="both"/>
        <w:rPr>
          <w:rFonts w:ascii="Times New Roman" w:eastAsia="Calibri" w:hAnsi="Times New Roman" w:cs="Times New Roman"/>
          <w:sz w:val="24"/>
        </w:rPr>
      </w:pPr>
      <w:r w:rsidRPr="00F65C63">
        <w:rPr>
          <w:rFonts w:ascii="Times New Roman" w:hAnsi="Times New Roman" w:cs="Times New Roman"/>
          <w:b/>
          <w:sz w:val="24"/>
        </w:rPr>
        <w:t>Impact :</w:t>
      </w:r>
      <w:r w:rsidRPr="00F65C63">
        <w:rPr>
          <w:rFonts w:ascii="Times New Roman" w:hAnsi="Times New Roman" w:cs="Times New Roman"/>
          <w:sz w:val="24"/>
        </w:rPr>
        <w:t xml:space="preserve"> dans quelle mesure le projet atteint des impacts ou progresse vers la réalisation de ceux-ci ;</w:t>
      </w:r>
    </w:p>
    <w:p w:rsidR="008E5AD7" w:rsidRPr="00F65C63" w:rsidRDefault="008E5AD7" w:rsidP="008E5AD7">
      <w:pPr>
        <w:pStyle w:val="Paragraphedeliste"/>
        <w:numPr>
          <w:ilvl w:val="0"/>
          <w:numId w:val="8"/>
        </w:numPr>
        <w:rPr>
          <w:rFonts w:ascii="Times New Roman" w:hAnsi="Times New Roman" w:cs="Times New Roman"/>
          <w:sz w:val="24"/>
        </w:rPr>
      </w:pPr>
      <w:r w:rsidRPr="00F65C63">
        <w:rPr>
          <w:rFonts w:ascii="Times New Roman" w:hAnsi="Times New Roman" w:cs="Times New Roman"/>
          <w:b/>
          <w:sz w:val="24"/>
        </w:rPr>
        <w:t>Conclusions, recommandations et enseignements :</w:t>
      </w:r>
      <w:r w:rsidRPr="00F65C63">
        <w:rPr>
          <w:rFonts w:ascii="Times New Roman" w:eastAsia="Calibri" w:hAnsi="Times New Roman" w:cs="Times New Roman"/>
          <w:sz w:val="24"/>
        </w:rPr>
        <w:t xml:space="preserve"> les </w:t>
      </w:r>
      <w:r w:rsidRPr="00F65C63">
        <w:rPr>
          <w:rFonts w:ascii="Times New Roman" w:hAnsi="Times New Roman" w:cs="Times New Roman"/>
          <w:sz w:val="24"/>
        </w:rPr>
        <w:t>conclusions seront fondées sur des données probantes de l’évaluation finale, à la lumière des résultats. Les recommandations seront présentées sous forme de propositions succinctes visant des interventions essentielles. Les enseignements sous forme de succès ou des leçons apprises qui seront à la base de la réussite de la mise à l’échelle du projet.</w:t>
      </w:r>
    </w:p>
    <w:p w:rsidR="001674FB" w:rsidRPr="00F65C63" w:rsidRDefault="001674FB" w:rsidP="008E5AD7">
      <w:pPr>
        <w:spacing w:line="276" w:lineRule="auto"/>
        <w:ind w:left="708"/>
        <w:jc w:val="both"/>
        <w:rPr>
          <w:rFonts w:ascii="Times New Roman" w:hAnsi="Times New Roman" w:cs="Times New Roman"/>
          <w:b/>
          <w:bCs/>
          <w:sz w:val="24"/>
          <w:szCs w:val="24"/>
        </w:rPr>
      </w:pPr>
      <w:r w:rsidRPr="00F65C63">
        <w:rPr>
          <w:rFonts w:ascii="Times New Roman" w:hAnsi="Times New Roman" w:cs="Times New Roman"/>
          <w:b/>
          <w:bCs/>
          <w:sz w:val="24"/>
          <w:szCs w:val="24"/>
        </w:rPr>
        <w:t xml:space="preserve">d) Questions évaluatives </w:t>
      </w:r>
    </w:p>
    <w:p w:rsidR="008E5AD7" w:rsidRPr="008E5AD7" w:rsidRDefault="008E5AD7" w:rsidP="008E5AD7">
      <w:pPr>
        <w:spacing w:line="276" w:lineRule="auto"/>
        <w:jc w:val="both"/>
        <w:rPr>
          <w:rFonts w:ascii="Times New Roman" w:hAnsi="Times New Roman" w:cs="Times New Roman"/>
          <w:sz w:val="24"/>
          <w:szCs w:val="24"/>
        </w:rPr>
      </w:pPr>
      <w:r w:rsidRPr="00F65C63">
        <w:rPr>
          <w:rFonts w:ascii="Times New Roman" w:hAnsi="Times New Roman" w:cs="Times New Roman"/>
          <w:sz w:val="24"/>
          <w:szCs w:val="24"/>
        </w:rPr>
        <w:t>L’exercice consistera à répertorier, identifier et analyser les actions et activités exécutées dans</w:t>
      </w:r>
      <w:r w:rsidRPr="008E5AD7">
        <w:rPr>
          <w:rFonts w:ascii="Times New Roman" w:hAnsi="Times New Roman" w:cs="Times New Roman"/>
          <w:sz w:val="24"/>
          <w:szCs w:val="24"/>
        </w:rPr>
        <w:t xml:space="preserve"> le </w:t>
      </w:r>
      <w:r>
        <w:rPr>
          <w:rFonts w:ascii="Times New Roman" w:hAnsi="Times New Roman" w:cs="Times New Roman"/>
          <w:sz w:val="24"/>
          <w:szCs w:val="24"/>
        </w:rPr>
        <w:t>cadre du</w:t>
      </w:r>
      <w:r w:rsidRPr="008E5AD7">
        <w:rPr>
          <w:rFonts w:ascii="Times New Roman" w:hAnsi="Times New Roman" w:cs="Times New Roman"/>
          <w:sz w:val="24"/>
          <w:szCs w:val="24"/>
        </w:rPr>
        <w:t xml:space="preserve"> « </w:t>
      </w:r>
      <w:r w:rsidRPr="006F7598">
        <w:rPr>
          <w:rFonts w:ascii="Times New Roman" w:hAnsi="Times New Roman" w:cs="Times New Roman"/>
          <w:sz w:val="24"/>
        </w:rPr>
        <w:t>Projet d’Assistance Technique Préparatoire pour le renforcement du cadre légal, réglementaire et institutionnel des secteurs de l’Energie et des Mines</w:t>
      </w:r>
      <w:r>
        <w:rPr>
          <w:rFonts w:ascii="Times New Roman" w:hAnsi="Times New Roman" w:cs="Times New Roman"/>
          <w:sz w:val="24"/>
        </w:rPr>
        <w:t> »</w:t>
      </w:r>
      <w:r w:rsidRPr="008E5AD7">
        <w:rPr>
          <w:rFonts w:ascii="Times New Roman" w:hAnsi="Times New Roman" w:cs="Times New Roman"/>
          <w:sz w:val="24"/>
          <w:szCs w:val="24"/>
        </w:rPr>
        <w:t>. Il s’agira de trouver des réponses aux questions suivantes :</w:t>
      </w:r>
    </w:p>
    <w:p w:rsidR="008E5AD7" w:rsidRPr="008E5AD7" w:rsidRDefault="008E5AD7" w:rsidP="008E5AD7">
      <w:pPr>
        <w:numPr>
          <w:ilvl w:val="0"/>
          <w:numId w:val="9"/>
        </w:numPr>
        <w:spacing w:after="0" w:line="276" w:lineRule="auto"/>
        <w:contextualSpacing/>
        <w:jc w:val="both"/>
        <w:rPr>
          <w:rFonts w:ascii="Times New Roman" w:hAnsi="Times New Roman" w:cs="Times New Roman"/>
          <w:sz w:val="24"/>
          <w:szCs w:val="24"/>
        </w:rPr>
      </w:pPr>
      <w:r w:rsidRPr="008E5AD7">
        <w:rPr>
          <w:rFonts w:ascii="Times New Roman" w:hAnsi="Times New Roman" w:cs="Times New Roman"/>
          <w:sz w:val="24"/>
          <w:szCs w:val="24"/>
        </w:rPr>
        <w:t>Quels est le niveau d’exécution des activités prévues?</w:t>
      </w:r>
    </w:p>
    <w:p w:rsidR="008E5AD7" w:rsidRPr="008E5AD7" w:rsidRDefault="008E5AD7" w:rsidP="008E5AD7">
      <w:pPr>
        <w:numPr>
          <w:ilvl w:val="0"/>
          <w:numId w:val="9"/>
        </w:numPr>
        <w:spacing w:after="0" w:line="276" w:lineRule="auto"/>
        <w:contextualSpacing/>
        <w:jc w:val="both"/>
        <w:rPr>
          <w:rFonts w:ascii="Times New Roman" w:hAnsi="Times New Roman" w:cs="Times New Roman"/>
          <w:sz w:val="24"/>
          <w:szCs w:val="24"/>
        </w:rPr>
      </w:pPr>
      <w:r w:rsidRPr="008E5AD7">
        <w:rPr>
          <w:rFonts w:ascii="Times New Roman" w:hAnsi="Times New Roman" w:cs="Times New Roman"/>
          <w:sz w:val="24"/>
          <w:szCs w:val="24"/>
        </w:rPr>
        <w:t>Quels sont les acquis et insuffisances observés ?</w:t>
      </w:r>
    </w:p>
    <w:p w:rsidR="008E5AD7" w:rsidRPr="008E5AD7" w:rsidRDefault="008E5AD7" w:rsidP="008E5AD7">
      <w:pPr>
        <w:numPr>
          <w:ilvl w:val="0"/>
          <w:numId w:val="9"/>
        </w:numPr>
        <w:spacing w:after="0" w:line="276" w:lineRule="auto"/>
        <w:contextualSpacing/>
        <w:jc w:val="both"/>
        <w:rPr>
          <w:rFonts w:ascii="Times New Roman" w:hAnsi="Times New Roman" w:cs="Times New Roman"/>
          <w:sz w:val="24"/>
          <w:szCs w:val="24"/>
        </w:rPr>
      </w:pPr>
      <w:r w:rsidRPr="008E5AD7">
        <w:rPr>
          <w:rFonts w:ascii="Times New Roman" w:hAnsi="Times New Roman" w:cs="Times New Roman"/>
          <w:sz w:val="24"/>
          <w:szCs w:val="24"/>
        </w:rPr>
        <w:t>Quel</w:t>
      </w:r>
      <w:r w:rsidR="005F4C7E">
        <w:rPr>
          <w:rFonts w:ascii="Times New Roman" w:hAnsi="Times New Roman" w:cs="Times New Roman"/>
          <w:sz w:val="24"/>
          <w:szCs w:val="24"/>
        </w:rPr>
        <w:t>le</w:t>
      </w:r>
      <w:r w:rsidRPr="008E5AD7">
        <w:rPr>
          <w:rFonts w:ascii="Times New Roman" w:hAnsi="Times New Roman" w:cs="Times New Roman"/>
          <w:sz w:val="24"/>
          <w:szCs w:val="24"/>
        </w:rPr>
        <w:t>s sont les difficultés et contraintes rencontrées ?</w:t>
      </w:r>
    </w:p>
    <w:p w:rsidR="008E5AD7" w:rsidRPr="008E5AD7" w:rsidRDefault="008E5AD7" w:rsidP="008E5AD7">
      <w:pPr>
        <w:numPr>
          <w:ilvl w:val="0"/>
          <w:numId w:val="9"/>
        </w:numPr>
        <w:spacing w:after="0" w:line="276" w:lineRule="auto"/>
        <w:contextualSpacing/>
        <w:jc w:val="both"/>
        <w:rPr>
          <w:rFonts w:ascii="Times New Roman" w:hAnsi="Times New Roman" w:cs="Times New Roman"/>
          <w:sz w:val="24"/>
          <w:szCs w:val="24"/>
        </w:rPr>
      </w:pPr>
      <w:r w:rsidRPr="008E5AD7">
        <w:rPr>
          <w:rFonts w:ascii="Times New Roman" w:hAnsi="Times New Roman" w:cs="Times New Roman"/>
          <w:sz w:val="24"/>
          <w:szCs w:val="24"/>
        </w:rPr>
        <w:t>Quels sont les moyens humains, matériels et financiers utilisés ?</w:t>
      </w:r>
    </w:p>
    <w:p w:rsidR="008E5AD7" w:rsidRPr="008E5AD7" w:rsidRDefault="008E5AD7" w:rsidP="008E5AD7">
      <w:pPr>
        <w:numPr>
          <w:ilvl w:val="0"/>
          <w:numId w:val="9"/>
        </w:numPr>
        <w:spacing w:after="0" w:line="276" w:lineRule="auto"/>
        <w:contextualSpacing/>
        <w:jc w:val="both"/>
        <w:rPr>
          <w:rFonts w:ascii="Times New Roman" w:hAnsi="Times New Roman" w:cs="Times New Roman"/>
          <w:sz w:val="24"/>
          <w:szCs w:val="24"/>
        </w:rPr>
      </w:pPr>
      <w:r w:rsidRPr="008E5AD7">
        <w:rPr>
          <w:rFonts w:ascii="Times New Roman" w:hAnsi="Times New Roman" w:cs="Times New Roman"/>
          <w:sz w:val="24"/>
          <w:szCs w:val="24"/>
        </w:rPr>
        <w:t>Quels sont les bénéficiaires directs et indirects ?</w:t>
      </w:r>
    </w:p>
    <w:p w:rsidR="008E5AD7" w:rsidRPr="008E5AD7" w:rsidRDefault="008E5AD7" w:rsidP="008E5AD7">
      <w:pPr>
        <w:numPr>
          <w:ilvl w:val="0"/>
          <w:numId w:val="9"/>
        </w:numPr>
        <w:autoSpaceDE w:val="0"/>
        <w:autoSpaceDN w:val="0"/>
        <w:adjustRightInd w:val="0"/>
        <w:spacing w:after="0" w:line="276" w:lineRule="auto"/>
        <w:jc w:val="both"/>
        <w:rPr>
          <w:rFonts w:ascii="Times New Roman" w:hAnsi="Times New Roman" w:cs="Times New Roman"/>
          <w:sz w:val="24"/>
          <w:szCs w:val="24"/>
        </w:rPr>
      </w:pPr>
      <w:r w:rsidRPr="008E5AD7">
        <w:rPr>
          <w:rFonts w:ascii="Times New Roman" w:hAnsi="Times New Roman" w:cs="Times New Roman"/>
          <w:sz w:val="24"/>
          <w:szCs w:val="24"/>
        </w:rPr>
        <w:t>Est-ce que, lors de la mise en œuvre, ont été pris en compte les aspects liés au genre, à l’environnement, au renforcement des capacités et à la gestion axée sur les résultats ;</w:t>
      </w:r>
    </w:p>
    <w:p w:rsidR="008E5AD7" w:rsidRPr="008E5AD7" w:rsidRDefault="008E5AD7" w:rsidP="008E5AD7">
      <w:pPr>
        <w:pStyle w:val="Paragraphedeliste"/>
        <w:numPr>
          <w:ilvl w:val="0"/>
          <w:numId w:val="8"/>
        </w:numPr>
        <w:rPr>
          <w:rFonts w:ascii="Times New Roman" w:hAnsi="Times New Roman" w:cs="Times New Roman"/>
          <w:sz w:val="24"/>
          <w:szCs w:val="24"/>
        </w:rPr>
      </w:pPr>
      <w:r w:rsidRPr="008E5AD7">
        <w:rPr>
          <w:rFonts w:ascii="Times New Roman" w:hAnsi="Times New Roman" w:cs="Times New Roman"/>
          <w:sz w:val="24"/>
          <w:szCs w:val="24"/>
        </w:rPr>
        <w:t>Est-ce que les partenaires nationaux et les partenaires au développement ont été impliqués ?</w:t>
      </w:r>
    </w:p>
    <w:p w:rsidR="001674FB" w:rsidRDefault="001674FB" w:rsidP="008E5AD7">
      <w:pPr>
        <w:spacing w:line="276" w:lineRule="auto"/>
        <w:ind w:left="708"/>
        <w:jc w:val="both"/>
        <w:rPr>
          <w:rFonts w:ascii="Times New Roman" w:hAnsi="Times New Roman" w:cs="Times New Roman"/>
          <w:b/>
          <w:bCs/>
          <w:sz w:val="24"/>
          <w:szCs w:val="24"/>
        </w:rPr>
      </w:pPr>
      <w:r w:rsidRPr="008E5AD7">
        <w:rPr>
          <w:rFonts w:ascii="Times New Roman" w:hAnsi="Times New Roman" w:cs="Times New Roman"/>
          <w:b/>
          <w:bCs/>
          <w:sz w:val="24"/>
          <w:szCs w:val="24"/>
        </w:rPr>
        <w:t xml:space="preserve">e) Limitations et mesures de remédiation </w:t>
      </w:r>
    </w:p>
    <w:p w:rsidR="007F772B" w:rsidRPr="007F772B" w:rsidRDefault="007F772B" w:rsidP="008E5AD7">
      <w:pPr>
        <w:spacing w:line="276" w:lineRule="auto"/>
        <w:jc w:val="both"/>
        <w:rPr>
          <w:rFonts w:ascii="Times New Roman" w:hAnsi="Times New Roman" w:cs="Times New Roman"/>
          <w:bCs/>
          <w:sz w:val="24"/>
          <w:szCs w:val="24"/>
        </w:rPr>
      </w:pPr>
      <w:r w:rsidRPr="007F772B">
        <w:rPr>
          <w:rFonts w:ascii="Times New Roman" w:hAnsi="Times New Roman" w:cs="Times New Roman"/>
          <w:bCs/>
          <w:sz w:val="24"/>
          <w:szCs w:val="24"/>
        </w:rPr>
        <w:t xml:space="preserve">Il faut reconnaitre </w:t>
      </w:r>
      <w:r>
        <w:rPr>
          <w:rFonts w:ascii="Times New Roman" w:hAnsi="Times New Roman" w:cs="Times New Roman"/>
          <w:bCs/>
          <w:sz w:val="24"/>
          <w:szCs w:val="24"/>
        </w:rPr>
        <w:t xml:space="preserve"> que la mission est tombée dans une période où les interlocuteurs </w:t>
      </w:r>
      <w:r w:rsidR="005F4C7E">
        <w:rPr>
          <w:rFonts w:ascii="Times New Roman" w:hAnsi="Times New Roman" w:cs="Times New Roman"/>
          <w:bCs/>
          <w:sz w:val="24"/>
          <w:szCs w:val="24"/>
        </w:rPr>
        <w:t>notamment ceux</w:t>
      </w:r>
      <w:r>
        <w:rPr>
          <w:rFonts w:ascii="Times New Roman" w:hAnsi="Times New Roman" w:cs="Times New Roman"/>
          <w:bCs/>
          <w:sz w:val="24"/>
          <w:szCs w:val="24"/>
        </w:rPr>
        <w:t xml:space="preserve"> du PNUD</w:t>
      </w:r>
      <w:r w:rsidR="005F4C7E">
        <w:rPr>
          <w:rFonts w:ascii="Times New Roman" w:hAnsi="Times New Roman" w:cs="Times New Roman"/>
          <w:bCs/>
          <w:sz w:val="24"/>
          <w:szCs w:val="24"/>
        </w:rPr>
        <w:t>,</w:t>
      </w:r>
      <w:r>
        <w:rPr>
          <w:rFonts w:ascii="Times New Roman" w:hAnsi="Times New Roman" w:cs="Times New Roman"/>
          <w:bCs/>
          <w:sz w:val="24"/>
          <w:szCs w:val="24"/>
        </w:rPr>
        <w:t xml:space="preserve"> avaient des calendriers chargés. Cette situation a rendu un peu difficile leur disponibilité pour les échanges approfondis et l’organisation des rendez-vous. Les focus group qui étaient prévus n’ont pas pu se faire en raison des déplacements que devraient effectuer les principaux responsables</w:t>
      </w:r>
      <w:r w:rsidR="005F4C7E">
        <w:rPr>
          <w:rFonts w:ascii="Times New Roman" w:hAnsi="Times New Roman" w:cs="Times New Roman"/>
          <w:bCs/>
          <w:sz w:val="24"/>
          <w:szCs w:val="24"/>
        </w:rPr>
        <w:t xml:space="preserve"> à l’intérieur du pays</w:t>
      </w:r>
      <w:r w:rsidR="003D7EAC">
        <w:rPr>
          <w:rFonts w:ascii="Times New Roman" w:hAnsi="Times New Roman" w:cs="Times New Roman"/>
          <w:bCs/>
          <w:sz w:val="24"/>
          <w:szCs w:val="24"/>
        </w:rPr>
        <w:t>. Cependant, en usant de son carnet d’adresses dans le pays et grâce à un bon archivage des documents du projet, cette contrainte</w:t>
      </w:r>
      <w:r w:rsidR="005F4C7E">
        <w:rPr>
          <w:rFonts w:ascii="Times New Roman" w:hAnsi="Times New Roman" w:cs="Times New Roman"/>
          <w:bCs/>
          <w:sz w:val="24"/>
          <w:szCs w:val="24"/>
        </w:rPr>
        <w:t xml:space="preserve"> a été levée. Pour les missions futures de ce genre, </w:t>
      </w:r>
      <w:r w:rsidR="003D7EAC">
        <w:rPr>
          <w:rFonts w:ascii="Times New Roman" w:hAnsi="Times New Roman" w:cs="Times New Roman"/>
          <w:bCs/>
          <w:sz w:val="24"/>
          <w:szCs w:val="24"/>
        </w:rPr>
        <w:t xml:space="preserve"> il  est souhaitable d’anticiper sur les rendez-vous avec les personnes clef  avant le</w:t>
      </w:r>
      <w:r w:rsidR="005F4C7E">
        <w:rPr>
          <w:rFonts w:ascii="Times New Roman" w:hAnsi="Times New Roman" w:cs="Times New Roman"/>
          <w:bCs/>
          <w:sz w:val="24"/>
          <w:szCs w:val="24"/>
        </w:rPr>
        <w:t>ur démarrage</w:t>
      </w:r>
      <w:r w:rsidR="003D7EAC">
        <w:rPr>
          <w:rFonts w:ascii="Times New Roman" w:hAnsi="Times New Roman" w:cs="Times New Roman"/>
          <w:bCs/>
          <w:sz w:val="24"/>
          <w:szCs w:val="24"/>
        </w:rPr>
        <w:t xml:space="preserve">.  </w:t>
      </w:r>
    </w:p>
    <w:p w:rsidR="001674FB" w:rsidRDefault="001674FB" w:rsidP="008E5AD7">
      <w:pPr>
        <w:spacing w:line="276" w:lineRule="auto"/>
        <w:ind w:left="708"/>
        <w:jc w:val="both"/>
        <w:rPr>
          <w:rFonts w:ascii="Times New Roman" w:hAnsi="Times New Roman" w:cs="Times New Roman"/>
          <w:b/>
          <w:bCs/>
          <w:sz w:val="24"/>
          <w:szCs w:val="24"/>
        </w:rPr>
      </w:pPr>
      <w:r w:rsidRPr="008E5AD7">
        <w:rPr>
          <w:rFonts w:ascii="Times New Roman" w:hAnsi="Times New Roman" w:cs="Times New Roman"/>
          <w:b/>
          <w:bCs/>
          <w:sz w:val="24"/>
          <w:szCs w:val="24"/>
        </w:rPr>
        <w:t xml:space="preserve">f) Calendrier de la mission </w:t>
      </w:r>
    </w:p>
    <w:p w:rsidR="00BE6379" w:rsidRPr="00BE6379" w:rsidRDefault="00BE6379" w:rsidP="00BE6379">
      <w:pPr>
        <w:spacing w:after="200" w:line="276" w:lineRule="auto"/>
        <w:jc w:val="both"/>
        <w:rPr>
          <w:rFonts w:ascii="Times New Roman" w:eastAsia="Times New Roman" w:hAnsi="Times New Roman" w:cs="Times New Roman"/>
          <w:sz w:val="24"/>
          <w:szCs w:val="24"/>
          <w:lang w:eastAsia="fr-FR"/>
        </w:rPr>
      </w:pPr>
      <w:r w:rsidRPr="00BE6379">
        <w:rPr>
          <w:rFonts w:ascii="Times New Roman" w:eastAsia="Times New Roman" w:hAnsi="Times New Roman" w:cs="Times New Roman"/>
          <w:sz w:val="24"/>
          <w:szCs w:val="24"/>
          <w:lang w:eastAsia="fr-FR"/>
        </w:rPr>
        <w:t xml:space="preserve">La méthodologie proposée s’appuie </w:t>
      </w:r>
      <w:r w:rsidR="00711DDA">
        <w:rPr>
          <w:rFonts w:ascii="Times New Roman" w:eastAsia="Times New Roman" w:hAnsi="Times New Roman" w:cs="Times New Roman"/>
          <w:sz w:val="24"/>
          <w:szCs w:val="24"/>
          <w:lang w:eastAsia="fr-FR"/>
        </w:rPr>
        <w:t xml:space="preserve">sur </w:t>
      </w:r>
      <w:r w:rsidRPr="00BE6379">
        <w:rPr>
          <w:rFonts w:ascii="Times New Roman" w:eastAsia="Times New Roman" w:hAnsi="Times New Roman" w:cs="Times New Roman"/>
          <w:sz w:val="24"/>
          <w:szCs w:val="24"/>
          <w:lang w:eastAsia="fr-FR"/>
        </w:rPr>
        <w:t>la démarche préconisé</w:t>
      </w:r>
      <w:r w:rsidR="00711DDA">
        <w:rPr>
          <w:rFonts w:ascii="Times New Roman" w:eastAsia="Times New Roman" w:hAnsi="Times New Roman" w:cs="Times New Roman"/>
          <w:sz w:val="24"/>
          <w:szCs w:val="24"/>
          <w:lang w:eastAsia="fr-FR"/>
        </w:rPr>
        <w:t>e</w:t>
      </w:r>
      <w:r w:rsidRPr="00BE6379">
        <w:rPr>
          <w:rFonts w:ascii="Times New Roman" w:eastAsia="Times New Roman" w:hAnsi="Times New Roman" w:cs="Times New Roman"/>
          <w:sz w:val="24"/>
          <w:szCs w:val="24"/>
          <w:lang w:eastAsia="fr-FR"/>
        </w:rPr>
        <w:t xml:space="preserve"> par le Consultant International afin d’atteindre, tel que décrit dans les termes de références de cette mission, les résultats attendus et produire ainsi dans les délais, les livrables escomptés.</w:t>
      </w:r>
    </w:p>
    <w:p w:rsidR="00BE6379" w:rsidRPr="00BE6379" w:rsidRDefault="00711DDA" w:rsidP="00BE6379">
      <w:pPr>
        <w:spacing w:after="20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Au cours de la</w:t>
      </w:r>
      <w:r w:rsidR="00BE6379" w:rsidRPr="00BE6379">
        <w:rPr>
          <w:rFonts w:ascii="Times New Roman" w:eastAsia="Times New Roman" w:hAnsi="Times New Roman" w:cs="Times New Roman"/>
          <w:sz w:val="24"/>
          <w:szCs w:val="24"/>
          <w:lang w:eastAsia="fr-FR"/>
        </w:rPr>
        <w:t xml:space="preserve"> mission </w:t>
      </w:r>
      <w:r>
        <w:rPr>
          <w:rFonts w:ascii="Times New Roman" w:eastAsia="Times New Roman" w:hAnsi="Times New Roman" w:cs="Times New Roman"/>
          <w:sz w:val="24"/>
          <w:szCs w:val="24"/>
          <w:lang w:eastAsia="fr-FR"/>
        </w:rPr>
        <w:t>il a été déployé</w:t>
      </w:r>
      <w:r w:rsidR="00BE6379" w:rsidRPr="00BE6379">
        <w:rPr>
          <w:rFonts w:ascii="Times New Roman" w:eastAsia="Times New Roman" w:hAnsi="Times New Roman" w:cs="Times New Roman"/>
          <w:sz w:val="24"/>
          <w:szCs w:val="24"/>
          <w:lang w:eastAsia="fr-FR"/>
        </w:rPr>
        <w:t xml:space="preserve"> une méthodologie étalée sur cinq (05) principales actions regroupées en trois (03) phases sur une période ne dépassant pas quatre (04) semaines, soient trente-quatre (20) jours de travail.</w:t>
      </w:r>
    </w:p>
    <w:p w:rsidR="00BE6379" w:rsidRPr="00BE6379" w:rsidRDefault="00BE6379" w:rsidP="00BE6379">
      <w:pPr>
        <w:spacing w:after="200" w:line="276" w:lineRule="auto"/>
        <w:jc w:val="both"/>
        <w:rPr>
          <w:rFonts w:ascii="Times New Roman" w:eastAsia="Times New Roman" w:hAnsi="Times New Roman" w:cs="Times New Roman"/>
          <w:sz w:val="24"/>
          <w:szCs w:val="24"/>
          <w:lang w:eastAsia="fr-FR"/>
        </w:rPr>
      </w:pPr>
      <w:r w:rsidRPr="00BE6379">
        <w:rPr>
          <w:rFonts w:ascii="Times New Roman" w:eastAsia="Times New Roman" w:hAnsi="Times New Roman" w:cs="Times New Roman"/>
          <w:b/>
          <w:sz w:val="24"/>
          <w:szCs w:val="24"/>
          <w:lang w:eastAsia="fr-FR"/>
        </w:rPr>
        <w:lastRenderedPageBreak/>
        <w:t xml:space="preserve">Phase I : </w:t>
      </w:r>
      <w:r w:rsidRPr="00BE6379">
        <w:rPr>
          <w:rFonts w:ascii="Times New Roman" w:eastAsia="Calibri" w:hAnsi="Times New Roman" w:cs="Times New Roman"/>
          <w:b/>
          <w:bCs/>
          <w:sz w:val="24"/>
          <w:szCs w:val="24"/>
          <w:lang w:eastAsia="fr-FR"/>
        </w:rPr>
        <w:t>Démarrage de la mission</w:t>
      </w:r>
      <w:r w:rsidRPr="00BE6379">
        <w:rPr>
          <w:rFonts w:ascii="Times New Roman" w:eastAsia="Times New Roman" w:hAnsi="Times New Roman" w:cs="Times New Roman"/>
          <w:sz w:val="24"/>
          <w:szCs w:val="24"/>
          <w:lang w:eastAsia="fr-FR"/>
        </w:rPr>
        <w:t xml:space="preserve"> – 03 jours de travail</w:t>
      </w:r>
    </w:p>
    <w:p w:rsidR="00BE6379" w:rsidRPr="00BE6379" w:rsidRDefault="00BE6379" w:rsidP="00BE6379">
      <w:pPr>
        <w:spacing w:after="200" w:line="276" w:lineRule="auto"/>
        <w:ind w:left="360"/>
        <w:jc w:val="both"/>
        <w:rPr>
          <w:rFonts w:ascii="Times New Roman" w:eastAsia="Times New Roman" w:hAnsi="Times New Roman" w:cs="Times New Roman"/>
          <w:sz w:val="24"/>
          <w:szCs w:val="24"/>
          <w:lang w:eastAsia="fr-FR"/>
        </w:rPr>
      </w:pPr>
      <w:r w:rsidRPr="00BE6379">
        <w:rPr>
          <w:rFonts w:ascii="Times New Roman" w:eastAsia="Times New Roman" w:hAnsi="Times New Roman" w:cs="Times New Roman"/>
          <w:sz w:val="24"/>
          <w:szCs w:val="24"/>
          <w:u w:val="single"/>
          <w:lang w:eastAsia="fr-FR"/>
        </w:rPr>
        <w:t>Action 1.</w:t>
      </w:r>
      <w:r w:rsidRPr="00BE6379">
        <w:rPr>
          <w:rFonts w:ascii="Times New Roman" w:eastAsia="Times New Roman" w:hAnsi="Times New Roman" w:cs="Times New Roman"/>
          <w:sz w:val="24"/>
          <w:szCs w:val="24"/>
          <w:lang w:eastAsia="fr-FR"/>
        </w:rPr>
        <w:t xml:space="preserve"> Rapport initial : recueil d’informations et validation de la méthodologie et du plan de travail détaillé – 03 jours de travail</w:t>
      </w:r>
    </w:p>
    <w:p w:rsidR="00BE6379" w:rsidRPr="00BE6379" w:rsidRDefault="00BE6379" w:rsidP="00BE6379">
      <w:pPr>
        <w:spacing w:after="200" w:line="276" w:lineRule="auto"/>
        <w:jc w:val="both"/>
        <w:rPr>
          <w:rFonts w:ascii="Times New Roman" w:eastAsia="Times New Roman" w:hAnsi="Times New Roman" w:cs="Times New Roman"/>
          <w:sz w:val="24"/>
          <w:szCs w:val="24"/>
          <w:lang w:eastAsia="fr-FR"/>
        </w:rPr>
      </w:pPr>
      <w:r w:rsidRPr="00BE6379">
        <w:rPr>
          <w:rFonts w:ascii="Times New Roman" w:eastAsia="Times New Roman" w:hAnsi="Times New Roman" w:cs="Times New Roman"/>
          <w:b/>
          <w:sz w:val="24"/>
          <w:szCs w:val="24"/>
          <w:lang w:eastAsia="fr-FR"/>
        </w:rPr>
        <w:t xml:space="preserve">Phase II : </w:t>
      </w:r>
      <w:r w:rsidRPr="00BE6379">
        <w:rPr>
          <w:rFonts w:ascii="Times New Roman" w:eastAsia="Calibri" w:hAnsi="Times New Roman" w:cs="Times New Roman"/>
          <w:b/>
          <w:bCs/>
          <w:sz w:val="24"/>
          <w:szCs w:val="24"/>
          <w:lang w:eastAsia="fr-FR"/>
        </w:rPr>
        <w:t>Mission d’évaluation</w:t>
      </w:r>
      <w:r w:rsidRPr="00BE6379">
        <w:rPr>
          <w:rFonts w:ascii="Times New Roman" w:eastAsia="Times New Roman" w:hAnsi="Times New Roman" w:cs="Times New Roman"/>
          <w:sz w:val="24"/>
          <w:szCs w:val="24"/>
          <w:lang w:eastAsia="fr-FR"/>
        </w:rPr>
        <w:t xml:space="preserve"> – 09 jours de travail</w:t>
      </w:r>
    </w:p>
    <w:p w:rsidR="00BE6379" w:rsidRPr="00BE6379" w:rsidRDefault="00BE6379" w:rsidP="00BE6379">
      <w:pPr>
        <w:spacing w:after="240" w:line="276" w:lineRule="auto"/>
        <w:ind w:left="360"/>
        <w:jc w:val="both"/>
        <w:rPr>
          <w:rFonts w:ascii="Times New Roman" w:eastAsia="Times New Roman" w:hAnsi="Times New Roman" w:cs="Times New Roman"/>
          <w:sz w:val="24"/>
          <w:szCs w:val="24"/>
          <w:lang w:eastAsia="fr-FR"/>
        </w:rPr>
      </w:pPr>
      <w:r w:rsidRPr="00BE6379">
        <w:rPr>
          <w:rFonts w:ascii="Times New Roman" w:eastAsia="Times New Roman" w:hAnsi="Times New Roman" w:cs="Times New Roman"/>
          <w:sz w:val="24"/>
          <w:szCs w:val="24"/>
          <w:u w:val="single"/>
          <w:lang w:eastAsia="fr-FR"/>
        </w:rPr>
        <w:t>Action 2</w:t>
      </w:r>
      <w:r w:rsidRPr="00BE6379">
        <w:rPr>
          <w:rFonts w:ascii="Times New Roman" w:eastAsia="Times New Roman" w:hAnsi="Times New Roman" w:cs="Times New Roman"/>
          <w:sz w:val="24"/>
          <w:szCs w:val="24"/>
          <w:lang w:eastAsia="fr-FR"/>
        </w:rPr>
        <w:t> : Conduite de l’évaluation : collecte des données/analyse et visites sur le terrain et production du premier projet de rapport de l’évaluation finale – 09 jours de travail</w:t>
      </w:r>
      <w:r w:rsidRPr="00BE6379">
        <w:rPr>
          <w:rFonts w:ascii="Times New Roman" w:eastAsia="Times New Roman" w:hAnsi="Times New Roman" w:cs="Times New Roman"/>
          <w:sz w:val="24"/>
          <w:szCs w:val="24"/>
          <w:u w:val="single"/>
          <w:lang w:eastAsia="fr-FR"/>
        </w:rPr>
        <w:t xml:space="preserve"> </w:t>
      </w:r>
    </w:p>
    <w:p w:rsidR="00BE6379" w:rsidRPr="00BE6379" w:rsidRDefault="00BE6379" w:rsidP="00BE6379">
      <w:pPr>
        <w:spacing w:after="200" w:line="276" w:lineRule="auto"/>
        <w:jc w:val="both"/>
        <w:rPr>
          <w:rFonts w:ascii="Times New Roman" w:eastAsia="Times New Roman" w:hAnsi="Times New Roman" w:cs="Times New Roman"/>
          <w:sz w:val="24"/>
          <w:szCs w:val="24"/>
          <w:lang w:eastAsia="fr-FR"/>
        </w:rPr>
      </w:pPr>
      <w:r w:rsidRPr="00BE6379">
        <w:rPr>
          <w:rFonts w:ascii="Times New Roman" w:eastAsia="Times New Roman" w:hAnsi="Times New Roman" w:cs="Times New Roman"/>
          <w:b/>
          <w:sz w:val="24"/>
          <w:szCs w:val="24"/>
          <w:lang w:eastAsia="fr-FR"/>
        </w:rPr>
        <w:t xml:space="preserve">Phase III : Rédaction du rapport d’évaluation finale </w:t>
      </w:r>
      <w:r w:rsidRPr="00BE6379">
        <w:rPr>
          <w:rFonts w:ascii="Times New Roman" w:eastAsia="Times New Roman" w:hAnsi="Times New Roman" w:cs="Times New Roman"/>
          <w:sz w:val="24"/>
          <w:szCs w:val="24"/>
          <w:lang w:eastAsia="fr-FR"/>
        </w:rPr>
        <w:t>– 08 jours de travail</w:t>
      </w:r>
    </w:p>
    <w:p w:rsidR="00BE6379" w:rsidRPr="00BE6379" w:rsidRDefault="00BE6379" w:rsidP="00BE6379">
      <w:pPr>
        <w:spacing w:after="0" w:line="276" w:lineRule="auto"/>
        <w:ind w:left="360"/>
        <w:jc w:val="both"/>
        <w:rPr>
          <w:rFonts w:ascii="Times New Roman" w:eastAsia="Times New Roman" w:hAnsi="Times New Roman" w:cs="Times New Roman"/>
          <w:sz w:val="24"/>
          <w:szCs w:val="24"/>
          <w:lang w:eastAsia="fr-FR"/>
        </w:rPr>
      </w:pPr>
      <w:r w:rsidRPr="00BE6379">
        <w:rPr>
          <w:rFonts w:ascii="Times New Roman" w:eastAsia="Times New Roman" w:hAnsi="Times New Roman" w:cs="Times New Roman"/>
          <w:sz w:val="24"/>
          <w:szCs w:val="24"/>
          <w:u w:val="single"/>
          <w:lang w:eastAsia="fr-FR"/>
        </w:rPr>
        <w:t>Action 3</w:t>
      </w:r>
      <w:r w:rsidRPr="00BE6379">
        <w:rPr>
          <w:rFonts w:ascii="Times New Roman" w:eastAsia="Times New Roman" w:hAnsi="Times New Roman" w:cs="Times New Roman"/>
          <w:sz w:val="24"/>
          <w:szCs w:val="24"/>
          <w:lang w:eastAsia="fr-FR"/>
        </w:rPr>
        <w:t> : Elaboration du projet de rapport d’évaluation finale – 05 jours de travail</w:t>
      </w:r>
    </w:p>
    <w:p w:rsidR="00BE6379" w:rsidRPr="00BE6379" w:rsidRDefault="00BE6379" w:rsidP="00BE6379">
      <w:pPr>
        <w:spacing w:after="0" w:line="276" w:lineRule="auto"/>
        <w:ind w:left="360"/>
        <w:jc w:val="both"/>
        <w:rPr>
          <w:rFonts w:ascii="Times New Roman" w:eastAsia="Times New Roman" w:hAnsi="Times New Roman" w:cs="Times New Roman"/>
          <w:sz w:val="24"/>
          <w:szCs w:val="24"/>
          <w:lang w:eastAsia="fr-FR"/>
        </w:rPr>
      </w:pPr>
      <w:r w:rsidRPr="00BE6379">
        <w:rPr>
          <w:rFonts w:ascii="Times New Roman" w:eastAsia="Times New Roman" w:hAnsi="Times New Roman" w:cs="Times New Roman"/>
          <w:sz w:val="24"/>
          <w:szCs w:val="24"/>
          <w:u w:val="single"/>
          <w:lang w:eastAsia="fr-FR"/>
        </w:rPr>
        <w:t>Action 4 </w:t>
      </w:r>
      <w:r w:rsidRPr="00BE6379">
        <w:rPr>
          <w:rFonts w:ascii="Times New Roman" w:eastAsia="Times New Roman" w:hAnsi="Times New Roman" w:cs="Times New Roman"/>
          <w:sz w:val="24"/>
          <w:szCs w:val="24"/>
          <w:lang w:eastAsia="fr-FR"/>
        </w:rPr>
        <w:t>: Présentation PowerPoint des principales conclusions et recommandations -01 jour de travail</w:t>
      </w:r>
    </w:p>
    <w:p w:rsidR="008E5AD7" w:rsidRDefault="00BE6379" w:rsidP="00BE6379">
      <w:pPr>
        <w:spacing w:line="276" w:lineRule="auto"/>
        <w:ind w:firstLine="360"/>
        <w:jc w:val="both"/>
        <w:rPr>
          <w:rFonts w:ascii="Times New Roman" w:eastAsia="Times New Roman" w:hAnsi="Times New Roman" w:cs="Times New Roman"/>
          <w:sz w:val="24"/>
          <w:szCs w:val="24"/>
          <w:lang w:eastAsia="fr-FR"/>
        </w:rPr>
      </w:pPr>
      <w:r w:rsidRPr="00BE6379">
        <w:rPr>
          <w:rFonts w:ascii="Times New Roman" w:eastAsia="Times New Roman" w:hAnsi="Times New Roman" w:cs="Times New Roman"/>
          <w:sz w:val="24"/>
          <w:szCs w:val="24"/>
          <w:u w:val="single"/>
          <w:lang w:eastAsia="fr-FR"/>
        </w:rPr>
        <w:t>Action 5</w:t>
      </w:r>
      <w:r w:rsidRPr="00BE6379">
        <w:rPr>
          <w:rFonts w:ascii="Times New Roman" w:eastAsia="Times New Roman" w:hAnsi="Times New Roman" w:cs="Times New Roman"/>
          <w:sz w:val="24"/>
          <w:szCs w:val="24"/>
          <w:lang w:eastAsia="fr-FR"/>
        </w:rPr>
        <w:t xml:space="preserve"> : Production du </w:t>
      </w:r>
      <w:r w:rsidRPr="00BE6379">
        <w:rPr>
          <w:rFonts w:ascii="Times New Roman" w:eastAsia="Calibri" w:hAnsi="Times New Roman" w:cs="Times New Roman"/>
          <w:bCs/>
          <w:sz w:val="24"/>
          <w:szCs w:val="24"/>
          <w:lang w:eastAsia="fr-FR"/>
        </w:rPr>
        <w:t>rapport final et traduction en anglais</w:t>
      </w:r>
      <w:r w:rsidRPr="00BE6379">
        <w:rPr>
          <w:rFonts w:ascii="Times New Roman" w:eastAsia="Times New Roman" w:hAnsi="Times New Roman" w:cs="Times New Roman"/>
          <w:sz w:val="24"/>
          <w:szCs w:val="24"/>
          <w:lang w:eastAsia="fr-FR"/>
        </w:rPr>
        <w:t xml:space="preserve"> – 02 jours de travail</w:t>
      </w:r>
    </w:p>
    <w:p w:rsidR="00BE6379" w:rsidRDefault="00BE6379" w:rsidP="00BE637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Ainsi le chronogramme suivant a été suivi. Le premier jour étant l’arrivé à Bujumbura le 12 Novembre 2017.</w:t>
      </w:r>
    </w:p>
    <w:p w:rsidR="00BE6379" w:rsidRPr="008E5AD7" w:rsidRDefault="00BE6379" w:rsidP="00BE6379">
      <w:pPr>
        <w:spacing w:line="276" w:lineRule="auto"/>
        <w:jc w:val="both"/>
        <w:rPr>
          <w:rFonts w:ascii="Times New Roman" w:hAnsi="Times New Roman" w:cs="Times New Roman"/>
          <w:bCs/>
          <w:sz w:val="24"/>
          <w:szCs w:val="24"/>
        </w:rPr>
      </w:pPr>
      <w:r>
        <w:rPr>
          <w:rFonts w:ascii="Times New Roman" w:hAnsi="Times New Roman" w:cs="Times New Roman"/>
          <w:bCs/>
          <w:noProof/>
          <w:sz w:val="24"/>
          <w:szCs w:val="24"/>
          <w:lang w:eastAsia="fr-FR"/>
        </w:rPr>
        <w:drawing>
          <wp:inline distT="0" distB="0" distL="0" distR="0" wp14:anchorId="4809F889" wp14:editId="41906A19">
            <wp:extent cx="5750417" cy="255714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8682" cy="2565267"/>
                    </a:xfrm>
                    <a:prstGeom prst="rect">
                      <a:avLst/>
                    </a:prstGeom>
                    <a:noFill/>
                  </pic:spPr>
                </pic:pic>
              </a:graphicData>
            </a:graphic>
          </wp:inline>
        </w:drawing>
      </w:r>
    </w:p>
    <w:p w:rsidR="001674FB" w:rsidRDefault="001674FB" w:rsidP="00720FA2">
      <w:pPr>
        <w:pStyle w:val="Paragraphedeliste"/>
        <w:spacing w:line="276" w:lineRule="auto"/>
        <w:jc w:val="both"/>
        <w:outlineLvl w:val="1"/>
        <w:rPr>
          <w:rFonts w:ascii="Times New Roman" w:hAnsi="Times New Roman" w:cs="Times New Roman"/>
          <w:b/>
          <w:bCs/>
          <w:sz w:val="24"/>
          <w:szCs w:val="24"/>
        </w:rPr>
      </w:pPr>
      <w:bookmarkStart w:id="16" w:name="_Toc500352705"/>
      <w:r w:rsidRPr="008E5AD7">
        <w:rPr>
          <w:rFonts w:ascii="Times New Roman" w:hAnsi="Times New Roman" w:cs="Times New Roman"/>
          <w:b/>
          <w:bCs/>
          <w:sz w:val="24"/>
          <w:szCs w:val="24"/>
        </w:rPr>
        <w:t>1.5. Structure du rapport d’évaluation</w:t>
      </w:r>
      <w:bookmarkEnd w:id="16"/>
      <w:r w:rsidRPr="008E5AD7">
        <w:rPr>
          <w:rFonts w:ascii="Times New Roman" w:hAnsi="Times New Roman" w:cs="Times New Roman"/>
          <w:b/>
          <w:bCs/>
          <w:sz w:val="24"/>
          <w:szCs w:val="24"/>
        </w:rPr>
        <w:t xml:space="preserve"> </w:t>
      </w:r>
    </w:p>
    <w:p w:rsidR="00BE6379" w:rsidRPr="00BE6379" w:rsidRDefault="00BE6379" w:rsidP="00BE6379">
      <w:pPr>
        <w:autoSpaceDE w:val="0"/>
        <w:autoSpaceDN w:val="0"/>
        <w:adjustRightInd w:val="0"/>
        <w:spacing w:line="276" w:lineRule="auto"/>
        <w:jc w:val="both"/>
        <w:rPr>
          <w:rFonts w:ascii="Times New Roman" w:hAnsi="Times New Roman" w:cs="Times New Roman"/>
          <w:color w:val="000000"/>
          <w:sz w:val="24"/>
          <w:szCs w:val="23"/>
        </w:rPr>
      </w:pPr>
      <w:r w:rsidRPr="00BE6379">
        <w:rPr>
          <w:rFonts w:ascii="Times New Roman" w:hAnsi="Times New Roman" w:cs="Times New Roman"/>
          <w:color w:val="000000"/>
          <w:sz w:val="24"/>
          <w:szCs w:val="23"/>
        </w:rPr>
        <w:t>Le présent rapport de l’éval</w:t>
      </w:r>
      <w:r>
        <w:rPr>
          <w:rFonts w:ascii="Times New Roman" w:hAnsi="Times New Roman" w:cs="Times New Roman"/>
          <w:color w:val="000000"/>
          <w:sz w:val="24"/>
          <w:szCs w:val="23"/>
        </w:rPr>
        <w:t>uation finale du projet a traité</w:t>
      </w:r>
      <w:r w:rsidRPr="00BE6379">
        <w:rPr>
          <w:rFonts w:ascii="Times New Roman" w:hAnsi="Times New Roman" w:cs="Times New Roman"/>
          <w:color w:val="000000"/>
          <w:sz w:val="24"/>
          <w:szCs w:val="23"/>
        </w:rPr>
        <w:t xml:space="preserve"> des grands points suivants : </w:t>
      </w:r>
    </w:p>
    <w:p w:rsidR="00BE6379" w:rsidRPr="00BE6379" w:rsidRDefault="00BE6379" w:rsidP="00BE6379">
      <w:pPr>
        <w:numPr>
          <w:ilvl w:val="0"/>
          <w:numId w:val="11"/>
        </w:numPr>
        <w:autoSpaceDE w:val="0"/>
        <w:autoSpaceDN w:val="0"/>
        <w:adjustRightInd w:val="0"/>
        <w:spacing w:after="18" w:line="276" w:lineRule="auto"/>
        <w:contextualSpacing/>
        <w:jc w:val="both"/>
        <w:rPr>
          <w:rFonts w:ascii="Times New Roman" w:hAnsi="Times New Roman" w:cs="Times New Roman"/>
          <w:color w:val="000000"/>
          <w:sz w:val="24"/>
          <w:szCs w:val="23"/>
        </w:rPr>
      </w:pPr>
      <w:r w:rsidRPr="00BE6379">
        <w:rPr>
          <w:rFonts w:ascii="Times New Roman" w:hAnsi="Times New Roman" w:cs="Times New Roman"/>
          <w:color w:val="000000"/>
          <w:sz w:val="24"/>
          <w:szCs w:val="23"/>
        </w:rPr>
        <w:t>Résumé exécutif</w:t>
      </w:r>
    </w:p>
    <w:p w:rsidR="00BE6379" w:rsidRPr="00BE6379" w:rsidRDefault="00BE6379" w:rsidP="00BE6379">
      <w:pPr>
        <w:numPr>
          <w:ilvl w:val="0"/>
          <w:numId w:val="11"/>
        </w:numPr>
        <w:autoSpaceDE w:val="0"/>
        <w:autoSpaceDN w:val="0"/>
        <w:adjustRightInd w:val="0"/>
        <w:spacing w:after="18" w:line="276" w:lineRule="auto"/>
        <w:contextualSpacing/>
        <w:jc w:val="both"/>
        <w:rPr>
          <w:rFonts w:ascii="Times New Roman" w:hAnsi="Times New Roman" w:cs="Times New Roman"/>
          <w:color w:val="000000"/>
          <w:sz w:val="24"/>
          <w:szCs w:val="23"/>
        </w:rPr>
      </w:pPr>
      <w:r w:rsidRPr="00BE6379">
        <w:rPr>
          <w:rFonts w:ascii="Times New Roman" w:hAnsi="Times New Roman" w:cs="Times New Roman"/>
          <w:color w:val="000000"/>
          <w:sz w:val="24"/>
          <w:szCs w:val="23"/>
        </w:rPr>
        <w:t>Introduction</w:t>
      </w:r>
    </w:p>
    <w:p w:rsidR="00BE6379" w:rsidRPr="00BE6379" w:rsidRDefault="00BE6379" w:rsidP="00BE6379">
      <w:pPr>
        <w:numPr>
          <w:ilvl w:val="0"/>
          <w:numId w:val="11"/>
        </w:numPr>
        <w:autoSpaceDE w:val="0"/>
        <w:autoSpaceDN w:val="0"/>
        <w:adjustRightInd w:val="0"/>
        <w:spacing w:after="18" w:line="276" w:lineRule="auto"/>
        <w:contextualSpacing/>
        <w:jc w:val="both"/>
        <w:rPr>
          <w:rFonts w:ascii="Times New Roman" w:hAnsi="Times New Roman" w:cs="Times New Roman"/>
          <w:color w:val="000000"/>
          <w:sz w:val="24"/>
          <w:szCs w:val="23"/>
        </w:rPr>
      </w:pPr>
      <w:r w:rsidRPr="00BE6379">
        <w:rPr>
          <w:rFonts w:ascii="Times New Roman" w:hAnsi="Times New Roman" w:cs="Times New Roman"/>
          <w:color w:val="000000"/>
          <w:sz w:val="24"/>
          <w:szCs w:val="23"/>
        </w:rPr>
        <w:t>Description et contexte de développement du projet</w:t>
      </w:r>
    </w:p>
    <w:p w:rsidR="00BE6379" w:rsidRPr="00BE6379" w:rsidRDefault="00BE6379" w:rsidP="00BE6379">
      <w:pPr>
        <w:numPr>
          <w:ilvl w:val="0"/>
          <w:numId w:val="11"/>
        </w:numPr>
        <w:autoSpaceDE w:val="0"/>
        <w:autoSpaceDN w:val="0"/>
        <w:adjustRightInd w:val="0"/>
        <w:spacing w:after="18" w:line="276" w:lineRule="auto"/>
        <w:contextualSpacing/>
        <w:jc w:val="both"/>
        <w:rPr>
          <w:rFonts w:ascii="Times New Roman" w:hAnsi="Times New Roman" w:cs="Times New Roman"/>
          <w:sz w:val="24"/>
          <w:szCs w:val="24"/>
        </w:rPr>
      </w:pPr>
      <w:r w:rsidRPr="00BE6379">
        <w:rPr>
          <w:rFonts w:ascii="Times New Roman" w:hAnsi="Times New Roman" w:cs="Times New Roman"/>
          <w:color w:val="000000"/>
          <w:sz w:val="24"/>
          <w:szCs w:val="23"/>
        </w:rPr>
        <w:t>Conclusions</w:t>
      </w:r>
    </w:p>
    <w:p w:rsidR="00BE6379" w:rsidRPr="00BE6379" w:rsidRDefault="00BE6379" w:rsidP="00BE6379">
      <w:pPr>
        <w:numPr>
          <w:ilvl w:val="1"/>
          <w:numId w:val="11"/>
        </w:numPr>
        <w:autoSpaceDE w:val="0"/>
        <w:autoSpaceDN w:val="0"/>
        <w:adjustRightInd w:val="0"/>
        <w:spacing w:after="18" w:line="276" w:lineRule="auto"/>
        <w:contextualSpacing/>
        <w:jc w:val="both"/>
        <w:rPr>
          <w:rFonts w:ascii="Times New Roman" w:hAnsi="Times New Roman" w:cs="Times New Roman"/>
          <w:sz w:val="24"/>
          <w:szCs w:val="24"/>
        </w:rPr>
      </w:pPr>
      <w:r w:rsidRPr="00BE6379">
        <w:rPr>
          <w:rFonts w:ascii="Times New Roman" w:hAnsi="Times New Roman" w:cs="Times New Roman"/>
          <w:sz w:val="24"/>
          <w:szCs w:val="24"/>
        </w:rPr>
        <w:t>Conception/Formulation du projet</w:t>
      </w:r>
    </w:p>
    <w:p w:rsidR="00BE6379" w:rsidRPr="00BE6379" w:rsidRDefault="00BE6379" w:rsidP="00BE6379">
      <w:pPr>
        <w:numPr>
          <w:ilvl w:val="1"/>
          <w:numId w:val="11"/>
        </w:numPr>
        <w:autoSpaceDE w:val="0"/>
        <w:autoSpaceDN w:val="0"/>
        <w:adjustRightInd w:val="0"/>
        <w:spacing w:after="18" w:line="276" w:lineRule="auto"/>
        <w:contextualSpacing/>
        <w:jc w:val="both"/>
        <w:rPr>
          <w:rFonts w:ascii="Times New Roman" w:hAnsi="Times New Roman" w:cs="Times New Roman"/>
          <w:sz w:val="24"/>
          <w:szCs w:val="24"/>
        </w:rPr>
      </w:pPr>
      <w:r w:rsidRPr="00BE6379">
        <w:rPr>
          <w:rFonts w:ascii="Times New Roman" w:hAnsi="Times New Roman" w:cs="Times New Roman"/>
          <w:sz w:val="24"/>
          <w:szCs w:val="24"/>
        </w:rPr>
        <w:t>Mise en œuvre du projet et progrès réalisés</w:t>
      </w:r>
    </w:p>
    <w:p w:rsidR="00BE6379" w:rsidRPr="00BE6379" w:rsidRDefault="00BE6379" w:rsidP="00BE6379">
      <w:pPr>
        <w:numPr>
          <w:ilvl w:val="1"/>
          <w:numId w:val="11"/>
        </w:numPr>
        <w:autoSpaceDE w:val="0"/>
        <w:autoSpaceDN w:val="0"/>
        <w:adjustRightInd w:val="0"/>
        <w:spacing w:after="18" w:line="276" w:lineRule="auto"/>
        <w:contextualSpacing/>
        <w:jc w:val="both"/>
        <w:rPr>
          <w:rFonts w:ascii="Times New Roman" w:hAnsi="Times New Roman" w:cs="Times New Roman"/>
          <w:sz w:val="24"/>
          <w:szCs w:val="24"/>
        </w:rPr>
      </w:pPr>
      <w:r w:rsidRPr="00BE6379">
        <w:rPr>
          <w:rFonts w:ascii="Times New Roman" w:hAnsi="Times New Roman" w:cs="Times New Roman"/>
          <w:sz w:val="24"/>
          <w:szCs w:val="24"/>
        </w:rPr>
        <w:t>Résultats du projet (pertinence, efficacité, efficience, durabilité, impact)</w:t>
      </w:r>
    </w:p>
    <w:p w:rsidR="00BE6379" w:rsidRPr="00BE6379" w:rsidRDefault="00BE6379" w:rsidP="00BE6379">
      <w:pPr>
        <w:numPr>
          <w:ilvl w:val="0"/>
          <w:numId w:val="11"/>
        </w:numPr>
        <w:autoSpaceDE w:val="0"/>
        <w:autoSpaceDN w:val="0"/>
        <w:adjustRightInd w:val="0"/>
        <w:spacing w:after="18" w:line="276" w:lineRule="auto"/>
        <w:contextualSpacing/>
        <w:jc w:val="both"/>
        <w:rPr>
          <w:rFonts w:ascii="Times New Roman" w:hAnsi="Times New Roman" w:cs="Times New Roman"/>
          <w:sz w:val="24"/>
          <w:szCs w:val="24"/>
        </w:rPr>
      </w:pPr>
      <w:r w:rsidRPr="00BE6379">
        <w:rPr>
          <w:rFonts w:ascii="Times New Roman" w:hAnsi="Times New Roman" w:cs="Times New Roman"/>
          <w:color w:val="000000"/>
          <w:sz w:val="24"/>
          <w:szCs w:val="23"/>
        </w:rPr>
        <w:t>Contraintes et difficultés</w:t>
      </w:r>
    </w:p>
    <w:p w:rsidR="0054472A" w:rsidRPr="00EB350B" w:rsidRDefault="00BE6379" w:rsidP="00EB350B">
      <w:pPr>
        <w:spacing w:line="276" w:lineRule="auto"/>
        <w:jc w:val="both"/>
        <w:rPr>
          <w:rFonts w:ascii="Times New Roman" w:hAnsi="Times New Roman" w:cs="Times New Roman"/>
          <w:b/>
          <w:bCs/>
          <w:sz w:val="24"/>
          <w:szCs w:val="24"/>
        </w:rPr>
      </w:pPr>
      <w:r w:rsidRPr="00BE6379">
        <w:rPr>
          <w:rFonts w:ascii="Times New Roman" w:hAnsi="Times New Roman" w:cs="Times New Roman"/>
          <w:sz w:val="24"/>
          <w:szCs w:val="24"/>
        </w:rPr>
        <w:t>Conclusions, recommandations et enseignements</w:t>
      </w:r>
      <w:r>
        <w:rPr>
          <w:rFonts w:ascii="Times New Roman" w:hAnsi="Times New Roman" w:cs="Times New Roman"/>
          <w:sz w:val="24"/>
          <w:szCs w:val="24"/>
        </w:rPr>
        <w:t>.</w:t>
      </w:r>
      <w:bookmarkStart w:id="17" w:name="_Toc500352706"/>
      <w:r w:rsidR="0054472A">
        <w:rPr>
          <w:rFonts w:ascii="Times New Roman" w:hAnsi="Times New Roman" w:cs="Times New Roman"/>
          <w:b/>
          <w:bCs/>
          <w:sz w:val="24"/>
          <w:szCs w:val="24"/>
        </w:rPr>
        <w:br w:type="page"/>
      </w:r>
    </w:p>
    <w:p w:rsidR="001674FB" w:rsidRPr="00AA6908" w:rsidRDefault="001674FB" w:rsidP="00AA6908">
      <w:pPr>
        <w:pStyle w:val="Titre1"/>
        <w:spacing w:after="240" w:line="276" w:lineRule="auto"/>
        <w:jc w:val="both"/>
        <w:rPr>
          <w:rFonts w:ascii="Times New Roman" w:hAnsi="Times New Roman" w:cs="Times New Roman"/>
          <w:b/>
          <w:bCs/>
          <w:color w:val="auto"/>
          <w:sz w:val="24"/>
          <w:szCs w:val="24"/>
        </w:rPr>
      </w:pPr>
      <w:r w:rsidRPr="00AA6908">
        <w:rPr>
          <w:rFonts w:ascii="Times New Roman" w:hAnsi="Times New Roman" w:cs="Times New Roman"/>
          <w:b/>
          <w:bCs/>
          <w:color w:val="auto"/>
          <w:sz w:val="24"/>
          <w:szCs w:val="24"/>
        </w:rPr>
        <w:lastRenderedPageBreak/>
        <w:t>2. Description et contexte de développement du projet</w:t>
      </w:r>
      <w:bookmarkEnd w:id="17"/>
      <w:r w:rsidRPr="00AA6908">
        <w:rPr>
          <w:rFonts w:ascii="Times New Roman" w:hAnsi="Times New Roman" w:cs="Times New Roman"/>
          <w:b/>
          <w:bCs/>
          <w:color w:val="auto"/>
          <w:sz w:val="24"/>
          <w:szCs w:val="24"/>
        </w:rPr>
        <w:t xml:space="preserve"> </w:t>
      </w:r>
    </w:p>
    <w:p w:rsidR="001674FB" w:rsidRPr="001A2822" w:rsidRDefault="001674FB" w:rsidP="00720FA2">
      <w:pPr>
        <w:pStyle w:val="Paragraphedeliste"/>
        <w:spacing w:line="276" w:lineRule="auto"/>
        <w:jc w:val="both"/>
        <w:outlineLvl w:val="1"/>
        <w:rPr>
          <w:rFonts w:ascii="Times New Roman" w:hAnsi="Times New Roman" w:cs="Times New Roman"/>
          <w:b/>
          <w:bCs/>
          <w:sz w:val="24"/>
          <w:szCs w:val="24"/>
        </w:rPr>
      </w:pPr>
      <w:bookmarkStart w:id="18" w:name="_Toc500352707"/>
      <w:r w:rsidRPr="001A2822">
        <w:rPr>
          <w:rFonts w:ascii="Times New Roman" w:hAnsi="Times New Roman" w:cs="Times New Roman"/>
          <w:b/>
          <w:bCs/>
          <w:sz w:val="24"/>
          <w:szCs w:val="24"/>
        </w:rPr>
        <w:t>2.1. Démarrage et durée du projet</w:t>
      </w:r>
      <w:bookmarkEnd w:id="18"/>
      <w:r w:rsidRPr="001A2822">
        <w:rPr>
          <w:rFonts w:ascii="Times New Roman" w:hAnsi="Times New Roman" w:cs="Times New Roman"/>
          <w:b/>
          <w:bCs/>
          <w:sz w:val="24"/>
          <w:szCs w:val="24"/>
        </w:rPr>
        <w:t xml:space="preserve"> </w:t>
      </w:r>
    </w:p>
    <w:p w:rsidR="001A2822" w:rsidRPr="001674FB" w:rsidRDefault="001A2822" w:rsidP="00BE6379">
      <w:pPr>
        <w:spacing w:line="276" w:lineRule="auto"/>
        <w:jc w:val="both"/>
        <w:rPr>
          <w:rFonts w:ascii="Times New Roman" w:hAnsi="Times New Roman" w:cs="Times New Roman"/>
          <w:bCs/>
          <w:sz w:val="24"/>
          <w:szCs w:val="24"/>
        </w:rPr>
      </w:pPr>
      <w:r w:rsidRPr="001A2822">
        <w:rPr>
          <w:rFonts w:ascii="Times New Roman" w:hAnsi="Times New Roman" w:cs="Times New Roman"/>
          <w:bCs/>
          <w:sz w:val="24"/>
          <w:szCs w:val="24"/>
        </w:rPr>
        <w:t>Dans le cadre du cycle de programmation 2012-2016, le Gouvernement Burundi a signé avec le PNUD, en Juin 2013, un Accord pour le financement d’un Projet d’Assistance Technique Préparatoire pour le renforcement des secteurs de l’Energie et des Mines.</w:t>
      </w:r>
      <w:r>
        <w:rPr>
          <w:rFonts w:ascii="Times New Roman" w:hAnsi="Times New Roman" w:cs="Times New Roman"/>
          <w:bCs/>
          <w:sz w:val="24"/>
          <w:szCs w:val="24"/>
        </w:rPr>
        <w:t xml:space="preserve"> Cependant </w:t>
      </w:r>
      <w:r w:rsidRPr="001A2822">
        <w:rPr>
          <w:rFonts w:ascii="Times New Roman" w:hAnsi="Times New Roman" w:cs="Times New Roman"/>
          <w:bCs/>
          <w:sz w:val="24"/>
          <w:szCs w:val="24"/>
        </w:rPr>
        <w:t>le lancement effectif de la mise en œuvre des activités du projet a commencé en Novembre 2013 après la mise en place du Comité de pilotage du Projet, l’organisation de la première réunion dudit Comité et la signature d’un Mémorandum d’Accord entre le Ministère de l’Energie et des Mines et le PNUD pour la mise en œuvre de certaines activités du projet par cette dernière institution.</w:t>
      </w:r>
      <w:r>
        <w:rPr>
          <w:rFonts w:ascii="Times New Roman" w:hAnsi="Times New Roman" w:cs="Times New Roman"/>
          <w:bCs/>
          <w:sz w:val="24"/>
          <w:szCs w:val="24"/>
        </w:rPr>
        <w:t xml:space="preserve"> </w:t>
      </w:r>
      <w:r w:rsidRPr="001A2822">
        <w:rPr>
          <w:rFonts w:ascii="Times New Roman" w:hAnsi="Times New Roman" w:cs="Times New Roman"/>
          <w:bCs/>
          <w:sz w:val="24"/>
          <w:szCs w:val="24"/>
        </w:rPr>
        <w:t xml:space="preserve">. Initialement, </w:t>
      </w:r>
      <w:r>
        <w:rPr>
          <w:rFonts w:ascii="Times New Roman" w:hAnsi="Times New Roman" w:cs="Times New Roman"/>
          <w:bCs/>
          <w:sz w:val="24"/>
          <w:szCs w:val="24"/>
        </w:rPr>
        <w:t>pour une durée de 13 mois, le projet</w:t>
      </w:r>
      <w:r w:rsidRPr="001A2822">
        <w:rPr>
          <w:rFonts w:ascii="Times New Roman" w:hAnsi="Times New Roman" w:cs="Times New Roman"/>
          <w:bCs/>
          <w:sz w:val="24"/>
          <w:szCs w:val="24"/>
        </w:rPr>
        <w:t xml:space="preserve"> a été prolongé deux fois, la date finale de clôture ayant été finalement portée au 31 Mars 2017</w:t>
      </w:r>
      <w:r>
        <w:rPr>
          <w:rFonts w:ascii="Times New Roman" w:hAnsi="Times New Roman" w:cs="Times New Roman"/>
          <w:bCs/>
          <w:sz w:val="24"/>
          <w:szCs w:val="24"/>
        </w:rPr>
        <w:t xml:space="preserve"> </w:t>
      </w:r>
    </w:p>
    <w:p w:rsidR="001674FB" w:rsidRPr="00B060FE" w:rsidRDefault="001674FB" w:rsidP="00720FA2">
      <w:pPr>
        <w:pStyle w:val="Paragraphedeliste"/>
        <w:spacing w:line="276" w:lineRule="auto"/>
        <w:jc w:val="both"/>
        <w:outlineLvl w:val="1"/>
        <w:rPr>
          <w:rFonts w:ascii="Times New Roman" w:hAnsi="Times New Roman" w:cs="Times New Roman"/>
          <w:b/>
          <w:bCs/>
          <w:sz w:val="24"/>
          <w:szCs w:val="24"/>
        </w:rPr>
      </w:pPr>
      <w:bookmarkStart w:id="19" w:name="_Toc500352708"/>
      <w:r w:rsidRPr="00B060FE">
        <w:rPr>
          <w:rFonts w:ascii="Times New Roman" w:hAnsi="Times New Roman" w:cs="Times New Roman"/>
          <w:b/>
          <w:bCs/>
          <w:sz w:val="24"/>
          <w:szCs w:val="24"/>
        </w:rPr>
        <w:t>2.2. Contexte de développement</w:t>
      </w:r>
      <w:bookmarkEnd w:id="19"/>
      <w:r w:rsidRPr="00B060FE">
        <w:rPr>
          <w:rFonts w:ascii="Times New Roman" w:hAnsi="Times New Roman" w:cs="Times New Roman"/>
          <w:b/>
          <w:bCs/>
          <w:sz w:val="24"/>
          <w:szCs w:val="24"/>
        </w:rPr>
        <w:t xml:space="preserve"> </w:t>
      </w:r>
    </w:p>
    <w:p w:rsidR="001D54BA" w:rsidRPr="001D54BA" w:rsidRDefault="001D54BA" w:rsidP="001D54BA">
      <w:pPr>
        <w:pStyle w:val="NormalWeb"/>
        <w:spacing w:line="276" w:lineRule="auto"/>
        <w:jc w:val="both"/>
        <w:rPr>
          <w:bCs/>
        </w:rPr>
      </w:pPr>
      <w:r w:rsidRPr="001D54BA">
        <w:rPr>
          <w:bCs/>
        </w:rPr>
        <w:t>L</w:t>
      </w:r>
      <w:r>
        <w:rPr>
          <w:bCs/>
        </w:rPr>
        <w:t>ors de</w:t>
      </w:r>
      <w:r w:rsidR="000009FB">
        <w:rPr>
          <w:bCs/>
        </w:rPr>
        <w:t xml:space="preserve"> la formulation du </w:t>
      </w:r>
      <w:r>
        <w:rPr>
          <w:bCs/>
        </w:rPr>
        <w:t xml:space="preserve"> projet, le g</w:t>
      </w:r>
      <w:r w:rsidRPr="001D54BA">
        <w:rPr>
          <w:bCs/>
        </w:rPr>
        <w:t>ouve</w:t>
      </w:r>
      <w:r>
        <w:rPr>
          <w:bCs/>
        </w:rPr>
        <w:t>rnement burundais venait d’achever</w:t>
      </w:r>
      <w:r w:rsidRPr="001D54BA">
        <w:rPr>
          <w:bCs/>
        </w:rPr>
        <w:t>, avec l’appui de ses partenaires, un</w:t>
      </w:r>
      <w:r>
        <w:rPr>
          <w:bCs/>
        </w:rPr>
        <w:t xml:space="preserve"> e</w:t>
      </w:r>
      <w:r w:rsidRPr="001D54BA">
        <w:rPr>
          <w:bCs/>
        </w:rPr>
        <w:t>xercice de planification stratégique de très haut niveau avec d’une part, l’adoption et le lancement solennel en Juillet 2011 de la vision « Burundi 2025 », et d’autre part l’adoption en février 2012 du Cadre Stratégique de deuxième génération, CSLP II en sigle. Ce dernier constitue l’outil d’opérationnalisation de ladite Vision.</w:t>
      </w:r>
    </w:p>
    <w:p w:rsidR="001D54BA" w:rsidRDefault="00650EF1" w:rsidP="00650EF1">
      <w:pPr>
        <w:pStyle w:val="NormalWeb"/>
        <w:jc w:val="both"/>
        <w:rPr>
          <w:bCs/>
        </w:rPr>
      </w:pPr>
      <w:r w:rsidRPr="00650EF1">
        <w:rPr>
          <w:bCs/>
        </w:rPr>
        <w:t>L’ambition clairement affichée dans les deux cadres de référence est de promouvoir une croissance accélérée et partagée (pro-pauvres)</w:t>
      </w:r>
      <w:r>
        <w:rPr>
          <w:bCs/>
        </w:rPr>
        <w:t>. Les deux documents reconnaissent que le secteur de l’énergie et celui des mines s</w:t>
      </w:r>
      <w:r w:rsidR="009763DE">
        <w:rPr>
          <w:bCs/>
        </w:rPr>
        <w:t>ont des leviers importants en vue de promouvoir une croissance accélérée.</w:t>
      </w:r>
    </w:p>
    <w:p w:rsidR="009763DE" w:rsidRPr="009763DE" w:rsidRDefault="009763DE" w:rsidP="00650EF1">
      <w:pPr>
        <w:pStyle w:val="NormalWeb"/>
        <w:jc w:val="both"/>
        <w:rPr>
          <w:b/>
          <w:bCs/>
        </w:rPr>
      </w:pPr>
      <w:r w:rsidRPr="009763DE">
        <w:rPr>
          <w:b/>
          <w:bCs/>
        </w:rPr>
        <w:t>Secteur de l’énergie</w:t>
      </w:r>
    </w:p>
    <w:p w:rsidR="00E40CA1" w:rsidRDefault="00E40CA1" w:rsidP="009763DE">
      <w:pPr>
        <w:pStyle w:val="NormalWeb"/>
        <w:spacing w:line="276" w:lineRule="auto"/>
        <w:jc w:val="both"/>
      </w:pPr>
      <w:r>
        <w:t>A</w:t>
      </w:r>
      <w:r w:rsidR="009763DE">
        <w:t>vec une popul</w:t>
      </w:r>
      <w:r w:rsidR="000009FB">
        <w:t>ation d’environ</w:t>
      </w:r>
      <w:r w:rsidR="009763DE">
        <w:t xml:space="preserve"> </w:t>
      </w:r>
      <w:r w:rsidR="000009FB">
        <w:t xml:space="preserve">10 </w:t>
      </w:r>
      <w:r>
        <w:t>millions d’habitants, le Burundi est confronté à d’énorm</w:t>
      </w:r>
      <w:r w:rsidR="009763DE">
        <w:t>es défis énergétiques ; moins de 4</w:t>
      </w:r>
      <w:r>
        <w:t>% de sa population a</w:t>
      </w:r>
      <w:r w:rsidR="009763DE">
        <w:t>vait</w:t>
      </w:r>
      <w:r>
        <w:t xml:space="preserve"> accès à l’électricité</w:t>
      </w:r>
      <w:r w:rsidR="009763DE">
        <w:t xml:space="preserve"> en 2011. </w:t>
      </w:r>
      <w:r>
        <w:t xml:space="preserve">L’économie du pays, affectée par cette </w:t>
      </w:r>
      <w:r w:rsidR="009763DE">
        <w:t>ca</w:t>
      </w:r>
      <w:r w:rsidR="005B4C7C">
        <w:t>rence énergétique, s’en trouve</w:t>
      </w:r>
      <w:r>
        <w:t xml:space="preserve"> affaiblie et peu diversifiée. Les différents secteurs économiques affectés sont, notamment, </w:t>
      </w:r>
      <w:r w:rsidR="009763DE">
        <w:t xml:space="preserve">les mines, </w:t>
      </w:r>
      <w:r>
        <w:t>l’industrie, le commerce, le tourisme, l’agriculture, la pêche, et l’urbanisme.</w:t>
      </w:r>
    </w:p>
    <w:p w:rsidR="009763DE" w:rsidRDefault="009763DE" w:rsidP="009763DE">
      <w:pPr>
        <w:pStyle w:val="NormalWeb"/>
        <w:spacing w:line="276" w:lineRule="auto"/>
        <w:jc w:val="both"/>
      </w:pPr>
      <w:r w:rsidRPr="009763DE">
        <w:t>A titre d’exemple, alors que la production nationale et les importa</w:t>
      </w:r>
      <w:r>
        <w:t xml:space="preserve">tions ne totalisaient en 2011 </w:t>
      </w:r>
      <w:r w:rsidRPr="009763DE">
        <w:t>qu’environ 51 MW et les déficits de 10 à 25 MW (20 à 50% de l’énergie électrique</w:t>
      </w:r>
      <w:r>
        <w:t xml:space="preserve"> disponible) selon les saisons,</w:t>
      </w:r>
      <w:r w:rsidRPr="009763DE">
        <w:t xml:space="preserve"> les besoins en énergie pour le secteur minie</w:t>
      </w:r>
      <w:r>
        <w:t>r étaient</w:t>
      </w:r>
      <w:r w:rsidRPr="009763DE">
        <w:t xml:space="preserve"> estimés </w:t>
      </w:r>
      <w:r>
        <w:t xml:space="preserve">à l’époque </w:t>
      </w:r>
      <w:r w:rsidRPr="009763DE">
        <w:t>entre 300 et 800 MW dans les 10 ans à venir pour la seule industrie du Nickel et des minerais associés qui pourrai</w:t>
      </w:r>
      <w:r w:rsidR="00875B5C">
        <w:t>en</w:t>
      </w:r>
      <w:r w:rsidRPr="009763DE">
        <w:t>t apporter une forte croissance grâce aux recettes publiques tirées de la vente de ces minéraux.</w:t>
      </w:r>
      <w:r>
        <w:t xml:space="preserve"> </w:t>
      </w:r>
    </w:p>
    <w:p w:rsidR="009763DE" w:rsidRPr="009763DE" w:rsidRDefault="009763DE" w:rsidP="009763DE">
      <w:pPr>
        <w:spacing w:line="276" w:lineRule="auto"/>
        <w:jc w:val="both"/>
        <w:rPr>
          <w:rFonts w:ascii="Times New Roman" w:hAnsi="Times New Roman" w:cs="Times New Roman"/>
          <w:iCs/>
          <w:sz w:val="24"/>
        </w:rPr>
      </w:pPr>
      <w:r w:rsidRPr="009763DE">
        <w:rPr>
          <w:rFonts w:ascii="Times New Roman" w:hAnsi="Times New Roman" w:cs="Times New Roman"/>
          <w:sz w:val="24"/>
        </w:rPr>
        <w:t>Les énergies renouvelables ont la capacité potentielle de fournir toute l’énergie nécessaire mais leur utilisation réelle est encore insuffisante. Le potentiel hydraulique estimé est de 1700 MW</w:t>
      </w:r>
      <w:r>
        <w:rPr>
          <w:rFonts w:ascii="Times New Roman" w:hAnsi="Times New Roman" w:cs="Times New Roman"/>
          <w:sz w:val="24"/>
        </w:rPr>
        <w:t xml:space="preserve"> (dont 350 MW économiquement exploitables)</w:t>
      </w:r>
      <w:r w:rsidRPr="009763DE">
        <w:rPr>
          <w:rFonts w:ascii="Times New Roman" w:hAnsi="Times New Roman" w:cs="Times New Roman"/>
          <w:sz w:val="24"/>
        </w:rPr>
        <w:t xml:space="preserve"> tandis que l’ensoleillement moyen au Burundi est proche de 2000 kWh/m²/an, soit l’ensoleillement de l’Europe du Sud. </w:t>
      </w:r>
      <w:r w:rsidRPr="009763DE">
        <w:rPr>
          <w:rFonts w:ascii="Times New Roman" w:hAnsi="Times New Roman" w:cs="Times New Roman"/>
          <w:iCs/>
          <w:sz w:val="24"/>
        </w:rPr>
        <w:t xml:space="preserve">D’autres </w:t>
      </w:r>
      <w:r w:rsidRPr="009763DE">
        <w:rPr>
          <w:rFonts w:ascii="Times New Roman" w:hAnsi="Times New Roman" w:cs="Times New Roman"/>
          <w:iCs/>
          <w:sz w:val="24"/>
        </w:rPr>
        <w:lastRenderedPageBreak/>
        <w:t>ressources potentielles existent, comme l’éolien et la géothermie, nécessitant une Etude d’évaluation du potentiel.</w:t>
      </w:r>
      <w:r w:rsidR="00875B5C">
        <w:rPr>
          <w:rFonts w:ascii="Times New Roman" w:hAnsi="Times New Roman" w:cs="Times New Roman"/>
          <w:iCs/>
          <w:sz w:val="24"/>
        </w:rPr>
        <w:t xml:space="preserve"> C’est dire qu’avec ce potentiel le Burundi dispose d’atouts non négligeables pour remplir les conditions imposées dans l’initiative de Nations Unies de l’Energie Durable pour Tous (SE4ALL) avec un mix énergétique qui</w:t>
      </w:r>
      <w:r w:rsidR="00CE6CBC">
        <w:rPr>
          <w:rFonts w:ascii="Times New Roman" w:hAnsi="Times New Roman" w:cs="Times New Roman"/>
          <w:iCs/>
          <w:sz w:val="24"/>
        </w:rPr>
        <w:t xml:space="preserve"> pourrait avoisiner les 100% de renouvelable, l’hydroélectricité prenant la frange la plus importante. </w:t>
      </w:r>
      <w:r w:rsidR="00875B5C">
        <w:rPr>
          <w:rFonts w:ascii="Times New Roman" w:hAnsi="Times New Roman" w:cs="Times New Roman"/>
          <w:iCs/>
          <w:sz w:val="24"/>
        </w:rPr>
        <w:t xml:space="preserve"> </w:t>
      </w:r>
    </w:p>
    <w:p w:rsidR="009763DE" w:rsidRPr="009763DE" w:rsidRDefault="009763DE" w:rsidP="009763DE">
      <w:pPr>
        <w:spacing w:line="276" w:lineRule="auto"/>
        <w:jc w:val="both"/>
        <w:rPr>
          <w:rFonts w:ascii="Times New Roman" w:hAnsi="Times New Roman" w:cs="Times New Roman"/>
          <w:sz w:val="24"/>
        </w:rPr>
      </w:pPr>
      <w:r w:rsidRPr="009763DE">
        <w:rPr>
          <w:rFonts w:ascii="Times New Roman" w:hAnsi="Times New Roman" w:cs="Times New Roman"/>
          <w:sz w:val="24"/>
        </w:rPr>
        <w:t xml:space="preserve">L’Etat a défini en 2011 ses besoins et ses objectifs prioritaires d’action dans </w:t>
      </w:r>
      <w:r w:rsidRPr="009763DE">
        <w:rPr>
          <w:rFonts w:ascii="Times New Roman" w:hAnsi="Times New Roman" w:cs="Times New Roman"/>
          <w:bCs/>
          <w:sz w:val="24"/>
        </w:rPr>
        <w:t>une « Lettre de Politique Energétique du Burundi, de sa Stratégie Sectorielle et de son Plan d’Actions</w:t>
      </w:r>
      <w:r w:rsidRPr="009763DE">
        <w:rPr>
          <w:rFonts w:ascii="Times New Roman" w:hAnsi="Times New Roman" w:cs="Times New Roman"/>
          <w:sz w:val="24"/>
        </w:rPr>
        <w:t>».</w:t>
      </w:r>
    </w:p>
    <w:p w:rsidR="009763DE" w:rsidRPr="009763DE" w:rsidRDefault="009763DE" w:rsidP="009763DE">
      <w:pPr>
        <w:spacing w:after="0" w:line="276" w:lineRule="auto"/>
        <w:jc w:val="both"/>
        <w:rPr>
          <w:rFonts w:ascii="Times New Roman" w:hAnsi="Times New Roman" w:cs="Times New Roman"/>
          <w:sz w:val="24"/>
        </w:rPr>
      </w:pPr>
      <w:r w:rsidRPr="009763DE">
        <w:rPr>
          <w:rFonts w:ascii="Times New Roman" w:hAnsi="Times New Roman" w:cs="Times New Roman"/>
          <w:sz w:val="24"/>
        </w:rPr>
        <w:t>Cette lettre identifie le Secteur de l’Energie</w:t>
      </w:r>
      <w:r w:rsidR="009030D1">
        <w:rPr>
          <w:rFonts w:ascii="Times New Roman" w:hAnsi="Times New Roman" w:cs="Times New Roman"/>
          <w:sz w:val="24"/>
        </w:rPr>
        <w:t xml:space="preserve"> qui</w:t>
      </w:r>
      <w:r w:rsidRPr="009763DE">
        <w:rPr>
          <w:rFonts w:ascii="Times New Roman" w:hAnsi="Times New Roman" w:cs="Times New Roman"/>
          <w:sz w:val="24"/>
        </w:rPr>
        <w:t xml:space="preserve"> doit :</w:t>
      </w:r>
    </w:p>
    <w:p w:rsidR="009763DE" w:rsidRPr="009763DE" w:rsidRDefault="009763DE" w:rsidP="009763DE">
      <w:pPr>
        <w:spacing w:after="0" w:line="276" w:lineRule="auto"/>
        <w:ind w:left="567" w:hanging="283"/>
        <w:jc w:val="both"/>
        <w:rPr>
          <w:rFonts w:ascii="Times New Roman" w:hAnsi="Times New Roman" w:cs="Times New Roman"/>
          <w:sz w:val="24"/>
        </w:rPr>
      </w:pPr>
      <w:r w:rsidRPr="009763DE">
        <w:rPr>
          <w:rFonts w:ascii="Times New Roman" w:hAnsi="Times New Roman" w:cs="Times New Roman"/>
          <w:sz w:val="24"/>
        </w:rPr>
        <w:t xml:space="preserve">i) favoriser la croissance en levant l’hypothèque énergétique sur les activités productives par l’augmentation de la capacité de production; </w:t>
      </w:r>
    </w:p>
    <w:p w:rsidR="009763DE" w:rsidRPr="009763DE" w:rsidRDefault="009763DE" w:rsidP="009763DE">
      <w:pPr>
        <w:spacing w:after="0" w:line="276" w:lineRule="auto"/>
        <w:ind w:left="567" w:hanging="283"/>
        <w:jc w:val="both"/>
        <w:rPr>
          <w:rFonts w:ascii="Times New Roman" w:hAnsi="Times New Roman" w:cs="Times New Roman"/>
          <w:sz w:val="24"/>
        </w:rPr>
      </w:pPr>
      <w:r w:rsidRPr="009763DE">
        <w:rPr>
          <w:rFonts w:ascii="Times New Roman" w:hAnsi="Times New Roman" w:cs="Times New Roman"/>
          <w:sz w:val="24"/>
        </w:rPr>
        <w:t xml:space="preserve">ii) améliorer le bien-être social en rendant l’énergie moderne accessible à la grande majorité de la population; </w:t>
      </w:r>
    </w:p>
    <w:p w:rsidR="009763DE" w:rsidRPr="009763DE" w:rsidRDefault="009763DE" w:rsidP="004E6D30">
      <w:pPr>
        <w:spacing w:line="276" w:lineRule="auto"/>
        <w:ind w:left="567" w:hanging="283"/>
        <w:jc w:val="both"/>
        <w:rPr>
          <w:rFonts w:ascii="Times New Roman" w:hAnsi="Times New Roman" w:cs="Times New Roman"/>
          <w:sz w:val="24"/>
        </w:rPr>
      </w:pPr>
      <w:r w:rsidRPr="009763DE">
        <w:rPr>
          <w:rFonts w:ascii="Times New Roman" w:hAnsi="Times New Roman" w:cs="Times New Roman"/>
          <w:sz w:val="24"/>
        </w:rPr>
        <w:t>iii) être efficient transparent, équitable pour optimiser l’emploi des ressources financières et humaines.</w:t>
      </w:r>
    </w:p>
    <w:p w:rsidR="001A2822" w:rsidRPr="004E6D30" w:rsidRDefault="004E6D30" w:rsidP="001A282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Le secteur des mines</w:t>
      </w:r>
    </w:p>
    <w:p w:rsidR="00B57EB3" w:rsidRDefault="00B57EB3" w:rsidP="001A2822">
      <w:pPr>
        <w:spacing w:line="276" w:lineRule="auto"/>
        <w:jc w:val="both"/>
        <w:rPr>
          <w:rFonts w:ascii="Times New Roman" w:hAnsi="Times New Roman" w:cs="Times New Roman"/>
          <w:bCs/>
          <w:sz w:val="24"/>
          <w:szCs w:val="24"/>
        </w:rPr>
      </w:pPr>
      <w:r w:rsidRPr="00B57EB3">
        <w:rPr>
          <w:rFonts w:ascii="Times New Roman" w:hAnsi="Times New Roman" w:cs="Times New Roman"/>
          <w:bCs/>
          <w:sz w:val="24"/>
          <w:szCs w:val="24"/>
        </w:rPr>
        <w:t>Le secteur minier est actuellement peu exploité a</w:t>
      </w:r>
      <w:r>
        <w:rPr>
          <w:rFonts w:ascii="Times New Roman" w:hAnsi="Times New Roman" w:cs="Times New Roman"/>
          <w:bCs/>
          <w:sz w:val="24"/>
          <w:szCs w:val="24"/>
        </w:rPr>
        <w:t>u Burundi et ne représente qu’un</w:t>
      </w:r>
      <w:r w:rsidRPr="00B57EB3">
        <w:rPr>
          <w:rFonts w:ascii="Times New Roman" w:hAnsi="Times New Roman" w:cs="Times New Roman"/>
          <w:bCs/>
          <w:sz w:val="24"/>
          <w:szCs w:val="24"/>
        </w:rPr>
        <w:t xml:space="preserve"> pour cent</w:t>
      </w:r>
      <w:r>
        <w:rPr>
          <w:rFonts w:ascii="Times New Roman" w:hAnsi="Times New Roman" w:cs="Times New Roman"/>
          <w:bCs/>
          <w:sz w:val="24"/>
          <w:szCs w:val="24"/>
        </w:rPr>
        <w:t xml:space="preserve"> (1%)</w:t>
      </w:r>
      <w:r w:rsidRPr="00B57EB3">
        <w:rPr>
          <w:rFonts w:ascii="Times New Roman" w:hAnsi="Times New Roman" w:cs="Times New Roman"/>
          <w:bCs/>
          <w:sz w:val="24"/>
          <w:szCs w:val="24"/>
        </w:rPr>
        <w:t xml:space="preserve"> du PIB. </w:t>
      </w:r>
      <w:r w:rsidR="005B4C7C" w:rsidRPr="005B4C7C">
        <w:rPr>
          <w:rFonts w:ascii="Times New Roman" w:hAnsi="Times New Roman" w:cs="Times New Roman"/>
          <w:bCs/>
          <w:sz w:val="24"/>
          <w:szCs w:val="24"/>
        </w:rPr>
        <w:t>Les données géologiques disponible</w:t>
      </w:r>
      <w:r w:rsidR="00AC46ED">
        <w:rPr>
          <w:rFonts w:ascii="Times New Roman" w:hAnsi="Times New Roman" w:cs="Times New Roman"/>
          <w:bCs/>
          <w:sz w:val="24"/>
          <w:szCs w:val="24"/>
        </w:rPr>
        <w:t>s sont faible</w:t>
      </w:r>
      <w:r w:rsidR="000009FB">
        <w:rPr>
          <w:rFonts w:ascii="Times New Roman" w:hAnsi="Times New Roman" w:cs="Times New Roman"/>
          <w:bCs/>
          <w:sz w:val="24"/>
          <w:szCs w:val="24"/>
        </w:rPr>
        <w:t>s</w:t>
      </w:r>
      <w:r w:rsidR="00AC46ED">
        <w:rPr>
          <w:rFonts w:ascii="Times New Roman" w:hAnsi="Times New Roman" w:cs="Times New Roman"/>
          <w:bCs/>
          <w:sz w:val="24"/>
          <w:szCs w:val="24"/>
        </w:rPr>
        <w:t xml:space="preserve"> et il manque une politique m</w:t>
      </w:r>
      <w:r w:rsidR="005B4C7C" w:rsidRPr="005B4C7C">
        <w:rPr>
          <w:rFonts w:ascii="Times New Roman" w:hAnsi="Times New Roman" w:cs="Times New Roman"/>
          <w:bCs/>
          <w:sz w:val="24"/>
          <w:szCs w:val="24"/>
        </w:rPr>
        <w:t>inière qui précise les axes stratégiques de développement et attire les investisseurs, en leur fournissant des informations fiables et un cadre réglementaire stable.</w:t>
      </w:r>
      <w:r w:rsidRPr="00B57EB3">
        <w:rPr>
          <w:rFonts w:ascii="Times New Roman" w:hAnsi="Times New Roman" w:cs="Times New Roman"/>
          <w:bCs/>
          <w:sz w:val="24"/>
          <w:szCs w:val="24"/>
        </w:rPr>
        <w:t xml:space="preserve"> Pourtant, le Burundi dispose d’un potentiel minier intéressant qui est principalement constitué de minéralisations de nickel</w:t>
      </w:r>
      <w:r w:rsidR="0047455D">
        <w:rPr>
          <w:rFonts w:ascii="Times New Roman" w:hAnsi="Times New Roman" w:cs="Times New Roman"/>
          <w:bCs/>
          <w:sz w:val="24"/>
          <w:szCs w:val="24"/>
        </w:rPr>
        <w:t xml:space="preserve"> (plus de 160 Million</w:t>
      </w:r>
      <w:r w:rsidR="000009FB">
        <w:rPr>
          <w:rFonts w:ascii="Times New Roman" w:hAnsi="Times New Roman" w:cs="Times New Roman"/>
          <w:bCs/>
          <w:sz w:val="24"/>
          <w:szCs w:val="24"/>
        </w:rPr>
        <w:t>s</w:t>
      </w:r>
      <w:r w:rsidR="0047455D">
        <w:rPr>
          <w:rFonts w:ascii="Times New Roman" w:hAnsi="Times New Roman" w:cs="Times New Roman"/>
          <w:bCs/>
          <w:sz w:val="24"/>
          <w:szCs w:val="24"/>
        </w:rPr>
        <w:t xml:space="preserve"> de tonnes avec une teneur variant entre 1,38 et 1,46%)</w:t>
      </w:r>
      <w:r w:rsidRPr="00B57EB3">
        <w:rPr>
          <w:rFonts w:ascii="Times New Roman" w:hAnsi="Times New Roman" w:cs="Times New Roman"/>
          <w:bCs/>
          <w:sz w:val="24"/>
          <w:szCs w:val="24"/>
        </w:rPr>
        <w:t xml:space="preserve">, de vanadium, de phosphates, de tourbe, de calcaire, etc. </w:t>
      </w:r>
    </w:p>
    <w:p w:rsidR="0052016A" w:rsidRPr="0052016A" w:rsidRDefault="0052016A" w:rsidP="00AC46ED">
      <w:pPr>
        <w:spacing w:line="276" w:lineRule="auto"/>
        <w:jc w:val="lowKashida"/>
        <w:rPr>
          <w:rFonts w:ascii="Times New Roman" w:eastAsia="Cambria" w:hAnsi="Times New Roman" w:cs="Times New Roman"/>
          <w:bCs/>
          <w:sz w:val="24"/>
          <w:szCs w:val="24"/>
          <w:lang w:eastAsia="fr-FR"/>
        </w:rPr>
      </w:pPr>
      <w:r w:rsidRPr="0052016A">
        <w:rPr>
          <w:rFonts w:ascii="Times New Roman" w:eastAsia="Cambria" w:hAnsi="Times New Roman" w:cs="Times New Roman"/>
          <w:bCs/>
          <w:sz w:val="24"/>
          <w:szCs w:val="24"/>
          <w:lang w:eastAsia="fr-FR"/>
        </w:rPr>
        <w:t>Aussi, le Burundi n’est pas encore membre de l’Initiative pour la Transparence dans les Industries Extractives (ITIE) qui est une initiative d’envergure mondiale visant à promouvoir une meilleure gouvernance dans les pays riches en ressources naturelles</w:t>
      </w:r>
      <w:r w:rsidR="00AC46ED">
        <w:rPr>
          <w:rFonts w:ascii="Times New Roman" w:eastAsia="Cambria" w:hAnsi="Times New Roman" w:cs="Times New Roman"/>
          <w:bCs/>
          <w:sz w:val="24"/>
          <w:szCs w:val="24"/>
          <w:lang w:eastAsia="fr-FR"/>
        </w:rPr>
        <w:t>.</w:t>
      </w:r>
      <w:r w:rsidRPr="0052016A">
        <w:rPr>
          <w:rFonts w:ascii="Times New Roman" w:eastAsia="Cambria" w:hAnsi="Times New Roman" w:cs="Times New Roman"/>
          <w:bCs/>
          <w:sz w:val="24"/>
          <w:szCs w:val="24"/>
          <w:lang w:eastAsia="fr-FR"/>
        </w:rPr>
        <w:t xml:space="preserve"> L’adhésion du pays à cette initiative permettrait de renforcer sa crédibilité auprès de tous ses partenaires (Bailleurs de fonds et Investisseurs privés).</w:t>
      </w:r>
      <w:r w:rsidR="009030D1">
        <w:rPr>
          <w:rFonts w:ascii="Times New Roman" w:eastAsia="Cambria" w:hAnsi="Times New Roman" w:cs="Times New Roman"/>
          <w:bCs/>
          <w:sz w:val="24"/>
          <w:szCs w:val="24"/>
          <w:lang w:eastAsia="fr-FR"/>
        </w:rPr>
        <w:t xml:space="preserve"> Le processus d’adhésion est en cours. </w:t>
      </w:r>
    </w:p>
    <w:p w:rsidR="0052016A" w:rsidRPr="0052016A" w:rsidRDefault="0052016A" w:rsidP="0052016A">
      <w:pPr>
        <w:spacing w:after="0" w:line="276" w:lineRule="auto"/>
        <w:jc w:val="lowKashida"/>
        <w:rPr>
          <w:rFonts w:ascii="Times New Roman" w:eastAsia="Cambria" w:hAnsi="Times New Roman" w:cs="Times New Roman"/>
          <w:sz w:val="24"/>
          <w:szCs w:val="24"/>
          <w:lang w:eastAsia="fr-FR"/>
        </w:rPr>
      </w:pPr>
      <w:r w:rsidRPr="0052016A">
        <w:rPr>
          <w:rFonts w:ascii="Times New Roman" w:eastAsia="Cambria" w:hAnsi="Times New Roman" w:cs="Times New Roman"/>
          <w:sz w:val="24"/>
          <w:szCs w:val="24"/>
          <w:lang w:eastAsia="fr-FR"/>
        </w:rPr>
        <w:t>A court terme, les mesures prévues dans le CSLP II comportent:</w:t>
      </w:r>
    </w:p>
    <w:p w:rsidR="0052016A" w:rsidRPr="0052016A" w:rsidRDefault="00AC46ED" w:rsidP="0052016A">
      <w:pPr>
        <w:numPr>
          <w:ilvl w:val="0"/>
          <w:numId w:val="17"/>
        </w:numPr>
        <w:spacing w:after="0" w:line="276" w:lineRule="auto"/>
        <w:contextualSpacing/>
        <w:jc w:val="lowKashida"/>
        <w:rPr>
          <w:rFonts w:ascii="Times New Roman" w:eastAsia="Cambria" w:hAnsi="Times New Roman" w:cs="Times New Roman"/>
          <w:sz w:val="24"/>
          <w:szCs w:val="24"/>
          <w:lang w:eastAsia="fr-FR"/>
        </w:rPr>
      </w:pPr>
      <w:r>
        <w:rPr>
          <w:rFonts w:ascii="Times New Roman" w:eastAsia="Cambria" w:hAnsi="Times New Roman" w:cs="Times New Roman"/>
          <w:sz w:val="24"/>
          <w:szCs w:val="24"/>
          <w:lang w:eastAsia="fr-FR"/>
        </w:rPr>
        <w:t>l</w:t>
      </w:r>
      <w:r w:rsidR="0052016A" w:rsidRPr="0052016A">
        <w:rPr>
          <w:rFonts w:ascii="Times New Roman" w:eastAsia="Cambria" w:hAnsi="Times New Roman" w:cs="Times New Roman"/>
          <w:sz w:val="24"/>
          <w:szCs w:val="24"/>
          <w:lang w:eastAsia="fr-FR"/>
        </w:rPr>
        <w:t>e renforcement en capacités technologiques permettant la recherche et l’exploitation des ressources minières (la production de Nickel est attendue à 50.000 tonnes en 2014) ;</w:t>
      </w:r>
    </w:p>
    <w:p w:rsidR="0052016A" w:rsidRDefault="00AC46ED" w:rsidP="0052016A">
      <w:pPr>
        <w:numPr>
          <w:ilvl w:val="0"/>
          <w:numId w:val="17"/>
        </w:numPr>
        <w:spacing w:after="0" w:line="276" w:lineRule="auto"/>
        <w:contextualSpacing/>
        <w:jc w:val="lowKashida"/>
        <w:rPr>
          <w:rFonts w:ascii="Times New Roman" w:eastAsia="Cambria" w:hAnsi="Times New Roman" w:cs="Times New Roman"/>
          <w:sz w:val="24"/>
          <w:szCs w:val="24"/>
          <w:lang w:eastAsia="fr-FR"/>
        </w:rPr>
      </w:pPr>
      <w:r>
        <w:rPr>
          <w:rFonts w:ascii="Times New Roman" w:eastAsia="Cambria" w:hAnsi="Times New Roman" w:cs="Times New Roman"/>
          <w:sz w:val="24"/>
          <w:szCs w:val="24"/>
          <w:lang w:eastAsia="fr-FR"/>
        </w:rPr>
        <w:t>l</w:t>
      </w:r>
      <w:r w:rsidR="0052016A" w:rsidRPr="0052016A">
        <w:rPr>
          <w:rFonts w:ascii="Times New Roman" w:eastAsia="Cambria" w:hAnsi="Times New Roman" w:cs="Times New Roman"/>
          <w:sz w:val="24"/>
          <w:szCs w:val="24"/>
          <w:lang w:eastAsia="fr-FR"/>
        </w:rPr>
        <w:t>’amélioration des performances de l’exploitation artisanale basée sur un meilleur encadrement, et la création d’associations et la formation des petites et moyennes entreprises ;</w:t>
      </w:r>
    </w:p>
    <w:p w:rsidR="0052016A" w:rsidRPr="00AC46ED" w:rsidRDefault="00AC46ED" w:rsidP="00AC46ED">
      <w:pPr>
        <w:pStyle w:val="Paragraphedeliste"/>
        <w:numPr>
          <w:ilvl w:val="0"/>
          <w:numId w:val="18"/>
        </w:numPr>
        <w:rPr>
          <w:rFonts w:ascii="Times New Roman" w:eastAsia="Cambria" w:hAnsi="Times New Roman" w:cs="Times New Roman"/>
          <w:sz w:val="24"/>
          <w:szCs w:val="24"/>
          <w:lang w:eastAsia="fr-FR"/>
        </w:rPr>
      </w:pPr>
      <w:r w:rsidRPr="00AC46ED">
        <w:rPr>
          <w:rFonts w:ascii="Times New Roman" w:eastAsia="Cambria" w:hAnsi="Times New Roman" w:cs="Times New Roman"/>
          <w:sz w:val="24"/>
          <w:szCs w:val="24"/>
          <w:lang w:eastAsia="fr-FR"/>
        </w:rPr>
        <w:t>l</w:t>
      </w:r>
      <w:r w:rsidR="0052016A" w:rsidRPr="00AC46ED">
        <w:rPr>
          <w:rFonts w:ascii="Times New Roman" w:eastAsia="Cambria" w:hAnsi="Times New Roman" w:cs="Times New Roman"/>
          <w:sz w:val="24"/>
          <w:szCs w:val="24"/>
          <w:lang w:eastAsia="fr-FR"/>
        </w:rPr>
        <w:t>a mise en place d’une production électrique suffisante permettant l’exploitation à l’échelle industrielle des gisements miniers de Musongati.</w:t>
      </w:r>
    </w:p>
    <w:p w:rsidR="0096794C" w:rsidRDefault="0052016A" w:rsidP="0096794C">
      <w:pPr>
        <w:spacing w:line="276" w:lineRule="auto"/>
        <w:jc w:val="both"/>
        <w:rPr>
          <w:rFonts w:ascii="Times New Roman" w:eastAsia="Cambria" w:hAnsi="Times New Roman" w:cs="Times New Roman"/>
          <w:sz w:val="24"/>
          <w:szCs w:val="24"/>
          <w:lang w:eastAsia="fr-FR"/>
        </w:rPr>
      </w:pPr>
      <w:r w:rsidRPr="0052016A">
        <w:rPr>
          <w:rFonts w:ascii="Times New Roman" w:eastAsia="Cambria" w:hAnsi="Times New Roman" w:cs="Times New Roman"/>
          <w:sz w:val="24"/>
          <w:szCs w:val="24"/>
          <w:lang w:eastAsia="fr-FR"/>
        </w:rPr>
        <w:t>L</w:t>
      </w:r>
      <w:r w:rsidR="00AC46ED">
        <w:rPr>
          <w:rFonts w:ascii="Times New Roman" w:eastAsia="Cambria" w:hAnsi="Times New Roman" w:cs="Times New Roman"/>
          <w:sz w:val="24"/>
          <w:szCs w:val="24"/>
          <w:lang w:eastAsia="fr-FR"/>
        </w:rPr>
        <w:t xml:space="preserve">e gouvernement a entamé </w:t>
      </w:r>
      <w:r w:rsidRPr="0052016A">
        <w:rPr>
          <w:rFonts w:ascii="Times New Roman" w:eastAsia="Cambria" w:hAnsi="Times New Roman" w:cs="Times New Roman"/>
          <w:sz w:val="24"/>
          <w:szCs w:val="24"/>
          <w:lang w:eastAsia="fr-FR"/>
        </w:rPr>
        <w:t>depuis 2009 un processus de révision du Code Minier dans le but d’attirer les investisseurs, en conformité avec le nouveau code des investissements. Dans sa dernière formulation, l’ébauche du code a attiré, de la part de différents partenaires, des questions surtout liées au processus de sa formulation, cette dernière ayant été élaboré</w:t>
      </w:r>
      <w:r w:rsidR="000009FB">
        <w:rPr>
          <w:rFonts w:ascii="Times New Roman" w:eastAsia="Cambria" w:hAnsi="Times New Roman" w:cs="Times New Roman"/>
          <w:sz w:val="24"/>
          <w:szCs w:val="24"/>
          <w:lang w:eastAsia="fr-FR"/>
        </w:rPr>
        <w:t>e</w:t>
      </w:r>
      <w:r w:rsidRPr="0052016A">
        <w:rPr>
          <w:rFonts w:ascii="Times New Roman" w:eastAsia="Cambria" w:hAnsi="Times New Roman" w:cs="Times New Roman"/>
          <w:sz w:val="24"/>
          <w:szCs w:val="24"/>
          <w:lang w:eastAsia="fr-FR"/>
        </w:rPr>
        <w:t xml:space="preserve"> en </w:t>
      </w:r>
      <w:r w:rsidRPr="0052016A">
        <w:rPr>
          <w:rFonts w:ascii="Times New Roman" w:eastAsia="Cambria" w:hAnsi="Times New Roman" w:cs="Times New Roman"/>
          <w:sz w:val="24"/>
          <w:szCs w:val="24"/>
          <w:lang w:eastAsia="fr-FR"/>
        </w:rPr>
        <w:lastRenderedPageBreak/>
        <w:t>amont de la définition d’une politique sectorielle minière. Par conséquent, le code risque de ne pas être</w:t>
      </w:r>
      <w:r w:rsidR="00E25E3A">
        <w:rPr>
          <w:rFonts w:ascii="Times New Roman" w:eastAsia="Cambria" w:hAnsi="Times New Roman" w:cs="Times New Roman"/>
          <w:sz w:val="24"/>
          <w:szCs w:val="24"/>
          <w:lang w:eastAsia="fr-FR"/>
        </w:rPr>
        <w:t xml:space="preserve"> </w:t>
      </w:r>
      <w:r w:rsidRPr="0052016A">
        <w:rPr>
          <w:rFonts w:ascii="Times New Roman" w:eastAsia="Cambria" w:hAnsi="Times New Roman" w:cs="Times New Roman"/>
          <w:sz w:val="24"/>
          <w:szCs w:val="24"/>
          <w:lang w:eastAsia="fr-FR"/>
        </w:rPr>
        <w:t>aligné avec les mesures visant à structurer le secteur minier et à favoriser l’implémentation d’investisseurs privés qui seront</w:t>
      </w:r>
      <w:r w:rsidR="00DB39FF">
        <w:rPr>
          <w:rFonts w:ascii="Times New Roman" w:eastAsia="Cambria" w:hAnsi="Times New Roman" w:cs="Times New Roman"/>
          <w:sz w:val="24"/>
          <w:szCs w:val="24"/>
          <w:lang w:eastAsia="fr-FR"/>
        </w:rPr>
        <w:t xml:space="preserve"> identifiées dans la politique.</w:t>
      </w:r>
      <w:r w:rsidR="0096794C">
        <w:rPr>
          <w:rFonts w:ascii="Times New Roman" w:eastAsia="Cambria" w:hAnsi="Times New Roman" w:cs="Times New Roman"/>
          <w:sz w:val="24"/>
          <w:szCs w:val="24"/>
          <w:lang w:eastAsia="fr-FR"/>
        </w:rPr>
        <w:t xml:space="preserve"> Quant au code pétrolier sa révision devrait démarrer en janvier 2018 par le recrutement d’un Expert international. </w:t>
      </w:r>
    </w:p>
    <w:p w:rsidR="001674FB" w:rsidRDefault="001674FB" w:rsidP="0096794C">
      <w:pPr>
        <w:spacing w:line="276" w:lineRule="auto"/>
        <w:jc w:val="both"/>
        <w:rPr>
          <w:rFonts w:ascii="Times New Roman" w:hAnsi="Times New Roman" w:cs="Times New Roman"/>
          <w:b/>
          <w:bCs/>
          <w:sz w:val="24"/>
          <w:szCs w:val="24"/>
        </w:rPr>
      </w:pPr>
      <w:r w:rsidRPr="00B060FE">
        <w:rPr>
          <w:rFonts w:ascii="Times New Roman" w:hAnsi="Times New Roman" w:cs="Times New Roman"/>
          <w:b/>
          <w:bCs/>
          <w:sz w:val="24"/>
          <w:szCs w:val="24"/>
        </w:rPr>
        <w:t>2.3. Problèmes q</w:t>
      </w:r>
      <w:r w:rsidR="00B060FE">
        <w:rPr>
          <w:rFonts w:ascii="Times New Roman" w:hAnsi="Times New Roman" w:cs="Times New Roman"/>
          <w:b/>
          <w:bCs/>
          <w:sz w:val="24"/>
          <w:szCs w:val="24"/>
        </w:rPr>
        <w:t>ue le projet visait à résoudre</w:t>
      </w:r>
    </w:p>
    <w:p w:rsidR="005C0B68" w:rsidRDefault="005C0B68" w:rsidP="00B060FE">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Dans le secteur de l’énergie, l</w:t>
      </w:r>
      <w:r w:rsidRPr="005C0B68">
        <w:rPr>
          <w:rFonts w:ascii="Times New Roman" w:hAnsi="Times New Roman" w:cs="Times New Roman"/>
          <w:bCs/>
          <w:sz w:val="24"/>
          <w:szCs w:val="24"/>
        </w:rPr>
        <w:t>e PNUD a appuyé au cours de l’année 2012 le développement de documents stratégiques (une esquisse de stratégie nationale d’énergie et un document de plaidoyer sur les opportunités dans le secteur des énergies renouvelables au pays). La prochaine étape consiste donc à finaliser la stratégie nationale du secteur, d’assurer que la compétence et la capacité de réaliser les activités proposées sont disponibles, et assurer un cadre institutionnel et administratif favorable aux projets d’énergies renouvelables.</w:t>
      </w:r>
    </w:p>
    <w:p w:rsidR="005C0B68" w:rsidRDefault="005C0B68" w:rsidP="00B060FE">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Pour ce qui est du secteur des mines, d</w:t>
      </w:r>
      <w:r w:rsidRPr="005C0B68">
        <w:rPr>
          <w:rFonts w:ascii="Times New Roman" w:hAnsi="Times New Roman" w:cs="Times New Roman"/>
          <w:bCs/>
          <w:sz w:val="24"/>
          <w:szCs w:val="24"/>
        </w:rPr>
        <w:t>ans le CSLP II, le Gouvernement reconnait la nécessité d’une politique sectorielle qui permettrait de créer un climat des affaires plus favorable aux investissements à long terme et d’améliorer la transparence dans la gestion du secteur. Selon le Gouvernement, l’amélioration de la gouvernance et la valorisation du secteur aura un impact substantiel sur les recettes fiscales en réduisant les phénomènes de corruption et fraude connexes. L’encadrement du secteur minier artisanal permettra le passage de l’informel au formel en augmentant sa contribution aux recettes fiscales.</w:t>
      </w:r>
    </w:p>
    <w:p w:rsidR="001674FB" w:rsidRPr="00B060FE" w:rsidRDefault="001674FB" w:rsidP="00720FA2">
      <w:pPr>
        <w:pStyle w:val="Paragraphedeliste"/>
        <w:spacing w:line="276" w:lineRule="auto"/>
        <w:jc w:val="both"/>
        <w:outlineLvl w:val="1"/>
        <w:rPr>
          <w:rFonts w:ascii="Times New Roman" w:hAnsi="Times New Roman" w:cs="Times New Roman"/>
          <w:b/>
          <w:bCs/>
          <w:sz w:val="24"/>
          <w:szCs w:val="24"/>
        </w:rPr>
      </w:pPr>
      <w:bookmarkStart w:id="20" w:name="_Toc500352709"/>
      <w:r w:rsidRPr="00B060FE">
        <w:rPr>
          <w:rFonts w:ascii="Times New Roman" w:hAnsi="Times New Roman" w:cs="Times New Roman"/>
          <w:b/>
          <w:bCs/>
          <w:sz w:val="24"/>
          <w:szCs w:val="24"/>
        </w:rPr>
        <w:t>2.4. Objectifs immédiats et de développement du projet</w:t>
      </w:r>
      <w:bookmarkEnd w:id="20"/>
      <w:r w:rsidRPr="00B060FE">
        <w:rPr>
          <w:rFonts w:ascii="Times New Roman" w:hAnsi="Times New Roman" w:cs="Times New Roman"/>
          <w:b/>
          <w:bCs/>
          <w:sz w:val="24"/>
          <w:szCs w:val="24"/>
        </w:rPr>
        <w:t xml:space="preserve"> </w:t>
      </w:r>
    </w:p>
    <w:p w:rsidR="00B060FE" w:rsidRPr="00555681" w:rsidRDefault="00B060FE" w:rsidP="00555681">
      <w:pPr>
        <w:spacing w:line="276" w:lineRule="auto"/>
        <w:jc w:val="both"/>
        <w:rPr>
          <w:rFonts w:ascii="Times New Roman" w:hAnsi="Times New Roman" w:cs="Times New Roman"/>
          <w:bCs/>
          <w:sz w:val="24"/>
          <w:szCs w:val="24"/>
        </w:rPr>
      </w:pPr>
      <w:r w:rsidRPr="00B060FE">
        <w:rPr>
          <w:rFonts w:ascii="Times New Roman" w:hAnsi="Times New Roman" w:cs="Times New Roman"/>
          <w:bCs/>
          <w:sz w:val="24"/>
          <w:szCs w:val="24"/>
        </w:rPr>
        <w:t>L’objectif de ce projet est d’améliorer l’environnement légal, réglementaire et institutionnel des secteurs de l’Energie et des Mines pour permettre à court et moyen terme la promotion des investissements publics et privé dans ces secteurs</w:t>
      </w:r>
      <w:r>
        <w:rPr>
          <w:rFonts w:ascii="Times New Roman" w:hAnsi="Times New Roman" w:cs="Times New Roman"/>
          <w:bCs/>
          <w:sz w:val="24"/>
          <w:szCs w:val="24"/>
        </w:rPr>
        <w:t>.</w:t>
      </w:r>
    </w:p>
    <w:p w:rsidR="001674FB" w:rsidRDefault="001674FB" w:rsidP="00720FA2">
      <w:pPr>
        <w:pStyle w:val="Paragraphedeliste"/>
        <w:spacing w:line="276" w:lineRule="auto"/>
        <w:jc w:val="both"/>
        <w:outlineLvl w:val="1"/>
        <w:rPr>
          <w:rFonts w:ascii="Times New Roman" w:hAnsi="Times New Roman" w:cs="Times New Roman"/>
          <w:b/>
          <w:bCs/>
          <w:sz w:val="24"/>
          <w:szCs w:val="24"/>
        </w:rPr>
      </w:pPr>
      <w:bookmarkStart w:id="21" w:name="_Toc500352710"/>
      <w:r w:rsidRPr="00B060FE">
        <w:rPr>
          <w:rFonts w:ascii="Times New Roman" w:hAnsi="Times New Roman" w:cs="Times New Roman"/>
          <w:b/>
          <w:bCs/>
          <w:sz w:val="24"/>
          <w:szCs w:val="24"/>
        </w:rPr>
        <w:t>2.5. Indicateurs de base mis en place</w:t>
      </w:r>
      <w:bookmarkEnd w:id="21"/>
      <w:r w:rsidRPr="00B060FE">
        <w:rPr>
          <w:rFonts w:ascii="Times New Roman" w:hAnsi="Times New Roman" w:cs="Times New Roman"/>
          <w:b/>
          <w:bCs/>
          <w:sz w:val="24"/>
          <w:szCs w:val="24"/>
        </w:rPr>
        <w:t xml:space="preserve"> </w:t>
      </w:r>
    </w:p>
    <w:p w:rsidR="00B060FE" w:rsidRDefault="00B060FE" w:rsidP="00B060FE">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Le cadre logique du projet, fait ressortir </w:t>
      </w:r>
      <w:r w:rsidR="00555681">
        <w:rPr>
          <w:rFonts w:ascii="Times New Roman" w:hAnsi="Times New Roman" w:cs="Times New Roman"/>
          <w:bCs/>
          <w:sz w:val="24"/>
          <w:szCs w:val="24"/>
        </w:rPr>
        <w:t>trois indicateurs pour les deux résultats attendus du projet.</w:t>
      </w:r>
    </w:p>
    <w:p w:rsidR="00555681" w:rsidRDefault="00555681" w:rsidP="00555681">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Pour le premier produit du projet, </w:t>
      </w:r>
      <w:r>
        <w:rPr>
          <w:rFonts w:ascii="Times New Roman" w:hAnsi="Times New Roman" w:cs="Times New Roman"/>
          <w:bCs/>
          <w:i/>
          <w:sz w:val="24"/>
          <w:szCs w:val="24"/>
        </w:rPr>
        <w:t>l</w:t>
      </w:r>
      <w:r w:rsidRPr="00555681">
        <w:rPr>
          <w:rFonts w:ascii="Times New Roman" w:hAnsi="Times New Roman" w:cs="Times New Roman"/>
          <w:bCs/>
          <w:i/>
          <w:sz w:val="24"/>
          <w:szCs w:val="24"/>
        </w:rPr>
        <w:t>es Politiques, stratégies et cadres légaux et réglementaires régissant les secteurs de l’Energie et des Mines modernisés en vue d’une plus grande attractivité de ces secteurs pour les investisseurs potentiels</w:t>
      </w:r>
      <w:r>
        <w:rPr>
          <w:rFonts w:ascii="Times New Roman" w:hAnsi="Times New Roman" w:cs="Times New Roman"/>
          <w:bCs/>
          <w:sz w:val="24"/>
          <w:szCs w:val="24"/>
        </w:rPr>
        <w:t>, un seul indicateur a été formulé :</w:t>
      </w:r>
    </w:p>
    <w:p w:rsidR="00555681" w:rsidRPr="00555681" w:rsidRDefault="00555681" w:rsidP="00555681">
      <w:pPr>
        <w:pStyle w:val="Paragraphedeliste"/>
        <w:numPr>
          <w:ilvl w:val="0"/>
          <w:numId w:val="8"/>
        </w:numPr>
        <w:spacing w:line="276" w:lineRule="auto"/>
        <w:jc w:val="both"/>
        <w:rPr>
          <w:rFonts w:ascii="Times New Roman" w:hAnsi="Times New Roman" w:cs="Times New Roman"/>
          <w:bCs/>
          <w:sz w:val="24"/>
          <w:szCs w:val="24"/>
        </w:rPr>
      </w:pPr>
      <w:r w:rsidRPr="00555681">
        <w:rPr>
          <w:rFonts w:ascii="Times New Roman" w:hAnsi="Times New Roman" w:cs="Times New Roman"/>
          <w:bCs/>
          <w:sz w:val="24"/>
          <w:szCs w:val="24"/>
        </w:rPr>
        <w:t>disponibilité de nouveaux  outils de politique et stratégie dans les domaines de l’Energie et des Mines</w:t>
      </w:r>
    </w:p>
    <w:p w:rsidR="00555681" w:rsidRDefault="00555681" w:rsidP="00555681">
      <w:pPr>
        <w:spacing w:before="240"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Pour le deuxième produit du projet, </w:t>
      </w:r>
      <w:r w:rsidRPr="00555681">
        <w:rPr>
          <w:rFonts w:ascii="Times New Roman" w:hAnsi="Times New Roman" w:cs="Times New Roman"/>
          <w:bCs/>
          <w:i/>
          <w:sz w:val="24"/>
          <w:szCs w:val="24"/>
        </w:rPr>
        <w:t>les capacités institutionnelles du Ministère de l’Energie et des Mines renforcés particulièrement en matière de négociation des contrats</w:t>
      </w:r>
      <w:r>
        <w:rPr>
          <w:rFonts w:ascii="Times New Roman" w:hAnsi="Times New Roman" w:cs="Times New Roman"/>
          <w:bCs/>
          <w:sz w:val="24"/>
          <w:szCs w:val="24"/>
        </w:rPr>
        <w:t xml:space="preserve">, deux indicateurs ont été formulés : </w:t>
      </w:r>
    </w:p>
    <w:p w:rsidR="00555681" w:rsidRPr="00555681" w:rsidRDefault="00555681" w:rsidP="00720FA2">
      <w:pPr>
        <w:pStyle w:val="Paragraphedeliste"/>
        <w:numPr>
          <w:ilvl w:val="0"/>
          <w:numId w:val="15"/>
        </w:numPr>
        <w:spacing w:line="276" w:lineRule="auto"/>
        <w:jc w:val="both"/>
        <w:rPr>
          <w:rFonts w:ascii="Times New Roman" w:hAnsi="Times New Roman" w:cs="Times New Roman"/>
          <w:bCs/>
          <w:sz w:val="24"/>
          <w:szCs w:val="24"/>
        </w:rPr>
      </w:pPr>
      <w:r w:rsidRPr="00555681">
        <w:rPr>
          <w:rFonts w:ascii="Times New Roman" w:hAnsi="Times New Roman" w:cs="Times New Roman"/>
          <w:bCs/>
          <w:sz w:val="24"/>
          <w:szCs w:val="24"/>
        </w:rPr>
        <w:t>Nombre et qualité de modèles de contrats adoptés et nombre de cadre formés en matière de négociation</w:t>
      </w:r>
    </w:p>
    <w:p w:rsidR="00555681" w:rsidRDefault="00555681" w:rsidP="00720FA2">
      <w:pPr>
        <w:pStyle w:val="Paragraphedeliste"/>
        <w:numPr>
          <w:ilvl w:val="0"/>
          <w:numId w:val="15"/>
        </w:numPr>
        <w:spacing w:line="276" w:lineRule="auto"/>
        <w:jc w:val="both"/>
        <w:rPr>
          <w:rFonts w:ascii="Times New Roman" w:hAnsi="Times New Roman" w:cs="Times New Roman"/>
          <w:bCs/>
          <w:sz w:val="24"/>
          <w:szCs w:val="24"/>
        </w:rPr>
      </w:pPr>
      <w:r w:rsidRPr="00555681">
        <w:rPr>
          <w:rFonts w:ascii="Times New Roman" w:hAnsi="Times New Roman" w:cs="Times New Roman"/>
          <w:bCs/>
          <w:sz w:val="24"/>
          <w:szCs w:val="24"/>
        </w:rPr>
        <w:t>Deux documents de projet de renforcement de capacités du Ministère sont disponibles</w:t>
      </w:r>
      <w:r w:rsidR="00720FA2">
        <w:rPr>
          <w:rFonts w:ascii="Times New Roman" w:hAnsi="Times New Roman" w:cs="Times New Roman"/>
          <w:bCs/>
          <w:sz w:val="24"/>
          <w:szCs w:val="24"/>
        </w:rPr>
        <w:t>.</w:t>
      </w:r>
    </w:p>
    <w:p w:rsidR="0054472A" w:rsidRDefault="0054472A">
      <w:pPr>
        <w:rPr>
          <w:rFonts w:ascii="Times New Roman" w:hAnsi="Times New Roman" w:cs="Times New Roman"/>
          <w:bCs/>
          <w:sz w:val="24"/>
          <w:szCs w:val="24"/>
        </w:rPr>
      </w:pPr>
      <w:r>
        <w:rPr>
          <w:rFonts w:ascii="Times New Roman" w:hAnsi="Times New Roman" w:cs="Times New Roman"/>
          <w:bCs/>
          <w:sz w:val="24"/>
          <w:szCs w:val="24"/>
        </w:rPr>
        <w:br w:type="page"/>
      </w:r>
    </w:p>
    <w:p w:rsidR="001674FB" w:rsidRDefault="001674FB" w:rsidP="00720FA2">
      <w:pPr>
        <w:pStyle w:val="Paragraphedeliste"/>
        <w:spacing w:before="240" w:line="276" w:lineRule="auto"/>
        <w:jc w:val="both"/>
        <w:outlineLvl w:val="1"/>
        <w:rPr>
          <w:rFonts w:ascii="Times New Roman" w:hAnsi="Times New Roman" w:cs="Times New Roman"/>
          <w:b/>
          <w:bCs/>
          <w:sz w:val="24"/>
          <w:szCs w:val="24"/>
        </w:rPr>
      </w:pPr>
      <w:bookmarkStart w:id="22" w:name="_Toc500352711"/>
      <w:r w:rsidRPr="00555681">
        <w:rPr>
          <w:rFonts w:ascii="Times New Roman" w:hAnsi="Times New Roman" w:cs="Times New Roman"/>
          <w:b/>
          <w:bCs/>
          <w:sz w:val="24"/>
          <w:szCs w:val="24"/>
        </w:rPr>
        <w:lastRenderedPageBreak/>
        <w:t>2.6. Organisation de la mise en œuvre du projet</w:t>
      </w:r>
      <w:bookmarkEnd w:id="22"/>
      <w:r w:rsidRPr="00555681">
        <w:rPr>
          <w:rFonts w:ascii="Times New Roman" w:hAnsi="Times New Roman" w:cs="Times New Roman"/>
          <w:b/>
          <w:bCs/>
          <w:sz w:val="24"/>
          <w:szCs w:val="24"/>
        </w:rPr>
        <w:t xml:space="preserve"> </w:t>
      </w:r>
    </w:p>
    <w:p w:rsidR="00555681" w:rsidRPr="00555681" w:rsidRDefault="00555681" w:rsidP="00555681">
      <w:pPr>
        <w:spacing w:before="120" w:line="276" w:lineRule="auto"/>
        <w:jc w:val="both"/>
        <w:rPr>
          <w:rFonts w:ascii="Times New Roman" w:hAnsi="Times New Roman" w:cs="Times New Roman"/>
          <w:sz w:val="24"/>
          <w:szCs w:val="24"/>
        </w:rPr>
      </w:pPr>
      <w:r w:rsidRPr="00555681">
        <w:rPr>
          <w:rFonts w:ascii="Times New Roman" w:hAnsi="Times New Roman" w:cs="Times New Roman"/>
          <w:sz w:val="24"/>
          <w:szCs w:val="24"/>
        </w:rPr>
        <w:t>La modalité d’Exécution Nationale (NIM) a été retenue pour la réalisation des activités dans le cadre du Projet. A ce titre, le Ministère de l’Energie et des Mines a assuré la responsabilité de l’exécution dudit projet. Le Ministre de l’Energie et des Mines procédera à la nomination officielle d’un Directeur National du Projet qui assurera l’interface entre le Ministère et toutes les parties prenantes au projet. Il aura en outre la responsabilité de superviser et d’assurer le suivi régulier des activités du projet.</w:t>
      </w:r>
      <w:r>
        <w:rPr>
          <w:rFonts w:ascii="Times New Roman" w:hAnsi="Times New Roman" w:cs="Times New Roman"/>
          <w:sz w:val="24"/>
          <w:szCs w:val="24"/>
        </w:rPr>
        <w:t xml:space="preserve"> </w:t>
      </w:r>
    </w:p>
    <w:p w:rsidR="00555681" w:rsidRPr="00555681" w:rsidRDefault="00103AC6" w:rsidP="00555681">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L</w:t>
      </w:r>
      <w:r w:rsidR="00555681" w:rsidRPr="00555681">
        <w:rPr>
          <w:rFonts w:ascii="Times New Roman" w:hAnsi="Times New Roman" w:cs="Times New Roman"/>
          <w:sz w:val="24"/>
          <w:szCs w:val="24"/>
        </w:rPr>
        <w:t>e PNUD a fourni des services d’appui (acquisitions de biens et services, recrutement de staffs, etc.) pour accompagner la gestion du projet conformément aux procédures en vigueur.</w:t>
      </w:r>
    </w:p>
    <w:p w:rsidR="00555681" w:rsidRPr="00555681" w:rsidRDefault="00103AC6" w:rsidP="00555681">
      <w:pPr>
        <w:spacing w:before="120" w:line="276" w:lineRule="auto"/>
        <w:jc w:val="both"/>
        <w:rPr>
          <w:rFonts w:ascii="Times New Roman" w:hAnsi="Times New Roman" w:cs="Times New Roman"/>
          <w:sz w:val="24"/>
          <w:szCs w:val="24"/>
        </w:rPr>
      </w:pPr>
      <w:r>
        <w:rPr>
          <w:rFonts w:ascii="Times New Roman" w:eastAsia="Arial" w:hAnsi="Times New Roman" w:cs="Times New Roman"/>
          <w:sz w:val="24"/>
          <w:szCs w:val="24"/>
          <w:lang w:eastAsia="fr-FR"/>
        </w:rPr>
        <w:t>Le pilotage du Projet a été</w:t>
      </w:r>
      <w:r w:rsidRPr="00103AC6">
        <w:rPr>
          <w:rFonts w:ascii="Times New Roman" w:eastAsia="Arial" w:hAnsi="Times New Roman" w:cs="Times New Roman"/>
          <w:sz w:val="24"/>
          <w:szCs w:val="24"/>
          <w:lang w:eastAsia="fr-FR"/>
        </w:rPr>
        <w:t xml:space="preserve"> assuré par un comité de pilotage co-présidé par un représentant </w:t>
      </w:r>
      <w:r w:rsidRPr="00103AC6">
        <w:rPr>
          <w:rFonts w:ascii="Times New Roman" w:eastAsia="Cambria" w:hAnsi="Times New Roman" w:cs="Times New Roman"/>
          <w:sz w:val="24"/>
          <w:szCs w:val="24"/>
          <w:lang w:eastAsia="fr-FR"/>
        </w:rPr>
        <w:t>du Ministre de l’Energie et des Mines</w:t>
      </w:r>
      <w:r w:rsidRPr="00103AC6">
        <w:rPr>
          <w:rFonts w:ascii="Times New Roman" w:eastAsia="Arial" w:hAnsi="Times New Roman" w:cs="Times New Roman"/>
          <w:sz w:val="24"/>
          <w:szCs w:val="24"/>
          <w:lang w:eastAsia="fr-FR"/>
        </w:rPr>
        <w:t xml:space="preserve"> et un délégué du Représentant Résident du PNUD. Ce comité de pilotage </w:t>
      </w:r>
      <w:r w:rsidR="00BE631C">
        <w:rPr>
          <w:rFonts w:ascii="Times New Roman" w:eastAsia="Arial" w:hAnsi="Times New Roman" w:cs="Times New Roman"/>
          <w:sz w:val="24"/>
          <w:szCs w:val="24"/>
          <w:lang w:eastAsia="fr-FR"/>
        </w:rPr>
        <w:t>est</w:t>
      </w:r>
      <w:r w:rsidRPr="00103AC6">
        <w:rPr>
          <w:rFonts w:ascii="Times New Roman" w:eastAsia="Arial" w:hAnsi="Times New Roman" w:cs="Times New Roman"/>
          <w:sz w:val="24"/>
          <w:szCs w:val="24"/>
          <w:lang w:eastAsia="fr-FR"/>
        </w:rPr>
        <w:t xml:space="preserve"> composé de trois représentants du Ministère </w:t>
      </w:r>
      <w:r w:rsidRPr="00103AC6">
        <w:rPr>
          <w:rFonts w:ascii="Times New Roman" w:eastAsia="Cambria" w:hAnsi="Times New Roman" w:cs="Times New Roman"/>
          <w:sz w:val="24"/>
          <w:szCs w:val="24"/>
          <w:lang w:eastAsia="fr-FR"/>
        </w:rPr>
        <w:t>de l’Energie et des Mines</w:t>
      </w:r>
      <w:r w:rsidRPr="00103AC6">
        <w:rPr>
          <w:rFonts w:ascii="Times New Roman" w:eastAsia="Arial" w:hAnsi="Times New Roman" w:cs="Times New Roman"/>
          <w:sz w:val="24"/>
          <w:szCs w:val="24"/>
          <w:lang w:eastAsia="fr-FR"/>
        </w:rPr>
        <w:t>, d’un délégué du PNUD, d’un représentant des organisations de la société civile (OSC) et d’un représentant du secteur privé</w:t>
      </w:r>
      <w:r w:rsidR="00555681" w:rsidRPr="00555681">
        <w:rPr>
          <w:rFonts w:ascii="Times New Roman" w:hAnsi="Times New Roman" w:cs="Times New Roman"/>
          <w:sz w:val="24"/>
          <w:szCs w:val="24"/>
        </w:rPr>
        <w:t>.</w:t>
      </w:r>
    </w:p>
    <w:p w:rsidR="00555681" w:rsidRPr="00555681" w:rsidRDefault="00103AC6" w:rsidP="00555681">
      <w:pPr>
        <w:spacing w:line="276" w:lineRule="auto"/>
        <w:jc w:val="both"/>
        <w:rPr>
          <w:rFonts w:ascii="Times New Roman" w:hAnsi="Times New Roman" w:cs="Times New Roman"/>
          <w:bCs/>
          <w:sz w:val="24"/>
          <w:szCs w:val="24"/>
        </w:rPr>
      </w:pPr>
      <w:r w:rsidRPr="00103AC6">
        <w:rPr>
          <w:rFonts w:ascii="Times New Roman" w:hAnsi="Times New Roman" w:cs="Times New Roman"/>
          <w:sz w:val="24"/>
          <w:szCs w:val="24"/>
        </w:rPr>
        <w:t>L</w:t>
      </w:r>
      <w:r>
        <w:rPr>
          <w:rFonts w:ascii="Times New Roman" w:hAnsi="Times New Roman" w:cs="Times New Roman"/>
          <w:sz w:val="24"/>
          <w:szCs w:val="24"/>
        </w:rPr>
        <w:t>’unité de gestion du projet a été</w:t>
      </w:r>
      <w:r w:rsidRPr="00103AC6">
        <w:rPr>
          <w:rFonts w:ascii="Times New Roman" w:hAnsi="Times New Roman" w:cs="Times New Roman"/>
          <w:sz w:val="24"/>
          <w:szCs w:val="24"/>
        </w:rPr>
        <w:t xml:space="preserve"> tout simplement composé</w:t>
      </w:r>
      <w:r>
        <w:rPr>
          <w:rFonts w:ascii="Times New Roman" w:hAnsi="Times New Roman" w:cs="Times New Roman"/>
          <w:sz w:val="24"/>
          <w:szCs w:val="24"/>
        </w:rPr>
        <w:t>e du Directeur National qui devrait être appuyé par</w:t>
      </w:r>
      <w:r w:rsidRPr="00103AC6">
        <w:rPr>
          <w:rFonts w:ascii="Times New Roman" w:hAnsi="Times New Roman" w:cs="Times New Roman"/>
          <w:sz w:val="24"/>
          <w:szCs w:val="24"/>
        </w:rPr>
        <w:t xml:space="preserve"> deux experts internationaux prévus, d’un assistant administratif et financier désigné par le Ministre de l’Energie et des Mines parmi le personnel déjà en place au Ministère ou dans l’administration publique, et d’un chauffeur recrut</w:t>
      </w:r>
      <w:r>
        <w:rPr>
          <w:rFonts w:ascii="Times New Roman" w:hAnsi="Times New Roman" w:cs="Times New Roman"/>
          <w:sz w:val="24"/>
          <w:szCs w:val="24"/>
        </w:rPr>
        <w:t>é spécialement pour le projet. Cette unité a été</w:t>
      </w:r>
      <w:r w:rsidRPr="00103AC6">
        <w:rPr>
          <w:rFonts w:ascii="Times New Roman" w:hAnsi="Times New Roman" w:cs="Times New Roman"/>
          <w:sz w:val="24"/>
          <w:szCs w:val="24"/>
        </w:rPr>
        <w:t xml:space="preserve"> responsable, entre autres, de la préparation et la révision des Plans de Travail Annuels, de la planification et l’organisation des réunions de su</w:t>
      </w:r>
      <w:r>
        <w:rPr>
          <w:rFonts w:ascii="Times New Roman" w:hAnsi="Times New Roman" w:cs="Times New Roman"/>
          <w:sz w:val="24"/>
          <w:szCs w:val="24"/>
        </w:rPr>
        <w:t>ivi. Le Directeur National</w:t>
      </w:r>
      <w:r w:rsidR="00826481">
        <w:rPr>
          <w:rFonts w:ascii="Times New Roman" w:hAnsi="Times New Roman" w:cs="Times New Roman"/>
          <w:sz w:val="24"/>
          <w:szCs w:val="24"/>
        </w:rPr>
        <w:t xml:space="preserve"> (le projet en a connu quatre)</w:t>
      </w:r>
      <w:r>
        <w:rPr>
          <w:rFonts w:ascii="Times New Roman" w:hAnsi="Times New Roman" w:cs="Times New Roman"/>
          <w:sz w:val="24"/>
          <w:szCs w:val="24"/>
        </w:rPr>
        <w:t xml:space="preserve"> a joué le rôle de </w:t>
      </w:r>
      <w:r w:rsidRPr="00103AC6">
        <w:rPr>
          <w:rFonts w:ascii="Times New Roman" w:hAnsi="Times New Roman" w:cs="Times New Roman"/>
          <w:sz w:val="24"/>
          <w:szCs w:val="24"/>
        </w:rPr>
        <w:t>responsable de la coordination de l’ensemble des activités.</w:t>
      </w:r>
    </w:p>
    <w:p w:rsidR="001674FB" w:rsidRDefault="001674FB" w:rsidP="00720FA2">
      <w:pPr>
        <w:pStyle w:val="Paragraphedeliste"/>
        <w:spacing w:line="276" w:lineRule="auto"/>
        <w:jc w:val="both"/>
        <w:outlineLvl w:val="1"/>
        <w:rPr>
          <w:rFonts w:ascii="Times New Roman" w:hAnsi="Times New Roman" w:cs="Times New Roman"/>
          <w:b/>
          <w:bCs/>
          <w:sz w:val="24"/>
          <w:szCs w:val="24"/>
        </w:rPr>
      </w:pPr>
      <w:bookmarkStart w:id="23" w:name="_Toc500352712"/>
      <w:r w:rsidRPr="00103AC6">
        <w:rPr>
          <w:rFonts w:ascii="Times New Roman" w:hAnsi="Times New Roman" w:cs="Times New Roman"/>
          <w:b/>
          <w:bCs/>
          <w:sz w:val="24"/>
          <w:szCs w:val="24"/>
        </w:rPr>
        <w:t>2.7. Partenaires et principales parties prenantes impliqués dans la mise en œuvre du projet</w:t>
      </w:r>
      <w:bookmarkEnd w:id="23"/>
      <w:r w:rsidRPr="00103AC6">
        <w:rPr>
          <w:rFonts w:ascii="Times New Roman" w:hAnsi="Times New Roman" w:cs="Times New Roman"/>
          <w:b/>
          <w:bCs/>
          <w:sz w:val="24"/>
          <w:szCs w:val="24"/>
        </w:rPr>
        <w:t xml:space="preserve"> </w:t>
      </w:r>
    </w:p>
    <w:p w:rsidR="00097D6E" w:rsidRPr="00097D6E" w:rsidRDefault="00097D6E" w:rsidP="00097D6E">
      <w:pPr>
        <w:spacing w:after="240" w:line="276" w:lineRule="auto"/>
        <w:jc w:val="both"/>
        <w:rPr>
          <w:rFonts w:ascii="Times New Roman" w:hAnsi="Times New Roman" w:cs="Times New Roman"/>
          <w:color w:val="000000" w:themeColor="text1"/>
          <w:sz w:val="24"/>
          <w:szCs w:val="24"/>
        </w:rPr>
      </w:pPr>
      <w:r w:rsidRPr="00097D6E">
        <w:rPr>
          <w:rFonts w:ascii="Times New Roman" w:hAnsi="Times New Roman" w:cs="Times New Roman"/>
          <w:color w:val="000000" w:themeColor="text1"/>
          <w:sz w:val="24"/>
          <w:szCs w:val="24"/>
        </w:rPr>
        <w:t xml:space="preserve">Le Gouvernement du Burundi a participé au projet conformément au document du projet, à travers principalement le Ministère de l’Energie et des Mines et ses principales Directions : La Direction Générale de l’Energie et la Direction Générale de la Recherche Géologique et du Cadastre Minier. </w:t>
      </w:r>
    </w:p>
    <w:p w:rsidR="00097D6E" w:rsidRPr="00097D6E" w:rsidRDefault="00097D6E" w:rsidP="00097D6E">
      <w:pPr>
        <w:spacing w:after="240" w:line="276" w:lineRule="auto"/>
        <w:jc w:val="both"/>
        <w:rPr>
          <w:rFonts w:ascii="Times New Roman" w:hAnsi="Times New Roman" w:cs="Times New Roman"/>
          <w:color w:val="000000" w:themeColor="text1"/>
          <w:sz w:val="24"/>
          <w:szCs w:val="24"/>
        </w:rPr>
      </w:pPr>
      <w:r w:rsidRPr="00097D6E">
        <w:rPr>
          <w:rFonts w:ascii="Times New Roman" w:hAnsi="Times New Roman" w:cs="Times New Roman"/>
          <w:color w:val="000000" w:themeColor="text1"/>
          <w:sz w:val="24"/>
          <w:szCs w:val="24"/>
        </w:rPr>
        <w:t>La mise en œuvre et la gestion quotidienne ont incombé à la Direction national</w:t>
      </w:r>
      <w:r w:rsidR="00707399">
        <w:rPr>
          <w:rFonts w:ascii="Times New Roman" w:hAnsi="Times New Roman" w:cs="Times New Roman"/>
          <w:color w:val="000000" w:themeColor="text1"/>
          <w:sz w:val="24"/>
          <w:szCs w:val="24"/>
        </w:rPr>
        <w:t>e</w:t>
      </w:r>
      <w:r w:rsidRPr="00097D6E">
        <w:rPr>
          <w:rFonts w:ascii="Times New Roman" w:hAnsi="Times New Roman" w:cs="Times New Roman"/>
          <w:color w:val="000000" w:themeColor="text1"/>
          <w:sz w:val="24"/>
          <w:szCs w:val="24"/>
        </w:rPr>
        <w:t xml:space="preserve"> du projet du Projet rattaché au Ministère de l’Energie et des Mines (MEM) selon les modalités de gestion NIM. Les Parties responsables sont le MEM et le Bureau du PNUD</w:t>
      </w:r>
      <w:r>
        <w:rPr>
          <w:rFonts w:ascii="Times New Roman" w:hAnsi="Times New Roman" w:cs="Times New Roman"/>
          <w:color w:val="000000" w:themeColor="text1"/>
          <w:sz w:val="24"/>
          <w:szCs w:val="24"/>
        </w:rPr>
        <w:t xml:space="preserve">. </w:t>
      </w:r>
    </w:p>
    <w:p w:rsidR="001674FB" w:rsidRPr="00103AC6" w:rsidRDefault="001674FB" w:rsidP="00720FA2">
      <w:pPr>
        <w:pStyle w:val="Paragraphedeliste"/>
        <w:spacing w:line="276" w:lineRule="auto"/>
        <w:jc w:val="both"/>
        <w:outlineLvl w:val="1"/>
        <w:rPr>
          <w:rFonts w:ascii="Times New Roman" w:hAnsi="Times New Roman" w:cs="Times New Roman"/>
          <w:b/>
          <w:bCs/>
          <w:sz w:val="24"/>
          <w:szCs w:val="24"/>
        </w:rPr>
      </w:pPr>
      <w:bookmarkStart w:id="24" w:name="_Toc500352713"/>
      <w:r w:rsidRPr="00103AC6">
        <w:rPr>
          <w:rFonts w:ascii="Times New Roman" w:hAnsi="Times New Roman" w:cs="Times New Roman"/>
          <w:b/>
          <w:bCs/>
          <w:sz w:val="24"/>
          <w:szCs w:val="24"/>
        </w:rPr>
        <w:t>2.8. Sites d’intervention du projet</w:t>
      </w:r>
      <w:bookmarkEnd w:id="24"/>
      <w:r w:rsidRPr="00103AC6">
        <w:rPr>
          <w:rFonts w:ascii="Times New Roman" w:hAnsi="Times New Roman" w:cs="Times New Roman"/>
          <w:b/>
          <w:bCs/>
          <w:sz w:val="24"/>
          <w:szCs w:val="24"/>
        </w:rPr>
        <w:t xml:space="preserve"> </w:t>
      </w:r>
    </w:p>
    <w:p w:rsidR="00103AC6" w:rsidRPr="001674FB" w:rsidRDefault="00103AC6" w:rsidP="00103AC6">
      <w:pPr>
        <w:spacing w:line="276" w:lineRule="auto"/>
        <w:jc w:val="both"/>
        <w:rPr>
          <w:rFonts w:ascii="Times New Roman" w:hAnsi="Times New Roman" w:cs="Times New Roman"/>
          <w:bCs/>
          <w:sz w:val="24"/>
          <w:szCs w:val="24"/>
        </w:rPr>
      </w:pPr>
      <w:r w:rsidRPr="00103AC6">
        <w:rPr>
          <w:rFonts w:ascii="Times New Roman" w:hAnsi="Times New Roman" w:cs="Times New Roman"/>
          <w:bCs/>
          <w:sz w:val="24"/>
          <w:szCs w:val="24"/>
        </w:rPr>
        <w:t>Le projet consistant à renforcer les capacités institutionnel au niveau central, pratiquement toutes les parties prenantes à rencontrer se trouvent à Bujumbura</w:t>
      </w:r>
    </w:p>
    <w:p w:rsidR="001674FB" w:rsidRPr="00103AC6" w:rsidRDefault="001674FB" w:rsidP="00720FA2">
      <w:pPr>
        <w:pStyle w:val="Paragraphedeliste"/>
        <w:spacing w:line="276" w:lineRule="auto"/>
        <w:jc w:val="both"/>
        <w:outlineLvl w:val="1"/>
        <w:rPr>
          <w:rFonts w:ascii="Times New Roman" w:hAnsi="Times New Roman" w:cs="Times New Roman"/>
          <w:b/>
          <w:bCs/>
          <w:sz w:val="24"/>
          <w:szCs w:val="24"/>
        </w:rPr>
      </w:pPr>
      <w:bookmarkStart w:id="25" w:name="_Toc500352714"/>
      <w:r w:rsidRPr="00103AC6">
        <w:rPr>
          <w:rFonts w:ascii="Times New Roman" w:hAnsi="Times New Roman" w:cs="Times New Roman"/>
          <w:b/>
          <w:bCs/>
          <w:sz w:val="24"/>
          <w:szCs w:val="24"/>
        </w:rPr>
        <w:t>2.9. Résultats escomptés</w:t>
      </w:r>
      <w:bookmarkEnd w:id="25"/>
      <w:r w:rsidRPr="00103AC6">
        <w:rPr>
          <w:rFonts w:ascii="Times New Roman" w:hAnsi="Times New Roman" w:cs="Times New Roman"/>
          <w:b/>
          <w:bCs/>
          <w:sz w:val="24"/>
          <w:szCs w:val="24"/>
        </w:rPr>
        <w:t xml:space="preserve"> </w:t>
      </w:r>
    </w:p>
    <w:p w:rsidR="00555681" w:rsidRDefault="00555681" w:rsidP="00555681">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L’objectif  du ce projet est assortit de deux produits, à savoir :</w:t>
      </w:r>
    </w:p>
    <w:p w:rsidR="00555681" w:rsidRPr="00B060FE" w:rsidRDefault="00555681" w:rsidP="00555681">
      <w:pPr>
        <w:pStyle w:val="Paragraphedeliste"/>
        <w:numPr>
          <w:ilvl w:val="0"/>
          <w:numId w:val="8"/>
        </w:numPr>
        <w:spacing w:line="276" w:lineRule="auto"/>
        <w:jc w:val="both"/>
        <w:rPr>
          <w:rFonts w:ascii="Times New Roman" w:hAnsi="Times New Roman" w:cs="Times New Roman"/>
          <w:bCs/>
          <w:sz w:val="24"/>
          <w:szCs w:val="24"/>
        </w:rPr>
      </w:pPr>
      <w:r w:rsidRPr="00B060FE">
        <w:rPr>
          <w:rFonts w:ascii="Times New Roman" w:hAnsi="Times New Roman" w:cs="Times New Roman"/>
          <w:b/>
          <w:bCs/>
          <w:sz w:val="24"/>
          <w:szCs w:val="24"/>
        </w:rPr>
        <w:lastRenderedPageBreak/>
        <w:t>Produit 1</w:t>
      </w:r>
      <w:r>
        <w:rPr>
          <w:rFonts w:ascii="Times New Roman" w:hAnsi="Times New Roman" w:cs="Times New Roman"/>
          <w:bCs/>
          <w:sz w:val="24"/>
          <w:szCs w:val="24"/>
        </w:rPr>
        <w:t xml:space="preserve"> : </w:t>
      </w:r>
      <w:r w:rsidRPr="00B060FE">
        <w:rPr>
          <w:rFonts w:ascii="Times New Roman" w:hAnsi="Times New Roman" w:cs="Times New Roman"/>
          <w:bCs/>
          <w:sz w:val="24"/>
          <w:szCs w:val="24"/>
        </w:rPr>
        <w:t>Les Politiques, stratégies et cadres légaux et réglementaires régissant les secteurs de l’Energie et des Mines modernisés en vue d’une plus grande attractivité de ces secteurs pour les investisseurs potentiels ;</w:t>
      </w:r>
    </w:p>
    <w:p w:rsidR="00555681" w:rsidRPr="00B060FE" w:rsidRDefault="00555681" w:rsidP="00555681">
      <w:pPr>
        <w:pStyle w:val="Paragraphedeliste"/>
        <w:numPr>
          <w:ilvl w:val="0"/>
          <w:numId w:val="8"/>
        </w:numPr>
        <w:spacing w:line="276" w:lineRule="auto"/>
        <w:jc w:val="both"/>
        <w:rPr>
          <w:rFonts w:ascii="Times New Roman" w:hAnsi="Times New Roman" w:cs="Times New Roman"/>
          <w:bCs/>
          <w:sz w:val="24"/>
          <w:szCs w:val="24"/>
        </w:rPr>
      </w:pPr>
      <w:r w:rsidRPr="00B060FE">
        <w:rPr>
          <w:rFonts w:ascii="Times New Roman" w:hAnsi="Times New Roman" w:cs="Times New Roman"/>
          <w:b/>
          <w:bCs/>
          <w:sz w:val="24"/>
          <w:szCs w:val="24"/>
        </w:rPr>
        <w:t>Produit 2</w:t>
      </w:r>
      <w:r>
        <w:rPr>
          <w:rFonts w:ascii="Times New Roman" w:hAnsi="Times New Roman" w:cs="Times New Roman"/>
          <w:bCs/>
          <w:sz w:val="24"/>
          <w:szCs w:val="24"/>
        </w:rPr>
        <w:t xml:space="preserve"> : </w:t>
      </w:r>
      <w:r w:rsidRPr="00B060FE">
        <w:rPr>
          <w:rFonts w:ascii="Times New Roman" w:hAnsi="Times New Roman" w:cs="Times New Roman"/>
          <w:bCs/>
          <w:sz w:val="24"/>
          <w:szCs w:val="24"/>
        </w:rPr>
        <w:t>Les capacités institutionnelles du Ministère de l’Energie et des Mines renforcés particulièrement en matière de négociation des contrats</w:t>
      </w:r>
    </w:p>
    <w:p w:rsidR="00555681" w:rsidRDefault="00555681" w:rsidP="00555681">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Plus spécifiquement :</w:t>
      </w:r>
    </w:p>
    <w:p w:rsidR="00555681" w:rsidRPr="00B060FE" w:rsidRDefault="00555681" w:rsidP="00555681">
      <w:pPr>
        <w:spacing w:after="0" w:line="276" w:lineRule="auto"/>
        <w:jc w:val="both"/>
        <w:rPr>
          <w:rFonts w:ascii="Times New Roman" w:eastAsia="Cambria" w:hAnsi="Times New Roman" w:cs="Times New Roman"/>
          <w:sz w:val="24"/>
          <w:szCs w:val="24"/>
          <w:lang w:eastAsia="fr-FR"/>
        </w:rPr>
      </w:pPr>
      <w:r w:rsidRPr="00B060FE">
        <w:rPr>
          <w:rFonts w:ascii="Times New Roman" w:eastAsia="Cambria" w:hAnsi="Times New Roman" w:cs="Times New Roman"/>
          <w:b/>
          <w:sz w:val="24"/>
          <w:szCs w:val="24"/>
          <w:lang w:eastAsia="fr-FR"/>
        </w:rPr>
        <w:t>Dans le domaine de l’Energie</w:t>
      </w:r>
      <w:r w:rsidRPr="00B060FE">
        <w:rPr>
          <w:rFonts w:ascii="Times New Roman" w:eastAsia="Cambria" w:hAnsi="Times New Roman" w:cs="Times New Roman"/>
          <w:sz w:val="24"/>
          <w:szCs w:val="24"/>
          <w:lang w:eastAsia="fr-FR"/>
        </w:rPr>
        <w:t>, il s’agira de mettre à la disposition du Ministère d’une Assistance Technique (Expertise nationale et internationale) qui va donner un appui dans :</w:t>
      </w:r>
    </w:p>
    <w:p w:rsidR="00555681" w:rsidRPr="00B060FE" w:rsidRDefault="00555681" w:rsidP="00555681">
      <w:pPr>
        <w:numPr>
          <w:ilvl w:val="0"/>
          <w:numId w:val="13"/>
        </w:numPr>
        <w:spacing w:after="0" w:line="276" w:lineRule="auto"/>
        <w:jc w:val="both"/>
        <w:rPr>
          <w:rFonts w:ascii="Times New Roman" w:eastAsia="Cambria" w:hAnsi="Times New Roman" w:cs="Times New Roman"/>
          <w:sz w:val="24"/>
          <w:szCs w:val="24"/>
          <w:lang w:eastAsia="fr-FR"/>
        </w:rPr>
      </w:pPr>
      <w:r w:rsidRPr="00B060FE">
        <w:rPr>
          <w:rFonts w:ascii="Times New Roman" w:eastAsia="Cambria" w:hAnsi="Times New Roman" w:cs="Times New Roman"/>
          <w:sz w:val="24"/>
          <w:szCs w:val="24"/>
          <w:lang w:eastAsia="fr-FR"/>
        </w:rPr>
        <w:t>L’élaboration et l’adoption d’une Stratégie nationale d’électrification. Cet appui sera réalisé à travers la mise à la disposition d’un Consultant International (2 mois) et d’un consultant national (un mois) ;</w:t>
      </w:r>
    </w:p>
    <w:p w:rsidR="00555681" w:rsidRPr="00B060FE" w:rsidRDefault="00555681" w:rsidP="00555681">
      <w:pPr>
        <w:numPr>
          <w:ilvl w:val="0"/>
          <w:numId w:val="13"/>
        </w:numPr>
        <w:spacing w:after="0" w:line="276" w:lineRule="auto"/>
        <w:jc w:val="both"/>
        <w:rPr>
          <w:rFonts w:ascii="Times New Roman" w:eastAsia="Cambria" w:hAnsi="Times New Roman" w:cs="Times New Roman"/>
          <w:sz w:val="24"/>
          <w:szCs w:val="24"/>
          <w:lang w:eastAsia="fr-FR"/>
        </w:rPr>
      </w:pPr>
      <w:r w:rsidRPr="00B060FE">
        <w:rPr>
          <w:rFonts w:ascii="Times New Roman" w:eastAsia="Cambria" w:hAnsi="Times New Roman" w:cs="Times New Roman"/>
          <w:sz w:val="24"/>
          <w:szCs w:val="24"/>
          <w:lang w:eastAsia="fr-FR"/>
        </w:rPr>
        <w:t>La modernisation du cadre légal et réglementaire de ses textes d’application ;</w:t>
      </w:r>
    </w:p>
    <w:p w:rsidR="00555681" w:rsidRPr="00B060FE" w:rsidRDefault="00555681" w:rsidP="00555681">
      <w:pPr>
        <w:numPr>
          <w:ilvl w:val="0"/>
          <w:numId w:val="13"/>
        </w:numPr>
        <w:spacing w:after="0" w:line="276" w:lineRule="auto"/>
        <w:jc w:val="both"/>
        <w:rPr>
          <w:rFonts w:ascii="Times New Roman" w:eastAsia="Cambria" w:hAnsi="Times New Roman" w:cs="Times New Roman"/>
          <w:sz w:val="24"/>
          <w:szCs w:val="24"/>
          <w:lang w:eastAsia="fr-FR"/>
        </w:rPr>
      </w:pPr>
      <w:r w:rsidRPr="00B060FE">
        <w:rPr>
          <w:rFonts w:ascii="Times New Roman" w:eastAsia="Cambria" w:hAnsi="Times New Roman" w:cs="Times New Roman"/>
          <w:sz w:val="24"/>
          <w:szCs w:val="24"/>
          <w:lang w:eastAsia="fr-FR"/>
        </w:rPr>
        <w:t>L’élaboration des modèles de contrats de concession et le renforcement des capacités du Ministère en matière négociation des contrats ;</w:t>
      </w:r>
    </w:p>
    <w:p w:rsidR="00555681" w:rsidRPr="00B060FE" w:rsidRDefault="00555681" w:rsidP="00555681">
      <w:pPr>
        <w:numPr>
          <w:ilvl w:val="0"/>
          <w:numId w:val="13"/>
        </w:numPr>
        <w:spacing w:after="0" w:line="276" w:lineRule="auto"/>
        <w:jc w:val="both"/>
        <w:rPr>
          <w:rFonts w:ascii="Times New Roman" w:eastAsia="Cambria" w:hAnsi="Times New Roman" w:cs="Times New Roman"/>
          <w:sz w:val="20"/>
          <w:szCs w:val="20"/>
          <w:lang w:eastAsia="fr-FR"/>
        </w:rPr>
      </w:pPr>
      <w:r w:rsidRPr="00B060FE">
        <w:rPr>
          <w:rFonts w:ascii="Times New Roman" w:eastAsia="Cambria" w:hAnsi="Times New Roman" w:cs="Times New Roman"/>
          <w:sz w:val="24"/>
          <w:szCs w:val="32"/>
          <w:lang w:eastAsia="fr-FR"/>
        </w:rPr>
        <w:t>L’évaluation des besoins prioritaires du Ministère et la formulation d’un document de projet pour soutenir la mise en œuvre de la stratég</w:t>
      </w:r>
      <w:r>
        <w:rPr>
          <w:rFonts w:ascii="Times New Roman" w:eastAsia="Cambria" w:hAnsi="Times New Roman" w:cs="Times New Roman"/>
          <w:sz w:val="24"/>
          <w:szCs w:val="32"/>
          <w:lang w:eastAsia="fr-FR"/>
        </w:rPr>
        <w:t>ie nationale d’électrification.</w:t>
      </w:r>
    </w:p>
    <w:p w:rsidR="00555681" w:rsidRPr="00B060FE" w:rsidRDefault="00555681" w:rsidP="00555681">
      <w:pPr>
        <w:spacing w:after="0" w:line="276" w:lineRule="auto"/>
        <w:ind w:left="360"/>
        <w:jc w:val="both"/>
        <w:rPr>
          <w:rFonts w:ascii="Times New Roman" w:eastAsia="Cambria" w:hAnsi="Times New Roman" w:cs="Times New Roman"/>
          <w:sz w:val="24"/>
          <w:szCs w:val="24"/>
          <w:lang w:eastAsia="fr-FR"/>
        </w:rPr>
      </w:pPr>
    </w:p>
    <w:p w:rsidR="00555681" w:rsidRPr="00B060FE" w:rsidRDefault="00097D6E" w:rsidP="00555681">
      <w:pPr>
        <w:spacing w:after="0" w:line="276" w:lineRule="auto"/>
        <w:jc w:val="both"/>
        <w:rPr>
          <w:rFonts w:ascii="Times New Roman" w:eastAsia="Cambria" w:hAnsi="Times New Roman" w:cs="Times New Roman"/>
          <w:sz w:val="24"/>
          <w:szCs w:val="24"/>
          <w:lang w:eastAsia="fr-FR"/>
        </w:rPr>
      </w:pPr>
      <w:r>
        <w:rPr>
          <w:rFonts w:ascii="Times New Roman" w:eastAsia="Cambria" w:hAnsi="Times New Roman" w:cs="Times New Roman"/>
          <w:b/>
          <w:sz w:val="24"/>
          <w:szCs w:val="24"/>
          <w:lang w:eastAsia="fr-FR"/>
        </w:rPr>
        <w:t>En</w:t>
      </w:r>
      <w:r w:rsidR="00555681" w:rsidRPr="00B060FE">
        <w:rPr>
          <w:rFonts w:ascii="Times New Roman" w:eastAsia="Cambria" w:hAnsi="Times New Roman" w:cs="Times New Roman"/>
          <w:b/>
          <w:sz w:val="24"/>
          <w:szCs w:val="24"/>
          <w:lang w:eastAsia="fr-FR"/>
        </w:rPr>
        <w:t xml:space="preserve"> ce qui concerne les Mines</w:t>
      </w:r>
      <w:r w:rsidR="00555681" w:rsidRPr="00B060FE">
        <w:rPr>
          <w:rFonts w:ascii="Times New Roman" w:eastAsia="Cambria" w:hAnsi="Times New Roman" w:cs="Times New Roman"/>
          <w:sz w:val="24"/>
          <w:szCs w:val="24"/>
          <w:lang w:eastAsia="fr-FR"/>
        </w:rPr>
        <w:t>, il s’agira de mettre à la disposition du Ministère d’une Assistance Technique (Expertise internationale) qui va donner un appui dans :</w:t>
      </w:r>
    </w:p>
    <w:p w:rsidR="00555681" w:rsidRPr="00B060FE" w:rsidRDefault="00555681" w:rsidP="00555681">
      <w:pPr>
        <w:numPr>
          <w:ilvl w:val="0"/>
          <w:numId w:val="14"/>
        </w:numPr>
        <w:spacing w:after="0" w:line="276" w:lineRule="auto"/>
        <w:jc w:val="both"/>
        <w:rPr>
          <w:rFonts w:ascii="Times New Roman" w:eastAsia="Cambria" w:hAnsi="Times New Roman" w:cs="Times New Roman"/>
          <w:sz w:val="24"/>
          <w:szCs w:val="24"/>
          <w:lang w:eastAsia="fr-FR"/>
        </w:rPr>
      </w:pPr>
      <w:r w:rsidRPr="00B060FE">
        <w:rPr>
          <w:rFonts w:ascii="Times New Roman" w:eastAsia="Cambria" w:hAnsi="Times New Roman" w:cs="Times New Roman"/>
          <w:sz w:val="24"/>
          <w:szCs w:val="24"/>
          <w:lang w:eastAsia="fr-FR"/>
        </w:rPr>
        <w:t>la formulation d’une polit</w:t>
      </w:r>
      <w:r w:rsidR="00097D6E">
        <w:rPr>
          <w:rFonts w:ascii="Times New Roman" w:eastAsia="Cambria" w:hAnsi="Times New Roman" w:cs="Times New Roman"/>
          <w:sz w:val="24"/>
          <w:szCs w:val="24"/>
          <w:lang w:eastAsia="fr-FR"/>
        </w:rPr>
        <w:t>ique nationale dans le secteur m</w:t>
      </w:r>
      <w:r w:rsidRPr="00B060FE">
        <w:rPr>
          <w:rFonts w:ascii="Times New Roman" w:eastAsia="Cambria" w:hAnsi="Times New Roman" w:cs="Times New Roman"/>
          <w:sz w:val="24"/>
          <w:szCs w:val="24"/>
          <w:lang w:eastAsia="fr-FR"/>
        </w:rPr>
        <w:t>inier assortie d’un plan d’actions prioritaires. Cette politique devra être en conformité avec les priorités identifiées par les Etats Africains dans les documents régissant le développement et l’exploitation des ressources minières, notamment la Vision du Régime Minier de l’Afrique (Africa Mining Vision) ;</w:t>
      </w:r>
    </w:p>
    <w:p w:rsidR="00555681" w:rsidRPr="00B060FE" w:rsidRDefault="00555681" w:rsidP="00555681">
      <w:pPr>
        <w:numPr>
          <w:ilvl w:val="0"/>
          <w:numId w:val="14"/>
        </w:numPr>
        <w:spacing w:after="200" w:line="276" w:lineRule="auto"/>
        <w:contextualSpacing/>
        <w:jc w:val="both"/>
        <w:rPr>
          <w:rFonts w:ascii="Times New Roman" w:eastAsia="Cambria" w:hAnsi="Times New Roman" w:cs="Times New Roman"/>
          <w:sz w:val="24"/>
          <w:szCs w:val="24"/>
          <w:lang w:eastAsia="fr-FR"/>
        </w:rPr>
      </w:pPr>
      <w:r w:rsidRPr="00B060FE">
        <w:rPr>
          <w:rFonts w:ascii="Times New Roman" w:eastAsia="Cambria" w:hAnsi="Times New Roman" w:cs="Times New Roman"/>
          <w:sz w:val="24"/>
          <w:szCs w:val="24"/>
          <w:lang w:eastAsia="fr-FR"/>
        </w:rPr>
        <w:t>L’actualisation du</w:t>
      </w:r>
      <w:r w:rsidR="00456C97">
        <w:rPr>
          <w:rFonts w:ascii="Times New Roman" w:eastAsia="Cambria" w:hAnsi="Times New Roman" w:cs="Times New Roman"/>
          <w:sz w:val="24"/>
          <w:szCs w:val="24"/>
          <w:lang w:eastAsia="fr-FR"/>
        </w:rPr>
        <w:t xml:space="preserve"> </w:t>
      </w:r>
      <w:r w:rsidRPr="00B060FE">
        <w:rPr>
          <w:rFonts w:ascii="Times New Roman" w:eastAsia="Cambria" w:hAnsi="Times New Roman" w:cs="Times New Roman"/>
          <w:sz w:val="24"/>
          <w:szCs w:val="24"/>
          <w:lang w:eastAsia="fr-FR"/>
        </w:rPr>
        <w:t>Code Minier à la lumière de la nouvelle politique sectorielle formulée si cela s’avère nécessaire le moment venu. Ce cadre légal et réglementaire actualisé en respectant les meilleurs pratiques au niveau international servira comme outil soutenant la nouvelle politique du secteur minier ;</w:t>
      </w:r>
    </w:p>
    <w:p w:rsidR="00555681" w:rsidRPr="00B060FE" w:rsidRDefault="00555681" w:rsidP="00555681">
      <w:pPr>
        <w:numPr>
          <w:ilvl w:val="0"/>
          <w:numId w:val="14"/>
        </w:numPr>
        <w:spacing w:after="200" w:line="276" w:lineRule="auto"/>
        <w:contextualSpacing/>
        <w:jc w:val="both"/>
        <w:rPr>
          <w:rFonts w:ascii="Times New Roman" w:eastAsia="Cambria" w:hAnsi="Times New Roman" w:cs="Times New Roman"/>
          <w:sz w:val="24"/>
          <w:szCs w:val="24"/>
          <w:lang w:eastAsia="fr-FR"/>
        </w:rPr>
      </w:pPr>
      <w:r w:rsidRPr="00B060FE">
        <w:rPr>
          <w:rFonts w:ascii="Times New Roman" w:eastAsia="Cambria" w:hAnsi="Times New Roman" w:cs="Times New Roman"/>
          <w:sz w:val="24"/>
          <w:szCs w:val="24"/>
          <w:lang w:eastAsia="fr-FR"/>
        </w:rPr>
        <w:t xml:space="preserve">Le processus d’adhésion du Burundi à </w:t>
      </w:r>
      <w:r w:rsidRPr="005150D2">
        <w:rPr>
          <w:rFonts w:ascii="Times New Roman" w:eastAsia="Cambria" w:hAnsi="Times New Roman" w:cs="Times New Roman"/>
          <w:sz w:val="24"/>
          <w:szCs w:val="24"/>
          <w:lang w:eastAsia="fr-FR"/>
        </w:rPr>
        <w:t>l’Initiative pour la Transparence dans les Industries Extractives</w:t>
      </w:r>
      <w:r w:rsidRPr="00B060FE">
        <w:rPr>
          <w:rFonts w:ascii="Times New Roman" w:eastAsia="Cambria" w:hAnsi="Times New Roman" w:cs="Times New Roman"/>
          <w:sz w:val="24"/>
          <w:szCs w:val="24"/>
          <w:lang w:eastAsia="fr-FR"/>
        </w:rPr>
        <w:t xml:space="preserve"> (ITIE) ; </w:t>
      </w:r>
    </w:p>
    <w:p w:rsidR="00555681" w:rsidRPr="00B060FE" w:rsidRDefault="00555681" w:rsidP="00555681">
      <w:pPr>
        <w:numPr>
          <w:ilvl w:val="0"/>
          <w:numId w:val="14"/>
        </w:numPr>
        <w:spacing w:after="200" w:line="276" w:lineRule="auto"/>
        <w:contextualSpacing/>
        <w:jc w:val="both"/>
        <w:rPr>
          <w:rFonts w:ascii="Times New Roman" w:eastAsia="Cambria" w:hAnsi="Times New Roman" w:cs="Times New Roman"/>
          <w:sz w:val="24"/>
          <w:szCs w:val="24"/>
          <w:lang w:eastAsia="fr-FR"/>
        </w:rPr>
      </w:pPr>
      <w:r w:rsidRPr="00B060FE">
        <w:rPr>
          <w:rFonts w:ascii="Times New Roman" w:eastAsia="Cambria" w:hAnsi="Times New Roman" w:cs="Times New Roman"/>
          <w:sz w:val="24"/>
          <w:szCs w:val="24"/>
          <w:lang w:eastAsia="fr-FR"/>
        </w:rPr>
        <w:t>La formulation d’un document de projet pour la mise en œuvre de la politique du secteur minier assorti une stratégie de mobilisation des ressources auprès des bailleurs internationaux ;</w:t>
      </w:r>
    </w:p>
    <w:p w:rsidR="00555681" w:rsidRPr="00B060FE" w:rsidRDefault="00555681" w:rsidP="00555681">
      <w:pPr>
        <w:numPr>
          <w:ilvl w:val="0"/>
          <w:numId w:val="14"/>
        </w:numPr>
        <w:spacing w:after="0" w:line="276" w:lineRule="auto"/>
        <w:contextualSpacing/>
        <w:jc w:val="both"/>
        <w:rPr>
          <w:rFonts w:ascii="Times New Roman" w:eastAsia="Cambria" w:hAnsi="Times New Roman" w:cs="Times New Roman"/>
          <w:sz w:val="24"/>
          <w:szCs w:val="24"/>
          <w:lang w:eastAsia="fr-FR"/>
        </w:rPr>
      </w:pPr>
      <w:r w:rsidRPr="00B060FE">
        <w:rPr>
          <w:rFonts w:ascii="Times New Roman" w:eastAsia="Cambria" w:hAnsi="Times New Roman" w:cs="Times New Roman"/>
          <w:sz w:val="24"/>
          <w:szCs w:val="24"/>
          <w:lang w:eastAsia="fr-FR"/>
        </w:rPr>
        <w:t xml:space="preserve">Le renforcement des capacités du Ministère en matière </w:t>
      </w:r>
      <w:r w:rsidR="005150D2">
        <w:rPr>
          <w:rFonts w:ascii="Times New Roman" w:eastAsia="Cambria" w:hAnsi="Times New Roman" w:cs="Times New Roman"/>
          <w:sz w:val="24"/>
          <w:szCs w:val="24"/>
          <w:lang w:eastAsia="fr-FR"/>
        </w:rPr>
        <w:t xml:space="preserve">de </w:t>
      </w:r>
      <w:r w:rsidRPr="00B060FE">
        <w:rPr>
          <w:rFonts w:ascii="Times New Roman" w:eastAsia="Cambria" w:hAnsi="Times New Roman" w:cs="Times New Roman"/>
          <w:sz w:val="24"/>
          <w:szCs w:val="24"/>
          <w:lang w:eastAsia="fr-FR"/>
        </w:rPr>
        <w:t xml:space="preserve">négociation des contrats ; </w:t>
      </w:r>
    </w:p>
    <w:p w:rsidR="00555681" w:rsidRDefault="00555681" w:rsidP="00555681">
      <w:pPr>
        <w:spacing w:line="276" w:lineRule="auto"/>
        <w:jc w:val="both"/>
        <w:rPr>
          <w:rFonts w:ascii="Times New Roman" w:hAnsi="Times New Roman" w:cs="Times New Roman"/>
          <w:bCs/>
          <w:sz w:val="24"/>
          <w:szCs w:val="24"/>
        </w:rPr>
      </w:pPr>
      <w:r w:rsidRPr="00B060FE">
        <w:rPr>
          <w:rFonts w:ascii="Times New Roman" w:eastAsia="Cambria" w:hAnsi="Times New Roman" w:cs="Times New Roman"/>
          <w:sz w:val="24"/>
          <w:szCs w:val="24"/>
          <w:lang w:eastAsia="fr-FR"/>
        </w:rPr>
        <w:t>L’analyse des besoins du Ministère en matière de formation et  à la formulation d’un plan de renforcement de capacités y relatif.</w:t>
      </w:r>
    </w:p>
    <w:p w:rsidR="00555681" w:rsidRPr="001674FB" w:rsidRDefault="00555681" w:rsidP="001674FB">
      <w:pPr>
        <w:spacing w:line="276" w:lineRule="auto"/>
        <w:ind w:left="708"/>
        <w:jc w:val="both"/>
        <w:rPr>
          <w:rFonts w:ascii="Times New Roman" w:hAnsi="Times New Roman" w:cs="Times New Roman"/>
          <w:bCs/>
          <w:sz w:val="24"/>
          <w:szCs w:val="24"/>
        </w:rPr>
      </w:pPr>
    </w:p>
    <w:p w:rsidR="003650B1" w:rsidRDefault="003650B1" w:rsidP="001674FB">
      <w:pPr>
        <w:spacing w:line="276" w:lineRule="auto"/>
        <w:jc w:val="both"/>
        <w:rPr>
          <w:rFonts w:ascii="Times New Roman" w:hAnsi="Times New Roman" w:cs="Times New Roman"/>
          <w:b/>
          <w:bCs/>
          <w:sz w:val="24"/>
          <w:szCs w:val="24"/>
        </w:rPr>
        <w:sectPr w:rsidR="003650B1" w:rsidSect="00ED703A">
          <w:footerReference w:type="default" r:id="rId17"/>
          <w:pgSz w:w="11906" w:h="16838"/>
          <w:pgMar w:top="1417" w:right="1417" w:bottom="1417" w:left="1417" w:header="708" w:footer="708" w:gutter="0"/>
          <w:pgNumType w:start="1"/>
          <w:cols w:space="708"/>
          <w:docGrid w:linePitch="360"/>
        </w:sectPr>
      </w:pPr>
    </w:p>
    <w:p w:rsidR="001674FB" w:rsidRPr="00AA6908" w:rsidRDefault="001674FB" w:rsidP="00AA6908">
      <w:pPr>
        <w:pStyle w:val="Titre1"/>
        <w:spacing w:after="240" w:line="276" w:lineRule="auto"/>
        <w:jc w:val="both"/>
        <w:rPr>
          <w:rFonts w:ascii="Times New Roman" w:hAnsi="Times New Roman" w:cs="Times New Roman"/>
          <w:b/>
          <w:bCs/>
          <w:color w:val="auto"/>
          <w:sz w:val="24"/>
          <w:szCs w:val="24"/>
        </w:rPr>
      </w:pPr>
      <w:bookmarkStart w:id="26" w:name="_Toc500352715"/>
      <w:r w:rsidRPr="00AA6908">
        <w:rPr>
          <w:rFonts w:ascii="Times New Roman" w:hAnsi="Times New Roman" w:cs="Times New Roman"/>
          <w:b/>
          <w:bCs/>
          <w:color w:val="auto"/>
          <w:sz w:val="24"/>
          <w:szCs w:val="24"/>
        </w:rPr>
        <w:lastRenderedPageBreak/>
        <w:t>3. Conclusions</w:t>
      </w:r>
      <w:bookmarkEnd w:id="26"/>
      <w:r w:rsidRPr="00AA6908">
        <w:rPr>
          <w:rFonts w:ascii="Times New Roman" w:hAnsi="Times New Roman" w:cs="Times New Roman"/>
          <w:b/>
          <w:bCs/>
          <w:color w:val="auto"/>
          <w:sz w:val="24"/>
          <w:szCs w:val="24"/>
        </w:rPr>
        <w:t xml:space="preserve"> </w:t>
      </w:r>
    </w:p>
    <w:p w:rsidR="001674FB" w:rsidRPr="00720FA2" w:rsidRDefault="001674FB" w:rsidP="00720FA2">
      <w:pPr>
        <w:pStyle w:val="Paragraphedeliste"/>
        <w:spacing w:line="276" w:lineRule="auto"/>
        <w:jc w:val="both"/>
        <w:outlineLvl w:val="1"/>
        <w:rPr>
          <w:rFonts w:ascii="Times New Roman" w:hAnsi="Times New Roman" w:cs="Times New Roman"/>
          <w:b/>
          <w:bCs/>
          <w:sz w:val="24"/>
          <w:szCs w:val="24"/>
        </w:rPr>
      </w:pPr>
      <w:bookmarkStart w:id="27" w:name="_Toc500352716"/>
      <w:r w:rsidRPr="00720FA2">
        <w:rPr>
          <w:rFonts w:ascii="Times New Roman" w:hAnsi="Times New Roman" w:cs="Times New Roman"/>
          <w:b/>
          <w:bCs/>
          <w:sz w:val="24"/>
          <w:szCs w:val="24"/>
        </w:rPr>
        <w:t>3.1 Conception/Formulation du projet</w:t>
      </w:r>
      <w:bookmarkEnd w:id="27"/>
      <w:r w:rsidRPr="00720FA2">
        <w:rPr>
          <w:rFonts w:ascii="Times New Roman" w:hAnsi="Times New Roman" w:cs="Times New Roman"/>
          <w:b/>
          <w:bCs/>
          <w:sz w:val="24"/>
          <w:szCs w:val="24"/>
        </w:rPr>
        <w:t xml:space="preserve"> </w:t>
      </w:r>
    </w:p>
    <w:p w:rsidR="001674FB" w:rsidRPr="005C0B68" w:rsidRDefault="001674FB" w:rsidP="005C0B68">
      <w:pPr>
        <w:pStyle w:val="Titre3"/>
        <w:spacing w:after="240" w:line="276" w:lineRule="auto"/>
        <w:jc w:val="both"/>
        <w:rPr>
          <w:rFonts w:ascii="Times New Roman" w:hAnsi="Times New Roman" w:cs="Times New Roman"/>
          <w:b/>
          <w:bCs/>
          <w:color w:val="auto"/>
        </w:rPr>
      </w:pPr>
      <w:bookmarkStart w:id="28" w:name="_Toc500352717"/>
      <w:r w:rsidRPr="005C0B68">
        <w:rPr>
          <w:rFonts w:ascii="Times New Roman" w:hAnsi="Times New Roman" w:cs="Times New Roman"/>
          <w:b/>
          <w:bCs/>
          <w:color w:val="auto"/>
        </w:rPr>
        <w:t>Analyse du cadre logique - ACL (Logique/strat</w:t>
      </w:r>
      <w:r w:rsidR="00D450E9" w:rsidRPr="005C0B68">
        <w:rPr>
          <w:rFonts w:ascii="Times New Roman" w:hAnsi="Times New Roman" w:cs="Times New Roman"/>
          <w:b/>
          <w:bCs/>
          <w:color w:val="auto"/>
        </w:rPr>
        <w:t>égie du projet ; indicateurs)</w:t>
      </w:r>
      <w:bookmarkEnd w:id="28"/>
      <w:r w:rsidR="00D450E9" w:rsidRPr="005C0B68">
        <w:rPr>
          <w:rFonts w:ascii="Times New Roman" w:hAnsi="Times New Roman" w:cs="Times New Roman"/>
          <w:b/>
          <w:bCs/>
          <w:color w:val="auto"/>
        </w:rPr>
        <w:t xml:space="preserve"> </w:t>
      </w:r>
    </w:p>
    <w:p w:rsidR="00F35045" w:rsidRDefault="00871ABA" w:rsidP="00F35045">
      <w:pPr>
        <w:spacing w:line="276" w:lineRule="auto"/>
        <w:jc w:val="both"/>
        <w:rPr>
          <w:rFonts w:ascii="Times New Roman" w:hAnsi="Times New Roman" w:cs="Times New Roman"/>
          <w:bCs/>
          <w:sz w:val="24"/>
          <w:szCs w:val="24"/>
        </w:rPr>
      </w:pPr>
      <w:r w:rsidRPr="00871ABA">
        <w:rPr>
          <w:rFonts w:ascii="Times New Roman" w:hAnsi="Times New Roman" w:cs="Times New Roman"/>
          <w:bCs/>
          <w:sz w:val="24"/>
          <w:szCs w:val="24"/>
        </w:rPr>
        <w:t>L'analyse de l’approche Cadre Logique ou ACL laisse exprimer un processus systématique basé notamment sur la gestion axée sur les résultats. Le document de projet comporte un cadre de résultats qui définit les objectifs et les résultats attendus et identifie des indicateurs pour chaque résultat. Les éléments permettant de vérifier la réalisation des indicateurs (les sources de</w:t>
      </w:r>
      <w:r>
        <w:rPr>
          <w:rFonts w:ascii="Times New Roman" w:hAnsi="Times New Roman" w:cs="Times New Roman"/>
          <w:bCs/>
          <w:sz w:val="24"/>
          <w:szCs w:val="24"/>
        </w:rPr>
        <w:t xml:space="preserve"> vérification)  sont également précisés et la mission a procédé à une</w:t>
      </w:r>
      <w:r w:rsidRPr="00871ABA">
        <w:rPr>
          <w:rFonts w:ascii="Times New Roman" w:hAnsi="Times New Roman" w:cs="Times New Roman"/>
          <w:bCs/>
          <w:sz w:val="24"/>
          <w:szCs w:val="24"/>
        </w:rPr>
        <w:t xml:space="preserve"> vérification exhaustive des différents livrab</w:t>
      </w:r>
      <w:r>
        <w:rPr>
          <w:rFonts w:ascii="Times New Roman" w:hAnsi="Times New Roman" w:cs="Times New Roman"/>
          <w:bCs/>
          <w:sz w:val="24"/>
          <w:szCs w:val="24"/>
        </w:rPr>
        <w:t xml:space="preserve">les au niveau de l’archivage. </w:t>
      </w:r>
      <w:r w:rsidRPr="00871ABA">
        <w:rPr>
          <w:rFonts w:ascii="Times New Roman" w:hAnsi="Times New Roman" w:cs="Times New Roman"/>
          <w:bCs/>
          <w:sz w:val="24"/>
          <w:szCs w:val="24"/>
        </w:rPr>
        <w:t>Les cibles sont définies contrairement aux valeurs de références (Baseline). Ceci se comprend car il s’agit d’un « petit projet ».  Cette situation a conduit à un Cadre L</w:t>
      </w:r>
      <w:r>
        <w:rPr>
          <w:rFonts w:ascii="Times New Roman" w:hAnsi="Times New Roman" w:cs="Times New Roman"/>
          <w:bCs/>
          <w:sz w:val="24"/>
          <w:szCs w:val="24"/>
        </w:rPr>
        <w:t>ogique simplifié, sans Baseline.</w:t>
      </w:r>
      <w:r w:rsidR="00F35045" w:rsidRPr="00F35045">
        <w:rPr>
          <w:rFonts w:ascii="Times New Roman" w:hAnsi="Times New Roman" w:cs="Times New Roman"/>
          <w:bCs/>
          <w:sz w:val="24"/>
          <w:szCs w:val="24"/>
        </w:rPr>
        <w:t xml:space="preserve"> </w:t>
      </w:r>
      <w:r w:rsidR="00F35045">
        <w:rPr>
          <w:rFonts w:ascii="Times New Roman" w:hAnsi="Times New Roman" w:cs="Times New Roman"/>
          <w:bCs/>
          <w:sz w:val="24"/>
          <w:szCs w:val="24"/>
        </w:rPr>
        <w:t xml:space="preserve">Ci-dessous le tableau (tableau 4)  dans lequel une </w:t>
      </w:r>
      <w:r w:rsidR="00F35045" w:rsidRPr="001D0191">
        <w:rPr>
          <w:rFonts w:ascii="Times New Roman" w:hAnsi="Times New Roman" w:cs="Times New Roman"/>
          <w:bCs/>
          <w:sz w:val="24"/>
          <w:szCs w:val="24"/>
        </w:rPr>
        <w:t>analyse critique du cadre logique du projet</w:t>
      </w:r>
      <w:r w:rsidR="00F35045">
        <w:rPr>
          <w:rFonts w:ascii="Times New Roman" w:hAnsi="Times New Roman" w:cs="Times New Roman"/>
          <w:bCs/>
          <w:sz w:val="24"/>
          <w:szCs w:val="24"/>
        </w:rPr>
        <w:t xml:space="preserve"> a été mené pour</w:t>
      </w:r>
      <w:r w:rsidR="00F35045" w:rsidRPr="001D0191">
        <w:rPr>
          <w:rFonts w:ascii="Times New Roman" w:hAnsi="Times New Roman" w:cs="Times New Roman"/>
          <w:bCs/>
          <w:sz w:val="24"/>
          <w:szCs w:val="24"/>
        </w:rPr>
        <w:t xml:space="preserve"> évaluer la mesure dans laquelle les indicateurs du projet sont « SMART »</w:t>
      </w:r>
      <w:r w:rsidR="00F35045">
        <w:rPr>
          <w:rFonts w:ascii="Times New Roman" w:hAnsi="Times New Roman" w:cs="Times New Roman"/>
          <w:bCs/>
          <w:sz w:val="24"/>
          <w:szCs w:val="24"/>
        </w:rPr>
        <w:t>.</w:t>
      </w:r>
    </w:p>
    <w:p w:rsidR="003650B1" w:rsidRDefault="003650B1" w:rsidP="003650B1">
      <w:pPr>
        <w:spacing w:line="276" w:lineRule="auto"/>
        <w:jc w:val="both"/>
        <w:rPr>
          <w:rFonts w:ascii="Times New Roman" w:hAnsi="Times New Roman" w:cs="Times New Roman"/>
          <w:bCs/>
          <w:sz w:val="24"/>
          <w:szCs w:val="24"/>
        </w:rPr>
      </w:pPr>
    </w:p>
    <w:p w:rsidR="003650B1" w:rsidRDefault="003650B1" w:rsidP="003650B1">
      <w:pPr>
        <w:spacing w:line="276" w:lineRule="auto"/>
        <w:jc w:val="both"/>
        <w:rPr>
          <w:rFonts w:ascii="Times New Roman" w:hAnsi="Times New Roman" w:cs="Times New Roman"/>
          <w:bCs/>
          <w:sz w:val="24"/>
          <w:szCs w:val="24"/>
        </w:rPr>
      </w:pPr>
    </w:p>
    <w:p w:rsidR="00920CCB" w:rsidRDefault="00920CCB" w:rsidP="003650B1">
      <w:pPr>
        <w:spacing w:line="276" w:lineRule="auto"/>
        <w:jc w:val="both"/>
        <w:rPr>
          <w:rFonts w:ascii="Times New Roman" w:hAnsi="Times New Roman" w:cs="Times New Roman"/>
          <w:bCs/>
          <w:sz w:val="24"/>
          <w:szCs w:val="24"/>
        </w:rPr>
        <w:sectPr w:rsidR="00920CCB">
          <w:pgSz w:w="11906" w:h="16838"/>
          <w:pgMar w:top="1417" w:right="1417" w:bottom="1417" w:left="1417" w:header="708" w:footer="708" w:gutter="0"/>
          <w:cols w:space="708"/>
          <w:docGrid w:linePitch="360"/>
        </w:sectPr>
      </w:pPr>
    </w:p>
    <w:p w:rsidR="00F35045" w:rsidRDefault="00F35045" w:rsidP="00F35045">
      <w:pPr>
        <w:spacing w:line="276" w:lineRule="auto"/>
        <w:jc w:val="both"/>
        <w:rPr>
          <w:rFonts w:ascii="Times New Roman" w:hAnsi="Times New Roman" w:cs="Times New Roman"/>
          <w:bCs/>
          <w:sz w:val="24"/>
          <w:szCs w:val="24"/>
        </w:rPr>
      </w:pPr>
    </w:p>
    <w:tbl>
      <w:tblPr>
        <w:tblStyle w:val="Grilledutableau"/>
        <w:tblW w:w="5000" w:type="pct"/>
        <w:tblLook w:val="04A0" w:firstRow="1" w:lastRow="0" w:firstColumn="1" w:lastColumn="0" w:noHBand="0" w:noVBand="1"/>
      </w:tblPr>
      <w:tblGrid>
        <w:gridCol w:w="4893"/>
        <w:gridCol w:w="3860"/>
        <w:gridCol w:w="1136"/>
        <w:gridCol w:w="4331"/>
      </w:tblGrid>
      <w:tr w:rsidR="00F35045" w:rsidRPr="003650B1" w:rsidTr="003C4457">
        <w:trPr>
          <w:trHeight w:val="503"/>
          <w:tblHeader/>
        </w:trPr>
        <w:tc>
          <w:tcPr>
            <w:tcW w:w="1720" w:type="pct"/>
            <w:vAlign w:val="center"/>
          </w:tcPr>
          <w:p w:rsidR="00F35045" w:rsidRPr="003650B1" w:rsidRDefault="00F35045" w:rsidP="003C4457">
            <w:pPr>
              <w:spacing w:line="276" w:lineRule="auto"/>
              <w:jc w:val="center"/>
              <w:rPr>
                <w:b/>
                <w:sz w:val="24"/>
                <w:szCs w:val="24"/>
              </w:rPr>
            </w:pPr>
            <w:r w:rsidRPr="003650B1">
              <w:rPr>
                <w:b/>
                <w:sz w:val="24"/>
                <w:szCs w:val="24"/>
              </w:rPr>
              <w:t>Objectifs/Résultats</w:t>
            </w:r>
          </w:p>
        </w:tc>
        <w:tc>
          <w:tcPr>
            <w:tcW w:w="1357" w:type="pct"/>
            <w:vAlign w:val="center"/>
          </w:tcPr>
          <w:p w:rsidR="00F35045" w:rsidRPr="003650B1" w:rsidRDefault="00F35045" w:rsidP="003C4457">
            <w:pPr>
              <w:spacing w:line="276" w:lineRule="auto"/>
              <w:jc w:val="center"/>
              <w:rPr>
                <w:b/>
                <w:sz w:val="24"/>
                <w:szCs w:val="24"/>
              </w:rPr>
            </w:pPr>
            <w:r w:rsidRPr="003650B1">
              <w:rPr>
                <w:b/>
                <w:sz w:val="24"/>
                <w:szCs w:val="24"/>
              </w:rPr>
              <w:t>Indicateur</w:t>
            </w:r>
          </w:p>
        </w:tc>
        <w:tc>
          <w:tcPr>
            <w:tcW w:w="399" w:type="pct"/>
            <w:vAlign w:val="center"/>
          </w:tcPr>
          <w:p w:rsidR="00F35045" w:rsidRPr="003650B1" w:rsidRDefault="00F35045" w:rsidP="003C4457">
            <w:pPr>
              <w:spacing w:line="276" w:lineRule="auto"/>
              <w:jc w:val="center"/>
              <w:rPr>
                <w:b/>
                <w:sz w:val="24"/>
                <w:szCs w:val="24"/>
              </w:rPr>
            </w:pPr>
            <w:r w:rsidRPr="003650B1">
              <w:rPr>
                <w:b/>
                <w:sz w:val="24"/>
                <w:szCs w:val="24"/>
              </w:rPr>
              <w:t>SMART</w:t>
            </w:r>
          </w:p>
        </w:tc>
        <w:tc>
          <w:tcPr>
            <w:tcW w:w="1523" w:type="pct"/>
            <w:vAlign w:val="center"/>
          </w:tcPr>
          <w:p w:rsidR="00F35045" w:rsidRPr="003650B1" w:rsidRDefault="00F35045" w:rsidP="003C4457">
            <w:pPr>
              <w:spacing w:line="276" w:lineRule="auto"/>
              <w:jc w:val="center"/>
              <w:rPr>
                <w:b/>
                <w:sz w:val="24"/>
                <w:szCs w:val="24"/>
              </w:rPr>
            </w:pPr>
            <w:r w:rsidRPr="003650B1">
              <w:rPr>
                <w:b/>
                <w:sz w:val="24"/>
                <w:szCs w:val="24"/>
              </w:rPr>
              <w:t>Observations</w:t>
            </w:r>
          </w:p>
        </w:tc>
      </w:tr>
      <w:tr w:rsidR="00F35045" w:rsidRPr="003650B1" w:rsidTr="003C4457">
        <w:trPr>
          <w:trHeight w:val="503"/>
          <w:tblHeader/>
        </w:trPr>
        <w:tc>
          <w:tcPr>
            <w:tcW w:w="1720" w:type="pct"/>
            <w:vAlign w:val="center"/>
          </w:tcPr>
          <w:p w:rsidR="00F35045" w:rsidRPr="003650B1" w:rsidRDefault="00F35045" w:rsidP="003C4457">
            <w:pPr>
              <w:spacing w:line="276" w:lineRule="auto"/>
              <w:rPr>
                <w:sz w:val="24"/>
                <w:szCs w:val="24"/>
              </w:rPr>
            </w:pPr>
            <w:r>
              <w:rPr>
                <w:sz w:val="24"/>
                <w:szCs w:val="24"/>
              </w:rPr>
              <w:t>A</w:t>
            </w:r>
            <w:r w:rsidRPr="003650B1">
              <w:rPr>
                <w:sz w:val="24"/>
                <w:szCs w:val="24"/>
              </w:rPr>
              <w:t>méliorer l’environnement légal, réglementaire et institutionnel des secteurs de l’Energie et des Mines pour permettre à court et moyen terme la promotion des i</w:t>
            </w:r>
            <w:r>
              <w:rPr>
                <w:sz w:val="24"/>
                <w:szCs w:val="24"/>
              </w:rPr>
              <w:t>nvestissements publics et privé d</w:t>
            </w:r>
            <w:r w:rsidRPr="003650B1">
              <w:rPr>
                <w:sz w:val="24"/>
                <w:szCs w:val="24"/>
              </w:rPr>
              <w:t>ans ces secteurs.</w:t>
            </w:r>
          </w:p>
        </w:tc>
        <w:tc>
          <w:tcPr>
            <w:tcW w:w="1357" w:type="pct"/>
            <w:vAlign w:val="center"/>
          </w:tcPr>
          <w:p w:rsidR="00F35045" w:rsidRPr="003650B1" w:rsidRDefault="00F35045" w:rsidP="003C4457">
            <w:pPr>
              <w:spacing w:line="276" w:lineRule="auto"/>
              <w:rPr>
                <w:sz w:val="24"/>
                <w:szCs w:val="24"/>
              </w:rPr>
            </w:pPr>
          </w:p>
        </w:tc>
        <w:tc>
          <w:tcPr>
            <w:tcW w:w="399" w:type="pct"/>
            <w:vAlign w:val="center"/>
          </w:tcPr>
          <w:p w:rsidR="00F35045" w:rsidRPr="003650B1" w:rsidRDefault="00F35045" w:rsidP="003C4457">
            <w:pPr>
              <w:spacing w:line="276" w:lineRule="auto"/>
              <w:rPr>
                <w:sz w:val="24"/>
                <w:szCs w:val="24"/>
              </w:rPr>
            </w:pPr>
          </w:p>
        </w:tc>
        <w:tc>
          <w:tcPr>
            <w:tcW w:w="1523" w:type="pct"/>
            <w:vAlign w:val="center"/>
          </w:tcPr>
          <w:p w:rsidR="00F35045" w:rsidRPr="003650B1" w:rsidRDefault="00F35045" w:rsidP="003C4457">
            <w:pPr>
              <w:spacing w:line="276" w:lineRule="auto"/>
              <w:rPr>
                <w:sz w:val="24"/>
                <w:szCs w:val="24"/>
              </w:rPr>
            </w:pPr>
            <w:r>
              <w:rPr>
                <w:sz w:val="24"/>
                <w:szCs w:val="24"/>
              </w:rPr>
              <w:t>Pas d’indicateur au niveau de l’objectif global, en effet ce dernier est mesuré à travers l’atteinte des deux résultats du projet.</w:t>
            </w:r>
          </w:p>
        </w:tc>
      </w:tr>
      <w:tr w:rsidR="00F35045" w:rsidRPr="003650B1" w:rsidTr="003C4457">
        <w:tc>
          <w:tcPr>
            <w:tcW w:w="1720" w:type="pct"/>
            <w:vAlign w:val="center"/>
          </w:tcPr>
          <w:p w:rsidR="00F35045" w:rsidRPr="003650B1" w:rsidRDefault="00F35045" w:rsidP="003C4457">
            <w:pPr>
              <w:spacing w:line="276" w:lineRule="auto"/>
              <w:rPr>
                <w:sz w:val="24"/>
                <w:szCs w:val="24"/>
              </w:rPr>
            </w:pPr>
            <w:r w:rsidRPr="003650B1">
              <w:rPr>
                <w:sz w:val="24"/>
                <w:szCs w:val="24"/>
              </w:rPr>
              <w:t>1. Les Politiques, stratégies et cadres légaux et réglementaires régissant les secteurs de l’Energie et des Mines modernisés en vue d’une plus grande attractivité de ces secteurs pour les investisseurs potentiels </w:t>
            </w:r>
          </w:p>
        </w:tc>
        <w:tc>
          <w:tcPr>
            <w:tcW w:w="1357" w:type="pct"/>
            <w:vAlign w:val="center"/>
          </w:tcPr>
          <w:p w:rsidR="00F35045" w:rsidRPr="003650B1" w:rsidRDefault="00F35045" w:rsidP="003C4457">
            <w:pPr>
              <w:spacing w:line="276" w:lineRule="auto"/>
              <w:rPr>
                <w:sz w:val="24"/>
                <w:szCs w:val="24"/>
              </w:rPr>
            </w:pPr>
            <w:r w:rsidRPr="003650B1">
              <w:rPr>
                <w:sz w:val="24"/>
                <w:szCs w:val="24"/>
              </w:rPr>
              <w:t>Disponibilité de nouveaux  outils de politique et stratégie dans les domaines de l’Energie et des Mines</w:t>
            </w:r>
          </w:p>
        </w:tc>
        <w:tc>
          <w:tcPr>
            <w:tcW w:w="399" w:type="pct"/>
            <w:vAlign w:val="center"/>
          </w:tcPr>
          <w:p w:rsidR="00F35045" w:rsidRPr="003650B1" w:rsidRDefault="00F35045" w:rsidP="003C4457">
            <w:pPr>
              <w:spacing w:line="276" w:lineRule="auto"/>
              <w:rPr>
                <w:sz w:val="24"/>
                <w:szCs w:val="24"/>
              </w:rPr>
            </w:pPr>
            <w:r>
              <w:rPr>
                <w:sz w:val="24"/>
                <w:szCs w:val="24"/>
              </w:rPr>
              <w:t>SMART</w:t>
            </w:r>
          </w:p>
        </w:tc>
        <w:tc>
          <w:tcPr>
            <w:tcW w:w="1523" w:type="pct"/>
            <w:vAlign w:val="center"/>
          </w:tcPr>
          <w:p w:rsidR="00F35045" w:rsidRPr="003650B1" w:rsidRDefault="00F35045" w:rsidP="003C4457">
            <w:pPr>
              <w:spacing w:line="276" w:lineRule="auto"/>
              <w:rPr>
                <w:sz w:val="24"/>
                <w:szCs w:val="24"/>
              </w:rPr>
            </w:pPr>
          </w:p>
        </w:tc>
      </w:tr>
      <w:tr w:rsidR="00F35045" w:rsidRPr="003650B1" w:rsidTr="003C4457">
        <w:tc>
          <w:tcPr>
            <w:tcW w:w="1720" w:type="pct"/>
            <w:vMerge w:val="restart"/>
            <w:vAlign w:val="center"/>
          </w:tcPr>
          <w:p w:rsidR="00F35045" w:rsidRPr="003650B1" w:rsidRDefault="00F35045" w:rsidP="003C4457">
            <w:pPr>
              <w:spacing w:line="276" w:lineRule="auto"/>
              <w:rPr>
                <w:sz w:val="24"/>
                <w:szCs w:val="24"/>
              </w:rPr>
            </w:pPr>
            <w:r w:rsidRPr="003650B1">
              <w:rPr>
                <w:sz w:val="24"/>
                <w:szCs w:val="24"/>
              </w:rPr>
              <w:t>2. Les capacités institutionnelles du Ministère de l’Energie et des Mines renforcés particulièrement en matière de négociation des contrats</w:t>
            </w:r>
          </w:p>
        </w:tc>
        <w:tc>
          <w:tcPr>
            <w:tcW w:w="1357" w:type="pct"/>
            <w:vAlign w:val="center"/>
          </w:tcPr>
          <w:p w:rsidR="00F35045" w:rsidRPr="003650B1" w:rsidRDefault="00F35045" w:rsidP="003C4457">
            <w:pPr>
              <w:spacing w:line="276" w:lineRule="auto"/>
              <w:rPr>
                <w:sz w:val="24"/>
                <w:szCs w:val="24"/>
              </w:rPr>
            </w:pPr>
            <w:r w:rsidRPr="003650B1">
              <w:rPr>
                <w:sz w:val="24"/>
                <w:szCs w:val="24"/>
              </w:rPr>
              <w:t>Nombre et qualité de modèles de contrats adoptés et nom</w:t>
            </w:r>
            <w:r>
              <w:rPr>
                <w:sz w:val="24"/>
                <w:szCs w:val="24"/>
              </w:rPr>
              <w:t>bre de cadre formés en matière d</w:t>
            </w:r>
            <w:r w:rsidRPr="003650B1">
              <w:rPr>
                <w:sz w:val="24"/>
                <w:szCs w:val="24"/>
              </w:rPr>
              <w:t>e négociation</w:t>
            </w:r>
          </w:p>
        </w:tc>
        <w:tc>
          <w:tcPr>
            <w:tcW w:w="399" w:type="pct"/>
            <w:vAlign w:val="center"/>
          </w:tcPr>
          <w:p w:rsidR="00F35045" w:rsidRPr="003650B1" w:rsidRDefault="00F35045" w:rsidP="003C4457">
            <w:pPr>
              <w:spacing w:line="276" w:lineRule="auto"/>
              <w:rPr>
                <w:sz w:val="24"/>
                <w:szCs w:val="24"/>
              </w:rPr>
            </w:pPr>
            <w:r>
              <w:rPr>
                <w:sz w:val="24"/>
                <w:szCs w:val="24"/>
              </w:rPr>
              <w:t>SMART</w:t>
            </w:r>
          </w:p>
        </w:tc>
        <w:tc>
          <w:tcPr>
            <w:tcW w:w="1523" w:type="pct"/>
            <w:vAlign w:val="center"/>
          </w:tcPr>
          <w:p w:rsidR="00F35045" w:rsidRPr="003650B1" w:rsidRDefault="00F35045" w:rsidP="003C4457">
            <w:pPr>
              <w:spacing w:line="276" w:lineRule="auto"/>
              <w:rPr>
                <w:sz w:val="24"/>
                <w:szCs w:val="24"/>
              </w:rPr>
            </w:pPr>
          </w:p>
        </w:tc>
      </w:tr>
      <w:tr w:rsidR="00F35045" w:rsidRPr="003650B1" w:rsidTr="003C4457">
        <w:tc>
          <w:tcPr>
            <w:tcW w:w="1720" w:type="pct"/>
            <w:vMerge/>
            <w:vAlign w:val="center"/>
          </w:tcPr>
          <w:p w:rsidR="00F35045" w:rsidRPr="003650B1" w:rsidRDefault="00F35045" w:rsidP="003C4457">
            <w:pPr>
              <w:spacing w:line="276" w:lineRule="auto"/>
              <w:rPr>
                <w:sz w:val="24"/>
                <w:szCs w:val="24"/>
              </w:rPr>
            </w:pPr>
          </w:p>
        </w:tc>
        <w:tc>
          <w:tcPr>
            <w:tcW w:w="1357" w:type="pct"/>
            <w:vAlign w:val="center"/>
          </w:tcPr>
          <w:p w:rsidR="00F35045" w:rsidRPr="003650B1" w:rsidRDefault="00F35045" w:rsidP="003C4457">
            <w:pPr>
              <w:spacing w:line="276" w:lineRule="auto"/>
              <w:rPr>
                <w:sz w:val="24"/>
                <w:szCs w:val="24"/>
              </w:rPr>
            </w:pPr>
            <w:r w:rsidRPr="003650B1">
              <w:rPr>
                <w:sz w:val="24"/>
                <w:szCs w:val="24"/>
              </w:rPr>
              <w:t>Deux documents de projet de renforcement de capacités du Ministère sont disponible</w:t>
            </w:r>
            <w:r>
              <w:rPr>
                <w:sz w:val="24"/>
                <w:szCs w:val="24"/>
              </w:rPr>
              <w:t>s</w:t>
            </w:r>
          </w:p>
        </w:tc>
        <w:tc>
          <w:tcPr>
            <w:tcW w:w="399" w:type="pct"/>
            <w:vAlign w:val="center"/>
          </w:tcPr>
          <w:p w:rsidR="00F35045" w:rsidRPr="003650B1" w:rsidRDefault="00F35045" w:rsidP="003C4457">
            <w:pPr>
              <w:spacing w:line="276" w:lineRule="auto"/>
              <w:rPr>
                <w:sz w:val="24"/>
                <w:szCs w:val="24"/>
              </w:rPr>
            </w:pPr>
            <w:r>
              <w:rPr>
                <w:sz w:val="24"/>
                <w:szCs w:val="24"/>
              </w:rPr>
              <w:t>Pas SMART</w:t>
            </w:r>
          </w:p>
        </w:tc>
        <w:tc>
          <w:tcPr>
            <w:tcW w:w="1523" w:type="pct"/>
            <w:vAlign w:val="center"/>
          </w:tcPr>
          <w:p w:rsidR="00F35045" w:rsidRPr="003650B1" w:rsidRDefault="00F35045" w:rsidP="003C4457">
            <w:pPr>
              <w:spacing w:line="276" w:lineRule="auto"/>
              <w:rPr>
                <w:sz w:val="24"/>
                <w:szCs w:val="24"/>
              </w:rPr>
            </w:pPr>
            <w:r>
              <w:rPr>
                <w:sz w:val="24"/>
                <w:szCs w:val="24"/>
              </w:rPr>
              <w:t>L’existence des documents ne permet pas de mesurer le renforcement de la capacité du Ministère. Le premier indicateur est largement suffisant.</w:t>
            </w:r>
          </w:p>
        </w:tc>
      </w:tr>
    </w:tbl>
    <w:p w:rsidR="00F35045" w:rsidRPr="001D0191" w:rsidRDefault="00F35045" w:rsidP="00F35045">
      <w:pPr>
        <w:pStyle w:val="Lgende"/>
        <w:spacing w:before="240"/>
        <w:jc w:val="center"/>
        <w:rPr>
          <w:rFonts w:ascii="Times New Roman" w:hAnsi="Times New Roman" w:cs="Times New Roman"/>
          <w:bCs/>
          <w:i w:val="0"/>
          <w:color w:val="auto"/>
          <w:sz w:val="24"/>
          <w:szCs w:val="24"/>
        </w:rPr>
      </w:pPr>
      <w:bookmarkStart w:id="29" w:name="_Toc500247360"/>
      <w:bookmarkStart w:id="30" w:name="_Toc500352818"/>
      <w:r w:rsidRPr="001D0191">
        <w:rPr>
          <w:rFonts w:ascii="Times New Roman" w:hAnsi="Times New Roman" w:cs="Times New Roman"/>
          <w:i w:val="0"/>
          <w:color w:val="auto"/>
          <w:sz w:val="24"/>
          <w:szCs w:val="24"/>
        </w:rPr>
        <w:t xml:space="preserve">Tableau </w:t>
      </w:r>
      <w:r w:rsidRPr="001D0191">
        <w:rPr>
          <w:rFonts w:ascii="Times New Roman" w:hAnsi="Times New Roman" w:cs="Times New Roman"/>
          <w:i w:val="0"/>
          <w:color w:val="auto"/>
          <w:sz w:val="24"/>
          <w:szCs w:val="24"/>
        </w:rPr>
        <w:fldChar w:fldCharType="begin"/>
      </w:r>
      <w:r w:rsidRPr="001D0191">
        <w:rPr>
          <w:rFonts w:ascii="Times New Roman" w:hAnsi="Times New Roman" w:cs="Times New Roman"/>
          <w:i w:val="0"/>
          <w:color w:val="auto"/>
          <w:sz w:val="24"/>
          <w:szCs w:val="24"/>
        </w:rPr>
        <w:instrText xml:space="preserve"> SEQ Tableau \* ARABIC </w:instrText>
      </w:r>
      <w:r w:rsidRPr="001D0191">
        <w:rPr>
          <w:rFonts w:ascii="Times New Roman" w:hAnsi="Times New Roman" w:cs="Times New Roman"/>
          <w:i w:val="0"/>
          <w:color w:val="auto"/>
          <w:sz w:val="24"/>
          <w:szCs w:val="24"/>
        </w:rPr>
        <w:fldChar w:fldCharType="separate"/>
      </w:r>
      <w:r w:rsidRPr="001D0191">
        <w:rPr>
          <w:rFonts w:ascii="Times New Roman" w:hAnsi="Times New Roman" w:cs="Times New Roman"/>
          <w:i w:val="0"/>
          <w:noProof/>
          <w:color w:val="auto"/>
          <w:sz w:val="24"/>
          <w:szCs w:val="24"/>
        </w:rPr>
        <w:t>4</w:t>
      </w:r>
      <w:r w:rsidRPr="001D0191">
        <w:rPr>
          <w:rFonts w:ascii="Times New Roman" w:hAnsi="Times New Roman" w:cs="Times New Roman"/>
          <w:i w:val="0"/>
          <w:color w:val="auto"/>
          <w:sz w:val="24"/>
          <w:szCs w:val="24"/>
        </w:rPr>
        <w:fldChar w:fldCharType="end"/>
      </w:r>
      <w:r>
        <w:rPr>
          <w:rFonts w:ascii="Times New Roman" w:hAnsi="Times New Roman" w:cs="Times New Roman"/>
          <w:i w:val="0"/>
          <w:color w:val="auto"/>
          <w:sz w:val="24"/>
          <w:szCs w:val="24"/>
        </w:rPr>
        <w:t xml:space="preserve"> : A</w:t>
      </w:r>
      <w:r w:rsidRPr="001D0191">
        <w:rPr>
          <w:rFonts w:ascii="Times New Roman" w:hAnsi="Times New Roman" w:cs="Times New Roman"/>
          <w:i w:val="0"/>
          <w:color w:val="auto"/>
          <w:sz w:val="24"/>
          <w:szCs w:val="24"/>
        </w:rPr>
        <w:t>nalyse critique des indicateurs</w:t>
      </w:r>
      <w:bookmarkEnd w:id="29"/>
      <w:bookmarkEnd w:id="30"/>
    </w:p>
    <w:p w:rsidR="003650B1" w:rsidRPr="001674FB" w:rsidRDefault="003650B1" w:rsidP="00D450E9">
      <w:pPr>
        <w:spacing w:line="276" w:lineRule="auto"/>
        <w:ind w:left="1416"/>
        <w:jc w:val="both"/>
        <w:rPr>
          <w:rFonts w:ascii="Times New Roman" w:hAnsi="Times New Roman" w:cs="Times New Roman"/>
          <w:bCs/>
          <w:sz w:val="24"/>
          <w:szCs w:val="24"/>
        </w:rPr>
      </w:pPr>
    </w:p>
    <w:p w:rsidR="003650B1" w:rsidRDefault="003650B1" w:rsidP="00D450E9">
      <w:pPr>
        <w:spacing w:line="276" w:lineRule="auto"/>
        <w:ind w:left="1416"/>
        <w:jc w:val="both"/>
        <w:rPr>
          <w:rFonts w:ascii="Times New Roman" w:hAnsi="Times New Roman" w:cs="Times New Roman"/>
          <w:bCs/>
          <w:sz w:val="24"/>
          <w:szCs w:val="24"/>
        </w:rPr>
        <w:sectPr w:rsidR="003650B1" w:rsidSect="003650B1">
          <w:footerReference w:type="default" r:id="rId18"/>
          <w:pgSz w:w="16838" w:h="11906" w:orient="landscape"/>
          <w:pgMar w:top="1417" w:right="1417" w:bottom="1417" w:left="1417" w:header="708" w:footer="708" w:gutter="0"/>
          <w:cols w:space="708"/>
          <w:docGrid w:linePitch="360"/>
        </w:sectPr>
      </w:pPr>
    </w:p>
    <w:p w:rsidR="001674FB" w:rsidRPr="005C0B68" w:rsidRDefault="00D450E9" w:rsidP="005C0B68">
      <w:pPr>
        <w:pStyle w:val="Titre3"/>
        <w:spacing w:after="240" w:line="276" w:lineRule="auto"/>
        <w:jc w:val="both"/>
        <w:rPr>
          <w:rFonts w:ascii="Times New Roman" w:hAnsi="Times New Roman" w:cs="Times New Roman"/>
          <w:b/>
          <w:bCs/>
          <w:color w:val="auto"/>
        </w:rPr>
      </w:pPr>
      <w:bookmarkStart w:id="31" w:name="_Toc500352718"/>
      <w:r w:rsidRPr="005C0B68">
        <w:rPr>
          <w:rFonts w:ascii="Times New Roman" w:hAnsi="Times New Roman" w:cs="Times New Roman"/>
          <w:b/>
          <w:bCs/>
          <w:color w:val="auto"/>
        </w:rPr>
        <w:lastRenderedPageBreak/>
        <w:t>Hypothèses et risques</w:t>
      </w:r>
      <w:bookmarkEnd w:id="31"/>
      <w:r w:rsidRPr="005C0B68">
        <w:rPr>
          <w:rFonts w:ascii="Times New Roman" w:hAnsi="Times New Roman" w:cs="Times New Roman"/>
          <w:b/>
          <w:bCs/>
          <w:color w:val="auto"/>
        </w:rPr>
        <w:t xml:space="preserve"> </w:t>
      </w:r>
    </w:p>
    <w:p w:rsidR="00920CCB" w:rsidRDefault="00920CCB" w:rsidP="00920CCB">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Lors de la formulation du projet, deux risques  et leurs moyens d’atténuation ont été identifiés et formulés :</w:t>
      </w:r>
    </w:p>
    <w:p w:rsidR="00920CCB" w:rsidRPr="00920CCB" w:rsidRDefault="00920CCB" w:rsidP="00920CCB">
      <w:pPr>
        <w:pStyle w:val="Paragraphedeliste"/>
        <w:numPr>
          <w:ilvl w:val="0"/>
          <w:numId w:val="16"/>
        </w:numPr>
        <w:spacing w:after="0" w:line="240" w:lineRule="auto"/>
        <w:jc w:val="both"/>
        <w:rPr>
          <w:rFonts w:ascii="Times New Roman" w:eastAsia="Cambria" w:hAnsi="Times New Roman" w:cs="Times New Roman"/>
          <w:sz w:val="24"/>
          <w:szCs w:val="24"/>
          <w:lang w:eastAsia="fr-FR"/>
        </w:rPr>
      </w:pPr>
      <w:r w:rsidRPr="00920CCB">
        <w:rPr>
          <w:rFonts w:ascii="Times New Roman" w:eastAsia="Cambria" w:hAnsi="Times New Roman" w:cs="Times New Roman"/>
          <w:sz w:val="24"/>
          <w:szCs w:val="24"/>
          <w:lang w:eastAsia="fr-FR"/>
        </w:rPr>
        <w:t xml:space="preserve">Le </w:t>
      </w:r>
      <w:r w:rsidRPr="00920CCB">
        <w:rPr>
          <w:rFonts w:ascii="Times New Roman" w:eastAsia="Cambria" w:hAnsi="Times New Roman" w:cs="Times New Roman"/>
          <w:i/>
          <w:sz w:val="24"/>
          <w:szCs w:val="24"/>
          <w:lang w:eastAsia="fr-FR"/>
        </w:rPr>
        <w:t>premier risque</w:t>
      </w:r>
      <w:r w:rsidRPr="00920CCB">
        <w:rPr>
          <w:rFonts w:ascii="Times New Roman" w:eastAsia="Cambria" w:hAnsi="Times New Roman" w:cs="Times New Roman"/>
          <w:sz w:val="24"/>
          <w:szCs w:val="24"/>
          <w:lang w:eastAsia="fr-FR"/>
        </w:rPr>
        <w:t xml:space="preserve"> est lié aux délais relativement courts de l’exécution du projet qui nécessitent de grandes performances en matière d’acquisition de biens et de services et une forte appropriation nationale pour la conduite et l’adoption des différents documents stratégique prévues. Ce risque </w:t>
      </w:r>
      <w:r w:rsidR="007E1741">
        <w:rPr>
          <w:rFonts w:ascii="Times New Roman" w:eastAsia="Cambria" w:hAnsi="Times New Roman" w:cs="Times New Roman"/>
          <w:sz w:val="24"/>
          <w:szCs w:val="24"/>
          <w:lang w:eastAsia="fr-FR"/>
        </w:rPr>
        <w:t xml:space="preserve">sera atténué </w:t>
      </w:r>
      <w:r w:rsidRPr="00920CCB">
        <w:rPr>
          <w:rFonts w:ascii="Times New Roman" w:eastAsia="Cambria" w:hAnsi="Times New Roman" w:cs="Times New Roman"/>
          <w:sz w:val="24"/>
          <w:szCs w:val="24"/>
          <w:lang w:eastAsia="fr-FR"/>
        </w:rPr>
        <w:t>par une implication directe du Ministre de l’Energie et des Mines et du Directeur Pays du PNUD pour garantir la rapidité des différents processus.</w:t>
      </w:r>
    </w:p>
    <w:p w:rsidR="00920CCB" w:rsidRPr="00920CCB" w:rsidRDefault="00920CCB" w:rsidP="00920CCB">
      <w:pPr>
        <w:pStyle w:val="Paragraphedeliste"/>
        <w:numPr>
          <w:ilvl w:val="0"/>
          <w:numId w:val="16"/>
        </w:numPr>
        <w:spacing w:line="240" w:lineRule="auto"/>
        <w:jc w:val="both"/>
        <w:rPr>
          <w:rFonts w:ascii="Times New Roman" w:eastAsia="Cambria" w:hAnsi="Times New Roman" w:cs="Times New Roman"/>
          <w:sz w:val="24"/>
          <w:szCs w:val="24"/>
          <w:lang w:eastAsia="fr-FR"/>
        </w:rPr>
      </w:pPr>
      <w:r w:rsidRPr="00920CCB">
        <w:rPr>
          <w:rFonts w:ascii="Times New Roman" w:eastAsia="Cambria" w:hAnsi="Times New Roman" w:cs="Times New Roman"/>
          <w:sz w:val="24"/>
          <w:szCs w:val="24"/>
          <w:lang w:eastAsia="fr-FR"/>
        </w:rPr>
        <w:t xml:space="preserve">Le </w:t>
      </w:r>
      <w:r w:rsidRPr="00920CCB">
        <w:rPr>
          <w:rFonts w:ascii="Times New Roman" w:eastAsia="Cambria" w:hAnsi="Times New Roman" w:cs="Times New Roman"/>
          <w:i/>
          <w:sz w:val="24"/>
          <w:szCs w:val="24"/>
          <w:lang w:eastAsia="fr-FR"/>
        </w:rPr>
        <w:t>deuxième risque</w:t>
      </w:r>
      <w:r w:rsidRPr="00920CCB">
        <w:rPr>
          <w:rFonts w:ascii="Times New Roman" w:eastAsia="Cambria" w:hAnsi="Times New Roman" w:cs="Times New Roman"/>
          <w:sz w:val="24"/>
          <w:szCs w:val="24"/>
          <w:lang w:eastAsia="fr-FR"/>
        </w:rPr>
        <w:t xml:space="preserve"> concerne la difficulté qui pourrait se présenter pour trouver l’expertise indispensable à la réalisation des objectifs du projet. Ce risque est amoindri par le fait que le PNUD utilisera son vaste réseau pour identifier les meilleures experts et dans les meilleurs délais.</w:t>
      </w:r>
    </w:p>
    <w:p w:rsidR="00920CCB" w:rsidRDefault="00920CCB" w:rsidP="00920CCB">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Cependant ces risques ont pesé lourdement sur l’atteinte des résultats et objectifs du projet. En effet, pour le premier risque, le projet qui a été pr</w:t>
      </w:r>
      <w:r w:rsidR="002F26DC">
        <w:rPr>
          <w:rFonts w:ascii="Times New Roman" w:hAnsi="Times New Roman" w:cs="Times New Roman"/>
          <w:bCs/>
          <w:sz w:val="24"/>
          <w:szCs w:val="24"/>
        </w:rPr>
        <w:t>évu pour une période de treize (13) mois</w:t>
      </w:r>
      <w:r>
        <w:rPr>
          <w:rFonts w:ascii="Times New Roman" w:hAnsi="Times New Roman" w:cs="Times New Roman"/>
          <w:bCs/>
          <w:sz w:val="24"/>
          <w:szCs w:val="24"/>
        </w:rPr>
        <w:t>, a finalement</w:t>
      </w:r>
      <w:r w:rsidR="002F26DC">
        <w:rPr>
          <w:rFonts w:ascii="Times New Roman" w:hAnsi="Times New Roman" w:cs="Times New Roman"/>
          <w:bCs/>
          <w:sz w:val="24"/>
          <w:szCs w:val="24"/>
        </w:rPr>
        <w:t xml:space="preserve"> durée trente-huit (38) mois</w:t>
      </w:r>
      <w:r>
        <w:rPr>
          <w:rFonts w:ascii="Times New Roman" w:hAnsi="Times New Roman" w:cs="Times New Roman"/>
          <w:bCs/>
          <w:sz w:val="24"/>
          <w:szCs w:val="24"/>
        </w:rPr>
        <w:t xml:space="preserve">. En ce qui concerne le second risque, la mobilisation </w:t>
      </w:r>
      <w:r w:rsidR="00B517C7" w:rsidRPr="00B517C7">
        <w:rPr>
          <w:rFonts w:ascii="Times New Roman" w:hAnsi="Times New Roman" w:cs="Times New Roman"/>
          <w:bCs/>
          <w:sz w:val="24"/>
          <w:szCs w:val="24"/>
        </w:rPr>
        <w:t>des deux experts internationaux (en Energie et en Mines) qui allaient constituer la cheville ouvrière pour la mise en œuvre de l’ensemble des activités du projet</w:t>
      </w:r>
      <w:r w:rsidR="007E1741">
        <w:rPr>
          <w:rFonts w:ascii="Times New Roman" w:hAnsi="Times New Roman" w:cs="Times New Roman"/>
          <w:bCs/>
          <w:sz w:val="24"/>
          <w:szCs w:val="24"/>
        </w:rPr>
        <w:t>, on peut noter que</w:t>
      </w:r>
      <w:r w:rsidR="00B517C7">
        <w:rPr>
          <w:rFonts w:ascii="Times New Roman" w:hAnsi="Times New Roman" w:cs="Times New Roman"/>
          <w:bCs/>
          <w:sz w:val="24"/>
          <w:szCs w:val="24"/>
        </w:rPr>
        <w:t xml:space="preserve"> </w:t>
      </w:r>
      <w:r w:rsidR="007E1741">
        <w:rPr>
          <w:rFonts w:ascii="Times New Roman" w:hAnsi="Times New Roman" w:cs="Times New Roman"/>
          <w:bCs/>
          <w:sz w:val="24"/>
          <w:szCs w:val="24"/>
        </w:rPr>
        <w:t>l’e</w:t>
      </w:r>
      <w:r w:rsidR="00B517C7" w:rsidRPr="00B517C7">
        <w:rPr>
          <w:rFonts w:ascii="Times New Roman" w:hAnsi="Times New Roman" w:cs="Times New Roman"/>
          <w:bCs/>
          <w:sz w:val="24"/>
          <w:szCs w:val="24"/>
        </w:rPr>
        <w:t>xpert en Energie n’a presté que pendant cinq mois et demi</w:t>
      </w:r>
      <w:r w:rsidR="00B517C7">
        <w:rPr>
          <w:rFonts w:ascii="Times New Roman" w:hAnsi="Times New Roman" w:cs="Times New Roman"/>
          <w:bCs/>
          <w:sz w:val="24"/>
          <w:szCs w:val="24"/>
        </w:rPr>
        <w:t xml:space="preserve"> sur douze initialement prévu</w:t>
      </w:r>
      <w:r w:rsidR="00B517C7" w:rsidRPr="00B517C7">
        <w:rPr>
          <w:rFonts w:ascii="Times New Roman" w:hAnsi="Times New Roman" w:cs="Times New Roman"/>
          <w:bCs/>
          <w:sz w:val="24"/>
          <w:szCs w:val="24"/>
        </w:rPr>
        <w:t>.</w:t>
      </w:r>
      <w:r w:rsidR="005150D2">
        <w:rPr>
          <w:rFonts w:ascii="Times New Roman" w:hAnsi="Times New Roman" w:cs="Times New Roman"/>
          <w:bCs/>
          <w:sz w:val="24"/>
          <w:szCs w:val="24"/>
        </w:rPr>
        <w:t xml:space="preserve"> Quant à l’expert en m</w:t>
      </w:r>
      <w:r w:rsidR="00B517C7" w:rsidRPr="00B517C7">
        <w:rPr>
          <w:rFonts w:ascii="Times New Roman" w:hAnsi="Times New Roman" w:cs="Times New Roman"/>
          <w:bCs/>
          <w:sz w:val="24"/>
          <w:szCs w:val="24"/>
        </w:rPr>
        <w:t>ines, plusieurs processus de recrutement sont restés infructueux.</w:t>
      </w:r>
    </w:p>
    <w:p w:rsidR="00871ABA" w:rsidRPr="00871ABA" w:rsidRDefault="00871ABA" w:rsidP="00871ABA">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 ces risque</w:t>
      </w:r>
      <w:r w:rsidR="005150D2">
        <w:rPr>
          <w:rFonts w:ascii="Times New Roman" w:hAnsi="Times New Roman" w:cs="Times New Roman"/>
          <w:bCs/>
          <w:sz w:val="24"/>
          <w:szCs w:val="24"/>
        </w:rPr>
        <w:t xml:space="preserve">s identifiés dans le prodoc, </w:t>
      </w:r>
      <w:r w:rsidRPr="00871ABA">
        <w:rPr>
          <w:rFonts w:ascii="Times New Roman" w:hAnsi="Times New Roman" w:cs="Times New Roman"/>
          <w:bCs/>
          <w:sz w:val="24"/>
          <w:szCs w:val="24"/>
        </w:rPr>
        <w:t xml:space="preserve">la mission a pu </w:t>
      </w:r>
      <w:r w:rsidR="007E1741">
        <w:rPr>
          <w:rFonts w:ascii="Times New Roman" w:hAnsi="Times New Roman" w:cs="Times New Roman"/>
          <w:bCs/>
          <w:sz w:val="24"/>
          <w:szCs w:val="24"/>
        </w:rPr>
        <w:t>noter</w:t>
      </w:r>
      <w:r w:rsidRPr="00871ABA">
        <w:rPr>
          <w:rFonts w:ascii="Times New Roman" w:hAnsi="Times New Roman" w:cs="Times New Roman"/>
          <w:bCs/>
          <w:sz w:val="24"/>
          <w:szCs w:val="24"/>
        </w:rPr>
        <w:t xml:space="preserve"> les risques en lien avec les hypothèses par rapport à l’atteinte de l’objectif et des deux résultats du projet. Ces risques identifiés se présentent comme suit :</w:t>
      </w:r>
    </w:p>
    <w:p w:rsidR="00871ABA" w:rsidRPr="00871ABA" w:rsidRDefault="00871ABA" w:rsidP="00871ABA">
      <w:pPr>
        <w:pStyle w:val="Paragraphedeliste"/>
        <w:numPr>
          <w:ilvl w:val="1"/>
          <w:numId w:val="21"/>
        </w:numPr>
        <w:spacing w:line="276" w:lineRule="auto"/>
        <w:jc w:val="both"/>
        <w:rPr>
          <w:rFonts w:ascii="Times New Roman" w:hAnsi="Times New Roman" w:cs="Times New Roman"/>
          <w:bCs/>
          <w:sz w:val="24"/>
          <w:szCs w:val="24"/>
        </w:rPr>
      </w:pPr>
      <w:r w:rsidRPr="00871ABA">
        <w:rPr>
          <w:rFonts w:ascii="Times New Roman" w:hAnsi="Times New Roman" w:cs="Times New Roman"/>
          <w:bCs/>
          <w:sz w:val="24"/>
          <w:szCs w:val="24"/>
        </w:rPr>
        <w:t xml:space="preserve">L’approche préconisée de renforcer concomitamment le cadre légal, réglementaire et institutionnel de deux secteurs hautement capitalistiques  n’était pas évidente même s’ils sont tous les deux sous la tutelle du MEM. Ceci s’est vérifié d’ailleurs dans le recrutement </w:t>
      </w:r>
      <w:r>
        <w:rPr>
          <w:rFonts w:ascii="Times New Roman" w:hAnsi="Times New Roman" w:cs="Times New Roman"/>
          <w:bCs/>
          <w:sz w:val="24"/>
          <w:szCs w:val="24"/>
        </w:rPr>
        <w:t>du Directeur national du projet ;</w:t>
      </w:r>
      <w:r w:rsidRPr="00871ABA">
        <w:rPr>
          <w:rFonts w:ascii="Times New Roman" w:hAnsi="Times New Roman" w:cs="Times New Roman"/>
          <w:bCs/>
          <w:sz w:val="24"/>
          <w:szCs w:val="24"/>
        </w:rPr>
        <w:t xml:space="preserve"> </w:t>
      </w:r>
    </w:p>
    <w:p w:rsidR="00871ABA" w:rsidRPr="00871ABA" w:rsidRDefault="00871ABA" w:rsidP="00871ABA">
      <w:pPr>
        <w:pStyle w:val="Paragraphedeliste"/>
        <w:numPr>
          <w:ilvl w:val="1"/>
          <w:numId w:val="21"/>
        </w:numPr>
        <w:spacing w:line="276" w:lineRule="auto"/>
        <w:jc w:val="both"/>
        <w:rPr>
          <w:rFonts w:ascii="Times New Roman" w:hAnsi="Times New Roman" w:cs="Times New Roman"/>
          <w:bCs/>
          <w:sz w:val="24"/>
          <w:szCs w:val="24"/>
        </w:rPr>
      </w:pPr>
      <w:r w:rsidRPr="00871ABA">
        <w:rPr>
          <w:rFonts w:ascii="Times New Roman" w:hAnsi="Times New Roman" w:cs="Times New Roman"/>
          <w:bCs/>
          <w:sz w:val="24"/>
          <w:szCs w:val="24"/>
        </w:rPr>
        <w:t>L’administration centrale notamment les services d</w:t>
      </w:r>
      <w:r>
        <w:rPr>
          <w:rFonts w:ascii="Times New Roman" w:hAnsi="Times New Roman" w:cs="Times New Roman"/>
          <w:bCs/>
          <w:sz w:val="24"/>
          <w:szCs w:val="24"/>
        </w:rPr>
        <w:t xml:space="preserve">u MEM n’est pas familière à la </w:t>
      </w:r>
      <w:r w:rsidRPr="00871ABA">
        <w:rPr>
          <w:rFonts w:ascii="Times New Roman" w:hAnsi="Times New Roman" w:cs="Times New Roman"/>
          <w:bCs/>
          <w:sz w:val="24"/>
          <w:szCs w:val="24"/>
        </w:rPr>
        <w:t>gestion ré</w:t>
      </w:r>
      <w:r>
        <w:rPr>
          <w:rFonts w:ascii="Times New Roman" w:hAnsi="Times New Roman" w:cs="Times New Roman"/>
          <w:bCs/>
          <w:sz w:val="24"/>
          <w:szCs w:val="24"/>
        </w:rPr>
        <w:t>gie aux procédures NIM ;</w:t>
      </w:r>
    </w:p>
    <w:p w:rsidR="00871ABA" w:rsidRPr="00871ABA" w:rsidRDefault="00871ABA" w:rsidP="00871ABA">
      <w:pPr>
        <w:pStyle w:val="Paragraphedeliste"/>
        <w:numPr>
          <w:ilvl w:val="1"/>
          <w:numId w:val="21"/>
        </w:numPr>
        <w:spacing w:line="276" w:lineRule="auto"/>
        <w:jc w:val="both"/>
        <w:rPr>
          <w:rFonts w:ascii="Times New Roman" w:hAnsi="Times New Roman" w:cs="Times New Roman"/>
          <w:bCs/>
          <w:sz w:val="24"/>
          <w:szCs w:val="24"/>
        </w:rPr>
      </w:pPr>
      <w:r w:rsidRPr="00871ABA">
        <w:rPr>
          <w:rFonts w:ascii="Times New Roman" w:hAnsi="Times New Roman" w:cs="Times New Roman"/>
          <w:bCs/>
          <w:sz w:val="24"/>
          <w:szCs w:val="24"/>
        </w:rPr>
        <w:t>L’adhésion</w:t>
      </w:r>
      <w:r w:rsidR="00927194">
        <w:rPr>
          <w:rFonts w:ascii="Times New Roman" w:hAnsi="Times New Roman" w:cs="Times New Roman"/>
          <w:bCs/>
          <w:sz w:val="24"/>
          <w:szCs w:val="24"/>
        </w:rPr>
        <w:t xml:space="preserve"> timide</w:t>
      </w:r>
      <w:r w:rsidRPr="00871ABA">
        <w:rPr>
          <w:rFonts w:ascii="Times New Roman" w:hAnsi="Times New Roman" w:cs="Times New Roman"/>
          <w:bCs/>
          <w:sz w:val="24"/>
          <w:szCs w:val="24"/>
        </w:rPr>
        <w:t xml:space="preserve"> des</w:t>
      </w:r>
      <w:r>
        <w:rPr>
          <w:rFonts w:ascii="Times New Roman" w:hAnsi="Times New Roman" w:cs="Times New Roman"/>
          <w:bCs/>
          <w:sz w:val="24"/>
          <w:szCs w:val="24"/>
        </w:rPr>
        <w:t xml:space="preserve"> principaux acteurs au projet ;</w:t>
      </w:r>
    </w:p>
    <w:p w:rsidR="00871ABA" w:rsidRPr="00871ABA" w:rsidRDefault="005150D2" w:rsidP="00871ABA">
      <w:pPr>
        <w:pStyle w:val="Paragraphedeliste"/>
        <w:numPr>
          <w:ilvl w:val="1"/>
          <w:numId w:val="21"/>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Le m</w:t>
      </w:r>
      <w:r w:rsidR="00871ABA">
        <w:rPr>
          <w:rFonts w:ascii="Times New Roman" w:hAnsi="Times New Roman" w:cs="Times New Roman"/>
          <w:bCs/>
          <w:sz w:val="24"/>
          <w:szCs w:val="24"/>
        </w:rPr>
        <w:t xml:space="preserve">anque de concertation </w:t>
      </w:r>
      <w:r w:rsidR="00871ABA" w:rsidRPr="00871ABA">
        <w:rPr>
          <w:rFonts w:ascii="Times New Roman" w:hAnsi="Times New Roman" w:cs="Times New Roman"/>
          <w:bCs/>
          <w:sz w:val="24"/>
          <w:szCs w:val="24"/>
        </w:rPr>
        <w:t>et de dialogue entre le PNUD et le Ministère, ce qui engendre</w:t>
      </w:r>
      <w:r w:rsidR="00871ABA">
        <w:rPr>
          <w:rFonts w:ascii="Times New Roman" w:hAnsi="Times New Roman" w:cs="Times New Roman"/>
          <w:bCs/>
          <w:sz w:val="24"/>
          <w:szCs w:val="24"/>
        </w:rPr>
        <w:t xml:space="preserve"> parfois des incompréhensions ;</w:t>
      </w:r>
    </w:p>
    <w:p w:rsidR="00871ABA" w:rsidRPr="00871ABA" w:rsidRDefault="00871ABA" w:rsidP="00871ABA">
      <w:pPr>
        <w:pStyle w:val="Paragraphedeliste"/>
        <w:numPr>
          <w:ilvl w:val="1"/>
          <w:numId w:val="21"/>
        </w:numPr>
        <w:spacing w:line="276" w:lineRule="auto"/>
        <w:jc w:val="both"/>
        <w:rPr>
          <w:rFonts w:ascii="Times New Roman" w:hAnsi="Times New Roman" w:cs="Times New Roman"/>
          <w:bCs/>
          <w:sz w:val="24"/>
          <w:szCs w:val="24"/>
        </w:rPr>
      </w:pPr>
      <w:r w:rsidRPr="00871ABA">
        <w:rPr>
          <w:rFonts w:ascii="Times New Roman" w:hAnsi="Times New Roman" w:cs="Times New Roman"/>
          <w:bCs/>
          <w:sz w:val="24"/>
          <w:szCs w:val="24"/>
        </w:rPr>
        <w:t xml:space="preserve">La situation politico sécuritaire dans le pays notamment entre 2015 et 2016. </w:t>
      </w:r>
    </w:p>
    <w:p w:rsidR="00871ABA" w:rsidRDefault="00D35F5B" w:rsidP="00871ABA">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Ce</w:t>
      </w:r>
      <w:r w:rsidR="00871ABA" w:rsidRPr="00871ABA">
        <w:rPr>
          <w:rFonts w:ascii="Times New Roman" w:hAnsi="Times New Roman" w:cs="Times New Roman"/>
          <w:bCs/>
          <w:sz w:val="24"/>
          <w:szCs w:val="24"/>
        </w:rPr>
        <w:t xml:space="preserve"> dernier risque a beaucoup influencé sur le projet et ses livrables comme le souligne le Rapport final (2013-2016)</w:t>
      </w:r>
    </w:p>
    <w:p w:rsidR="001674FB" w:rsidRPr="005C0B68" w:rsidRDefault="001674FB" w:rsidP="005C0B68">
      <w:pPr>
        <w:pStyle w:val="Titre3"/>
        <w:spacing w:after="240" w:line="276" w:lineRule="auto"/>
        <w:jc w:val="both"/>
        <w:rPr>
          <w:rFonts w:ascii="Times New Roman" w:hAnsi="Times New Roman" w:cs="Times New Roman"/>
          <w:b/>
          <w:bCs/>
          <w:color w:val="auto"/>
        </w:rPr>
      </w:pPr>
      <w:bookmarkStart w:id="32" w:name="_Toc500352719"/>
      <w:r w:rsidRPr="005C0B68">
        <w:rPr>
          <w:rFonts w:ascii="Times New Roman" w:hAnsi="Times New Roman" w:cs="Times New Roman"/>
          <w:b/>
          <w:bCs/>
          <w:color w:val="auto"/>
        </w:rPr>
        <w:t>Enseignements tirés des autres projets pertinents incorporés</w:t>
      </w:r>
      <w:r w:rsidR="00D450E9" w:rsidRPr="005C0B68">
        <w:rPr>
          <w:rFonts w:ascii="Times New Roman" w:hAnsi="Times New Roman" w:cs="Times New Roman"/>
          <w:b/>
          <w:bCs/>
          <w:color w:val="auto"/>
        </w:rPr>
        <w:t xml:space="preserve"> dans la conception du p</w:t>
      </w:r>
      <w:r w:rsidR="00B517C7" w:rsidRPr="005C0B68">
        <w:rPr>
          <w:rFonts w:ascii="Times New Roman" w:hAnsi="Times New Roman" w:cs="Times New Roman"/>
          <w:b/>
          <w:bCs/>
          <w:color w:val="auto"/>
        </w:rPr>
        <w:t>rojet</w:t>
      </w:r>
      <w:bookmarkEnd w:id="32"/>
    </w:p>
    <w:p w:rsidR="0005569E" w:rsidRPr="0005569E" w:rsidRDefault="0005569E" w:rsidP="0005569E">
      <w:pPr>
        <w:spacing w:line="276" w:lineRule="auto"/>
        <w:jc w:val="both"/>
        <w:rPr>
          <w:rFonts w:ascii="Times New Roman" w:hAnsi="Times New Roman" w:cs="Times New Roman"/>
          <w:bCs/>
          <w:sz w:val="24"/>
          <w:szCs w:val="24"/>
        </w:rPr>
      </w:pPr>
      <w:r w:rsidRPr="0005569E">
        <w:rPr>
          <w:rFonts w:ascii="Times New Roman" w:hAnsi="Times New Roman" w:cs="Times New Roman"/>
          <w:bCs/>
          <w:sz w:val="24"/>
          <w:szCs w:val="24"/>
        </w:rPr>
        <w:t xml:space="preserve">Le Prodoc analyse parfaitement la situation énergétique et minière du pays tout en décrivant le contexte dans lequel va évoluer le projet « Assistance Technique préparatoire pour le renforcement du cadre légal, règlementaire et institutionnel des secteurs de l'Energie et des </w:t>
      </w:r>
      <w:r w:rsidR="003E0944">
        <w:rPr>
          <w:rFonts w:ascii="Times New Roman" w:hAnsi="Times New Roman" w:cs="Times New Roman"/>
          <w:bCs/>
          <w:sz w:val="24"/>
          <w:szCs w:val="24"/>
        </w:rPr>
        <w:lastRenderedPageBreak/>
        <w:t>m</w:t>
      </w:r>
      <w:r w:rsidRPr="0005569E">
        <w:rPr>
          <w:rFonts w:ascii="Times New Roman" w:hAnsi="Times New Roman" w:cs="Times New Roman"/>
          <w:bCs/>
          <w:sz w:val="24"/>
          <w:szCs w:val="24"/>
        </w:rPr>
        <w:t xml:space="preserve">ines ». Ainsi, dans sa conception le projet s’est beaucoup référé aux initiatives macroéconomiques et sectorielles en vigueur en y tirant des enseignements. C’est le cas des documents et projets suivants : </w:t>
      </w:r>
    </w:p>
    <w:p w:rsidR="0005569E" w:rsidRPr="0005569E" w:rsidRDefault="0005569E" w:rsidP="0005569E">
      <w:pPr>
        <w:pStyle w:val="Paragraphedeliste"/>
        <w:numPr>
          <w:ilvl w:val="0"/>
          <w:numId w:val="22"/>
        </w:numPr>
        <w:spacing w:line="276" w:lineRule="auto"/>
        <w:jc w:val="both"/>
        <w:rPr>
          <w:rFonts w:ascii="Times New Roman" w:hAnsi="Times New Roman" w:cs="Times New Roman"/>
          <w:bCs/>
          <w:sz w:val="24"/>
          <w:szCs w:val="24"/>
        </w:rPr>
      </w:pPr>
      <w:r w:rsidRPr="0005569E">
        <w:rPr>
          <w:rFonts w:ascii="Times New Roman" w:hAnsi="Times New Roman" w:cs="Times New Roman"/>
          <w:bCs/>
          <w:sz w:val="24"/>
          <w:szCs w:val="24"/>
        </w:rPr>
        <w:t>Vision « Burundi 2025 » - juillet 2011</w:t>
      </w:r>
    </w:p>
    <w:p w:rsidR="0005569E" w:rsidRPr="0005569E" w:rsidRDefault="0005569E" w:rsidP="0005569E">
      <w:pPr>
        <w:pStyle w:val="Paragraphedeliste"/>
        <w:numPr>
          <w:ilvl w:val="0"/>
          <w:numId w:val="22"/>
        </w:numPr>
        <w:spacing w:line="276" w:lineRule="auto"/>
        <w:jc w:val="both"/>
        <w:rPr>
          <w:rFonts w:ascii="Times New Roman" w:hAnsi="Times New Roman" w:cs="Times New Roman"/>
          <w:bCs/>
          <w:sz w:val="24"/>
          <w:szCs w:val="24"/>
        </w:rPr>
      </w:pPr>
      <w:r w:rsidRPr="0005569E">
        <w:rPr>
          <w:rFonts w:ascii="Times New Roman" w:hAnsi="Times New Roman" w:cs="Times New Roman"/>
          <w:bCs/>
          <w:sz w:val="24"/>
          <w:szCs w:val="24"/>
        </w:rPr>
        <w:t>Cadre Stratégique de la deuxième génération – CSLP II – février 2012</w:t>
      </w:r>
    </w:p>
    <w:p w:rsidR="0005569E" w:rsidRPr="0005569E" w:rsidRDefault="0005569E" w:rsidP="0005569E">
      <w:pPr>
        <w:pStyle w:val="Paragraphedeliste"/>
        <w:numPr>
          <w:ilvl w:val="0"/>
          <w:numId w:val="22"/>
        </w:numPr>
        <w:spacing w:line="276" w:lineRule="auto"/>
        <w:jc w:val="both"/>
        <w:rPr>
          <w:rFonts w:ascii="Times New Roman" w:hAnsi="Times New Roman" w:cs="Times New Roman"/>
          <w:bCs/>
          <w:sz w:val="24"/>
          <w:szCs w:val="24"/>
        </w:rPr>
      </w:pPr>
      <w:r w:rsidRPr="0005569E">
        <w:rPr>
          <w:rFonts w:ascii="Times New Roman" w:hAnsi="Times New Roman" w:cs="Times New Roman"/>
          <w:bCs/>
          <w:sz w:val="24"/>
          <w:szCs w:val="24"/>
        </w:rPr>
        <w:t>Lettre de  Politique Energétique du Burundi, de sa Stratégie Sectorielle et de son Plan d’Actions</w:t>
      </w:r>
    </w:p>
    <w:p w:rsidR="0005569E" w:rsidRPr="0005569E" w:rsidRDefault="0005569E" w:rsidP="0005569E">
      <w:pPr>
        <w:pStyle w:val="Paragraphedeliste"/>
        <w:numPr>
          <w:ilvl w:val="0"/>
          <w:numId w:val="22"/>
        </w:numPr>
        <w:spacing w:line="276" w:lineRule="auto"/>
        <w:jc w:val="both"/>
        <w:rPr>
          <w:rFonts w:ascii="Times New Roman" w:hAnsi="Times New Roman" w:cs="Times New Roman"/>
          <w:bCs/>
          <w:sz w:val="24"/>
          <w:szCs w:val="24"/>
        </w:rPr>
      </w:pPr>
      <w:r w:rsidRPr="0005569E">
        <w:rPr>
          <w:rFonts w:ascii="Times New Roman" w:hAnsi="Times New Roman" w:cs="Times New Roman"/>
          <w:bCs/>
          <w:sz w:val="24"/>
          <w:szCs w:val="24"/>
        </w:rPr>
        <w:t>Midende G., Les Exploitations minières artisanales du Burundi, L’Afrique des Grands Lacs. Annuaire 2009-2010</w:t>
      </w:r>
    </w:p>
    <w:p w:rsidR="0005569E" w:rsidRPr="0005569E" w:rsidRDefault="0005569E" w:rsidP="0005569E">
      <w:pPr>
        <w:pStyle w:val="Paragraphedeliste"/>
        <w:numPr>
          <w:ilvl w:val="0"/>
          <w:numId w:val="22"/>
        </w:numPr>
        <w:spacing w:line="276" w:lineRule="auto"/>
        <w:jc w:val="both"/>
        <w:rPr>
          <w:rFonts w:ascii="Times New Roman" w:hAnsi="Times New Roman" w:cs="Times New Roman"/>
          <w:bCs/>
          <w:sz w:val="24"/>
          <w:szCs w:val="24"/>
        </w:rPr>
      </w:pPr>
      <w:r w:rsidRPr="0005569E">
        <w:rPr>
          <w:rFonts w:ascii="Times New Roman" w:hAnsi="Times New Roman" w:cs="Times New Roman"/>
          <w:bCs/>
          <w:sz w:val="24"/>
          <w:szCs w:val="24"/>
        </w:rPr>
        <w:t>Appui au secteur des ressources minérales au Burundi, Ministère de l’Energie et des Mines du Burundi, Octobre 2012.</w:t>
      </w:r>
    </w:p>
    <w:p w:rsidR="00B517C7" w:rsidRPr="0005569E" w:rsidRDefault="0005569E" w:rsidP="0005569E">
      <w:pPr>
        <w:pStyle w:val="Paragraphedeliste"/>
        <w:numPr>
          <w:ilvl w:val="0"/>
          <w:numId w:val="22"/>
        </w:numPr>
        <w:spacing w:line="276" w:lineRule="auto"/>
        <w:jc w:val="both"/>
        <w:rPr>
          <w:rFonts w:ascii="Times New Roman" w:hAnsi="Times New Roman" w:cs="Times New Roman"/>
          <w:bCs/>
          <w:sz w:val="24"/>
          <w:szCs w:val="24"/>
        </w:rPr>
      </w:pPr>
      <w:r w:rsidRPr="0005569E">
        <w:rPr>
          <w:rFonts w:ascii="Times New Roman" w:hAnsi="Times New Roman" w:cs="Times New Roman"/>
          <w:bCs/>
          <w:sz w:val="24"/>
          <w:szCs w:val="24"/>
        </w:rPr>
        <w:t>OLUCOME, Enquête pilote sur le processus d’exploitation minière et la mise en œuvre de l’Initiative régionale sur la lutte contre l’exploitation illégale des ressources naturelles au Burundi, Janvier 2013.</w:t>
      </w:r>
    </w:p>
    <w:p w:rsidR="001674FB" w:rsidRPr="005C0B68" w:rsidRDefault="001674FB" w:rsidP="005C0B68">
      <w:pPr>
        <w:pStyle w:val="Titre3"/>
        <w:spacing w:after="240" w:line="276" w:lineRule="auto"/>
        <w:jc w:val="both"/>
        <w:rPr>
          <w:rFonts w:ascii="Times New Roman" w:hAnsi="Times New Roman" w:cs="Times New Roman"/>
          <w:b/>
          <w:bCs/>
          <w:color w:val="auto"/>
        </w:rPr>
      </w:pPr>
      <w:bookmarkStart w:id="33" w:name="_Toc500352720"/>
      <w:r w:rsidRPr="005C0B68">
        <w:rPr>
          <w:rFonts w:ascii="Times New Roman" w:hAnsi="Times New Roman" w:cs="Times New Roman"/>
          <w:b/>
          <w:bCs/>
          <w:color w:val="auto"/>
        </w:rPr>
        <w:t>Participation</w:t>
      </w:r>
      <w:r w:rsidR="00D450E9" w:rsidRPr="005C0B68">
        <w:rPr>
          <w:rFonts w:ascii="Times New Roman" w:hAnsi="Times New Roman" w:cs="Times New Roman"/>
          <w:b/>
          <w:bCs/>
          <w:color w:val="auto"/>
        </w:rPr>
        <w:t xml:space="preserve"> prévue des parties prenantes</w:t>
      </w:r>
      <w:bookmarkEnd w:id="33"/>
      <w:r w:rsidR="00D450E9" w:rsidRPr="005C0B68">
        <w:rPr>
          <w:rFonts w:ascii="Times New Roman" w:hAnsi="Times New Roman" w:cs="Times New Roman"/>
          <w:b/>
          <w:bCs/>
          <w:color w:val="auto"/>
        </w:rPr>
        <w:t xml:space="preserve"> </w:t>
      </w:r>
    </w:p>
    <w:p w:rsidR="0005569E" w:rsidRPr="0005569E" w:rsidRDefault="0005569E" w:rsidP="0005569E">
      <w:pPr>
        <w:spacing w:line="276" w:lineRule="auto"/>
        <w:jc w:val="both"/>
        <w:rPr>
          <w:rFonts w:ascii="Times New Roman" w:hAnsi="Times New Roman" w:cs="Times New Roman"/>
          <w:bCs/>
          <w:sz w:val="24"/>
          <w:szCs w:val="24"/>
        </w:rPr>
      </w:pPr>
      <w:r w:rsidRPr="0005569E">
        <w:rPr>
          <w:rFonts w:ascii="Times New Roman" w:hAnsi="Times New Roman" w:cs="Times New Roman"/>
          <w:bCs/>
          <w:sz w:val="24"/>
          <w:szCs w:val="24"/>
        </w:rPr>
        <w:t>Le Gouvernement du Burundi a participé au projet conformément au document du projet, à travers principalement le Ministère de l’Energie et des Mines et ses principales Directions : La Direction Générale de l’Energie et la Direction Générale de la Recherche Gé</w:t>
      </w:r>
      <w:r w:rsidR="00DA5AA2">
        <w:rPr>
          <w:rFonts w:ascii="Times New Roman" w:hAnsi="Times New Roman" w:cs="Times New Roman"/>
          <w:bCs/>
          <w:sz w:val="24"/>
          <w:szCs w:val="24"/>
        </w:rPr>
        <w:t>ologique et du Cadastre Minier qui avec le PNUD constituent les principaux membres du Copil. D’autres structures comme l’AREEM, la Chambre Fédérale du Commerce et de l’Industrie</w:t>
      </w:r>
      <w:r w:rsidR="0018028E">
        <w:rPr>
          <w:rFonts w:ascii="Times New Roman" w:hAnsi="Times New Roman" w:cs="Times New Roman"/>
          <w:bCs/>
          <w:sz w:val="24"/>
          <w:szCs w:val="24"/>
        </w:rPr>
        <w:t xml:space="preserve"> du Burundi (CFCIB), l’Agence Burundaise d’Electrification Rurale (ABER), l'</w:t>
      </w:r>
      <w:r w:rsidR="00C90191">
        <w:rPr>
          <w:rFonts w:ascii="Times New Roman" w:hAnsi="Times New Roman" w:cs="Times New Roman"/>
          <w:bCs/>
          <w:sz w:val="24"/>
          <w:szCs w:val="24"/>
        </w:rPr>
        <w:t>Association Burundaise des Consommateur (ABC)</w:t>
      </w:r>
      <w:r w:rsidR="00927194">
        <w:rPr>
          <w:rFonts w:ascii="Times New Roman" w:hAnsi="Times New Roman" w:cs="Times New Roman"/>
          <w:bCs/>
          <w:sz w:val="24"/>
          <w:szCs w:val="24"/>
        </w:rPr>
        <w:t xml:space="preserve"> devraient être impliquées mais tel n’a pas été le cas</w:t>
      </w:r>
      <w:r w:rsidR="00C90191">
        <w:rPr>
          <w:rFonts w:ascii="Times New Roman" w:hAnsi="Times New Roman" w:cs="Times New Roman"/>
          <w:bCs/>
          <w:sz w:val="24"/>
          <w:szCs w:val="24"/>
        </w:rPr>
        <w:t xml:space="preserve">. </w:t>
      </w:r>
    </w:p>
    <w:p w:rsidR="00B517C7" w:rsidRPr="001674FB" w:rsidRDefault="0005569E" w:rsidP="0005569E">
      <w:pPr>
        <w:spacing w:line="276" w:lineRule="auto"/>
        <w:jc w:val="both"/>
        <w:rPr>
          <w:rFonts w:ascii="Times New Roman" w:hAnsi="Times New Roman" w:cs="Times New Roman"/>
          <w:bCs/>
          <w:sz w:val="24"/>
          <w:szCs w:val="24"/>
        </w:rPr>
      </w:pPr>
      <w:r w:rsidRPr="0005569E">
        <w:rPr>
          <w:rFonts w:ascii="Times New Roman" w:hAnsi="Times New Roman" w:cs="Times New Roman"/>
          <w:bCs/>
          <w:sz w:val="24"/>
          <w:szCs w:val="24"/>
        </w:rPr>
        <w:t>La mise en œuvre et la gestion quotidienne ont incombé à la Direction national</w:t>
      </w:r>
      <w:r w:rsidR="00927194">
        <w:rPr>
          <w:rFonts w:ascii="Times New Roman" w:hAnsi="Times New Roman" w:cs="Times New Roman"/>
          <w:bCs/>
          <w:sz w:val="24"/>
          <w:szCs w:val="24"/>
        </w:rPr>
        <w:t>e</w:t>
      </w:r>
      <w:r w:rsidRPr="0005569E">
        <w:rPr>
          <w:rFonts w:ascii="Times New Roman" w:hAnsi="Times New Roman" w:cs="Times New Roman"/>
          <w:bCs/>
          <w:sz w:val="24"/>
          <w:szCs w:val="24"/>
        </w:rPr>
        <w:t xml:space="preserve"> du projet du Projet rattaché au Ministère de l’Energie et des Mines (MEM) selon les modalités de gestion NIM. Les Parties responsables sont le MEM et le Bureau du PNUD</w:t>
      </w:r>
      <w:r>
        <w:rPr>
          <w:rFonts w:ascii="Times New Roman" w:hAnsi="Times New Roman" w:cs="Times New Roman"/>
          <w:bCs/>
          <w:sz w:val="24"/>
          <w:szCs w:val="24"/>
        </w:rPr>
        <w:t>.</w:t>
      </w:r>
    </w:p>
    <w:p w:rsidR="001674FB" w:rsidRPr="005C0B68" w:rsidRDefault="00D450E9" w:rsidP="005C0B68">
      <w:pPr>
        <w:pStyle w:val="Titre3"/>
        <w:spacing w:after="240" w:line="276" w:lineRule="auto"/>
        <w:jc w:val="both"/>
        <w:rPr>
          <w:rFonts w:ascii="Times New Roman" w:hAnsi="Times New Roman" w:cs="Times New Roman"/>
          <w:b/>
          <w:bCs/>
          <w:color w:val="auto"/>
        </w:rPr>
      </w:pPr>
      <w:bookmarkStart w:id="34" w:name="_Toc500352721"/>
      <w:r w:rsidRPr="005C0B68">
        <w:rPr>
          <w:rFonts w:ascii="Times New Roman" w:hAnsi="Times New Roman" w:cs="Times New Roman"/>
          <w:b/>
          <w:bCs/>
          <w:color w:val="auto"/>
        </w:rPr>
        <w:t>Approche de réplication</w:t>
      </w:r>
      <w:bookmarkEnd w:id="34"/>
      <w:r w:rsidRPr="005C0B68">
        <w:rPr>
          <w:rFonts w:ascii="Times New Roman" w:hAnsi="Times New Roman" w:cs="Times New Roman"/>
          <w:b/>
          <w:bCs/>
          <w:color w:val="auto"/>
        </w:rPr>
        <w:t xml:space="preserve"> </w:t>
      </w:r>
    </w:p>
    <w:p w:rsidR="00B517C7" w:rsidRPr="001674FB" w:rsidRDefault="0005569E" w:rsidP="00B517C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Les difficultés rencontrées n’ont pas permis de </w:t>
      </w:r>
      <w:r w:rsidRPr="0005569E">
        <w:rPr>
          <w:rFonts w:ascii="Times New Roman" w:hAnsi="Times New Roman" w:cs="Times New Roman"/>
          <w:bCs/>
          <w:sz w:val="24"/>
          <w:szCs w:val="24"/>
        </w:rPr>
        <w:t xml:space="preserve">prendre en compte </w:t>
      </w:r>
      <w:r>
        <w:rPr>
          <w:rFonts w:ascii="Times New Roman" w:hAnsi="Times New Roman" w:cs="Times New Roman"/>
          <w:bCs/>
          <w:sz w:val="24"/>
          <w:szCs w:val="24"/>
        </w:rPr>
        <w:t xml:space="preserve">l’approche de réplication </w:t>
      </w:r>
      <w:r w:rsidRPr="0005569E">
        <w:rPr>
          <w:rFonts w:ascii="Times New Roman" w:hAnsi="Times New Roman" w:cs="Times New Roman"/>
          <w:bCs/>
          <w:sz w:val="24"/>
          <w:szCs w:val="24"/>
        </w:rPr>
        <w:t>lors de la mise en œuvre des activités.</w:t>
      </w:r>
      <w:r w:rsidR="00927194">
        <w:rPr>
          <w:rFonts w:ascii="Times New Roman" w:hAnsi="Times New Roman" w:cs="Times New Roman"/>
          <w:bCs/>
          <w:sz w:val="24"/>
          <w:szCs w:val="24"/>
        </w:rPr>
        <w:t xml:space="preserve"> Cependant des bases de consolidation des acquis du projet ont été définies </w:t>
      </w:r>
    </w:p>
    <w:p w:rsidR="001674FB" w:rsidRPr="005C0B68" w:rsidRDefault="00D450E9" w:rsidP="005C0B68">
      <w:pPr>
        <w:pStyle w:val="Titre3"/>
        <w:spacing w:after="240" w:line="276" w:lineRule="auto"/>
        <w:jc w:val="both"/>
        <w:rPr>
          <w:rFonts w:ascii="Times New Roman" w:hAnsi="Times New Roman" w:cs="Times New Roman"/>
          <w:b/>
          <w:bCs/>
          <w:color w:val="auto"/>
        </w:rPr>
      </w:pPr>
      <w:bookmarkStart w:id="35" w:name="_Toc500352722"/>
      <w:r w:rsidRPr="003E0944">
        <w:rPr>
          <w:rFonts w:ascii="Times New Roman" w:hAnsi="Times New Roman" w:cs="Times New Roman"/>
          <w:b/>
          <w:bCs/>
          <w:color w:val="auto"/>
        </w:rPr>
        <w:t>Avantage comparatif du PNUD</w:t>
      </w:r>
      <w:bookmarkEnd w:id="35"/>
      <w:r w:rsidRPr="005C0B68">
        <w:rPr>
          <w:rFonts w:ascii="Times New Roman" w:hAnsi="Times New Roman" w:cs="Times New Roman"/>
          <w:b/>
          <w:bCs/>
          <w:color w:val="auto"/>
        </w:rPr>
        <w:t xml:space="preserve"> </w:t>
      </w:r>
    </w:p>
    <w:p w:rsidR="0005569E" w:rsidRPr="0005569E" w:rsidRDefault="0005569E" w:rsidP="0005569E">
      <w:pPr>
        <w:spacing w:line="276" w:lineRule="auto"/>
        <w:jc w:val="both"/>
        <w:rPr>
          <w:rFonts w:ascii="Times New Roman" w:hAnsi="Times New Roman" w:cs="Times New Roman"/>
          <w:bCs/>
          <w:sz w:val="24"/>
          <w:szCs w:val="24"/>
        </w:rPr>
      </w:pPr>
      <w:r w:rsidRPr="0005569E">
        <w:rPr>
          <w:rFonts w:ascii="Times New Roman" w:hAnsi="Times New Roman" w:cs="Times New Roman"/>
          <w:bCs/>
          <w:sz w:val="24"/>
          <w:szCs w:val="24"/>
        </w:rPr>
        <w:t>L’avantage comparatif du PNUD dans le cadre du projet se situe à plusieurs niveaux:</w:t>
      </w:r>
    </w:p>
    <w:p w:rsidR="0005569E" w:rsidRPr="0005569E" w:rsidRDefault="0005569E" w:rsidP="0005569E">
      <w:pPr>
        <w:pStyle w:val="Paragraphedeliste"/>
        <w:numPr>
          <w:ilvl w:val="1"/>
          <w:numId w:val="25"/>
        </w:numPr>
        <w:spacing w:line="276" w:lineRule="auto"/>
        <w:jc w:val="both"/>
        <w:rPr>
          <w:rFonts w:ascii="Times New Roman" w:hAnsi="Times New Roman" w:cs="Times New Roman"/>
          <w:bCs/>
          <w:sz w:val="24"/>
          <w:szCs w:val="24"/>
        </w:rPr>
      </w:pPr>
      <w:r w:rsidRPr="0005569E">
        <w:rPr>
          <w:rFonts w:ascii="Times New Roman" w:hAnsi="Times New Roman" w:cs="Times New Roman"/>
          <w:bCs/>
          <w:sz w:val="24"/>
          <w:szCs w:val="24"/>
        </w:rPr>
        <w:t xml:space="preserve">Le Bureau PNUD du Burundi a l’expertise requise pour mobiliser et gérer le financement des projets. Cet avantage relève en partie de l’Unité Politiques et Stratégies (UPS) qui s’occupe entre autres, des questions liées aux secteurs de l’énergie, des mines  et de l’environnement et qui travaille régulièrement avec des partenaires nationaux et locaux sur les programmes et projets. Le PNUD est l’un des principaux partenaires du Gouvernement dans l’exécution des </w:t>
      </w:r>
      <w:r w:rsidRPr="0005569E">
        <w:rPr>
          <w:rFonts w:ascii="Times New Roman" w:hAnsi="Times New Roman" w:cs="Times New Roman"/>
          <w:bCs/>
          <w:sz w:val="24"/>
          <w:szCs w:val="24"/>
        </w:rPr>
        <w:lastRenderedPageBreak/>
        <w:t xml:space="preserve">accords multilatéraux. Il fournit l’aide à l’élaboration des politiques et des appuis institutionnels. </w:t>
      </w:r>
    </w:p>
    <w:p w:rsidR="0005569E" w:rsidRPr="0005569E" w:rsidRDefault="0005569E" w:rsidP="0005569E">
      <w:pPr>
        <w:pStyle w:val="Paragraphedeliste"/>
        <w:numPr>
          <w:ilvl w:val="1"/>
          <w:numId w:val="25"/>
        </w:numPr>
        <w:spacing w:line="276" w:lineRule="auto"/>
        <w:jc w:val="both"/>
        <w:rPr>
          <w:rFonts w:ascii="Times New Roman" w:hAnsi="Times New Roman" w:cs="Times New Roman"/>
          <w:bCs/>
          <w:sz w:val="24"/>
          <w:szCs w:val="24"/>
        </w:rPr>
      </w:pPr>
      <w:r w:rsidRPr="0005569E">
        <w:rPr>
          <w:rFonts w:ascii="Times New Roman" w:hAnsi="Times New Roman" w:cs="Times New Roman"/>
          <w:bCs/>
          <w:sz w:val="24"/>
          <w:szCs w:val="24"/>
        </w:rPr>
        <w:t>L’existence de procédures financières garantissant la transparence dans la gestion des fonds : les procédures de gestion financière du PNUD ont été mises à l’épreuve dans des conditions non favorables avec à la clef un audit financier du projet.  Mais le PNUD a su assurer la transparence dans les procédures de passations de marchés.</w:t>
      </w:r>
    </w:p>
    <w:p w:rsidR="00B517C7" w:rsidRPr="0005569E" w:rsidRDefault="0005569E" w:rsidP="0005569E">
      <w:pPr>
        <w:pStyle w:val="Paragraphedeliste"/>
        <w:numPr>
          <w:ilvl w:val="1"/>
          <w:numId w:val="25"/>
        </w:numPr>
        <w:spacing w:line="276" w:lineRule="auto"/>
        <w:jc w:val="both"/>
        <w:rPr>
          <w:rFonts w:ascii="Times New Roman" w:hAnsi="Times New Roman" w:cs="Times New Roman"/>
          <w:bCs/>
          <w:sz w:val="24"/>
          <w:szCs w:val="24"/>
        </w:rPr>
      </w:pPr>
      <w:r w:rsidRPr="0005569E">
        <w:rPr>
          <w:rFonts w:ascii="Times New Roman" w:hAnsi="Times New Roman" w:cs="Times New Roman"/>
          <w:bCs/>
          <w:sz w:val="24"/>
          <w:szCs w:val="24"/>
        </w:rPr>
        <w:t>La longue et solide expérience en matière de renforcement de capacités : le PNUD en tant qu’institution dispose d’une longue et solide expérience en matière de renforcement de capacités des acteurs nationaux et locaux</w:t>
      </w:r>
      <w:r w:rsidR="00BD3C42">
        <w:rPr>
          <w:rFonts w:ascii="Times New Roman" w:hAnsi="Times New Roman" w:cs="Times New Roman"/>
          <w:bCs/>
          <w:sz w:val="24"/>
          <w:szCs w:val="24"/>
        </w:rPr>
        <w:t xml:space="preserve"> </w:t>
      </w:r>
    </w:p>
    <w:p w:rsidR="001674FB" w:rsidRPr="005C0B68" w:rsidRDefault="001674FB" w:rsidP="005C0B68">
      <w:pPr>
        <w:pStyle w:val="Titre3"/>
        <w:spacing w:after="240" w:line="276" w:lineRule="auto"/>
        <w:jc w:val="both"/>
        <w:rPr>
          <w:rFonts w:ascii="Times New Roman" w:hAnsi="Times New Roman" w:cs="Times New Roman"/>
          <w:b/>
          <w:bCs/>
          <w:color w:val="auto"/>
        </w:rPr>
      </w:pPr>
      <w:bookmarkStart w:id="36" w:name="_Toc500352723"/>
      <w:r w:rsidRPr="005C0B68">
        <w:rPr>
          <w:rFonts w:ascii="Times New Roman" w:hAnsi="Times New Roman" w:cs="Times New Roman"/>
          <w:b/>
          <w:bCs/>
          <w:color w:val="auto"/>
        </w:rPr>
        <w:t>Les liens entre le projet et d’autres interventions au sein</w:t>
      </w:r>
      <w:r w:rsidR="00D450E9" w:rsidRPr="005C0B68">
        <w:rPr>
          <w:rFonts w:ascii="Times New Roman" w:hAnsi="Times New Roman" w:cs="Times New Roman"/>
          <w:b/>
          <w:bCs/>
          <w:color w:val="auto"/>
        </w:rPr>
        <w:t xml:space="preserve"> du secteur</w:t>
      </w:r>
      <w:bookmarkEnd w:id="36"/>
      <w:r w:rsidR="00D450E9" w:rsidRPr="005C0B68">
        <w:rPr>
          <w:rFonts w:ascii="Times New Roman" w:hAnsi="Times New Roman" w:cs="Times New Roman"/>
          <w:b/>
          <w:bCs/>
          <w:color w:val="auto"/>
        </w:rPr>
        <w:t xml:space="preserve"> </w:t>
      </w:r>
    </w:p>
    <w:p w:rsidR="003E0944" w:rsidRPr="003E0944" w:rsidRDefault="003E0944" w:rsidP="003E0944">
      <w:pPr>
        <w:spacing w:line="276" w:lineRule="auto"/>
        <w:jc w:val="both"/>
        <w:rPr>
          <w:rFonts w:ascii="Times New Roman" w:hAnsi="Times New Roman" w:cs="Times New Roman"/>
          <w:bCs/>
          <w:sz w:val="24"/>
          <w:szCs w:val="24"/>
        </w:rPr>
      </w:pPr>
      <w:r w:rsidRPr="003E0944">
        <w:rPr>
          <w:rFonts w:ascii="Times New Roman" w:hAnsi="Times New Roman" w:cs="Times New Roman"/>
          <w:bCs/>
          <w:sz w:val="24"/>
          <w:szCs w:val="24"/>
        </w:rPr>
        <w:t xml:space="preserve">Les échanges avec certaines structures et au regard des différents rapports, on peut noter que le projet a bien des liens avec d’autres interventions dans les deux secteurs car il s’agit bien de d’arriver à préparer l’amélioration de l’environnement légal, règlementaire et institutionnel de deux secteurs clefs qui sont par exemple appelés à contribuer significativement à la constitution du PIB. </w:t>
      </w:r>
    </w:p>
    <w:p w:rsidR="003E0944" w:rsidRDefault="003E0944" w:rsidP="003E0944">
      <w:pPr>
        <w:spacing w:line="240" w:lineRule="auto"/>
        <w:jc w:val="both"/>
        <w:rPr>
          <w:rFonts w:ascii="Times New Roman" w:hAnsi="Times New Roman" w:cs="Times New Roman"/>
          <w:bCs/>
          <w:sz w:val="24"/>
          <w:szCs w:val="24"/>
        </w:rPr>
      </w:pPr>
      <w:r w:rsidRPr="003E0944">
        <w:rPr>
          <w:rFonts w:ascii="Times New Roman" w:hAnsi="Times New Roman" w:cs="Times New Roman"/>
          <w:bCs/>
          <w:sz w:val="24"/>
          <w:szCs w:val="24"/>
        </w:rPr>
        <w:t xml:space="preserve">Ainsi, bien que disposant d’un potentiel minier important ce secteur ne participe qu’à 3% sur les recettes fiscales du pays. Dans le CLSP II la part des ressources naturelles dans le, PIB est projetée à 30%. Aussi, pour accompagner les investissements dans ce domaine, le Gouvernement a mis en place différents dispositifs incitatifs et a révisé le cadre législatif offert par le Code minier. Dans la même dynamique, le chantier de révision du code pétrolier sera ouvert en janvier 2018. </w:t>
      </w:r>
    </w:p>
    <w:p w:rsidR="003E0944" w:rsidRPr="006372F5" w:rsidRDefault="003E0944" w:rsidP="006372F5">
      <w:pPr>
        <w:spacing w:line="276" w:lineRule="auto"/>
        <w:jc w:val="both"/>
        <w:rPr>
          <w:rFonts w:ascii="Times New Roman" w:hAnsi="Times New Roman" w:cs="Times New Roman"/>
          <w:bCs/>
          <w:sz w:val="24"/>
          <w:szCs w:val="24"/>
        </w:rPr>
      </w:pPr>
      <w:r w:rsidRPr="006372F5">
        <w:rPr>
          <w:rFonts w:ascii="Times New Roman" w:hAnsi="Times New Roman" w:cs="Times New Roman"/>
          <w:bCs/>
          <w:sz w:val="24"/>
          <w:szCs w:val="24"/>
        </w:rPr>
        <w:t xml:space="preserve">Quant au secteur de l’énergie, il est reconnu qu’il  est un facteur important de bien-être des </w:t>
      </w:r>
      <w:r w:rsidR="006372F5" w:rsidRPr="006372F5">
        <w:rPr>
          <w:rFonts w:ascii="Times New Roman" w:hAnsi="Times New Roman" w:cs="Times New Roman"/>
          <w:bCs/>
          <w:sz w:val="24"/>
          <w:szCs w:val="24"/>
        </w:rPr>
        <w:t xml:space="preserve">populations et conditionne la croissance et </w:t>
      </w:r>
      <w:r w:rsidRPr="006372F5">
        <w:rPr>
          <w:rFonts w:ascii="Times New Roman" w:hAnsi="Times New Roman" w:cs="Times New Roman"/>
          <w:bCs/>
          <w:sz w:val="24"/>
          <w:szCs w:val="24"/>
        </w:rPr>
        <w:t>la</w:t>
      </w:r>
      <w:r w:rsidR="006372F5" w:rsidRPr="006372F5">
        <w:rPr>
          <w:rFonts w:ascii="Times New Roman" w:hAnsi="Times New Roman" w:cs="Times New Roman"/>
          <w:bCs/>
          <w:sz w:val="24"/>
          <w:szCs w:val="24"/>
        </w:rPr>
        <w:t xml:space="preserve"> </w:t>
      </w:r>
      <w:r w:rsidRPr="006372F5">
        <w:rPr>
          <w:rFonts w:ascii="Times New Roman" w:hAnsi="Times New Roman" w:cs="Times New Roman"/>
          <w:bCs/>
          <w:sz w:val="24"/>
          <w:szCs w:val="24"/>
        </w:rPr>
        <w:t>compétitivité</w:t>
      </w:r>
      <w:r w:rsidR="006372F5" w:rsidRPr="006372F5">
        <w:rPr>
          <w:rFonts w:ascii="Times New Roman" w:hAnsi="Times New Roman" w:cs="Times New Roman"/>
          <w:bCs/>
          <w:sz w:val="24"/>
          <w:szCs w:val="24"/>
        </w:rPr>
        <w:t xml:space="preserve"> </w:t>
      </w:r>
      <w:r w:rsidRPr="006372F5">
        <w:rPr>
          <w:rFonts w:ascii="Times New Roman" w:hAnsi="Times New Roman" w:cs="Times New Roman"/>
          <w:bCs/>
          <w:sz w:val="24"/>
          <w:szCs w:val="24"/>
        </w:rPr>
        <w:t>de</w:t>
      </w:r>
      <w:r w:rsidR="006372F5" w:rsidRPr="006372F5">
        <w:rPr>
          <w:rFonts w:ascii="Times New Roman" w:hAnsi="Times New Roman" w:cs="Times New Roman"/>
          <w:bCs/>
          <w:sz w:val="24"/>
          <w:szCs w:val="24"/>
        </w:rPr>
        <w:t xml:space="preserve"> </w:t>
      </w:r>
      <w:r w:rsidRPr="006372F5">
        <w:rPr>
          <w:rFonts w:ascii="Times New Roman" w:hAnsi="Times New Roman" w:cs="Times New Roman"/>
          <w:bCs/>
          <w:sz w:val="24"/>
          <w:szCs w:val="24"/>
        </w:rPr>
        <w:t>l’économie. En  effet,  l’accès  à  une  quantité  d’énerg</w:t>
      </w:r>
      <w:r w:rsidR="006372F5" w:rsidRPr="006372F5">
        <w:rPr>
          <w:rFonts w:ascii="Times New Roman" w:hAnsi="Times New Roman" w:cs="Times New Roman"/>
          <w:bCs/>
          <w:sz w:val="24"/>
          <w:szCs w:val="24"/>
        </w:rPr>
        <w:t xml:space="preserve">ie  suffisante  est  essentiel </w:t>
      </w:r>
      <w:r w:rsidRPr="006372F5">
        <w:rPr>
          <w:rFonts w:ascii="Times New Roman" w:hAnsi="Times New Roman" w:cs="Times New Roman"/>
          <w:bCs/>
          <w:sz w:val="24"/>
          <w:szCs w:val="24"/>
        </w:rPr>
        <w:t xml:space="preserve">pour répondre aux besoins en rapport avec : (i) la mécanisation de l’agriculture </w:t>
      </w:r>
      <w:r w:rsidR="006372F5" w:rsidRPr="006372F5">
        <w:rPr>
          <w:rFonts w:ascii="Times New Roman" w:hAnsi="Times New Roman" w:cs="Times New Roman"/>
          <w:bCs/>
          <w:sz w:val="24"/>
          <w:szCs w:val="24"/>
        </w:rPr>
        <w:t>et la</w:t>
      </w:r>
      <w:r w:rsidRPr="006372F5">
        <w:rPr>
          <w:rFonts w:ascii="Times New Roman" w:hAnsi="Times New Roman" w:cs="Times New Roman"/>
          <w:bCs/>
          <w:sz w:val="24"/>
          <w:szCs w:val="24"/>
        </w:rPr>
        <w:t xml:space="preserve"> conservation</w:t>
      </w:r>
      <w:r w:rsidR="006372F5" w:rsidRPr="006372F5">
        <w:rPr>
          <w:rFonts w:ascii="Times New Roman" w:hAnsi="Times New Roman" w:cs="Times New Roman"/>
          <w:bCs/>
          <w:sz w:val="24"/>
          <w:szCs w:val="24"/>
        </w:rPr>
        <w:t xml:space="preserve"> des produits </w:t>
      </w:r>
      <w:r w:rsidRPr="006372F5">
        <w:rPr>
          <w:rFonts w:ascii="Times New Roman" w:hAnsi="Times New Roman" w:cs="Times New Roman"/>
          <w:bCs/>
          <w:sz w:val="24"/>
          <w:szCs w:val="24"/>
        </w:rPr>
        <w:t>agricoles, (ii)  l’extr</w:t>
      </w:r>
      <w:r w:rsidR="006372F5" w:rsidRPr="006372F5">
        <w:rPr>
          <w:rFonts w:ascii="Times New Roman" w:hAnsi="Times New Roman" w:cs="Times New Roman"/>
          <w:bCs/>
          <w:sz w:val="24"/>
          <w:szCs w:val="24"/>
        </w:rPr>
        <w:t xml:space="preserve">action  et  la  transformation </w:t>
      </w:r>
      <w:r w:rsidRPr="006372F5">
        <w:rPr>
          <w:rFonts w:ascii="Times New Roman" w:hAnsi="Times New Roman" w:cs="Times New Roman"/>
          <w:bCs/>
          <w:sz w:val="24"/>
          <w:szCs w:val="24"/>
        </w:rPr>
        <w:t>des  ressources minérales  (iii)</w:t>
      </w:r>
      <w:r w:rsidR="006372F5" w:rsidRPr="006372F5">
        <w:rPr>
          <w:rFonts w:ascii="Times New Roman" w:hAnsi="Times New Roman" w:cs="Times New Roman"/>
          <w:bCs/>
          <w:sz w:val="24"/>
          <w:szCs w:val="24"/>
        </w:rPr>
        <w:t xml:space="preserve"> </w:t>
      </w:r>
      <w:r w:rsidRPr="006372F5">
        <w:rPr>
          <w:rFonts w:ascii="Times New Roman" w:hAnsi="Times New Roman" w:cs="Times New Roman"/>
          <w:bCs/>
          <w:sz w:val="24"/>
          <w:szCs w:val="24"/>
        </w:rPr>
        <w:t>le</w:t>
      </w:r>
      <w:r w:rsidR="006372F5" w:rsidRPr="006372F5">
        <w:rPr>
          <w:rFonts w:ascii="Times New Roman" w:hAnsi="Times New Roman" w:cs="Times New Roman"/>
          <w:bCs/>
          <w:sz w:val="24"/>
          <w:szCs w:val="24"/>
        </w:rPr>
        <w:t xml:space="preserve"> </w:t>
      </w:r>
      <w:r w:rsidRPr="006372F5">
        <w:rPr>
          <w:rFonts w:ascii="Times New Roman" w:hAnsi="Times New Roman" w:cs="Times New Roman"/>
          <w:bCs/>
          <w:sz w:val="24"/>
          <w:szCs w:val="24"/>
        </w:rPr>
        <w:t>développement</w:t>
      </w:r>
      <w:r w:rsidR="006372F5" w:rsidRPr="006372F5">
        <w:rPr>
          <w:rFonts w:ascii="Times New Roman" w:hAnsi="Times New Roman" w:cs="Times New Roman"/>
          <w:bCs/>
          <w:sz w:val="24"/>
          <w:szCs w:val="24"/>
        </w:rPr>
        <w:t xml:space="preserve"> </w:t>
      </w:r>
      <w:r w:rsidRPr="006372F5">
        <w:rPr>
          <w:rFonts w:ascii="Times New Roman" w:hAnsi="Times New Roman" w:cs="Times New Roman"/>
          <w:bCs/>
          <w:sz w:val="24"/>
          <w:szCs w:val="24"/>
        </w:rPr>
        <w:t>et</w:t>
      </w:r>
      <w:r w:rsidR="006372F5" w:rsidRPr="006372F5">
        <w:rPr>
          <w:rFonts w:ascii="Times New Roman" w:hAnsi="Times New Roman" w:cs="Times New Roman"/>
          <w:bCs/>
          <w:sz w:val="24"/>
          <w:szCs w:val="24"/>
        </w:rPr>
        <w:t xml:space="preserve"> </w:t>
      </w:r>
      <w:r w:rsidRPr="006372F5">
        <w:rPr>
          <w:rFonts w:ascii="Times New Roman" w:hAnsi="Times New Roman" w:cs="Times New Roman"/>
          <w:bCs/>
          <w:sz w:val="24"/>
          <w:szCs w:val="24"/>
        </w:rPr>
        <w:t>la</w:t>
      </w:r>
      <w:r w:rsidR="006372F5" w:rsidRPr="006372F5">
        <w:rPr>
          <w:rFonts w:ascii="Times New Roman" w:hAnsi="Times New Roman" w:cs="Times New Roman"/>
          <w:bCs/>
          <w:sz w:val="24"/>
          <w:szCs w:val="24"/>
        </w:rPr>
        <w:t xml:space="preserve"> </w:t>
      </w:r>
      <w:r w:rsidRPr="006372F5">
        <w:rPr>
          <w:rFonts w:ascii="Times New Roman" w:hAnsi="Times New Roman" w:cs="Times New Roman"/>
          <w:bCs/>
          <w:sz w:val="24"/>
          <w:szCs w:val="24"/>
        </w:rPr>
        <w:t>diversification</w:t>
      </w:r>
      <w:r w:rsidR="006372F5" w:rsidRPr="006372F5">
        <w:rPr>
          <w:rFonts w:ascii="Times New Roman" w:hAnsi="Times New Roman" w:cs="Times New Roman"/>
          <w:bCs/>
          <w:sz w:val="24"/>
          <w:szCs w:val="24"/>
        </w:rPr>
        <w:t xml:space="preserve"> </w:t>
      </w:r>
      <w:r w:rsidRPr="006372F5">
        <w:rPr>
          <w:rFonts w:ascii="Times New Roman" w:hAnsi="Times New Roman" w:cs="Times New Roman"/>
          <w:bCs/>
          <w:sz w:val="24"/>
          <w:szCs w:val="24"/>
        </w:rPr>
        <w:t>des</w:t>
      </w:r>
      <w:r w:rsidR="006372F5" w:rsidRPr="006372F5">
        <w:rPr>
          <w:rFonts w:ascii="Times New Roman" w:hAnsi="Times New Roman" w:cs="Times New Roman"/>
          <w:bCs/>
          <w:sz w:val="24"/>
          <w:szCs w:val="24"/>
        </w:rPr>
        <w:t xml:space="preserve"> </w:t>
      </w:r>
      <w:r w:rsidRPr="006372F5">
        <w:rPr>
          <w:rFonts w:ascii="Times New Roman" w:hAnsi="Times New Roman" w:cs="Times New Roman"/>
          <w:bCs/>
          <w:sz w:val="24"/>
          <w:szCs w:val="24"/>
        </w:rPr>
        <w:t>activités de services,</w:t>
      </w:r>
      <w:r w:rsidR="006372F5" w:rsidRPr="006372F5">
        <w:rPr>
          <w:rFonts w:ascii="Times New Roman" w:hAnsi="Times New Roman" w:cs="Times New Roman"/>
          <w:bCs/>
          <w:sz w:val="24"/>
          <w:szCs w:val="24"/>
        </w:rPr>
        <w:t xml:space="preserve"> </w:t>
      </w:r>
      <w:r w:rsidRPr="006372F5">
        <w:rPr>
          <w:rFonts w:ascii="Times New Roman" w:hAnsi="Times New Roman" w:cs="Times New Roman"/>
          <w:bCs/>
          <w:sz w:val="24"/>
          <w:szCs w:val="24"/>
        </w:rPr>
        <w:t xml:space="preserve">(iv)  l’amélioration  de systèmes  de  santé  et  d’éducation à travers les services énergétiques de base etc. </w:t>
      </w:r>
    </w:p>
    <w:p w:rsidR="003E0944" w:rsidRPr="00B517C7" w:rsidRDefault="003E0944" w:rsidP="00B517C7">
      <w:pPr>
        <w:spacing w:line="276" w:lineRule="auto"/>
        <w:jc w:val="both"/>
        <w:rPr>
          <w:rFonts w:ascii="Times New Roman" w:hAnsi="Times New Roman" w:cs="Times New Roman"/>
          <w:bCs/>
          <w:sz w:val="24"/>
          <w:szCs w:val="24"/>
        </w:rPr>
      </w:pPr>
      <w:r w:rsidRPr="003E0944">
        <w:rPr>
          <w:rFonts w:ascii="Times New Roman" w:hAnsi="Times New Roman" w:cs="Times New Roman"/>
          <w:bCs/>
          <w:sz w:val="24"/>
          <w:szCs w:val="24"/>
        </w:rPr>
        <w:t>La réalisation de ces objectifs est fortement hypoth</w:t>
      </w:r>
      <w:r>
        <w:rPr>
          <w:rFonts w:ascii="Times New Roman" w:hAnsi="Times New Roman" w:cs="Times New Roman"/>
          <w:bCs/>
          <w:sz w:val="24"/>
          <w:szCs w:val="24"/>
        </w:rPr>
        <w:t xml:space="preserve">équée par l’insuffisance de la </w:t>
      </w:r>
      <w:r w:rsidRPr="003E0944">
        <w:rPr>
          <w:rFonts w:ascii="Times New Roman" w:hAnsi="Times New Roman" w:cs="Times New Roman"/>
          <w:bCs/>
          <w:sz w:val="24"/>
          <w:szCs w:val="24"/>
        </w:rPr>
        <w:t>production d’énergie. Aussi  un meilleur climat des affaires propice</w:t>
      </w:r>
      <w:r>
        <w:rPr>
          <w:rFonts w:ascii="Times New Roman" w:hAnsi="Times New Roman" w:cs="Times New Roman"/>
          <w:bCs/>
          <w:sz w:val="24"/>
          <w:szCs w:val="24"/>
        </w:rPr>
        <w:t>s</w:t>
      </w:r>
      <w:r w:rsidRPr="003E0944">
        <w:rPr>
          <w:rFonts w:ascii="Times New Roman" w:hAnsi="Times New Roman" w:cs="Times New Roman"/>
          <w:bCs/>
          <w:sz w:val="24"/>
          <w:szCs w:val="24"/>
        </w:rPr>
        <w:t xml:space="preserve"> à la relance de l’économie, à la promotion des investissements privés avec les PPP demeurent des chantiers prioritaires qui figurent dans l’agenda du gouvernement, dont le projet a pris en compte</w:t>
      </w:r>
    </w:p>
    <w:p w:rsidR="003E0944" w:rsidRDefault="00D450E9" w:rsidP="003E0944">
      <w:pPr>
        <w:pStyle w:val="Titre3"/>
        <w:spacing w:after="240" w:line="276" w:lineRule="auto"/>
        <w:jc w:val="both"/>
        <w:rPr>
          <w:rFonts w:ascii="Times New Roman" w:hAnsi="Times New Roman" w:cs="Times New Roman"/>
          <w:b/>
          <w:bCs/>
          <w:color w:val="auto"/>
        </w:rPr>
      </w:pPr>
      <w:bookmarkStart w:id="37" w:name="_Toc500352724"/>
      <w:r w:rsidRPr="005C0B68">
        <w:rPr>
          <w:rFonts w:ascii="Times New Roman" w:hAnsi="Times New Roman" w:cs="Times New Roman"/>
          <w:b/>
          <w:bCs/>
          <w:color w:val="auto"/>
        </w:rPr>
        <w:t>Modalités de gestion</w:t>
      </w:r>
      <w:bookmarkEnd w:id="37"/>
      <w:r w:rsidRPr="005C0B68">
        <w:rPr>
          <w:rFonts w:ascii="Times New Roman" w:hAnsi="Times New Roman" w:cs="Times New Roman"/>
          <w:b/>
          <w:bCs/>
          <w:color w:val="auto"/>
        </w:rPr>
        <w:t xml:space="preserve"> </w:t>
      </w:r>
    </w:p>
    <w:p w:rsidR="006E548C" w:rsidRDefault="006E548C" w:rsidP="006E548C">
      <w:pPr>
        <w:rPr>
          <w:rFonts w:ascii="Times New Roman" w:hAnsi="Times New Roman" w:cs="Times New Roman"/>
          <w:sz w:val="24"/>
          <w:szCs w:val="24"/>
        </w:rPr>
      </w:pPr>
      <w:r>
        <w:rPr>
          <w:rFonts w:ascii="Times New Roman" w:hAnsi="Times New Roman" w:cs="Times New Roman"/>
          <w:sz w:val="24"/>
          <w:szCs w:val="24"/>
        </w:rPr>
        <w:t xml:space="preserve">Comme souligné plus haut, et les modalités de gestion sont celles  afférentes aux procédures NIM qui mérite plus d’information de sensibilisation et de formation de la part des structures chargées de la gestion du projet au niveau national. </w:t>
      </w:r>
    </w:p>
    <w:p w:rsidR="0054472A" w:rsidRDefault="0054472A">
      <w:pPr>
        <w:rPr>
          <w:rFonts w:ascii="Times New Roman" w:hAnsi="Times New Roman" w:cs="Times New Roman"/>
          <w:b/>
          <w:bCs/>
          <w:sz w:val="24"/>
          <w:szCs w:val="24"/>
        </w:rPr>
      </w:pPr>
      <w:bookmarkStart w:id="38" w:name="_Toc500352725"/>
      <w:r>
        <w:rPr>
          <w:rFonts w:ascii="Times New Roman" w:hAnsi="Times New Roman" w:cs="Times New Roman"/>
          <w:b/>
          <w:bCs/>
          <w:sz w:val="24"/>
          <w:szCs w:val="24"/>
        </w:rPr>
        <w:br w:type="page"/>
      </w:r>
    </w:p>
    <w:p w:rsidR="001674FB" w:rsidRPr="00B517C7" w:rsidRDefault="001674FB" w:rsidP="00720FA2">
      <w:pPr>
        <w:pStyle w:val="Paragraphedeliste"/>
        <w:spacing w:line="276" w:lineRule="auto"/>
        <w:jc w:val="both"/>
        <w:outlineLvl w:val="1"/>
        <w:rPr>
          <w:rFonts w:ascii="Times New Roman" w:hAnsi="Times New Roman" w:cs="Times New Roman"/>
          <w:b/>
          <w:bCs/>
          <w:sz w:val="24"/>
          <w:szCs w:val="24"/>
        </w:rPr>
      </w:pPr>
      <w:r w:rsidRPr="00B517C7">
        <w:rPr>
          <w:rFonts w:ascii="Times New Roman" w:hAnsi="Times New Roman" w:cs="Times New Roman"/>
          <w:b/>
          <w:bCs/>
          <w:sz w:val="24"/>
          <w:szCs w:val="24"/>
        </w:rPr>
        <w:lastRenderedPageBreak/>
        <w:t xml:space="preserve">3.2 Mise en œuvre </w:t>
      </w:r>
      <w:r w:rsidR="00D450E9" w:rsidRPr="00B517C7">
        <w:rPr>
          <w:rFonts w:ascii="Times New Roman" w:hAnsi="Times New Roman" w:cs="Times New Roman"/>
          <w:b/>
          <w:bCs/>
          <w:sz w:val="24"/>
          <w:szCs w:val="24"/>
        </w:rPr>
        <w:t>du projet et progrès réalisés</w:t>
      </w:r>
      <w:bookmarkEnd w:id="38"/>
      <w:r w:rsidR="00D450E9" w:rsidRPr="00B517C7">
        <w:rPr>
          <w:rFonts w:ascii="Times New Roman" w:hAnsi="Times New Roman" w:cs="Times New Roman"/>
          <w:b/>
          <w:bCs/>
          <w:sz w:val="24"/>
          <w:szCs w:val="24"/>
        </w:rPr>
        <w:t xml:space="preserve"> </w:t>
      </w:r>
    </w:p>
    <w:p w:rsidR="001674FB" w:rsidRPr="005C0B68" w:rsidRDefault="001674FB" w:rsidP="005C0B68">
      <w:pPr>
        <w:pStyle w:val="Titre3"/>
        <w:spacing w:after="240" w:line="276" w:lineRule="auto"/>
        <w:jc w:val="both"/>
        <w:rPr>
          <w:rFonts w:ascii="Times New Roman" w:hAnsi="Times New Roman" w:cs="Times New Roman"/>
          <w:b/>
          <w:bCs/>
          <w:color w:val="auto"/>
        </w:rPr>
      </w:pPr>
      <w:bookmarkStart w:id="39" w:name="_Toc500352726"/>
      <w:r w:rsidRPr="005C0B68">
        <w:rPr>
          <w:rFonts w:ascii="Times New Roman" w:hAnsi="Times New Roman" w:cs="Times New Roman"/>
          <w:b/>
          <w:bCs/>
          <w:color w:val="auto"/>
        </w:rPr>
        <w:t>Gestion adaptative (modifications apportées à la conception du projet et résultats du pro</w:t>
      </w:r>
      <w:r w:rsidR="00D450E9" w:rsidRPr="005C0B68">
        <w:rPr>
          <w:rFonts w:ascii="Times New Roman" w:hAnsi="Times New Roman" w:cs="Times New Roman"/>
          <w:b/>
          <w:bCs/>
          <w:color w:val="auto"/>
        </w:rPr>
        <w:t>jet lors de la mise en œuvre)</w:t>
      </w:r>
      <w:bookmarkEnd w:id="39"/>
      <w:r w:rsidR="00D450E9" w:rsidRPr="005C0B68">
        <w:rPr>
          <w:rFonts w:ascii="Times New Roman" w:hAnsi="Times New Roman" w:cs="Times New Roman"/>
          <w:b/>
          <w:bCs/>
          <w:color w:val="auto"/>
        </w:rPr>
        <w:t xml:space="preserve"> </w:t>
      </w:r>
    </w:p>
    <w:p w:rsidR="00B517C7" w:rsidRPr="00B517C7" w:rsidRDefault="00717BB9" w:rsidP="00B517C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Le projet a évolué dans un environnement socio sécuritaire très défavorable accompagné par d’autre</w:t>
      </w:r>
      <w:r w:rsidR="00BD3C42">
        <w:rPr>
          <w:rFonts w:ascii="Times New Roman" w:hAnsi="Times New Roman" w:cs="Times New Roman"/>
          <w:bCs/>
          <w:sz w:val="24"/>
          <w:szCs w:val="24"/>
        </w:rPr>
        <w:t>s difficultés majeures comme l’in</w:t>
      </w:r>
      <w:r>
        <w:rPr>
          <w:rFonts w:ascii="Times New Roman" w:hAnsi="Times New Roman" w:cs="Times New Roman"/>
          <w:bCs/>
          <w:sz w:val="24"/>
          <w:szCs w:val="24"/>
        </w:rPr>
        <w:t>stabilité du Directeur de projet (4 recrutements), la quasi  non disponibilité des Experts internationaux en charge de l’énergie et des mines</w:t>
      </w:r>
      <w:r w:rsidR="00C1764E">
        <w:rPr>
          <w:rFonts w:ascii="Times New Roman" w:hAnsi="Times New Roman" w:cs="Times New Roman"/>
          <w:bCs/>
          <w:sz w:val="24"/>
          <w:szCs w:val="24"/>
        </w:rPr>
        <w:t>.</w:t>
      </w:r>
      <w:r w:rsidR="006372F5">
        <w:rPr>
          <w:rFonts w:ascii="Times New Roman" w:hAnsi="Times New Roman" w:cs="Times New Roman"/>
          <w:bCs/>
          <w:sz w:val="24"/>
          <w:szCs w:val="24"/>
        </w:rPr>
        <w:t xml:space="preserve"> </w:t>
      </w:r>
      <w:r>
        <w:rPr>
          <w:rFonts w:ascii="Times New Roman" w:hAnsi="Times New Roman" w:cs="Times New Roman"/>
          <w:bCs/>
          <w:sz w:val="24"/>
          <w:szCs w:val="24"/>
        </w:rPr>
        <w:t xml:space="preserve"> Malg</w:t>
      </w:r>
      <w:r w:rsidR="00C1764E">
        <w:rPr>
          <w:rFonts w:ascii="Times New Roman" w:hAnsi="Times New Roman" w:cs="Times New Roman"/>
          <w:bCs/>
          <w:sz w:val="24"/>
          <w:szCs w:val="24"/>
        </w:rPr>
        <w:t>r</w:t>
      </w:r>
      <w:r>
        <w:rPr>
          <w:rFonts w:ascii="Times New Roman" w:hAnsi="Times New Roman" w:cs="Times New Roman"/>
          <w:bCs/>
          <w:sz w:val="24"/>
          <w:szCs w:val="24"/>
        </w:rPr>
        <w:t>é ce handicap, le Bureau pays du PNUD</w:t>
      </w:r>
      <w:r w:rsidR="00C1764E">
        <w:rPr>
          <w:rFonts w:ascii="Times New Roman" w:hAnsi="Times New Roman" w:cs="Times New Roman"/>
          <w:bCs/>
          <w:sz w:val="24"/>
          <w:szCs w:val="24"/>
        </w:rPr>
        <w:t xml:space="preserve"> et le MEM se sont adaptés à la situation avec les résultats obtenus même si cela a duré plus que prévu. Il convient de s’en</w:t>
      </w:r>
      <w:r w:rsidR="00BD3C42">
        <w:rPr>
          <w:rFonts w:ascii="Times New Roman" w:hAnsi="Times New Roman" w:cs="Times New Roman"/>
          <w:bCs/>
          <w:sz w:val="24"/>
          <w:szCs w:val="24"/>
        </w:rPr>
        <w:t xml:space="preserve"> </w:t>
      </w:r>
      <w:r w:rsidR="00C1764E">
        <w:rPr>
          <w:rFonts w:ascii="Times New Roman" w:hAnsi="Times New Roman" w:cs="Times New Roman"/>
          <w:bCs/>
          <w:sz w:val="24"/>
          <w:szCs w:val="24"/>
        </w:rPr>
        <w:t>féliciter.</w:t>
      </w:r>
    </w:p>
    <w:p w:rsidR="001674FB" w:rsidRPr="005C0B68" w:rsidRDefault="00D450E9" w:rsidP="005C0B68">
      <w:pPr>
        <w:pStyle w:val="Titre3"/>
        <w:spacing w:after="240" w:line="276" w:lineRule="auto"/>
        <w:jc w:val="both"/>
        <w:rPr>
          <w:rFonts w:ascii="Times New Roman" w:hAnsi="Times New Roman" w:cs="Times New Roman"/>
          <w:b/>
          <w:bCs/>
          <w:color w:val="auto"/>
        </w:rPr>
      </w:pPr>
      <w:bookmarkStart w:id="40" w:name="_Toc500352727"/>
      <w:r w:rsidRPr="005C0B68">
        <w:rPr>
          <w:rFonts w:ascii="Times New Roman" w:hAnsi="Times New Roman" w:cs="Times New Roman"/>
          <w:b/>
          <w:bCs/>
          <w:color w:val="auto"/>
        </w:rPr>
        <w:t>Accords de partenariat</w:t>
      </w:r>
      <w:bookmarkEnd w:id="40"/>
      <w:r w:rsidRPr="005C0B68">
        <w:rPr>
          <w:rFonts w:ascii="Times New Roman" w:hAnsi="Times New Roman" w:cs="Times New Roman"/>
          <w:b/>
          <w:bCs/>
          <w:color w:val="auto"/>
        </w:rPr>
        <w:t xml:space="preserve"> </w:t>
      </w:r>
    </w:p>
    <w:p w:rsidR="00B517C7" w:rsidRPr="00B517C7" w:rsidRDefault="00717BB9" w:rsidP="00B517C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Aucun accord de partenariat n’a été noté lors de la conception jusqu’à la mise en œuvre du projet</w:t>
      </w:r>
      <w:r w:rsidR="00BD3C42">
        <w:rPr>
          <w:rFonts w:ascii="Times New Roman" w:hAnsi="Times New Roman" w:cs="Times New Roman"/>
          <w:bCs/>
          <w:sz w:val="24"/>
          <w:szCs w:val="24"/>
        </w:rPr>
        <w:t xml:space="preserve">. Cependant des synergies auraient pu être développées avec les institutions comme la Banque mondiale, la Banque Africaine de Développement et la GIZ qui appuient les secteurs des mines et de l’énergie. </w:t>
      </w:r>
    </w:p>
    <w:p w:rsidR="006372F5" w:rsidRDefault="001674FB" w:rsidP="006372F5">
      <w:pPr>
        <w:pStyle w:val="Titre3"/>
        <w:spacing w:after="240" w:line="276" w:lineRule="auto"/>
        <w:jc w:val="both"/>
        <w:rPr>
          <w:rFonts w:ascii="Times New Roman" w:hAnsi="Times New Roman" w:cs="Times New Roman"/>
          <w:b/>
          <w:bCs/>
          <w:color w:val="auto"/>
        </w:rPr>
      </w:pPr>
      <w:bookmarkStart w:id="41" w:name="_Toc500352728"/>
      <w:r w:rsidRPr="005C0B68">
        <w:rPr>
          <w:rFonts w:ascii="Times New Roman" w:hAnsi="Times New Roman" w:cs="Times New Roman"/>
          <w:b/>
          <w:bCs/>
          <w:color w:val="auto"/>
        </w:rPr>
        <w:t>Commentaires provenant des activités de suivi et d’évaluation utilisés dans le c</w:t>
      </w:r>
      <w:r w:rsidR="00D450E9" w:rsidRPr="005C0B68">
        <w:rPr>
          <w:rFonts w:ascii="Times New Roman" w:hAnsi="Times New Roman" w:cs="Times New Roman"/>
          <w:b/>
          <w:bCs/>
          <w:color w:val="auto"/>
        </w:rPr>
        <w:t>adre de la gestion adaptative</w:t>
      </w:r>
      <w:bookmarkEnd w:id="41"/>
      <w:r w:rsidR="00D450E9" w:rsidRPr="005C0B68">
        <w:rPr>
          <w:rFonts w:ascii="Times New Roman" w:hAnsi="Times New Roman" w:cs="Times New Roman"/>
          <w:b/>
          <w:bCs/>
          <w:color w:val="auto"/>
        </w:rPr>
        <w:t xml:space="preserve"> </w:t>
      </w:r>
    </w:p>
    <w:p w:rsidR="006372F5" w:rsidRPr="006372F5" w:rsidRDefault="006372F5" w:rsidP="006372F5">
      <w:pPr>
        <w:jc w:val="both"/>
        <w:rPr>
          <w:rFonts w:ascii="Times New Roman" w:hAnsi="Times New Roman" w:cs="Times New Roman"/>
          <w:sz w:val="24"/>
        </w:rPr>
      </w:pPr>
      <w:r>
        <w:rPr>
          <w:rFonts w:ascii="Times New Roman" w:hAnsi="Times New Roman" w:cs="Times New Roman"/>
          <w:sz w:val="24"/>
        </w:rPr>
        <w:t>Suite aux observations quant à l’avancement du projet, le comité de pilotage a dû recommander le prolongement du projet, avec comme tentative, rattraper le retard qu’acquise le projet dans la réalisation des résultats attendus. Malheureusement, on peut dire que cette prolongation n’a pas vraiment servi car les handi</w:t>
      </w:r>
      <w:r w:rsidR="00BD3C42">
        <w:rPr>
          <w:rFonts w:ascii="Times New Roman" w:hAnsi="Times New Roman" w:cs="Times New Roman"/>
          <w:sz w:val="24"/>
        </w:rPr>
        <w:t>capes qui étaient à l’origine du</w:t>
      </w:r>
      <w:r>
        <w:rPr>
          <w:rFonts w:ascii="Times New Roman" w:hAnsi="Times New Roman" w:cs="Times New Roman"/>
          <w:sz w:val="24"/>
        </w:rPr>
        <w:t xml:space="preserve"> non avancement du projet </w:t>
      </w:r>
      <w:r w:rsidR="00BD3C42">
        <w:rPr>
          <w:rFonts w:ascii="Times New Roman" w:hAnsi="Times New Roman" w:cs="Times New Roman"/>
          <w:sz w:val="24"/>
        </w:rPr>
        <w:t>demeurent</w:t>
      </w:r>
      <w:r>
        <w:rPr>
          <w:rFonts w:ascii="Times New Roman" w:hAnsi="Times New Roman" w:cs="Times New Roman"/>
          <w:sz w:val="24"/>
        </w:rPr>
        <w:t xml:space="preserve"> toujours</w:t>
      </w:r>
      <w:r w:rsidR="00851DA5">
        <w:rPr>
          <w:rFonts w:ascii="Times New Roman" w:hAnsi="Times New Roman" w:cs="Times New Roman"/>
          <w:sz w:val="24"/>
        </w:rPr>
        <w:t> : il s’agit entre autre</w:t>
      </w:r>
      <w:r w:rsidR="00BD3C42">
        <w:rPr>
          <w:rFonts w:ascii="Times New Roman" w:hAnsi="Times New Roman" w:cs="Times New Roman"/>
          <w:sz w:val="24"/>
        </w:rPr>
        <w:t>s,</w:t>
      </w:r>
      <w:r w:rsidR="00851DA5">
        <w:rPr>
          <w:rFonts w:ascii="Times New Roman" w:hAnsi="Times New Roman" w:cs="Times New Roman"/>
          <w:sz w:val="24"/>
        </w:rPr>
        <w:t xml:space="preserve"> le fait que le PNUD n’a</w:t>
      </w:r>
      <w:r w:rsidR="00BD3C42">
        <w:rPr>
          <w:rFonts w:ascii="Times New Roman" w:hAnsi="Times New Roman" w:cs="Times New Roman"/>
          <w:sz w:val="24"/>
        </w:rPr>
        <w:t>it</w:t>
      </w:r>
      <w:r w:rsidR="00851DA5">
        <w:rPr>
          <w:rFonts w:ascii="Times New Roman" w:hAnsi="Times New Roman" w:cs="Times New Roman"/>
          <w:sz w:val="24"/>
        </w:rPr>
        <w:t xml:space="preserve"> pu recruter les deux experts (énergie et m</w:t>
      </w:r>
      <w:r w:rsidR="000206A5">
        <w:rPr>
          <w:rFonts w:ascii="Times New Roman" w:hAnsi="Times New Roman" w:cs="Times New Roman"/>
          <w:sz w:val="24"/>
        </w:rPr>
        <w:t>ines) qui devraient constituer l</w:t>
      </w:r>
      <w:r w:rsidR="00851DA5">
        <w:rPr>
          <w:rFonts w:ascii="Times New Roman" w:hAnsi="Times New Roman" w:cs="Times New Roman"/>
          <w:sz w:val="24"/>
        </w:rPr>
        <w:t>a cheville ouvrière du projet.</w:t>
      </w:r>
    </w:p>
    <w:p w:rsidR="000206A5" w:rsidRDefault="001674FB" w:rsidP="005C0B68">
      <w:pPr>
        <w:pStyle w:val="Titre3"/>
        <w:spacing w:after="240" w:line="276" w:lineRule="auto"/>
        <w:jc w:val="both"/>
        <w:rPr>
          <w:rFonts w:ascii="Times New Roman" w:hAnsi="Times New Roman" w:cs="Times New Roman"/>
          <w:b/>
          <w:bCs/>
          <w:color w:val="auto"/>
        </w:rPr>
      </w:pPr>
      <w:bookmarkStart w:id="42" w:name="_Toc500352729"/>
      <w:r w:rsidRPr="005C0B68">
        <w:rPr>
          <w:rFonts w:ascii="Times New Roman" w:hAnsi="Times New Roman" w:cs="Times New Roman"/>
          <w:b/>
          <w:bCs/>
          <w:color w:val="auto"/>
        </w:rPr>
        <w:t>Financem</w:t>
      </w:r>
      <w:r w:rsidR="00D450E9" w:rsidRPr="005C0B68">
        <w:rPr>
          <w:rFonts w:ascii="Times New Roman" w:hAnsi="Times New Roman" w:cs="Times New Roman"/>
          <w:b/>
          <w:bCs/>
          <w:color w:val="auto"/>
        </w:rPr>
        <w:t>ent / cofinancement du projet</w:t>
      </w:r>
      <w:bookmarkEnd w:id="42"/>
    </w:p>
    <w:p w:rsidR="001674FB" w:rsidRPr="000F5743" w:rsidRDefault="00C575B1" w:rsidP="000F5743">
      <w:pPr>
        <w:jc w:val="both"/>
        <w:rPr>
          <w:rFonts w:ascii="Times New Roman" w:hAnsi="Times New Roman" w:cs="Times New Roman"/>
          <w:iCs/>
          <w:sz w:val="24"/>
          <w:szCs w:val="24"/>
        </w:rPr>
      </w:pPr>
      <w:r w:rsidRPr="000F5743">
        <w:rPr>
          <w:rFonts w:ascii="Times New Roman" w:hAnsi="Times New Roman" w:cs="Times New Roman"/>
          <w:bCs/>
          <w:sz w:val="24"/>
          <w:szCs w:val="24"/>
        </w:rPr>
        <w:t>Comme indiqué</w:t>
      </w:r>
      <w:r w:rsidR="000206A5" w:rsidRPr="000F5743">
        <w:rPr>
          <w:rFonts w:ascii="Times New Roman" w:hAnsi="Times New Roman" w:cs="Times New Roman"/>
          <w:bCs/>
          <w:sz w:val="24"/>
          <w:szCs w:val="24"/>
        </w:rPr>
        <w:t xml:space="preserve"> dans le tableau ci-dessous, le taux de décaissement en fin de projet est de 65,29% qui </w:t>
      </w:r>
      <w:r w:rsidRPr="000F5743">
        <w:rPr>
          <w:rFonts w:ascii="Times New Roman" w:hAnsi="Times New Roman" w:cs="Times New Roman"/>
          <w:bCs/>
          <w:sz w:val="24"/>
          <w:szCs w:val="24"/>
        </w:rPr>
        <w:t>s’expliquent</w:t>
      </w:r>
      <w:r w:rsidR="000206A5" w:rsidRPr="000F5743">
        <w:rPr>
          <w:rFonts w:ascii="Times New Roman" w:hAnsi="Times New Roman" w:cs="Times New Roman"/>
          <w:bCs/>
          <w:sz w:val="24"/>
          <w:szCs w:val="24"/>
        </w:rPr>
        <w:t xml:space="preserve"> par les contraintes qui ont influencé  sur le bon déroulement du projet</w:t>
      </w:r>
      <w:bookmarkStart w:id="43" w:name="_Toc485565306"/>
      <w:r w:rsidRPr="000F5743">
        <w:rPr>
          <w:rFonts w:ascii="Times New Roman" w:hAnsi="Times New Roman" w:cs="Times New Roman"/>
          <w:bCs/>
          <w:sz w:val="24"/>
          <w:szCs w:val="24"/>
        </w:rPr>
        <w:t xml:space="preserve">: </w:t>
      </w:r>
      <w:bookmarkEnd w:id="43"/>
    </w:p>
    <w:tbl>
      <w:tblPr>
        <w:tblW w:w="5071"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0"/>
        <w:gridCol w:w="1290"/>
        <w:gridCol w:w="1293"/>
        <w:gridCol w:w="1275"/>
        <w:gridCol w:w="169"/>
        <w:gridCol w:w="1142"/>
        <w:gridCol w:w="1148"/>
        <w:gridCol w:w="1006"/>
        <w:gridCol w:w="1148"/>
        <w:gridCol w:w="30"/>
      </w:tblGrid>
      <w:tr w:rsidR="007E6147" w:rsidRPr="007E6147" w:rsidTr="000F5743">
        <w:trPr>
          <w:trHeight w:val="84"/>
        </w:trPr>
        <w:tc>
          <w:tcPr>
            <w:tcW w:w="2479" w:type="pct"/>
            <w:gridSpan w:val="4"/>
            <w:tcBorders>
              <w:top w:val="single" w:sz="8" w:space="0" w:color="auto"/>
              <w:left w:val="single" w:sz="8" w:space="0" w:color="auto"/>
              <w:bottom w:val="single" w:sz="8" w:space="0" w:color="auto"/>
              <w:right w:val="single" w:sz="8" w:space="0" w:color="auto"/>
            </w:tcBorders>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r w:rsidRPr="007E6147">
              <w:rPr>
                <w:rFonts w:ascii="Times New Roman" w:eastAsia="Times New Roman" w:hAnsi="Times New Roman" w:cs="Times New Roman"/>
                <w:b/>
                <w:bCs/>
                <w:color w:val="000000"/>
                <w:sz w:val="20"/>
                <w:szCs w:val="24"/>
                <w:lang w:eastAsia="fr-FR"/>
              </w:rPr>
              <w:t>Budget PRODOC (US$) (*)</w:t>
            </w:r>
          </w:p>
        </w:tc>
        <w:tc>
          <w:tcPr>
            <w:tcW w:w="92" w:type="pct"/>
            <w:tcBorders>
              <w:top w:val="single" w:sz="8" w:space="0" w:color="auto"/>
              <w:left w:val="nil"/>
              <w:bottom w:val="single" w:sz="8" w:space="0" w:color="auto"/>
              <w:right w:val="single" w:sz="8" w:space="0" w:color="auto"/>
            </w:tcBorders>
            <w:shd w:val="clear" w:color="auto" w:fill="767171" w:themeFill="background2" w:themeFillShade="80"/>
            <w:noWrap/>
            <w:tcMar>
              <w:top w:w="0" w:type="dxa"/>
              <w:left w:w="70" w:type="dxa"/>
              <w:bottom w:w="0" w:type="dxa"/>
              <w:right w:w="70" w:type="dxa"/>
            </w:tcMar>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c>
          <w:tcPr>
            <w:tcW w:w="2412" w:type="pct"/>
            <w:gridSpan w:val="4"/>
            <w:tcBorders>
              <w:top w:val="single" w:sz="8" w:space="0" w:color="auto"/>
              <w:left w:val="nil"/>
              <w:bottom w:val="single" w:sz="8" w:space="0" w:color="auto"/>
              <w:right w:val="single" w:sz="8" w:space="0" w:color="auto"/>
            </w:tcBorders>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r w:rsidRPr="007E6147">
              <w:rPr>
                <w:rFonts w:ascii="Times New Roman" w:eastAsia="Times New Roman" w:hAnsi="Times New Roman" w:cs="Times New Roman"/>
                <w:b/>
                <w:bCs/>
                <w:color w:val="000000"/>
                <w:sz w:val="20"/>
                <w:szCs w:val="24"/>
                <w:lang w:eastAsia="fr-FR"/>
              </w:rPr>
              <w:t>Dépenses (US$) (**)</w:t>
            </w:r>
          </w:p>
        </w:tc>
        <w:tc>
          <w:tcPr>
            <w:tcW w:w="16" w:type="pct"/>
            <w:tcBorders>
              <w:top w:val="nil"/>
              <w:left w:val="nil"/>
              <w:bottom w:val="nil"/>
              <w:right w:val="nil"/>
            </w:tcBorders>
            <w:shd w:val="clear" w:color="auto" w:fill="auto"/>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r>
      <w:tr w:rsidR="007E6147" w:rsidRPr="007E6147" w:rsidTr="000F5743">
        <w:trPr>
          <w:trHeight w:val="198"/>
        </w:trPr>
        <w:tc>
          <w:tcPr>
            <w:tcW w:w="385" w:type="pct"/>
            <w:vMerge w:val="restart"/>
            <w:tcBorders>
              <w:top w:val="nil"/>
              <w:left w:val="single" w:sz="8" w:space="0" w:color="auto"/>
              <w:right w:val="single" w:sz="8" w:space="0" w:color="auto"/>
            </w:tcBorders>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r w:rsidRPr="007E6147">
              <w:rPr>
                <w:rFonts w:ascii="Times New Roman" w:eastAsia="Times New Roman" w:hAnsi="Times New Roman" w:cs="Times New Roman"/>
                <w:b/>
                <w:bCs/>
                <w:color w:val="000000"/>
                <w:sz w:val="20"/>
                <w:szCs w:val="24"/>
                <w:lang w:eastAsia="fr-FR"/>
              </w:rPr>
              <w:t>Années</w:t>
            </w:r>
          </w:p>
        </w:tc>
        <w:tc>
          <w:tcPr>
            <w:tcW w:w="700" w:type="pct"/>
            <w:vMerge w:val="restart"/>
            <w:tcBorders>
              <w:top w:val="nil"/>
              <w:left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r w:rsidRPr="007E6147">
              <w:rPr>
                <w:rFonts w:ascii="Times New Roman" w:eastAsia="Times New Roman" w:hAnsi="Times New Roman" w:cs="Times New Roman"/>
                <w:b/>
                <w:bCs/>
                <w:color w:val="000000"/>
                <w:sz w:val="20"/>
                <w:szCs w:val="24"/>
                <w:lang w:eastAsia="fr-FR"/>
              </w:rPr>
              <w:t>PNUD (Trac)</w:t>
            </w:r>
          </w:p>
        </w:tc>
        <w:tc>
          <w:tcPr>
            <w:tcW w:w="702" w:type="pct"/>
            <w:vMerge w:val="restart"/>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rsidR="007E6147" w:rsidRPr="007E6147" w:rsidRDefault="007E6147" w:rsidP="007E6147">
            <w:pPr>
              <w:spacing w:after="0" w:line="276" w:lineRule="auto"/>
              <w:jc w:val="center"/>
              <w:rPr>
                <w:rFonts w:ascii="Times New Roman" w:eastAsia="Times New Roman" w:hAnsi="Times New Roman" w:cs="Times New Roman"/>
                <w:b/>
                <w:sz w:val="20"/>
                <w:szCs w:val="24"/>
                <w:lang w:eastAsia="fr-FR"/>
              </w:rPr>
            </w:pPr>
            <w:r w:rsidRPr="007E6147">
              <w:rPr>
                <w:rFonts w:ascii="Times New Roman" w:eastAsia="Times New Roman" w:hAnsi="Times New Roman" w:cs="Times New Roman"/>
                <w:b/>
                <w:sz w:val="20"/>
                <w:szCs w:val="24"/>
                <w:lang w:eastAsia="fr-FR"/>
              </w:rPr>
              <w:t>GOV.BU</w:t>
            </w:r>
          </w:p>
        </w:tc>
        <w:tc>
          <w:tcPr>
            <w:tcW w:w="692" w:type="pct"/>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r w:rsidRPr="007E6147">
              <w:rPr>
                <w:rFonts w:ascii="Times New Roman" w:eastAsia="Times New Roman" w:hAnsi="Times New Roman" w:cs="Times New Roman"/>
                <w:b/>
                <w:bCs/>
                <w:color w:val="000000"/>
                <w:sz w:val="20"/>
                <w:szCs w:val="24"/>
                <w:lang w:eastAsia="fr-FR"/>
              </w:rPr>
              <w:t>Total</w:t>
            </w:r>
          </w:p>
        </w:tc>
        <w:tc>
          <w:tcPr>
            <w:tcW w:w="92" w:type="pct"/>
            <w:vMerge w:val="restart"/>
            <w:tcBorders>
              <w:top w:val="single" w:sz="8" w:space="0" w:color="auto"/>
              <w:left w:val="nil"/>
              <w:bottom w:val="single" w:sz="8" w:space="0" w:color="auto"/>
              <w:right w:val="single" w:sz="8" w:space="0" w:color="auto"/>
            </w:tcBorders>
            <w:shd w:val="clear" w:color="auto" w:fill="767171" w:themeFill="background2" w:themeFillShade="80"/>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c>
          <w:tcPr>
            <w:tcW w:w="620" w:type="pct"/>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r w:rsidRPr="007E6147">
              <w:rPr>
                <w:rFonts w:ascii="Times New Roman" w:eastAsia="Times New Roman" w:hAnsi="Times New Roman" w:cs="Times New Roman"/>
                <w:b/>
                <w:bCs/>
                <w:color w:val="000000"/>
                <w:sz w:val="20"/>
                <w:szCs w:val="24"/>
                <w:lang w:eastAsia="fr-FR"/>
              </w:rPr>
              <w:t>Années</w:t>
            </w:r>
          </w:p>
        </w:tc>
        <w:tc>
          <w:tcPr>
            <w:tcW w:w="623" w:type="pct"/>
            <w:vMerge w:val="restart"/>
            <w:tcBorders>
              <w:top w:val="nil"/>
              <w:left w:val="nil"/>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r w:rsidRPr="007E6147">
              <w:rPr>
                <w:rFonts w:ascii="Times New Roman" w:eastAsia="Times New Roman" w:hAnsi="Times New Roman" w:cs="Times New Roman"/>
                <w:b/>
                <w:bCs/>
                <w:color w:val="000000"/>
                <w:sz w:val="20"/>
                <w:szCs w:val="24"/>
                <w:lang w:eastAsia="fr-FR"/>
              </w:rPr>
              <w:t>PNUD (Trac)</w:t>
            </w:r>
          </w:p>
        </w:tc>
        <w:tc>
          <w:tcPr>
            <w:tcW w:w="546" w:type="pct"/>
            <w:vMerge w:val="restart"/>
            <w:tcBorders>
              <w:top w:val="nil"/>
              <w:left w:val="nil"/>
              <w:right w:val="single" w:sz="4" w:space="0" w:color="auto"/>
            </w:tcBorders>
            <w:shd w:val="clear" w:color="auto" w:fill="F2F2F2" w:themeFill="background1" w:themeFillShade="F2"/>
            <w:vAlign w:val="center"/>
          </w:tcPr>
          <w:p w:rsidR="007E6147" w:rsidRPr="007E6147" w:rsidRDefault="007E6147" w:rsidP="007E6147">
            <w:pPr>
              <w:spacing w:after="0" w:line="276" w:lineRule="auto"/>
              <w:jc w:val="center"/>
              <w:rPr>
                <w:rFonts w:ascii="Times New Roman" w:eastAsia="Times New Roman" w:hAnsi="Times New Roman" w:cs="Times New Roman"/>
                <w:b/>
                <w:bCs/>
                <w:color w:val="000000"/>
                <w:sz w:val="20"/>
                <w:szCs w:val="24"/>
                <w:lang w:eastAsia="fr-FR"/>
              </w:rPr>
            </w:pPr>
            <w:r w:rsidRPr="007E6147">
              <w:rPr>
                <w:rFonts w:ascii="Times New Roman" w:eastAsia="Times New Roman" w:hAnsi="Times New Roman" w:cs="Times New Roman"/>
                <w:b/>
                <w:bCs/>
                <w:color w:val="000000"/>
                <w:sz w:val="20"/>
                <w:szCs w:val="24"/>
                <w:lang w:eastAsia="fr-FR"/>
              </w:rPr>
              <w:t>GOV.BU</w:t>
            </w:r>
          </w:p>
        </w:tc>
        <w:tc>
          <w:tcPr>
            <w:tcW w:w="622" w:type="pct"/>
            <w:vMerge w:val="restart"/>
            <w:tcBorders>
              <w:top w:val="nil"/>
              <w:left w:val="single" w:sz="4" w:space="0" w:color="auto"/>
              <w:bottom w:val="single" w:sz="8" w:space="0" w:color="auto"/>
              <w:right w:val="single" w:sz="8" w:space="0" w:color="auto"/>
            </w:tcBorders>
            <w:shd w:val="clear" w:color="auto" w:fill="00B0F0"/>
            <w:noWrap/>
            <w:tcMar>
              <w:top w:w="0" w:type="dxa"/>
              <w:left w:w="70" w:type="dxa"/>
              <w:bottom w:w="0" w:type="dxa"/>
              <w:right w:w="70" w:type="dxa"/>
            </w:tcMar>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r w:rsidRPr="007E6147">
              <w:rPr>
                <w:rFonts w:ascii="Times New Roman" w:eastAsia="Times New Roman" w:hAnsi="Times New Roman" w:cs="Times New Roman"/>
                <w:b/>
                <w:bCs/>
                <w:color w:val="000000"/>
                <w:sz w:val="20"/>
                <w:szCs w:val="24"/>
                <w:lang w:eastAsia="fr-FR"/>
              </w:rPr>
              <w:t>Total</w:t>
            </w:r>
          </w:p>
        </w:tc>
        <w:tc>
          <w:tcPr>
            <w:tcW w:w="16" w:type="pct"/>
            <w:tcBorders>
              <w:top w:val="nil"/>
              <w:left w:val="nil"/>
              <w:bottom w:val="nil"/>
              <w:right w:val="nil"/>
            </w:tcBorders>
            <w:shd w:val="clear" w:color="auto" w:fill="auto"/>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r>
      <w:tr w:rsidR="007E6147" w:rsidRPr="007E6147" w:rsidTr="000F5743">
        <w:trPr>
          <w:trHeight w:val="92"/>
        </w:trPr>
        <w:tc>
          <w:tcPr>
            <w:tcW w:w="385" w:type="pct"/>
            <w:vMerge/>
            <w:tcBorders>
              <w:left w:val="single" w:sz="8" w:space="0" w:color="auto"/>
              <w:bottom w:val="single" w:sz="8" w:space="0" w:color="auto"/>
              <w:right w:val="single" w:sz="8" w:space="0" w:color="auto"/>
            </w:tcBorders>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c>
          <w:tcPr>
            <w:tcW w:w="700" w:type="pct"/>
            <w:vMerge/>
            <w:tcBorders>
              <w:left w:val="single" w:sz="8" w:space="0" w:color="auto"/>
              <w:bottom w:val="single" w:sz="8" w:space="0" w:color="auto"/>
              <w:right w:val="single" w:sz="8" w:space="0" w:color="auto"/>
            </w:tcBorders>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c>
          <w:tcPr>
            <w:tcW w:w="702" w:type="pct"/>
            <w:vMerge/>
            <w:tcBorders>
              <w:top w:val="nil"/>
              <w:left w:val="nil"/>
              <w:bottom w:val="single" w:sz="8" w:space="0" w:color="auto"/>
              <w:right w:val="single" w:sz="8" w:space="0" w:color="auto"/>
            </w:tcBorders>
            <w:shd w:val="clear" w:color="auto" w:fill="F2F2F2" w:themeFill="background1" w:themeFillShade="F2"/>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c>
          <w:tcPr>
            <w:tcW w:w="692" w:type="pct"/>
            <w:vMerge/>
            <w:tcBorders>
              <w:top w:val="nil"/>
              <w:left w:val="nil"/>
              <w:bottom w:val="single" w:sz="8" w:space="0" w:color="auto"/>
              <w:right w:val="single" w:sz="8" w:space="0" w:color="auto"/>
            </w:tcBorders>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c>
          <w:tcPr>
            <w:tcW w:w="92" w:type="pct"/>
            <w:vMerge/>
            <w:tcBorders>
              <w:top w:val="single" w:sz="8" w:space="0" w:color="auto"/>
              <w:left w:val="nil"/>
              <w:bottom w:val="single" w:sz="8" w:space="0" w:color="auto"/>
              <w:right w:val="single" w:sz="8" w:space="0" w:color="auto"/>
            </w:tcBorders>
            <w:shd w:val="clear" w:color="auto" w:fill="767171" w:themeFill="background2" w:themeFillShade="80"/>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c>
          <w:tcPr>
            <w:tcW w:w="620" w:type="pct"/>
            <w:vMerge/>
            <w:tcBorders>
              <w:top w:val="nil"/>
              <w:left w:val="nil"/>
              <w:bottom w:val="single" w:sz="8" w:space="0" w:color="auto"/>
              <w:right w:val="single" w:sz="8" w:space="0" w:color="auto"/>
            </w:tcBorders>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c>
          <w:tcPr>
            <w:tcW w:w="623" w:type="pct"/>
            <w:vMerge/>
            <w:tcBorders>
              <w:left w:val="nil"/>
              <w:bottom w:val="single" w:sz="8" w:space="0" w:color="auto"/>
              <w:right w:val="single" w:sz="8" w:space="0" w:color="auto"/>
            </w:tcBorders>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c>
          <w:tcPr>
            <w:tcW w:w="546" w:type="pct"/>
            <w:vMerge/>
            <w:tcBorders>
              <w:left w:val="nil"/>
              <w:bottom w:val="single" w:sz="8" w:space="0" w:color="auto"/>
              <w:right w:val="single" w:sz="4" w:space="0" w:color="auto"/>
            </w:tcBorders>
            <w:shd w:val="clear" w:color="auto" w:fill="F2F2F2" w:themeFill="background1" w:themeFillShade="F2"/>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c>
          <w:tcPr>
            <w:tcW w:w="622" w:type="pct"/>
            <w:vMerge/>
            <w:tcBorders>
              <w:top w:val="single" w:sz="8" w:space="0" w:color="auto"/>
              <w:left w:val="single" w:sz="4" w:space="0" w:color="auto"/>
              <w:bottom w:val="single" w:sz="8" w:space="0" w:color="auto"/>
              <w:right w:val="single" w:sz="8" w:space="0" w:color="auto"/>
            </w:tcBorders>
            <w:shd w:val="clear" w:color="auto" w:fill="00B0F0"/>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c>
          <w:tcPr>
            <w:tcW w:w="16" w:type="pct"/>
            <w:tcBorders>
              <w:top w:val="nil"/>
              <w:left w:val="nil"/>
              <w:bottom w:val="nil"/>
              <w:right w:val="nil"/>
            </w:tcBorders>
            <w:shd w:val="clear" w:color="auto" w:fill="auto"/>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r>
      <w:tr w:rsidR="007E6147" w:rsidRPr="007E6147" w:rsidTr="000F5743">
        <w:trPr>
          <w:trHeight w:val="276"/>
        </w:trPr>
        <w:tc>
          <w:tcPr>
            <w:tcW w:w="385" w:type="pct"/>
            <w:tcBorders>
              <w:top w:val="nil"/>
              <w:left w:val="single" w:sz="8" w:space="0" w:color="auto"/>
              <w:bottom w:val="single" w:sz="8" w:space="0" w:color="auto"/>
              <w:right w:val="single" w:sz="8" w:space="0" w:color="auto"/>
            </w:tcBorders>
            <w:vAlign w:val="center"/>
          </w:tcPr>
          <w:p w:rsidR="007E6147" w:rsidRPr="007E6147" w:rsidRDefault="007E6147" w:rsidP="007E6147">
            <w:pPr>
              <w:spacing w:after="0" w:line="276" w:lineRule="auto"/>
              <w:jc w:val="center"/>
              <w:rPr>
                <w:rFonts w:ascii="Times New Roman" w:eastAsia="Calibri" w:hAnsi="Times New Roman" w:cs="Times New Roman"/>
                <w:sz w:val="20"/>
                <w:szCs w:val="24"/>
              </w:rPr>
            </w:pPr>
            <w:r w:rsidRPr="007E6147">
              <w:rPr>
                <w:rFonts w:ascii="Times New Roman" w:eastAsia="Calibri" w:hAnsi="Times New Roman" w:cs="Times New Roman"/>
                <w:sz w:val="20"/>
                <w:szCs w:val="24"/>
              </w:rPr>
              <w:t>2013</w:t>
            </w:r>
          </w:p>
        </w:tc>
        <w:tc>
          <w:tcPr>
            <w:tcW w:w="70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226A71" w:rsidRDefault="007E6147" w:rsidP="007E6147">
            <w:pPr>
              <w:spacing w:after="0" w:line="276" w:lineRule="auto"/>
              <w:ind w:right="68"/>
              <w:jc w:val="right"/>
              <w:rPr>
                <w:rFonts w:ascii="Times New Roman" w:eastAsia="Times New Roman" w:hAnsi="Times New Roman" w:cs="Times New Roman"/>
                <w:sz w:val="20"/>
                <w:szCs w:val="24"/>
                <w:lang w:eastAsia="fr-FR"/>
              </w:rPr>
            </w:pPr>
            <w:r w:rsidRPr="00226A71">
              <w:rPr>
                <w:rFonts w:ascii="Times New Roman" w:eastAsia="Times New Roman" w:hAnsi="Times New Roman" w:cs="Times New Roman"/>
                <w:sz w:val="20"/>
                <w:szCs w:val="24"/>
                <w:lang w:eastAsia="fr-FR"/>
              </w:rPr>
              <w:t>124 500</w:t>
            </w:r>
          </w:p>
        </w:tc>
        <w:tc>
          <w:tcPr>
            <w:tcW w:w="70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7E6147" w:rsidRPr="007E6147" w:rsidRDefault="007E6147" w:rsidP="007E6147">
            <w:pPr>
              <w:numPr>
                <w:ilvl w:val="0"/>
                <w:numId w:val="26"/>
              </w:numPr>
              <w:spacing w:after="0" w:line="276" w:lineRule="auto"/>
              <w:contextualSpacing/>
              <w:jc w:val="right"/>
              <w:rPr>
                <w:rFonts w:ascii="Times New Roman" w:eastAsia="Times New Roman" w:hAnsi="Times New Roman" w:cs="Times New Roman"/>
                <w:sz w:val="20"/>
                <w:szCs w:val="24"/>
                <w:lang w:eastAsia="fr-FR"/>
              </w:rPr>
            </w:pPr>
          </w:p>
        </w:tc>
        <w:tc>
          <w:tcPr>
            <w:tcW w:w="69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226A71" w:rsidRDefault="007E6147" w:rsidP="007E6147">
            <w:pPr>
              <w:spacing w:after="0" w:line="276" w:lineRule="auto"/>
              <w:ind w:right="50"/>
              <w:jc w:val="right"/>
              <w:rPr>
                <w:rFonts w:ascii="Times New Roman" w:eastAsia="Times New Roman" w:hAnsi="Times New Roman" w:cs="Times New Roman"/>
                <w:sz w:val="20"/>
                <w:szCs w:val="24"/>
                <w:lang w:eastAsia="fr-FR"/>
              </w:rPr>
            </w:pPr>
            <w:r w:rsidRPr="00226A71">
              <w:rPr>
                <w:rFonts w:ascii="Times New Roman" w:eastAsia="Times New Roman" w:hAnsi="Times New Roman" w:cs="Times New Roman"/>
                <w:sz w:val="20"/>
                <w:szCs w:val="24"/>
                <w:lang w:eastAsia="fr-FR"/>
              </w:rPr>
              <w:t>124 500</w:t>
            </w:r>
          </w:p>
        </w:tc>
        <w:tc>
          <w:tcPr>
            <w:tcW w:w="92" w:type="pct"/>
            <w:vMerge/>
            <w:tcBorders>
              <w:top w:val="single" w:sz="8" w:space="0" w:color="auto"/>
              <w:left w:val="nil"/>
              <w:bottom w:val="single" w:sz="8" w:space="0" w:color="auto"/>
              <w:right w:val="single" w:sz="8" w:space="0" w:color="auto"/>
            </w:tcBorders>
            <w:shd w:val="clear" w:color="auto" w:fill="767171" w:themeFill="background2" w:themeFillShade="80"/>
            <w:vAlign w:val="center"/>
            <w:hideMark/>
          </w:tcPr>
          <w:p w:rsidR="007E6147" w:rsidRPr="007E6147" w:rsidRDefault="007E6147" w:rsidP="007E6147">
            <w:pPr>
              <w:spacing w:after="0" w:line="276" w:lineRule="auto"/>
              <w:jc w:val="right"/>
              <w:rPr>
                <w:rFonts w:ascii="Times New Roman" w:eastAsia="Times New Roman" w:hAnsi="Times New Roman" w:cs="Times New Roman"/>
                <w:sz w:val="20"/>
                <w:szCs w:val="24"/>
                <w:lang w:eastAsia="fr-FR"/>
              </w:rPr>
            </w:pPr>
          </w:p>
        </w:tc>
        <w:tc>
          <w:tcPr>
            <w:tcW w:w="62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7E6147" w:rsidRPr="007E6147" w:rsidRDefault="007E6147" w:rsidP="007E6147">
            <w:pPr>
              <w:spacing w:after="0" w:line="276" w:lineRule="auto"/>
              <w:jc w:val="center"/>
              <w:rPr>
                <w:rFonts w:ascii="Times New Roman" w:eastAsia="Calibri" w:hAnsi="Times New Roman" w:cs="Times New Roman"/>
                <w:sz w:val="20"/>
                <w:szCs w:val="24"/>
              </w:rPr>
            </w:pPr>
            <w:r w:rsidRPr="007E6147">
              <w:rPr>
                <w:rFonts w:ascii="Times New Roman" w:eastAsia="Calibri" w:hAnsi="Times New Roman" w:cs="Times New Roman"/>
                <w:sz w:val="20"/>
                <w:szCs w:val="24"/>
              </w:rPr>
              <w:t>2013</w:t>
            </w:r>
          </w:p>
        </w:tc>
        <w:tc>
          <w:tcPr>
            <w:tcW w:w="62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91 997</w:t>
            </w:r>
          </w:p>
        </w:tc>
        <w:tc>
          <w:tcPr>
            <w:tcW w:w="546" w:type="pct"/>
            <w:tcBorders>
              <w:top w:val="nil"/>
              <w:left w:val="nil"/>
              <w:bottom w:val="single" w:sz="8" w:space="0" w:color="auto"/>
              <w:right w:val="single" w:sz="4" w:space="0" w:color="auto"/>
            </w:tcBorders>
            <w:shd w:val="clear" w:color="auto" w:fill="F2F2F2" w:themeFill="background1" w:themeFillShade="F2"/>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w:t>
            </w:r>
          </w:p>
        </w:tc>
        <w:tc>
          <w:tcPr>
            <w:tcW w:w="622" w:type="pct"/>
            <w:tcBorders>
              <w:top w:val="single" w:sz="8" w:space="0" w:color="auto"/>
              <w:left w:val="single" w:sz="4" w:space="0" w:color="auto"/>
              <w:bottom w:val="single" w:sz="8" w:space="0" w:color="auto"/>
              <w:right w:val="single" w:sz="8" w:space="0" w:color="auto"/>
            </w:tcBorders>
            <w:shd w:val="clear" w:color="auto" w:fill="00B0F0"/>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91 997</w:t>
            </w:r>
          </w:p>
        </w:tc>
        <w:tc>
          <w:tcPr>
            <w:tcW w:w="16" w:type="pct"/>
            <w:tcBorders>
              <w:top w:val="nil"/>
              <w:left w:val="nil"/>
              <w:bottom w:val="nil"/>
              <w:right w:val="nil"/>
            </w:tcBorders>
            <w:shd w:val="clear" w:color="auto" w:fill="auto"/>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r>
      <w:tr w:rsidR="007E6147" w:rsidRPr="007E6147" w:rsidTr="000F5743">
        <w:trPr>
          <w:trHeight w:val="276"/>
        </w:trPr>
        <w:tc>
          <w:tcPr>
            <w:tcW w:w="385" w:type="pct"/>
            <w:tcBorders>
              <w:top w:val="nil"/>
              <w:left w:val="single" w:sz="8" w:space="0" w:color="auto"/>
              <w:bottom w:val="single" w:sz="8" w:space="0" w:color="auto"/>
              <w:right w:val="single" w:sz="8" w:space="0" w:color="auto"/>
            </w:tcBorders>
            <w:vAlign w:val="center"/>
          </w:tcPr>
          <w:p w:rsidR="007E6147" w:rsidRPr="007E6147" w:rsidRDefault="007E6147" w:rsidP="007E6147">
            <w:pPr>
              <w:spacing w:after="0" w:line="276" w:lineRule="auto"/>
              <w:jc w:val="center"/>
              <w:rPr>
                <w:rFonts w:ascii="Times New Roman" w:eastAsia="Calibri" w:hAnsi="Times New Roman" w:cs="Times New Roman"/>
                <w:sz w:val="20"/>
                <w:szCs w:val="24"/>
              </w:rPr>
            </w:pPr>
            <w:r w:rsidRPr="007E6147">
              <w:rPr>
                <w:rFonts w:ascii="Times New Roman" w:eastAsia="Calibri" w:hAnsi="Times New Roman" w:cs="Times New Roman"/>
                <w:sz w:val="20"/>
                <w:szCs w:val="24"/>
              </w:rPr>
              <w:t>2014</w:t>
            </w:r>
          </w:p>
        </w:tc>
        <w:tc>
          <w:tcPr>
            <w:tcW w:w="70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226A71" w:rsidRDefault="007E6147" w:rsidP="007E6147">
            <w:pPr>
              <w:spacing w:after="0" w:line="276" w:lineRule="auto"/>
              <w:ind w:right="68"/>
              <w:jc w:val="right"/>
              <w:rPr>
                <w:rFonts w:ascii="Times New Roman" w:eastAsia="Times New Roman" w:hAnsi="Times New Roman" w:cs="Times New Roman"/>
                <w:sz w:val="20"/>
                <w:szCs w:val="24"/>
                <w:lang w:eastAsia="fr-FR"/>
              </w:rPr>
            </w:pPr>
            <w:r w:rsidRPr="00226A71">
              <w:rPr>
                <w:rFonts w:ascii="Times New Roman" w:eastAsia="Times New Roman" w:hAnsi="Times New Roman" w:cs="Times New Roman"/>
                <w:sz w:val="20"/>
                <w:szCs w:val="24"/>
                <w:lang w:eastAsia="fr-FR"/>
              </w:rPr>
              <w:t xml:space="preserve">355 000 </w:t>
            </w:r>
          </w:p>
        </w:tc>
        <w:tc>
          <w:tcPr>
            <w:tcW w:w="70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7E6147" w:rsidRPr="007E6147" w:rsidRDefault="007E6147" w:rsidP="007E6147">
            <w:pPr>
              <w:numPr>
                <w:ilvl w:val="0"/>
                <w:numId w:val="26"/>
              </w:numPr>
              <w:spacing w:after="0" w:line="276" w:lineRule="auto"/>
              <w:contextualSpacing/>
              <w:jc w:val="right"/>
              <w:rPr>
                <w:rFonts w:ascii="Times New Roman" w:eastAsia="Times New Roman" w:hAnsi="Times New Roman" w:cs="Times New Roman"/>
                <w:sz w:val="20"/>
                <w:szCs w:val="24"/>
                <w:lang w:eastAsia="fr-FR"/>
              </w:rPr>
            </w:pPr>
          </w:p>
        </w:tc>
        <w:tc>
          <w:tcPr>
            <w:tcW w:w="69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226A71" w:rsidRDefault="007E6147" w:rsidP="007E6147">
            <w:pPr>
              <w:spacing w:before="100" w:beforeAutospacing="1" w:after="0" w:line="276" w:lineRule="auto"/>
              <w:ind w:right="50"/>
              <w:jc w:val="right"/>
              <w:rPr>
                <w:rFonts w:ascii="Times New Roman" w:eastAsia="Times New Roman" w:hAnsi="Times New Roman" w:cs="Times New Roman"/>
                <w:sz w:val="20"/>
                <w:szCs w:val="24"/>
                <w:lang w:eastAsia="fr-FR"/>
              </w:rPr>
            </w:pPr>
            <w:r w:rsidRPr="00226A71">
              <w:rPr>
                <w:rFonts w:ascii="Times New Roman" w:eastAsia="Times New Roman" w:hAnsi="Times New Roman" w:cs="Times New Roman"/>
                <w:sz w:val="20"/>
                <w:szCs w:val="24"/>
                <w:lang w:eastAsia="fr-FR"/>
              </w:rPr>
              <w:t>355 000</w:t>
            </w:r>
          </w:p>
        </w:tc>
        <w:tc>
          <w:tcPr>
            <w:tcW w:w="92" w:type="pct"/>
            <w:vMerge/>
            <w:tcBorders>
              <w:top w:val="single" w:sz="8" w:space="0" w:color="auto"/>
              <w:left w:val="nil"/>
              <w:bottom w:val="single" w:sz="8" w:space="0" w:color="auto"/>
              <w:right w:val="single" w:sz="8" w:space="0" w:color="auto"/>
            </w:tcBorders>
            <w:shd w:val="clear" w:color="auto" w:fill="767171" w:themeFill="background2" w:themeFillShade="80"/>
            <w:vAlign w:val="center"/>
            <w:hideMark/>
          </w:tcPr>
          <w:p w:rsidR="007E6147" w:rsidRPr="007E6147" w:rsidRDefault="007E6147" w:rsidP="007E6147">
            <w:pPr>
              <w:spacing w:after="0" w:line="276" w:lineRule="auto"/>
              <w:jc w:val="right"/>
              <w:rPr>
                <w:rFonts w:ascii="Times New Roman" w:eastAsia="Times New Roman" w:hAnsi="Times New Roman" w:cs="Times New Roman"/>
                <w:sz w:val="20"/>
                <w:szCs w:val="24"/>
                <w:lang w:eastAsia="fr-FR"/>
              </w:rPr>
            </w:pPr>
          </w:p>
        </w:tc>
        <w:tc>
          <w:tcPr>
            <w:tcW w:w="62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7E6147" w:rsidRPr="007E6147" w:rsidRDefault="007E6147" w:rsidP="007E6147">
            <w:pPr>
              <w:spacing w:after="0" w:line="276" w:lineRule="auto"/>
              <w:jc w:val="center"/>
              <w:rPr>
                <w:rFonts w:ascii="Times New Roman" w:eastAsia="Calibri" w:hAnsi="Times New Roman" w:cs="Times New Roman"/>
                <w:sz w:val="20"/>
                <w:szCs w:val="24"/>
              </w:rPr>
            </w:pPr>
            <w:r w:rsidRPr="007E6147">
              <w:rPr>
                <w:rFonts w:ascii="Times New Roman" w:eastAsia="Calibri" w:hAnsi="Times New Roman" w:cs="Times New Roman"/>
                <w:sz w:val="20"/>
                <w:szCs w:val="24"/>
              </w:rPr>
              <w:t>2014</w:t>
            </w:r>
          </w:p>
        </w:tc>
        <w:tc>
          <w:tcPr>
            <w:tcW w:w="62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 xml:space="preserve">202 535 </w:t>
            </w:r>
          </w:p>
        </w:tc>
        <w:tc>
          <w:tcPr>
            <w:tcW w:w="546" w:type="pct"/>
            <w:tcBorders>
              <w:top w:val="nil"/>
              <w:left w:val="nil"/>
              <w:bottom w:val="single" w:sz="8" w:space="0" w:color="auto"/>
              <w:right w:val="single" w:sz="4" w:space="0" w:color="auto"/>
            </w:tcBorders>
            <w:shd w:val="clear" w:color="auto" w:fill="F2F2F2" w:themeFill="background1" w:themeFillShade="F2"/>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w:t>
            </w:r>
          </w:p>
        </w:tc>
        <w:tc>
          <w:tcPr>
            <w:tcW w:w="622" w:type="pct"/>
            <w:tcBorders>
              <w:top w:val="single" w:sz="8" w:space="0" w:color="auto"/>
              <w:left w:val="single" w:sz="4" w:space="0" w:color="auto"/>
              <w:bottom w:val="single" w:sz="8" w:space="0" w:color="auto"/>
              <w:right w:val="single" w:sz="8" w:space="0" w:color="auto"/>
            </w:tcBorders>
            <w:shd w:val="clear" w:color="auto" w:fill="00B0F0"/>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202 535</w:t>
            </w:r>
          </w:p>
        </w:tc>
        <w:tc>
          <w:tcPr>
            <w:tcW w:w="16" w:type="pct"/>
            <w:tcBorders>
              <w:top w:val="nil"/>
              <w:left w:val="nil"/>
              <w:bottom w:val="nil"/>
              <w:right w:val="nil"/>
            </w:tcBorders>
            <w:shd w:val="clear" w:color="auto" w:fill="auto"/>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r>
      <w:tr w:rsidR="007E6147" w:rsidRPr="007E6147" w:rsidTr="000F5743">
        <w:trPr>
          <w:trHeight w:val="276"/>
        </w:trPr>
        <w:tc>
          <w:tcPr>
            <w:tcW w:w="385" w:type="pct"/>
            <w:tcBorders>
              <w:top w:val="nil"/>
              <w:left w:val="single" w:sz="8" w:space="0" w:color="auto"/>
              <w:bottom w:val="single" w:sz="8" w:space="0" w:color="auto"/>
              <w:right w:val="single" w:sz="8" w:space="0" w:color="auto"/>
            </w:tcBorders>
            <w:vAlign w:val="center"/>
          </w:tcPr>
          <w:p w:rsidR="007E6147" w:rsidRPr="007E6147" w:rsidRDefault="007E6147" w:rsidP="007E6147">
            <w:pPr>
              <w:spacing w:after="0" w:line="276" w:lineRule="auto"/>
              <w:jc w:val="center"/>
              <w:rPr>
                <w:rFonts w:ascii="Times New Roman" w:eastAsia="Calibri" w:hAnsi="Times New Roman" w:cs="Times New Roman"/>
                <w:sz w:val="20"/>
                <w:szCs w:val="24"/>
              </w:rPr>
            </w:pPr>
            <w:r w:rsidRPr="007E6147">
              <w:rPr>
                <w:rFonts w:ascii="Times New Roman" w:eastAsia="Calibri" w:hAnsi="Times New Roman" w:cs="Times New Roman"/>
                <w:sz w:val="20"/>
                <w:szCs w:val="24"/>
              </w:rPr>
              <w:t>2015</w:t>
            </w:r>
          </w:p>
        </w:tc>
        <w:tc>
          <w:tcPr>
            <w:tcW w:w="70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226A71" w:rsidRDefault="007E6147" w:rsidP="007E6147">
            <w:pPr>
              <w:spacing w:after="0" w:line="276" w:lineRule="auto"/>
              <w:ind w:right="68"/>
              <w:jc w:val="right"/>
              <w:rPr>
                <w:rFonts w:ascii="Times New Roman" w:eastAsia="Times New Roman" w:hAnsi="Times New Roman" w:cs="Times New Roman"/>
                <w:sz w:val="20"/>
                <w:szCs w:val="24"/>
                <w:lang w:eastAsia="fr-FR"/>
              </w:rPr>
            </w:pPr>
            <w:r w:rsidRPr="00226A71">
              <w:rPr>
                <w:rFonts w:ascii="Times New Roman" w:eastAsia="Times New Roman" w:hAnsi="Times New Roman" w:cs="Times New Roman"/>
                <w:sz w:val="20"/>
                <w:szCs w:val="24"/>
                <w:lang w:eastAsia="fr-FR"/>
              </w:rPr>
              <w:t>195 000</w:t>
            </w:r>
          </w:p>
        </w:tc>
        <w:tc>
          <w:tcPr>
            <w:tcW w:w="70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7E6147" w:rsidRPr="007E6147" w:rsidRDefault="007E6147" w:rsidP="007E6147">
            <w:pPr>
              <w:numPr>
                <w:ilvl w:val="0"/>
                <w:numId w:val="26"/>
              </w:numPr>
              <w:spacing w:after="0" w:line="276" w:lineRule="auto"/>
              <w:contextualSpacing/>
              <w:jc w:val="right"/>
              <w:rPr>
                <w:rFonts w:ascii="Times New Roman" w:eastAsia="Times New Roman" w:hAnsi="Times New Roman" w:cs="Times New Roman"/>
                <w:sz w:val="20"/>
                <w:szCs w:val="24"/>
                <w:lang w:eastAsia="fr-FR"/>
              </w:rPr>
            </w:pPr>
          </w:p>
        </w:tc>
        <w:tc>
          <w:tcPr>
            <w:tcW w:w="69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226A71" w:rsidRDefault="007E6147" w:rsidP="007E6147">
            <w:pPr>
              <w:spacing w:after="0" w:line="276" w:lineRule="auto"/>
              <w:ind w:right="50"/>
              <w:jc w:val="right"/>
              <w:rPr>
                <w:rFonts w:ascii="Times New Roman" w:eastAsia="Times New Roman" w:hAnsi="Times New Roman" w:cs="Times New Roman"/>
                <w:sz w:val="20"/>
                <w:szCs w:val="24"/>
                <w:lang w:eastAsia="fr-FR"/>
              </w:rPr>
            </w:pPr>
            <w:r w:rsidRPr="00226A71">
              <w:rPr>
                <w:rFonts w:ascii="Times New Roman" w:eastAsia="Times New Roman" w:hAnsi="Times New Roman" w:cs="Times New Roman"/>
                <w:sz w:val="20"/>
                <w:szCs w:val="24"/>
                <w:lang w:eastAsia="fr-FR"/>
              </w:rPr>
              <w:t>195 000</w:t>
            </w:r>
          </w:p>
        </w:tc>
        <w:tc>
          <w:tcPr>
            <w:tcW w:w="92" w:type="pct"/>
            <w:vMerge/>
            <w:tcBorders>
              <w:top w:val="single" w:sz="8" w:space="0" w:color="auto"/>
              <w:left w:val="nil"/>
              <w:bottom w:val="single" w:sz="8" w:space="0" w:color="auto"/>
              <w:right w:val="single" w:sz="8" w:space="0" w:color="auto"/>
            </w:tcBorders>
            <w:shd w:val="clear" w:color="auto" w:fill="767171" w:themeFill="background2" w:themeFillShade="80"/>
            <w:vAlign w:val="center"/>
            <w:hideMark/>
          </w:tcPr>
          <w:p w:rsidR="007E6147" w:rsidRPr="007E6147" w:rsidRDefault="007E6147" w:rsidP="007E6147">
            <w:pPr>
              <w:spacing w:after="0" w:line="276" w:lineRule="auto"/>
              <w:jc w:val="right"/>
              <w:rPr>
                <w:rFonts w:ascii="Times New Roman" w:eastAsia="Times New Roman" w:hAnsi="Times New Roman" w:cs="Times New Roman"/>
                <w:sz w:val="20"/>
                <w:szCs w:val="24"/>
                <w:lang w:eastAsia="fr-FR"/>
              </w:rPr>
            </w:pPr>
          </w:p>
        </w:tc>
        <w:tc>
          <w:tcPr>
            <w:tcW w:w="62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7E6147" w:rsidRPr="007E6147" w:rsidRDefault="007E6147" w:rsidP="007E6147">
            <w:pPr>
              <w:spacing w:after="0" w:line="276" w:lineRule="auto"/>
              <w:jc w:val="center"/>
              <w:rPr>
                <w:rFonts w:ascii="Times New Roman" w:eastAsia="Calibri" w:hAnsi="Times New Roman" w:cs="Times New Roman"/>
                <w:sz w:val="20"/>
                <w:szCs w:val="24"/>
              </w:rPr>
            </w:pPr>
            <w:r w:rsidRPr="007E6147">
              <w:rPr>
                <w:rFonts w:ascii="Times New Roman" w:eastAsia="Calibri" w:hAnsi="Times New Roman" w:cs="Times New Roman"/>
                <w:sz w:val="20"/>
                <w:szCs w:val="24"/>
              </w:rPr>
              <w:t>2015</w:t>
            </w:r>
          </w:p>
        </w:tc>
        <w:tc>
          <w:tcPr>
            <w:tcW w:w="62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 xml:space="preserve">134 209 </w:t>
            </w:r>
          </w:p>
        </w:tc>
        <w:tc>
          <w:tcPr>
            <w:tcW w:w="546" w:type="pct"/>
            <w:tcBorders>
              <w:top w:val="nil"/>
              <w:left w:val="nil"/>
              <w:bottom w:val="single" w:sz="8" w:space="0" w:color="auto"/>
              <w:right w:val="single" w:sz="4" w:space="0" w:color="auto"/>
            </w:tcBorders>
            <w:shd w:val="clear" w:color="auto" w:fill="F2F2F2" w:themeFill="background1" w:themeFillShade="F2"/>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w:t>
            </w:r>
          </w:p>
        </w:tc>
        <w:tc>
          <w:tcPr>
            <w:tcW w:w="622" w:type="pct"/>
            <w:tcBorders>
              <w:top w:val="single" w:sz="8" w:space="0" w:color="auto"/>
              <w:left w:val="single" w:sz="4" w:space="0" w:color="auto"/>
              <w:bottom w:val="single" w:sz="8" w:space="0" w:color="auto"/>
              <w:right w:val="single" w:sz="8" w:space="0" w:color="auto"/>
            </w:tcBorders>
            <w:shd w:val="clear" w:color="auto" w:fill="00B0F0"/>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134 209</w:t>
            </w:r>
          </w:p>
        </w:tc>
        <w:tc>
          <w:tcPr>
            <w:tcW w:w="16" w:type="pct"/>
            <w:tcBorders>
              <w:top w:val="nil"/>
              <w:left w:val="nil"/>
              <w:bottom w:val="nil"/>
              <w:right w:val="nil"/>
            </w:tcBorders>
            <w:shd w:val="clear" w:color="auto" w:fill="auto"/>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r>
      <w:tr w:rsidR="007E6147" w:rsidRPr="007E6147" w:rsidTr="000F5743">
        <w:trPr>
          <w:trHeight w:val="276"/>
        </w:trPr>
        <w:tc>
          <w:tcPr>
            <w:tcW w:w="385" w:type="pct"/>
            <w:tcBorders>
              <w:top w:val="nil"/>
              <w:left w:val="single" w:sz="8" w:space="0" w:color="auto"/>
              <w:bottom w:val="single" w:sz="8" w:space="0" w:color="auto"/>
              <w:right w:val="single" w:sz="8" w:space="0" w:color="auto"/>
            </w:tcBorders>
            <w:vAlign w:val="center"/>
          </w:tcPr>
          <w:p w:rsidR="007E6147" w:rsidRPr="007E6147" w:rsidRDefault="007E6147" w:rsidP="007E6147">
            <w:pPr>
              <w:spacing w:after="0" w:line="276" w:lineRule="auto"/>
              <w:jc w:val="center"/>
              <w:rPr>
                <w:rFonts w:ascii="Times New Roman" w:eastAsia="Calibri" w:hAnsi="Times New Roman" w:cs="Times New Roman"/>
                <w:sz w:val="20"/>
                <w:szCs w:val="24"/>
              </w:rPr>
            </w:pPr>
            <w:r w:rsidRPr="007E6147">
              <w:rPr>
                <w:rFonts w:ascii="Times New Roman" w:eastAsia="Calibri" w:hAnsi="Times New Roman" w:cs="Times New Roman"/>
                <w:sz w:val="20"/>
                <w:szCs w:val="24"/>
              </w:rPr>
              <w:t>2016</w:t>
            </w:r>
          </w:p>
        </w:tc>
        <w:tc>
          <w:tcPr>
            <w:tcW w:w="70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226A71" w:rsidRDefault="007E6147" w:rsidP="007E6147">
            <w:pPr>
              <w:spacing w:after="0" w:line="276" w:lineRule="auto"/>
              <w:ind w:right="68"/>
              <w:jc w:val="right"/>
              <w:rPr>
                <w:rFonts w:ascii="Times New Roman" w:eastAsia="Times New Roman" w:hAnsi="Times New Roman" w:cs="Times New Roman"/>
                <w:sz w:val="20"/>
                <w:szCs w:val="24"/>
                <w:lang w:eastAsia="fr-FR"/>
              </w:rPr>
            </w:pPr>
            <w:r w:rsidRPr="00226A71">
              <w:rPr>
                <w:rFonts w:ascii="Times New Roman" w:eastAsia="Times New Roman" w:hAnsi="Times New Roman" w:cs="Times New Roman"/>
                <w:sz w:val="20"/>
                <w:szCs w:val="24"/>
                <w:lang w:eastAsia="fr-FR"/>
              </w:rPr>
              <w:t xml:space="preserve">45 000 </w:t>
            </w:r>
          </w:p>
        </w:tc>
        <w:tc>
          <w:tcPr>
            <w:tcW w:w="70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7E6147" w:rsidRPr="007E6147" w:rsidRDefault="007E6147" w:rsidP="007E6147">
            <w:pPr>
              <w:numPr>
                <w:ilvl w:val="0"/>
                <w:numId w:val="26"/>
              </w:numPr>
              <w:spacing w:after="0" w:line="276" w:lineRule="auto"/>
              <w:contextualSpacing/>
              <w:jc w:val="right"/>
              <w:rPr>
                <w:rFonts w:ascii="Times New Roman" w:eastAsia="Times New Roman" w:hAnsi="Times New Roman" w:cs="Times New Roman"/>
                <w:sz w:val="20"/>
                <w:szCs w:val="24"/>
                <w:lang w:eastAsia="fr-FR"/>
              </w:rPr>
            </w:pPr>
          </w:p>
        </w:tc>
        <w:tc>
          <w:tcPr>
            <w:tcW w:w="69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226A71" w:rsidRDefault="007E6147" w:rsidP="007E6147">
            <w:pPr>
              <w:spacing w:after="0" w:line="276" w:lineRule="auto"/>
              <w:ind w:right="50"/>
              <w:jc w:val="right"/>
              <w:rPr>
                <w:rFonts w:ascii="Times New Roman" w:eastAsia="Times New Roman" w:hAnsi="Times New Roman" w:cs="Times New Roman"/>
                <w:sz w:val="20"/>
                <w:szCs w:val="24"/>
                <w:lang w:eastAsia="fr-FR"/>
              </w:rPr>
            </w:pPr>
            <w:r w:rsidRPr="00226A71">
              <w:rPr>
                <w:rFonts w:ascii="Times New Roman" w:eastAsia="Times New Roman" w:hAnsi="Times New Roman" w:cs="Times New Roman"/>
                <w:sz w:val="20"/>
                <w:szCs w:val="24"/>
                <w:lang w:eastAsia="fr-FR"/>
              </w:rPr>
              <w:t>45 000</w:t>
            </w:r>
          </w:p>
        </w:tc>
        <w:tc>
          <w:tcPr>
            <w:tcW w:w="92" w:type="pct"/>
            <w:vMerge/>
            <w:tcBorders>
              <w:top w:val="single" w:sz="8" w:space="0" w:color="auto"/>
              <w:left w:val="nil"/>
              <w:bottom w:val="single" w:sz="8" w:space="0" w:color="auto"/>
              <w:right w:val="single" w:sz="8" w:space="0" w:color="auto"/>
            </w:tcBorders>
            <w:shd w:val="clear" w:color="auto" w:fill="767171" w:themeFill="background2" w:themeFillShade="80"/>
            <w:vAlign w:val="center"/>
            <w:hideMark/>
          </w:tcPr>
          <w:p w:rsidR="007E6147" w:rsidRPr="007E6147" w:rsidRDefault="007E6147" w:rsidP="007E6147">
            <w:pPr>
              <w:spacing w:after="0" w:line="276" w:lineRule="auto"/>
              <w:jc w:val="right"/>
              <w:rPr>
                <w:rFonts w:ascii="Times New Roman" w:eastAsia="Times New Roman" w:hAnsi="Times New Roman" w:cs="Times New Roman"/>
                <w:sz w:val="20"/>
                <w:szCs w:val="24"/>
                <w:lang w:eastAsia="fr-FR"/>
              </w:rPr>
            </w:pPr>
          </w:p>
        </w:tc>
        <w:tc>
          <w:tcPr>
            <w:tcW w:w="62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7E6147" w:rsidRPr="007E6147" w:rsidRDefault="007E6147" w:rsidP="007E6147">
            <w:pPr>
              <w:spacing w:after="0" w:line="276" w:lineRule="auto"/>
              <w:jc w:val="center"/>
              <w:rPr>
                <w:rFonts w:ascii="Times New Roman" w:eastAsia="Calibri" w:hAnsi="Times New Roman" w:cs="Times New Roman"/>
                <w:sz w:val="20"/>
                <w:szCs w:val="24"/>
              </w:rPr>
            </w:pPr>
            <w:r w:rsidRPr="007E6147">
              <w:rPr>
                <w:rFonts w:ascii="Times New Roman" w:eastAsia="Calibri" w:hAnsi="Times New Roman" w:cs="Times New Roman"/>
                <w:sz w:val="20"/>
                <w:szCs w:val="24"/>
              </w:rPr>
              <w:t>2016</w:t>
            </w:r>
          </w:p>
        </w:tc>
        <w:tc>
          <w:tcPr>
            <w:tcW w:w="62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ind w:right="71"/>
              <w:contextualSpacing/>
              <w:jc w:val="right"/>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 xml:space="preserve">41 073 </w:t>
            </w:r>
          </w:p>
        </w:tc>
        <w:tc>
          <w:tcPr>
            <w:tcW w:w="546" w:type="pct"/>
            <w:tcBorders>
              <w:top w:val="nil"/>
              <w:left w:val="nil"/>
              <w:bottom w:val="single" w:sz="8" w:space="0" w:color="auto"/>
              <w:right w:val="single" w:sz="4" w:space="0" w:color="auto"/>
            </w:tcBorders>
            <w:shd w:val="clear" w:color="auto" w:fill="F2F2F2" w:themeFill="background1" w:themeFillShade="F2"/>
          </w:tcPr>
          <w:p w:rsidR="007E6147" w:rsidRPr="007E6147" w:rsidRDefault="007E6147" w:rsidP="007E6147">
            <w:pPr>
              <w:spacing w:after="0" w:line="276" w:lineRule="auto"/>
              <w:ind w:left="431"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 xml:space="preserve">  -</w:t>
            </w:r>
          </w:p>
        </w:tc>
        <w:tc>
          <w:tcPr>
            <w:tcW w:w="622" w:type="pct"/>
            <w:tcBorders>
              <w:top w:val="single" w:sz="8" w:space="0" w:color="auto"/>
              <w:left w:val="single" w:sz="4" w:space="0" w:color="auto"/>
              <w:bottom w:val="single" w:sz="8" w:space="0" w:color="auto"/>
              <w:right w:val="single" w:sz="8" w:space="0" w:color="auto"/>
            </w:tcBorders>
            <w:shd w:val="clear" w:color="auto" w:fill="00B0F0"/>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41 073</w:t>
            </w:r>
          </w:p>
        </w:tc>
        <w:tc>
          <w:tcPr>
            <w:tcW w:w="16" w:type="pct"/>
            <w:tcBorders>
              <w:top w:val="nil"/>
              <w:left w:val="nil"/>
              <w:bottom w:val="nil"/>
              <w:right w:val="nil"/>
            </w:tcBorders>
            <w:shd w:val="clear" w:color="auto" w:fill="auto"/>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r>
      <w:tr w:rsidR="007E6147" w:rsidRPr="007E6147" w:rsidTr="000F5743">
        <w:trPr>
          <w:trHeight w:val="276"/>
        </w:trPr>
        <w:tc>
          <w:tcPr>
            <w:tcW w:w="385" w:type="pct"/>
            <w:tcBorders>
              <w:top w:val="nil"/>
              <w:left w:val="single" w:sz="8" w:space="0" w:color="auto"/>
              <w:bottom w:val="single" w:sz="8" w:space="0" w:color="auto"/>
              <w:right w:val="single" w:sz="8" w:space="0" w:color="auto"/>
            </w:tcBorders>
            <w:vAlign w:val="center"/>
          </w:tcPr>
          <w:p w:rsidR="007E6147" w:rsidRPr="007E6147" w:rsidRDefault="007E6147" w:rsidP="007E6147">
            <w:pPr>
              <w:spacing w:after="0" w:line="276" w:lineRule="auto"/>
              <w:jc w:val="center"/>
              <w:rPr>
                <w:rFonts w:ascii="Times New Roman" w:eastAsia="Calibri" w:hAnsi="Times New Roman" w:cs="Times New Roman"/>
                <w:sz w:val="20"/>
                <w:szCs w:val="24"/>
              </w:rPr>
            </w:pPr>
            <w:r w:rsidRPr="007E6147">
              <w:rPr>
                <w:rFonts w:ascii="Times New Roman" w:eastAsia="Calibri" w:hAnsi="Times New Roman" w:cs="Times New Roman"/>
                <w:sz w:val="20"/>
                <w:szCs w:val="24"/>
              </w:rPr>
              <w:t>2017</w:t>
            </w:r>
          </w:p>
        </w:tc>
        <w:tc>
          <w:tcPr>
            <w:tcW w:w="70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226A71" w:rsidRDefault="007E6147" w:rsidP="007E6147">
            <w:pPr>
              <w:numPr>
                <w:ilvl w:val="0"/>
                <w:numId w:val="26"/>
              </w:numPr>
              <w:spacing w:after="0" w:line="276" w:lineRule="auto"/>
              <w:ind w:right="68"/>
              <w:contextualSpacing/>
              <w:jc w:val="right"/>
              <w:rPr>
                <w:rFonts w:ascii="Times New Roman" w:eastAsia="Times New Roman" w:hAnsi="Times New Roman" w:cs="Times New Roman"/>
                <w:color w:val="000000"/>
                <w:sz w:val="20"/>
                <w:szCs w:val="24"/>
                <w:lang w:eastAsia="fr-FR"/>
              </w:rPr>
            </w:pPr>
          </w:p>
        </w:tc>
        <w:tc>
          <w:tcPr>
            <w:tcW w:w="70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7E6147" w:rsidRPr="007E6147" w:rsidRDefault="007E6147" w:rsidP="007E6147">
            <w:pPr>
              <w:numPr>
                <w:ilvl w:val="0"/>
                <w:numId w:val="26"/>
              </w:numPr>
              <w:spacing w:after="0" w:line="276" w:lineRule="auto"/>
              <w:contextualSpacing/>
              <w:jc w:val="right"/>
              <w:rPr>
                <w:rFonts w:ascii="Times New Roman" w:eastAsia="Times New Roman" w:hAnsi="Times New Roman" w:cs="Times New Roman"/>
                <w:sz w:val="20"/>
                <w:szCs w:val="24"/>
                <w:lang w:eastAsia="fr-FR"/>
              </w:rPr>
            </w:pPr>
          </w:p>
        </w:tc>
        <w:tc>
          <w:tcPr>
            <w:tcW w:w="69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ind w:right="50"/>
              <w:jc w:val="right"/>
              <w:rPr>
                <w:rFonts w:ascii="Times New Roman" w:eastAsia="Times New Roman" w:hAnsi="Times New Roman" w:cs="Times New Roman"/>
                <w:sz w:val="20"/>
                <w:szCs w:val="24"/>
                <w:highlight w:val="yellow"/>
                <w:lang w:eastAsia="fr-FR"/>
              </w:rPr>
            </w:pPr>
          </w:p>
        </w:tc>
        <w:tc>
          <w:tcPr>
            <w:tcW w:w="92" w:type="pct"/>
            <w:vMerge/>
            <w:tcBorders>
              <w:top w:val="single" w:sz="8" w:space="0" w:color="auto"/>
              <w:left w:val="nil"/>
              <w:bottom w:val="single" w:sz="8" w:space="0" w:color="auto"/>
              <w:right w:val="single" w:sz="8" w:space="0" w:color="auto"/>
            </w:tcBorders>
            <w:shd w:val="clear" w:color="auto" w:fill="767171" w:themeFill="background2" w:themeFillShade="80"/>
            <w:vAlign w:val="center"/>
          </w:tcPr>
          <w:p w:rsidR="007E6147" w:rsidRPr="007E6147" w:rsidRDefault="007E6147" w:rsidP="007E6147">
            <w:pPr>
              <w:spacing w:after="0" w:line="276" w:lineRule="auto"/>
              <w:jc w:val="right"/>
              <w:rPr>
                <w:rFonts w:ascii="Times New Roman" w:eastAsia="Times New Roman" w:hAnsi="Times New Roman" w:cs="Times New Roman"/>
                <w:sz w:val="20"/>
                <w:szCs w:val="24"/>
                <w:lang w:eastAsia="fr-FR"/>
              </w:rPr>
            </w:pPr>
          </w:p>
        </w:tc>
        <w:tc>
          <w:tcPr>
            <w:tcW w:w="62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jc w:val="center"/>
              <w:rPr>
                <w:rFonts w:ascii="Times New Roman" w:eastAsia="Calibri" w:hAnsi="Times New Roman" w:cs="Times New Roman"/>
                <w:sz w:val="20"/>
                <w:szCs w:val="24"/>
              </w:rPr>
            </w:pPr>
            <w:r w:rsidRPr="007E6147">
              <w:rPr>
                <w:rFonts w:ascii="Times New Roman" w:eastAsia="Calibri" w:hAnsi="Times New Roman" w:cs="Times New Roman"/>
                <w:sz w:val="20"/>
                <w:szCs w:val="24"/>
              </w:rPr>
              <w:t>2017</w:t>
            </w:r>
          </w:p>
        </w:tc>
        <w:tc>
          <w:tcPr>
            <w:tcW w:w="62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w:t>
            </w:r>
          </w:p>
        </w:tc>
        <w:tc>
          <w:tcPr>
            <w:tcW w:w="546" w:type="pct"/>
            <w:tcBorders>
              <w:top w:val="nil"/>
              <w:left w:val="nil"/>
              <w:bottom w:val="single" w:sz="8" w:space="0" w:color="auto"/>
              <w:right w:val="single" w:sz="4" w:space="0" w:color="auto"/>
            </w:tcBorders>
            <w:shd w:val="clear" w:color="auto" w:fill="F2F2F2" w:themeFill="background1" w:themeFillShade="F2"/>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w:t>
            </w:r>
          </w:p>
        </w:tc>
        <w:tc>
          <w:tcPr>
            <w:tcW w:w="622" w:type="pct"/>
            <w:tcBorders>
              <w:top w:val="single" w:sz="8" w:space="0" w:color="auto"/>
              <w:left w:val="single" w:sz="4" w:space="0" w:color="auto"/>
              <w:bottom w:val="single" w:sz="8" w:space="0" w:color="auto"/>
              <w:right w:val="single" w:sz="8" w:space="0" w:color="auto"/>
            </w:tcBorders>
            <w:shd w:val="clear" w:color="auto" w:fill="00B0F0"/>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r w:rsidRPr="007E6147">
              <w:rPr>
                <w:rFonts w:ascii="Times New Roman" w:eastAsia="Times New Roman" w:hAnsi="Times New Roman" w:cs="Times New Roman"/>
                <w:sz w:val="20"/>
                <w:szCs w:val="24"/>
                <w:lang w:eastAsia="fr-FR"/>
              </w:rPr>
              <w:t>-</w:t>
            </w:r>
          </w:p>
        </w:tc>
        <w:tc>
          <w:tcPr>
            <w:tcW w:w="16" w:type="pct"/>
            <w:tcBorders>
              <w:top w:val="nil"/>
              <w:left w:val="nil"/>
              <w:bottom w:val="nil"/>
              <w:right w:val="nil"/>
            </w:tcBorders>
            <w:shd w:val="clear" w:color="auto" w:fill="auto"/>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r>
      <w:tr w:rsidR="007E6147" w:rsidRPr="007E6147" w:rsidTr="000F5743">
        <w:trPr>
          <w:trHeight w:val="198"/>
        </w:trPr>
        <w:tc>
          <w:tcPr>
            <w:tcW w:w="385" w:type="pct"/>
            <w:tcBorders>
              <w:top w:val="nil"/>
              <w:left w:val="single" w:sz="8" w:space="0" w:color="auto"/>
              <w:bottom w:val="single" w:sz="8" w:space="0" w:color="auto"/>
              <w:right w:val="single" w:sz="8" w:space="0" w:color="auto"/>
            </w:tcBorders>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c>
          <w:tcPr>
            <w:tcW w:w="70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ind w:right="68"/>
              <w:jc w:val="right"/>
              <w:rPr>
                <w:rFonts w:ascii="Times New Roman" w:eastAsia="Times New Roman" w:hAnsi="Times New Roman" w:cs="Times New Roman"/>
                <w:sz w:val="20"/>
                <w:szCs w:val="24"/>
                <w:lang w:eastAsia="fr-FR"/>
              </w:rPr>
            </w:pPr>
          </w:p>
        </w:tc>
        <w:tc>
          <w:tcPr>
            <w:tcW w:w="70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7E6147" w:rsidRPr="007E6147" w:rsidRDefault="007E6147" w:rsidP="007E6147">
            <w:pPr>
              <w:spacing w:after="0" w:line="276" w:lineRule="auto"/>
              <w:jc w:val="right"/>
              <w:rPr>
                <w:rFonts w:ascii="Times New Roman" w:eastAsia="Times New Roman" w:hAnsi="Times New Roman" w:cs="Times New Roman"/>
                <w:sz w:val="20"/>
                <w:szCs w:val="24"/>
                <w:lang w:eastAsia="fr-FR"/>
              </w:rPr>
            </w:pPr>
          </w:p>
        </w:tc>
        <w:tc>
          <w:tcPr>
            <w:tcW w:w="69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ind w:right="50"/>
              <w:jc w:val="right"/>
              <w:rPr>
                <w:rFonts w:ascii="Times New Roman" w:eastAsia="Times New Roman" w:hAnsi="Times New Roman" w:cs="Times New Roman"/>
                <w:sz w:val="20"/>
                <w:szCs w:val="24"/>
                <w:lang w:eastAsia="fr-FR"/>
              </w:rPr>
            </w:pPr>
          </w:p>
        </w:tc>
        <w:tc>
          <w:tcPr>
            <w:tcW w:w="92" w:type="pct"/>
            <w:vMerge/>
            <w:tcBorders>
              <w:top w:val="single" w:sz="8" w:space="0" w:color="auto"/>
              <w:left w:val="nil"/>
              <w:bottom w:val="single" w:sz="8" w:space="0" w:color="auto"/>
              <w:right w:val="single" w:sz="8" w:space="0" w:color="auto"/>
            </w:tcBorders>
            <w:shd w:val="clear" w:color="auto" w:fill="767171" w:themeFill="background2" w:themeFillShade="80"/>
            <w:vAlign w:val="center"/>
            <w:hideMark/>
          </w:tcPr>
          <w:p w:rsidR="007E6147" w:rsidRPr="007E6147" w:rsidRDefault="007E6147" w:rsidP="007E6147">
            <w:pPr>
              <w:spacing w:after="0" w:line="276" w:lineRule="auto"/>
              <w:jc w:val="right"/>
              <w:rPr>
                <w:rFonts w:ascii="Times New Roman" w:eastAsia="Times New Roman" w:hAnsi="Times New Roman" w:cs="Times New Roman"/>
                <w:sz w:val="20"/>
                <w:szCs w:val="24"/>
                <w:lang w:eastAsia="fr-FR"/>
              </w:rPr>
            </w:pPr>
          </w:p>
        </w:tc>
        <w:tc>
          <w:tcPr>
            <w:tcW w:w="62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7E6147" w:rsidRPr="007E6147" w:rsidRDefault="007E6147" w:rsidP="007E6147">
            <w:pPr>
              <w:spacing w:after="0" w:line="276" w:lineRule="auto"/>
              <w:jc w:val="right"/>
              <w:rPr>
                <w:rFonts w:ascii="Times New Roman" w:eastAsia="Times New Roman" w:hAnsi="Times New Roman" w:cs="Times New Roman"/>
                <w:sz w:val="20"/>
                <w:szCs w:val="24"/>
                <w:lang w:eastAsia="fr-FR"/>
              </w:rPr>
            </w:pPr>
          </w:p>
        </w:tc>
        <w:tc>
          <w:tcPr>
            <w:tcW w:w="62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p>
        </w:tc>
        <w:tc>
          <w:tcPr>
            <w:tcW w:w="546" w:type="pct"/>
            <w:tcBorders>
              <w:top w:val="nil"/>
              <w:left w:val="nil"/>
              <w:bottom w:val="single" w:sz="8" w:space="0" w:color="auto"/>
              <w:right w:val="single" w:sz="4" w:space="0" w:color="auto"/>
            </w:tcBorders>
            <w:shd w:val="clear" w:color="auto" w:fill="F2F2F2" w:themeFill="background1" w:themeFillShade="F2"/>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p>
        </w:tc>
        <w:tc>
          <w:tcPr>
            <w:tcW w:w="622" w:type="pct"/>
            <w:tcBorders>
              <w:top w:val="single" w:sz="8" w:space="0" w:color="auto"/>
              <w:left w:val="single" w:sz="4" w:space="0" w:color="auto"/>
              <w:bottom w:val="single" w:sz="8" w:space="0" w:color="auto"/>
              <w:right w:val="single" w:sz="8" w:space="0" w:color="auto"/>
            </w:tcBorders>
            <w:shd w:val="clear" w:color="auto" w:fill="00B0F0"/>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sz w:val="20"/>
                <w:szCs w:val="24"/>
                <w:lang w:eastAsia="fr-FR"/>
              </w:rPr>
            </w:pPr>
          </w:p>
        </w:tc>
        <w:tc>
          <w:tcPr>
            <w:tcW w:w="16" w:type="pct"/>
            <w:tcBorders>
              <w:top w:val="nil"/>
              <w:left w:val="nil"/>
              <w:bottom w:val="nil"/>
              <w:right w:val="nil"/>
            </w:tcBorders>
            <w:shd w:val="clear" w:color="auto" w:fill="auto"/>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r>
      <w:tr w:rsidR="007E6147" w:rsidRPr="007E6147" w:rsidTr="000F5743">
        <w:trPr>
          <w:trHeight w:val="198"/>
        </w:trPr>
        <w:tc>
          <w:tcPr>
            <w:tcW w:w="385" w:type="pct"/>
            <w:tcBorders>
              <w:top w:val="nil"/>
              <w:left w:val="single" w:sz="8" w:space="0" w:color="auto"/>
              <w:bottom w:val="single" w:sz="8" w:space="0" w:color="auto"/>
              <w:right w:val="single" w:sz="8" w:space="0" w:color="auto"/>
            </w:tcBorders>
            <w:vAlign w:val="center"/>
          </w:tcPr>
          <w:p w:rsidR="007E6147" w:rsidRPr="007E6147" w:rsidRDefault="007E6147" w:rsidP="007E6147">
            <w:pPr>
              <w:spacing w:after="0" w:line="276" w:lineRule="auto"/>
              <w:jc w:val="center"/>
              <w:rPr>
                <w:rFonts w:ascii="Times New Roman" w:eastAsia="Times New Roman" w:hAnsi="Times New Roman" w:cs="Times New Roman"/>
                <w:b/>
                <w:sz w:val="20"/>
                <w:szCs w:val="20"/>
                <w:lang w:eastAsia="fr-FR"/>
              </w:rPr>
            </w:pPr>
            <w:r w:rsidRPr="007E6147">
              <w:rPr>
                <w:rFonts w:ascii="Times New Roman" w:eastAsia="Times New Roman" w:hAnsi="Times New Roman" w:cs="Times New Roman"/>
                <w:b/>
                <w:color w:val="000000"/>
                <w:sz w:val="20"/>
                <w:szCs w:val="20"/>
                <w:lang w:eastAsia="fr-FR"/>
              </w:rPr>
              <w:t>Total</w:t>
            </w:r>
          </w:p>
        </w:tc>
        <w:tc>
          <w:tcPr>
            <w:tcW w:w="70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ind w:right="68"/>
              <w:jc w:val="right"/>
              <w:rPr>
                <w:rFonts w:ascii="Times New Roman" w:eastAsia="Times New Roman" w:hAnsi="Times New Roman" w:cs="Times New Roman"/>
                <w:b/>
                <w:sz w:val="20"/>
                <w:szCs w:val="20"/>
                <w:lang w:eastAsia="fr-FR"/>
              </w:rPr>
            </w:pPr>
            <w:r w:rsidRPr="007E6147">
              <w:rPr>
                <w:rFonts w:ascii="Times New Roman" w:hAnsi="Times New Roman" w:cs="Times New Roman"/>
                <w:b/>
                <w:sz w:val="20"/>
                <w:szCs w:val="20"/>
              </w:rPr>
              <w:t>719 500</w:t>
            </w:r>
          </w:p>
        </w:tc>
        <w:tc>
          <w:tcPr>
            <w:tcW w:w="70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7E6147" w:rsidRPr="007E6147" w:rsidRDefault="007E6147" w:rsidP="007E6147">
            <w:pPr>
              <w:spacing w:after="0" w:line="276" w:lineRule="auto"/>
              <w:jc w:val="right"/>
              <w:rPr>
                <w:rFonts w:ascii="Times New Roman" w:eastAsia="Times New Roman" w:hAnsi="Times New Roman" w:cs="Times New Roman"/>
                <w:b/>
                <w:sz w:val="20"/>
                <w:szCs w:val="20"/>
                <w:lang w:eastAsia="fr-FR"/>
              </w:rPr>
            </w:pPr>
          </w:p>
        </w:tc>
        <w:tc>
          <w:tcPr>
            <w:tcW w:w="69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ind w:right="50"/>
              <w:jc w:val="right"/>
              <w:rPr>
                <w:rFonts w:ascii="Times New Roman" w:eastAsia="Times New Roman" w:hAnsi="Times New Roman" w:cs="Times New Roman"/>
                <w:b/>
                <w:sz w:val="20"/>
                <w:szCs w:val="20"/>
                <w:lang w:eastAsia="fr-FR"/>
              </w:rPr>
            </w:pPr>
            <w:r w:rsidRPr="007E6147">
              <w:rPr>
                <w:rFonts w:ascii="Times New Roman" w:hAnsi="Times New Roman" w:cs="Times New Roman"/>
                <w:b/>
                <w:sz w:val="20"/>
                <w:szCs w:val="20"/>
              </w:rPr>
              <w:t>719 500</w:t>
            </w:r>
          </w:p>
        </w:tc>
        <w:tc>
          <w:tcPr>
            <w:tcW w:w="92" w:type="pct"/>
            <w:vMerge/>
            <w:tcBorders>
              <w:top w:val="single" w:sz="8" w:space="0" w:color="auto"/>
              <w:left w:val="nil"/>
              <w:bottom w:val="single" w:sz="8" w:space="0" w:color="auto"/>
              <w:right w:val="single" w:sz="8" w:space="0" w:color="auto"/>
            </w:tcBorders>
            <w:shd w:val="clear" w:color="auto" w:fill="767171" w:themeFill="background2" w:themeFillShade="80"/>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0"/>
                <w:lang w:eastAsia="fr-FR"/>
              </w:rPr>
            </w:pPr>
          </w:p>
        </w:tc>
        <w:tc>
          <w:tcPr>
            <w:tcW w:w="62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0"/>
                <w:lang w:eastAsia="fr-FR"/>
              </w:rPr>
            </w:pPr>
            <w:r w:rsidRPr="007E6147">
              <w:rPr>
                <w:rFonts w:ascii="Times New Roman" w:eastAsia="Times New Roman" w:hAnsi="Times New Roman" w:cs="Times New Roman"/>
                <w:b/>
                <w:bCs/>
                <w:sz w:val="20"/>
                <w:szCs w:val="20"/>
                <w:lang w:eastAsia="fr-FR"/>
              </w:rPr>
              <w:t>Total</w:t>
            </w:r>
          </w:p>
        </w:tc>
        <w:tc>
          <w:tcPr>
            <w:tcW w:w="62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b/>
                <w:sz w:val="20"/>
                <w:szCs w:val="20"/>
                <w:lang w:eastAsia="fr-FR"/>
              </w:rPr>
            </w:pPr>
            <w:r w:rsidRPr="007E6147">
              <w:rPr>
                <w:rFonts w:ascii="Times New Roman" w:hAnsi="Times New Roman" w:cs="Times New Roman"/>
                <w:b/>
                <w:sz w:val="20"/>
                <w:szCs w:val="20"/>
              </w:rPr>
              <w:t>469 814</w:t>
            </w:r>
          </w:p>
        </w:tc>
        <w:tc>
          <w:tcPr>
            <w:tcW w:w="546" w:type="pct"/>
            <w:tcBorders>
              <w:top w:val="nil"/>
              <w:left w:val="nil"/>
              <w:bottom w:val="single" w:sz="8" w:space="0" w:color="auto"/>
              <w:right w:val="single" w:sz="4" w:space="0" w:color="auto"/>
            </w:tcBorders>
            <w:shd w:val="clear" w:color="auto" w:fill="F2F2F2" w:themeFill="background1" w:themeFillShade="F2"/>
            <w:vAlign w:val="center"/>
          </w:tcPr>
          <w:p w:rsidR="007E6147" w:rsidRPr="007E6147" w:rsidRDefault="007E6147" w:rsidP="007E6147">
            <w:pPr>
              <w:spacing w:after="0" w:line="276" w:lineRule="auto"/>
              <w:ind w:right="71"/>
              <w:jc w:val="right"/>
              <w:rPr>
                <w:rFonts w:ascii="Times New Roman" w:eastAsia="Times New Roman" w:hAnsi="Times New Roman" w:cs="Times New Roman"/>
                <w:b/>
                <w:sz w:val="20"/>
                <w:szCs w:val="20"/>
                <w:lang w:eastAsia="fr-FR"/>
              </w:rPr>
            </w:pPr>
          </w:p>
        </w:tc>
        <w:tc>
          <w:tcPr>
            <w:tcW w:w="622" w:type="pct"/>
            <w:tcBorders>
              <w:top w:val="single" w:sz="8" w:space="0" w:color="auto"/>
              <w:left w:val="single" w:sz="4" w:space="0" w:color="auto"/>
              <w:bottom w:val="single" w:sz="8" w:space="0" w:color="auto"/>
              <w:right w:val="single" w:sz="8" w:space="0" w:color="auto"/>
            </w:tcBorders>
            <w:shd w:val="clear" w:color="auto" w:fill="00B0F0"/>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b/>
                <w:sz w:val="20"/>
                <w:szCs w:val="20"/>
                <w:lang w:eastAsia="fr-FR"/>
              </w:rPr>
            </w:pPr>
            <w:r w:rsidRPr="007E6147">
              <w:rPr>
                <w:rFonts w:ascii="Times New Roman" w:hAnsi="Times New Roman" w:cs="Times New Roman"/>
                <w:b/>
                <w:sz w:val="20"/>
                <w:szCs w:val="20"/>
              </w:rPr>
              <w:t>469 814</w:t>
            </w:r>
          </w:p>
        </w:tc>
        <w:tc>
          <w:tcPr>
            <w:tcW w:w="16" w:type="pct"/>
            <w:tcBorders>
              <w:top w:val="nil"/>
              <w:left w:val="nil"/>
              <w:bottom w:val="nil"/>
              <w:right w:val="nil"/>
            </w:tcBorders>
            <w:shd w:val="clear" w:color="auto" w:fill="auto"/>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r>
      <w:tr w:rsidR="007E6147" w:rsidRPr="007E6147" w:rsidTr="000F5743">
        <w:trPr>
          <w:trHeight w:val="198"/>
        </w:trPr>
        <w:tc>
          <w:tcPr>
            <w:tcW w:w="385" w:type="pct"/>
            <w:tcBorders>
              <w:top w:val="nil"/>
              <w:left w:val="single" w:sz="8" w:space="0" w:color="auto"/>
              <w:bottom w:val="single" w:sz="8" w:space="0" w:color="auto"/>
              <w:right w:val="single" w:sz="8" w:space="0" w:color="auto"/>
            </w:tcBorders>
            <w:vAlign w:val="center"/>
          </w:tcPr>
          <w:p w:rsidR="007E6147" w:rsidRPr="007E6147" w:rsidRDefault="007E6147" w:rsidP="007E6147">
            <w:pPr>
              <w:spacing w:after="0" w:line="276" w:lineRule="auto"/>
              <w:jc w:val="center"/>
              <w:rPr>
                <w:rFonts w:ascii="Times New Roman" w:eastAsia="Times New Roman" w:hAnsi="Times New Roman" w:cs="Times New Roman"/>
                <w:b/>
                <w:color w:val="000000"/>
                <w:sz w:val="20"/>
                <w:szCs w:val="20"/>
                <w:lang w:eastAsia="fr-FR"/>
              </w:rPr>
            </w:pPr>
          </w:p>
        </w:tc>
        <w:tc>
          <w:tcPr>
            <w:tcW w:w="70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jc w:val="center"/>
              <w:rPr>
                <w:rFonts w:ascii="Times New Roman" w:hAnsi="Times New Roman" w:cs="Times New Roman"/>
                <w:b/>
                <w:sz w:val="20"/>
                <w:szCs w:val="20"/>
              </w:rPr>
            </w:pPr>
          </w:p>
        </w:tc>
        <w:tc>
          <w:tcPr>
            <w:tcW w:w="70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rsidR="007E6147" w:rsidRPr="007E6147" w:rsidRDefault="007E6147" w:rsidP="007E6147">
            <w:pPr>
              <w:spacing w:after="0" w:line="276" w:lineRule="auto"/>
              <w:jc w:val="center"/>
              <w:rPr>
                <w:rFonts w:ascii="Times New Roman" w:eastAsia="Times New Roman" w:hAnsi="Times New Roman" w:cs="Times New Roman"/>
                <w:b/>
                <w:sz w:val="20"/>
                <w:szCs w:val="20"/>
                <w:lang w:eastAsia="fr-FR"/>
              </w:rPr>
            </w:pPr>
          </w:p>
        </w:tc>
        <w:tc>
          <w:tcPr>
            <w:tcW w:w="69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jc w:val="center"/>
              <w:rPr>
                <w:rFonts w:ascii="Times New Roman" w:hAnsi="Times New Roman" w:cs="Times New Roman"/>
                <w:b/>
                <w:sz w:val="20"/>
                <w:szCs w:val="20"/>
              </w:rPr>
            </w:pPr>
          </w:p>
        </w:tc>
        <w:tc>
          <w:tcPr>
            <w:tcW w:w="92" w:type="pct"/>
            <w:tcBorders>
              <w:top w:val="single" w:sz="8" w:space="0" w:color="auto"/>
              <w:left w:val="nil"/>
              <w:bottom w:val="single" w:sz="8" w:space="0" w:color="auto"/>
              <w:right w:val="single" w:sz="8" w:space="0" w:color="auto"/>
            </w:tcBorders>
            <w:shd w:val="clear" w:color="auto" w:fill="767171" w:themeFill="background2" w:themeFillShade="80"/>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0"/>
                <w:lang w:eastAsia="fr-FR"/>
              </w:rPr>
            </w:pPr>
          </w:p>
        </w:tc>
        <w:tc>
          <w:tcPr>
            <w:tcW w:w="62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0"/>
                <w:lang w:eastAsia="fr-FR"/>
              </w:rPr>
            </w:pPr>
            <w:r w:rsidRPr="007E6147">
              <w:rPr>
                <w:rFonts w:ascii="Times New Roman" w:eastAsia="Times New Roman" w:hAnsi="Times New Roman" w:cs="Times New Roman"/>
                <w:b/>
                <w:bCs/>
                <w:sz w:val="20"/>
                <w:szCs w:val="20"/>
                <w:lang w:eastAsia="fr-FR"/>
              </w:rPr>
              <w:t xml:space="preserve">% Budget </w:t>
            </w:r>
          </w:p>
        </w:tc>
        <w:tc>
          <w:tcPr>
            <w:tcW w:w="62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226A71" w:rsidRDefault="007E6147" w:rsidP="007E6147">
            <w:pPr>
              <w:spacing w:after="0" w:line="276" w:lineRule="auto"/>
              <w:ind w:right="71"/>
              <w:jc w:val="right"/>
              <w:rPr>
                <w:rFonts w:ascii="Times New Roman" w:eastAsia="Times New Roman" w:hAnsi="Times New Roman" w:cs="Times New Roman"/>
                <w:b/>
                <w:sz w:val="20"/>
                <w:szCs w:val="20"/>
                <w:lang w:eastAsia="fr-FR"/>
              </w:rPr>
            </w:pPr>
            <w:r w:rsidRPr="00226A71">
              <w:rPr>
                <w:rFonts w:ascii="Times New Roman" w:eastAsia="Times New Roman" w:hAnsi="Times New Roman" w:cs="Times New Roman"/>
                <w:b/>
                <w:sz w:val="20"/>
                <w:szCs w:val="20"/>
                <w:lang w:eastAsia="fr-FR"/>
              </w:rPr>
              <w:t>65,29</w:t>
            </w:r>
          </w:p>
        </w:tc>
        <w:tc>
          <w:tcPr>
            <w:tcW w:w="546" w:type="pct"/>
            <w:tcBorders>
              <w:top w:val="nil"/>
              <w:left w:val="nil"/>
              <w:bottom w:val="single" w:sz="8" w:space="0" w:color="auto"/>
              <w:right w:val="single" w:sz="4" w:space="0" w:color="auto"/>
            </w:tcBorders>
            <w:shd w:val="clear" w:color="auto" w:fill="F2F2F2" w:themeFill="background1" w:themeFillShade="F2"/>
            <w:vAlign w:val="center"/>
          </w:tcPr>
          <w:p w:rsidR="007E6147" w:rsidRPr="007E6147" w:rsidRDefault="007E6147" w:rsidP="007E6147">
            <w:pPr>
              <w:spacing w:after="0" w:line="276" w:lineRule="auto"/>
              <w:ind w:right="71"/>
              <w:jc w:val="right"/>
              <w:rPr>
                <w:rFonts w:ascii="Times New Roman" w:eastAsia="Times New Roman" w:hAnsi="Times New Roman" w:cs="Times New Roman"/>
                <w:b/>
                <w:sz w:val="20"/>
                <w:szCs w:val="20"/>
                <w:lang w:eastAsia="fr-FR"/>
              </w:rPr>
            </w:pPr>
          </w:p>
        </w:tc>
        <w:tc>
          <w:tcPr>
            <w:tcW w:w="622" w:type="pct"/>
            <w:tcBorders>
              <w:top w:val="single" w:sz="8" w:space="0" w:color="auto"/>
              <w:left w:val="single" w:sz="4" w:space="0" w:color="auto"/>
              <w:bottom w:val="single" w:sz="8" w:space="0" w:color="auto"/>
              <w:right w:val="single" w:sz="8" w:space="0" w:color="auto"/>
            </w:tcBorders>
            <w:shd w:val="clear" w:color="auto" w:fill="00B0F0"/>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hAnsi="Times New Roman" w:cs="Times New Roman"/>
                <w:b/>
                <w:sz w:val="20"/>
                <w:szCs w:val="20"/>
              </w:rPr>
            </w:pPr>
          </w:p>
        </w:tc>
        <w:tc>
          <w:tcPr>
            <w:tcW w:w="16" w:type="pct"/>
            <w:tcBorders>
              <w:top w:val="nil"/>
              <w:left w:val="nil"/>
              <w:bottom w:val="nil"/>
              <w:right w:val="nil"/>
            </w:tcBorders>
            <w:shd w:val="clear" w:color="auto" w:fill="auto"/>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r>
      <w:tr w:rsidR="007E6147" w:rsidRPr="007E6147" w:rsidTr="000F5743">
        <w:trPr>
          <w:trHeight w:val="46"/>
        </w:trPr>
        <w:tc>
          <w:tcPr>
            <w:tcW w:w="385" w:type="pct"/>
            <w:tcBorders>
              <w:top w:val="nil"/>
              <w:left w:val="single" w:sz="8" w:space="0" w:color="auto"/>
              <w:bottom w:val="single" w:sz="8" w:space="0" w:color="auto"/>
              <w:right w:val="single" w:sz="8" w:space="0" w:color="auto"/>
            </w:tcBorders>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0"/>
                <w:lang w:eastAsia="fr-FR"/>
              </w:rPr>
            </w:pPr>
          </w:p>
        </w:tc>
        <w:tc>
          <w:tcPr>
            <w:tcW w:w="70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7E6147" w:rsidRDefault="007E6147" w:rsidP="007E6147">
            <w:pPr>
              <w:spacing w:after="0" w:line="276" w:lineRule="auto"/>
              <w:jc w:val="center"/>
              <w:rPr>
                <w:rFonts w:ascii="Times New Roman" w:eastAsia="Times New Roman" w:hAnsi="Times New Roman" w:cs="Times New Roman"/>
                <w:sz w:val="20"/>
                <w:szCs w:val="20"/>
                <w:lang w:eastAsia="fr-FR"/>
              </w:rPr>
            </w:pPr>
          </w:p>
        </w:tc>
        <w:tc>
          <w:tcPr>
            <w:tcW w:w="702" w:type="pct"/>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0"/>
                <w:lang w:eastAsia="fr-FR"/>
              </w:rPr>
            </w:pPr>
          </w:p>
        </w:tc>
        <w:tc>
          <w:tcPr>
            <w:tcW w:w="69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0"/>
                <w:lang w:eastAsia="fr-FR"/>
              </w:rPr>
            </w:pPr>
          </w:p>
        </w:tc>
        <w:tc>
          <w:tcPr>
            <w:tcW w:w="92" w:type="pct"/>
            <w:tcBorders>
              <w:top w:val="nil"/>
              <w:left w:val="nil"/>
              <w:bottom w:val="single" w:sz="8" w:space="0" w:color="auto"/>
              <w:right w:val="single" w:sz="8" w:space="0" w:color="auto"/>
            </w:tcBorders>
            <w:shd w:val="clear" w:color="auto" w:fill="767171" w:themeFill="background2" w:themeFillShade="80"/>
            <w:noWrap/>
            <w:tcMar>
              <w:top w:w="0" w:type="dxa"/>
              <w:left w:w="70" w:type="dxa"/>
              <w:bottom w:w="0" w:type="dxa"/>
              <w:right w:w="70" w:type="dxa"/>
            </w:tcMar>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0"/>
                <w:lang w:eastAsia="fr-FR"/>
              </w:rPr>
            </w:pPr>
          </w:p>
        </w:tc>
        <w:tc>
          <w:tcPr>
            <w:tcW w:w="620"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7E6147" w:rsidRPr="007E6147" w:rsidRDefault="007E6147" w:rsidP="007E6147">
            <w:pPr>
              <w:spacing w:after="0" w:line="276" w:lineRule="auto"/>
              <w:rPr>
                <w:rFonts w:ascii="Times New Roman" w:eastAsia="Times New Roman" w:hAnsi="Times New Roman" w:cs="Times New Roman"/>
                <w:sz w:val="20"/>
                <w:szCs w:val="20"/>
                <w:lang w:eastAsia="fr-FR"/>
              </w:rPr>
            </w:pPr>
            <w:r w:rsidRPr="007E6147">
              <w:rPr>
                <w:rFonts w:ascii="Times New Roman" w:eastAsia="Times New Roman" w:hAnsi="Times New Roman" w:cs="Times New Roman"/>
                <w:b/>
                <w:bCs/>
                <w:sz w:val="20"/>
                <w:szCs w:val="20"/>
                <w:lang w:eastAsia="fr-FR"/>
              </w:rPr>
              <w:t>Gap (US$)</w:t>
            </w:r>
          </w:p>
        </w:tc>
        <w:tc>
          <w:tcPr>
            <w:tcW w:w="62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7E6147" w:rsidRPr="00226A71" w:rsidRDefault="007E6147" w:rsidP="007E6147">
            <w:pPr>
              <w:spacing w:after="0" w:line="276" w:lineRule="auto"/>
              <w:ind w:right="71"/>
              <w:jc w:val="right"/>
              <w:rPr>
                <w:rFonts w:ascii="Times New Roman" w:eastAsia="Times New Roman" w:hAnsi="Times New Roman" w:cs="Times New Roman"/>
                <w:b/>
                <w:sz w:val="20"/>
                <w:szCs w:val="20"/>
                <w:lang w:eastAsia="fr-FR"/>
              </w:rPr>
            </w:pPr>
            <w:r w:rsidRPr="00226A71">
              <w:rPr>
                <w:rFonts w:ascii="Times New Roman" w:eastAsia="Times New Roman" w:hAnsi="Times New Roman" w:cs="Times New Roman"/>
                <w:b/>
                <w:sz w:val="20"/>
                <w:szCs w:val="20"/>
                <w:lang w:eastAsia="fr-FR"/>
              </w:rPr>
              <w:t xml:space="preserve">249 686 </w:t>
            </w:r>
          </w:p>
        </w:tc>
        <w:tc>
          <w:tcPr>
            <w:tcW w:w="546" w:type="pct"/>
            <w:tcBorders>
              <w:top w:val="nil"/>
              <w:left w:val="nil"/>
              <w:bottom w:val="single" w:sz="8" w:space="0" w:color="auto"/>
              <w:right w:val="single" w:sz="4" w:space="0" w:color="auto"/>
            </w:tcBorders>
            <w:shd w:val="clear" w:color="auto" w:fill="F2F2F2" w:themeFill="background1" w:themeFillShade="F2"/>
            <w:vAlign w:val="center"/>
          </w:tcPr>
          <w:p w:rsidR="007E6147" w:rsidRPr="007E6147" w:rsidRDefault="007E6147" w:rsidP="007E6147">
            <w:pPr>
              <w:spacing w:after="0" w:line="276" w:lineRule="auto"/>
              <w:ind w:right="71"/>
              <w:jc w:val="right"/>
              <w:rPr>
                <w:rFonts w:ascii="Times New Roman" w:eastAsia="Times New Roman" w:hAnsi="Times New Roman" w:cs="Times New Roman"/>
                <w:b/>
                <w:sz w:val="20"/>
                <w:szCs w:val="20"/>
                <w:lang w:eastAsia="fr-FR"/>
              </w:rPr>
            </w:pPr>
          </w:p>
        </w:tc>
        <w:tc>
          <w:tcPr>
            <w:tcW w:w="622" w:type="pct"/>
            <w:tcBorders>
              <w:top w:val="single" w:sz="8" w:space="0" w:color="auto"/>
              <w:left w:val="single" w:sz="4" w:space="0" w:color="auto"/>
              <w:bottom w:val="single" w:sz="8" w:space="0" w:color="auto"/>
              <w:right w:val="single" w:sz="8" w:space="0" w:color="auto"/>
            </w:tcBorders>
            <w:shd w:val="clear" w:color="auto" w:fill="00B0F0"/>
            <w:noWrap/>
            <w:tcMar>
              <w:top w:w="0" w:type="dxa"/>
              <w:left w:w="70" w:type="dxa"/>
              <w:bottom w:w="0" w:type="dxa"/>
              <w:right w:w="70" w:type="dxa"/>
            </w:tcMar>
            <w:vAlign w:val="center"/>
          </w:tcPr>
          <w:p w:rsidR="007E6147" w:rsidRPr="007E6147" w:rsidRDefault="007E6147" w:rsidP="007E6147">
            <w:pPr>
              <w:spacing w:after="0" w:line="276" w:lineRule="auto"/>
              <w:ind w:right="71"/>
              <w:jc w:val="right"/>
              <w:rPr>
                <w:rFonts w:ascii="Times New Roman" w:eastAsia="Times New Roman" w:hAnsi="Times New Roman" w:cs="Times New Roman"/>
                <w:b/>
                <w:sz w:val="20"/>
                <w:szCs w:val="20"/>
                <w:lang w:eastAsia="fr-FR"/>
              </w:rPr>
            </w:pPr>
          </w:p>
        </w:tc>
        <w:tc>
          <w:tcPr>
            <w:tcW w:w="16" w:type="pct"/>
            <w:tcBorders>
              <w:top w:val="nil"/>
              <w:left w:val="nil"/>
              <w:bottom w:val="nil"/>
              <w:right w:val="nil"/>
            </w:tcBorders>
            <w:shd w:val="clear" w:color="auto" w:fill="auto"/>
            <w:vAlign w:val="center"/>
            <w:hideMark/>
          </w:tcPr>
          <w:p w:rsidR="007E6147" w:rsidRPr="007E6147" w:rsidRDefault="007E6147" w:rsidP="007E6147">
            <w:pPr>
              <w:spacing w:after="0" w:line="276" w:lineRule="auto"/>
              <w:jc w:val="center"/>
              <w:rPr>
                <w:rFonts w:ascii="Times New Roman" w:eastAsia="Times New Roman" w:hAnsi="Times New Roman" w:cs="Times New Roman"/>
                <w:sz w:val="20"/>
                <w:szCs w:val="24"/>
                <w:lang w:eastAsia="fr-FR"/>
              </w:rPr>
            </w:pPr>
          </w:p>
        </w:tc>
      </w:tr>
    </w:tbl>
    <w:p w:rsidR="000F5743" w:rsidRDefault="000F5743" w:rsidP="000F5743">
      <w:pPr>
        <w:pStyle w:val="Paragraphedeliste"/>
        <w:spacing w:before="240" w:line="276" w:lineRule="auto"/>
        <w:ind w:left="0"/>
        <w:jc w:val="center"/>
        <w:rPr>
          <w:rFonts w:ascii="Times New Roman" w:hAnsi="Times New Roman" w:cs="Times New Roman"/>
          <w:b/>
          <w:bCs/>
          <w:sz w:val="24"/>
          <w:szCs w:val="24"/>
        </w:rPr>
      </w:pPr>
      <w:bookmarkStart w:id="44" w:name="_Toc500352819"/>
      <w:r w:rsidRPr="000F5743">
        <w:rPr>
          <w:rFonts w:ascii="Times New Roman" w:hAnsi="Times New Roman" w:cs="Times New Roman"/>
          <w:b/>
          <w:bCs/>
          <w:sz w:val="24"/>
          <w:szCs w:val="24"/>
        </w:rPr>
        <w:t>Tableau</w:t>
      </w:r>
      <w:r w:rsidRPr="000F5743">
        <w:rPr>
          <w:rFonts w:ascii="Times New Roman" w:hAnsi="Times New Roman" w:cs="Times New Roman"/>
          <w:iCs/>
          <w:sz w:val="24"/>
          <w:szCs w:val="24"/>
        </w:rPr>
        <w:t xml:space="preserve"> </w:t>
      </w:r>
      <w:r w:rsidRPr="000F5743">
        <w:rPr>
          <w:rFonts w:ascii="Times New Roman" w:hAnsi="Times New Roman" w:cs="Times New Roman"/>
          <w:iCs/>
          <w:sz w:val="24"/>
          <w:szCs w:val="24"/>
        </w:rPr>
        <w:fldChar w:fldCharType="begin"/>
      </w:r>
      <w:r w:rsidRPr="000F5743">
        <w:rPr>
          <w:rFonts w:ascii="Times New Roman" w:hAnsi="Times New Roman" w:cs="Times New Roman"/>
          <w:iCs/>
          <w:sz w:val="24"/>
          <w:szCs w:val="24"/>
        </w:rPr>
        <w:instrText xml:space="preserve"> SEQ Tableau \* ARABIC </w:instrText>
      </w:r>
      <w:r w:rsidRPr="000F5743">
        <w:rPr>
          <w:rFonts w:ascii="Times New Roman" w:hAnsi="Times New Roman" w:cs="Times New Roman"/>
          <w:iCs/>
          <w:sz w:val="24"/>
          <w:szCs w:val="24"/>
        </w:rPr>
        <w:fldChar w:fldCharType="separate"/>
      </w:r>
      <w:r w:rsidR="002B1D0F">
        <w:rPr>
          <w:rFonts w:ascii="Times New Roman" w:hAnsi="Times New Roman" w:cs="Times New Roman"/>
          <w:iCs/>
          <w:noProof/>
          <w:sz w:val="24"/>
          <w:szCs w:val="24"/>
        </w:rPr>
        <w:t>5</w:t>
      </w:r>
      <w:r w:rsidRPr="000F5743">
        <w:rPr>
          <w:rFonts w:ascii="Times New Roman" w:hAnsi="Times New Roman" w:cs="Times New Roman"/>
          <w:iCs/>
          <w:sz w:val="24"/>
          <w:szCs w:val="24"/>
        </w:rPr>
        <w:fldChar w:fldCharType="end"/>
      </w:r>
      <w:r w:rsidRPr="000F5743">
        <w:rPr>
          <w:rFonts w:ascii="Times New Roman" w:hAnsi="Times New Roman" w:cs="Times New Roman"/>
          <w:iCs/>
          <w:sz w:val="24"/>
          <w:szCs w:val="24"/>
        </w:rPr>
        <w:t xml:space="preserve"> : Récapitulatif du budget et des dépenses</w:t>
      </w:r>
      <w:bookmarkEnd w:id="44"/>
      <w:r>
        <w:rPr>
          <w:rFonts w:ascii="Times New Roman" w:hAnsi="Times New Roman" w:cs="Times New Roman"/>
          <w:b/>
          <w:bCs/>
          <w:sz w:val="24"/>
          <w:szCs w:val="24"/>
        </w:rPr>
        <w:t xml:space="preserve"> </w:t>
      </w:r>
      <w:r>
        <w:rPr>
          <w:rFonts w:ascii="Times New Roman" w:hAnsi="Times New Roman" w:cs="Times New Roman"/>
          <w:b/>
          <w:bCs/>
          <w:sz w:val="24"/>
          <w:szCs w:val="24"/>
        </w:rPr>
        <w:br w:type="page"/>
      </w:r>
    </w:p>
    <w:p w:rsidR="001674FB" w:rsidRPr="00100CA7" w:rsidRDefault="0054472A" w:rsidP="00100CA7">
      <w:pPr>
        <w:pStyle w:val="Paragraphedeliste"/>
        <w:spacing w:line="276" w:lineRule="auto"/>
        <w:jc w:val="both"/>
        <w:outlineLvl w:val="1"/>
        <w:rPr>
          <w:rFonts w:ascii="Times New Roman" w:hAnsi="Times New Roman" w:cs="Times New Roman"/>
          <w:b/>
          <w:bCs/>
          <w:sz w:val="24"/>
          <w:szCs w:val="24"/>
        </w:rPr>
      </w:pPr>
      <w:bookmarkStart w:id="45" w:name="_Toc500352730"/>
      <w:r>
        <w:rPr>
          <w:rFonts w:ascii="Times New Roman" w:hAnsi="Times New Roman" w:cs="Times New Roman"/>
          <w:b/>
          <w:bCs/>
          <w:sz w:val="24"/>
          <w:szCs w:val="24"/>
        </w:rPr>
        <w:lastRenderedPageBreak/>
        <w:t>3.3</w:t>
      </w:r>
      <w:r w:rsidR="00720FA2" w:rsidRPr="00100CA7">
        <w:rPr>
          <w:rFonts w:ascii="Times New Roman" w:hAnsi="Times New Roman" w:cs="Times New Roman"/>
          <w:b/>
          <w:bCs/>
          <w:sz w:val="24"/>
          <w:szCs w:val="24"/>
        </w:rPr>
        <w:t>.</w:t>
      </w:r>
      <w:r w:rsidR="001674FB" w:rsidRPr="00100CA7">
        <w:rPr>
          <w:rFonts w:ascii="Times New Roman" w:hAnsi="Times New Roman" w:cs="Times New Roman"/>
          <w:b/>
          <w:bCs/>
          <w:sz w:val="24"/>
          <w:szCs w:val="24"/>
        </w:rPr>
        <w:t xml:space="preserve"> Modifications intervenues</w:t>
      </w:r>
      <w:r w:rsidR="00D450E9" w:rsidRPr="00100CA7">
        <w:rPr>
          <w:rFonts w:ascii="Times New Roman" w:hAnsi="Times New Roman" w:cs="Times New Roman"/>
          <w:b/>
          <w:bCs/>
          <w:sz w:val="24"/>
          <w:szCs w:val="24"/>
        </w:rPr>
        <w:t xml:space="preserve"> au cours de la mise en œuvre</w:t>
      </w:r>
      <w:bookmarkEnd w:id="45"/>
      <w:r w:rsidR="00D450E9" w:rsidRPr="00100CA7">
        <w:rPr>
          <w:rFonts w:ascii="Times New Roman" w:hAnsi="Times New Roman" w:cs="Times New Roman"/>
          <w:b/>
          <w:bCs/>
          <w:sz w:val="24"/>
          <w:szCs w:val="24"/>
        </w:rPr>
        <w:t xml:space="preserve"> </w:t>
      </w:r>
    </w:p>
    <w:p w:rsidR="0063507B" w:rsidRPr="00100CA7" w:rsidRDefault="00900454" w:rsidP="00100CA7">
      <w:pPr>
        <w:spacing w:line="276" w:lineRule="auto"/>
        <w:jc w:val="both"/>
        <w:rPr>
          <w:rFonts w:ascii="Times New Roman" w:hAnsi="Times New Roman" w:cs="Times New Roman"/>
          <w:bCs/>
          <w:sz w:val="24"/>
          <w:szCs w:val="24"/>
        </w:rPr>
      </w:pPr>
      <w:r w:rsidRPr="00100CA7">
        <w:rPr>
          <w:rFonts w:ascii="Times New Roman" w:hAnsi="Times New Roman" w:cs="Times New Roman"/>
          <w:bCs/>
          <w:sz w:val="24"/>
          <w:szCs w:val="24"/>
        </w:rPr>
        <w:t xml:space="preserve">Il est d’usage de noter des contraintes entre la date de signature et celle de démarrage effectif d’un projet comme celui qui nous concerne en termes de suivi-évaluation et de coordination : </w:t>
      </w:r>
    </w:p>
    <w:p w:rsidR="001674FB" w:rsidRPr="00100CA7" w:rsidRDefault="001674FB" w:rsidP="00100CA7">
      <w:pPr>
        <w:pStyle w:val="Titre3"/>
        <w:spacing w:after="240" w:line="276" w:lineRule="auto"/>
        <w:jc w:val="both"/>
        <w:rPr>
          <w:rFonts w:ascii="Times New Roman" w:hAnsi="Times New Roman" w:cs="Times New Roman"/>
          <w:b/>
          <w:bCs/>
          <w:color w:val="auto"/>
        </w:rPr>
      </w:pPr>
      <w:bookmarkStart w:id="46" w:name="_Toc500352731"/>
      <w:r w:rsidRPr="00100CA7">
        <w:rPr>
          <w:rFonts w:ascii="Times New Roman" w:hAnsi="Times New Roman" w:cs="Times New Roman"/>
          <w:b/>
          <w:bCs/>
          <w:color w:val="auto"/>
        </w:rPr>
        <w:t>Suivi et évaluation : conception à l’entrée et mise en œu</w:t>
      </w:r>
      <w:r w:rsidR="00D450E9" w:rsidRPr="00100CA7">
        <w:rPr>
          <w:rFonts w:ascii="Times New Roman" w:hAnsi="Times New Roman" w:cs="Times New Roman"/>
          <w:b/>
          <w:bCs/>
          <w:color w:val="auto"/>
        </w:rPr>
        <w:t>vre</w:t>
      </w:r>
      <w:bookmarkEnd w:id="46"/>
      <w:r w:rsidR="00D450E9" w:rsidRPr="00100CA7">
        <w:rPr>
          <w:rFonts w:ascii="Times New Roman" w:hAnsi="Times New Roman" w:cs="Times New Roman"/>
          <w:b/>
          <w:bCs/>
          <w:color w:val="auto"/>
        </w:rPr>
        <w:t xml:space="preserve"> </w:t>
      </w:r>
    </w:p>
    <w:p w:rsidR="0063507B" w:rsidRPr="00100CA7" w:rsidRDefault="0063507B" w:rsidP="00100CA7">
      <w:pPr>
        <w:spacing w:line="276" w:lineRule="auto"/>
        <w:jc w:val="both"/>
        <w:rPr>
          <w:rFonts w:ascii="Times New Roman" w:hAnsi="Times New Roman" w:cs="Times New Roman"/>
          <w:sz w:val="24"/>
          <w:szCs w:val="24"/>
        </w:rPr>
      </w:pPr>
      <w:r w:rsidRPr="00100CA7">
        <w:rPr>
          <w:rFonts w:ascii="Times New Roman" w:hAnsi="Times New Roman" w:cs="Times New Roman"/>
          <w:sz w:val="24"/>
          <w:szCs w:val="24"/>
        </w:rPr>
        <w:t xml:space="preserve">Les informations dont dispose la mission ne permettent de déterminer la date exacte d’entrée en vigueur du projet mais il y’a eu probablement un décalage entre cette date et le démarrage effectif des activités. Ce handicap,  la situation politico sécuritaire et d’autres contraintes exogènes, ont certainement milité à certaines modifications du chemin critique du projet.  </w:t>
      </w:r>
      <w:r w:rsidR="00071397" w:rsidRPr="00100CA7">
        <w:rPr>
          <w:rFonts w:ascii="Times New Roman" w:hAnsi="Times New Roman" w:cs="Times New Roman"/>
          <w:sz w:val="24"/>
          <w:szCs w:val="24"/>
        </w:rPr>
        <w:t xml:space="preserve">Même si les réunions du comité de pilotage n’ont pas été assez fréquentes, celui-ci a pris au bon moment des mesures appropriées comme la prorogation de la date de fermeture du projet. </w:t>
      </w:r>
    </w:p>
    <w:p w:rsidR="00A105CA" w:rsidRPr="00100CA7" w:rsidRDefault="001674FB" w:rsidP="00100CA7">
      <w:pPr>
        <w:pStyle w:val="Titre3"/>
        <w:spacing w:after="240" w:line="276" w:lineRule="auto"/>
        <w:jc w:val="both"/>
        <w:rPr>
          <w:rFonts w:ascii="Times New Roman" w:hAnsi="Times New Roman" w:cs="Times New Roman"/>
          <w:b/>
          <w:bCs/>
          <w:color w:val="auto"/>
        </w:rPr>
      </w:pPr>
      <w:bookmarkStart w:id="47" w:name="_Toc500352732"/>
      <w:r w:rsidRPr="00100CA7">
        <w:rPr>
          <w:rFonts w:ascii="Times New Roman" w:hAnsi="Times New Roman" w:cs="Times New Roman"/>
          <w:b/>
          <w:bCs/>
          <w:color w:val="auto"/>
        </w:rPr>
        <w:t>Coordination au niveau de la mise en œuvre et de l’exécution avec PNUD et le partenaire de mise en œuvre</w:t>
      </w:r>
      <w:r w:rsidR="00D450E9" w:rsidRPr="00100CA7">
        <w:rPr>
          <w:rFonts w:ascii="Times New Roman" w:hAnsi="Times New Roman" w:cs="Times New Roman"/>
          <w:b/>
          <w:bCs/>
          <w:color w:val="auto"/>
        </w:rPr>
        <w:t xml:space="preserve"> et questions opérationnelles</w:t>
      </w:r>
      <w:bookmarkEnd w:id="47"/>
      <w:r w:rsidR="00D450E9" w:rsidRPr="00100CA7">
        <w:rPr>
          <w:rFonts w:ascii="Times New Roman" w:hAnsi="Times New Roman" w:cs="Times New Roman"/>
          <w:b/>
          <w:bCs/>
          <w:color w:val="auto"/>
        </w:rPr>
        <w:t xml:space="preserve"> </w:t>
      </w:r>
    </w:p>
    <w:p w:rsidR="00A105CA" w:rsidRPr="00100CA7" w:rsidRDefault="00071397" w:rsidP="00100CA7">
      <w:pPr>
        <w:spacing w:line="276" w:lineRule="auto"/>
        <w:jc w:val="both"/>
        <w:rPr>
          <w:rFonts w:ascii="Times New Roman" w:hAnsi="Times New Roman" w:cs="Times New Roman"/>
          <w:sz w:val="24"/>
          <w:szCs w:val="24"/>
        </w:rPr>
      </w:pPr>
      <w:r w:rsidRPr="00100CA7">
        <w:rPr>
          <w:rFonts w:ascii="Times New Roman" w:hAnsi="Times New Roman" w:cs="Times New Roman"/>
          <w:sz w:val="24"/>
          <w:szCs w:val="24"/>
        </w:rPr>
        <w:t xml:space="preserve">Les contraintes et dysfonctionnements ci-dessus évoqués ont été surmontés grâce </w:t>
      </w:r>
      <w:r w:rsidR="00A84141" w:rsidRPr="00100CA7">
        <w:rPr>
          <w:rFonts w:ascii="Times New Roman" w:hAnsi="Times New Roman" w:cs="Times New Roman"/>
          <w:sz w:val="24"/>
          <w:szCs w:val="24"/>
        </w:rPr>
        <w:t xml:space="preserve">par moments, à des concertations entre les hauts responsables du PNUD et du MEM pour lever quelques blocages dans la mise en œuvre du projet. C’est le cas par exemple du recrutement du Directeur de projet avec le profil requis et le coaching des consultants nationaux. D’ailleurs au passage de la mission, on peut noter la parfaite concertation entre le Responsable de l’UPS du PNUD et le Secrétaire Permanent du MEM </w:t>
      </w:r>
      <w:r w:rsidR="003C4457" w:rsidRPr="00100CA7">
        <w:rPr>
          <w:rFonts w:ascii="Times New Roman" w:hAnsi="Times New Roman" w:cs="Times New Roman"/>
          <w:sz w:val="24"/>
          <w:szCs w:val="24"/>
        </w:rPr>
        <w:t xml:space="preserve">pour consolider les acquis du projet et ouvrir d’autres chantiers porteurs en termes de </w:t>
      </w:r>
      <w:r w:rsidR="00F65C63" w:rsidRPr="00100CA7">
        <w:rPr>
          <w:rFonts w:ascii="Times New Roman" w:hAnsi="Times New Roman" w:cs="Times New Roman"/>
          <w:sz w:val="24"/>
          <w:szCs w:val="24"/>
        </w:rPr>
        <w:t>perspectives.</w:t>
      </w:r>
      <w:r w:rsidR="003C4457" w:rsidRPr="00100CA7">
        <w:rPr>
          <w:rFonts w:ascii="Times New Roman" w:hAnsi="Times New Roman" w:cs="Times New Roman"/>
          <w:sz w:val="24"/>
          <w:szCs w:val="24"/>
        </w:rPr>
        <w:t xml:space="preserve"> </w:t>
      </w:r>
      <w:r w:rsidR="00A84141" w:rsidRPr="00100CA7">
        <w:rPr>
          <w:rFonts w:ascii="Times New Roman" w:hAnsi="Times New Roman" w:cs="Times New Roman"/>
          <w:sz w:val="24"/>
          <w:szCs w:val="24"/>
        </w:rPr>
        <w:t xml:space="preserve"> </w:t>
      </w:r>
    </w:p>
    <w:p w:rsidR="001674FB" w:rsidRPr="00720FA2" w:rsidRDefault="0054472A" w:rsidP="00720FA2">
      <w:pPr>
        <w:pStyle w:val="Paragraphedeliste"/>
        <w:spacing w:line="276" w:lineRule="auto"/>
        <w:jc w:val="both"/>
        <w:outlineLvl w:val="1"/>
        <w:rPr>
          <w:rFonts w:ascii="Times New Roman" w:hAnsi="Times New Roman" w:cs="Times New Roman"/>
          <w:b/>
          <w:bCs/>
          <w:sz w:val="24"/>
          <w:szCs w:val="24"/>
        </w:rPr>
      </w:pPr>
      <w:bookmarkStart w:id="48" w:name="_Toc500352733"/>
      <w:r>
        <w:rPr>
          <w:rFonts w:ascii="Times New Roman" w:hAnsi="Times New Roman" w:cs="Times New Roman"/>
          <w:b/>
          <w:bCs/>
          <w:sz w:val="24"/>
          <w:szCs w:val="24"/>
        </w:rPr>
        <w:t>3.4.</w:t>
      </w:r>
      <w:r w:rsidR="001674FB" w:rsidRPr="00720FA2">
        <w:rPr>
          <w:rFonts w:ascii="Times New Roman" w:hAnsi="Times New Roman" w:cs="Times New Roman"/>
          <w:b/>
          <w:bCs/>
          <w:sz w:val="24"/>
          <w:szCs w:val="24"/>
        </w:rPr>
        <w:t xml:space="preserve"> Résu</w:t>
      </w:r>
      <w:r w:rsidR="00D450E9" w:rsidRPr="00720FA2">
        <w:rPr>
          <w:rFonts w:ascii="Times New Roman" w:hAnsi="Times New Roman" w:cs="Times New Roman"/>
          <w:b/>
          <w:bCs/>
          <w:sz w:val="24"/>
          <w:szCs w:val="24"/>
        </w:rPr>
        <w:t>ltats du projet - Performance</w:t>
      </w:r>
      <w:bookmarkEnd w:id="48"/>
      <w:r w:rsidR="00D450E9" w:rsidRPr="00720FA2">
        <w:rPr>
          <w:rFonts w:ascii="Times New Roman" w:hAnsi="Times New Roman" w:cs="Times New Roman"/>
          <w:b/>
          <w:bCs/>
          <w:sz w:val="24"/>
          <w:szCs w:val="24"/>
        </w:rPr>
        <w:t xml:space="preserve"> </w:t>
      </w:r>
    </w:p>
    <w:p w:rsidR="001674FB" w:rsidRDefault="001674FB" w:rsidP="005C0B68">
      <w:pPr>
        <w:pStyle w:val="Titre3"/>
        <w:spacing w:after="240" w:line="276" w:lineRule="auto"/>
        <w:jc w:val="both"/>
        <w:rPr>
          <w:rFonts w:ascii="Times New Roman" w:hAnsi="Times New Roman" w:cs="Times New Roman"/>
          <w:b/>
          <w:bCs/>
          <w:color w:val="auto"/>
        </w:rPr>
      </w:pPr>
      <w:bookmarkStart w:id="49" w:name="_Toc500352734"/>
      <w:r w:rsidRPr="005C0B68">
        <w:rPr>
          <w:rFonts w:ascii="Times New Roman" w:hAnsi="Times New Roman" w:cs="Times New Roman"/>
          <w:b/>
          <w:bCs/>
          <w:color w:val="auto"/>
        </w:rPr>
        <w:t>Résultats globau</w:t>
      </w:r>
      <w:r w:rsidR="00D450E9" w:rsidRPr="005C0B68">
        <w:rPr>
          <w:rFonts w:ascii="Times New Roman" w:hAnsi="Times New Roman" w:cs="Times New Roman"/>
          <w:b/>
          <w:bCs/>
          <w:color w:val="auto"/>
        </w:rPr>
        <w:t>x (réalisation des objectifs)</w:t>
      </w:r>
      <w:bookmarkEnd w:id="49"/>
      <w:r w:rsidR="00D450E9" w:rsidRPr="005C0B68">
        <w:rPr>
          <w:rFonts w:ascii="Times New Roman" w:hAnsi="Times New Roman" w:cs="Times New Roman"/>
          <w:b/>
          <w:bCs/>
          <w:color w:val="auto"/>
        </w:rPr>
        <w:t xml:space="preserve"> </w:t>
      </w:r>
    </w:p>
    <w:p w:rsidR="00531EA9" w:rsidRDefault="00531EA9" w:rsidP="00531EA9">
      <w:pPr>
        <w:spacing w:line="276" w:lineRule="auto"/>
        <w:jc w:val="both"/>
        <w:rPr>
          <w:rFonts w:ascii="Times New Roman" w:hAnsi="Times New Roman" w:cs="Times New Roman"/>
          <w:sz w:val="24"/>
          <w:szCs w:val="24"/>
        </w:rPr>
      </w:pPr>
      <w:r w:rsidRPr="00531EA9">
        <w:rPr>
          <w:rFonts w:ascii="Times New Roman" w:hAnsi="Times New Roman" w:cs="Times New Roman"/>
          <w:sz w:val="24"/>
          <w:szCs w:val="24"/>
        </w:rPr>
        <w:t>Les principales réalisations sont les suivantes:</w:t>
      </w:r>
    </w:p>
    <w:p w:rsidR="00BB6FE9" w:rsidRPr="00531EA9" w:rsidRDefault="00BB6FE9" w:rsidP="00531EA9">
      <w:pPr>
        <w:spacing w:line="276" w:lineRule="auto"/>
        <w:jc w:val="both"/>
        <w:rPr>
          <w:rFonts w:ascii="Times New Roman" w:hAnsi="Times New Roman" w:cs="Times New Roman"/>
          <w:sz w:val="24"/>
          <w:szCs w:val="24"/>
        </w:rPr>
      </w:pPr>
      <w:r>
        <w:rPr>
          <w:rFonts w:ascii="Times New Roman" w:hAnsi="Times New Roman" w:cs="Times New Roman"/>
          <w:sz w:val="24"/>
          <w:szCs w:val="24"/>
        </w:rPr>
        <w:t>En 2014</w:t>
      </w:r>
    </w:p>
    <w:p w:rsidR="00531EA9" w:rsidRPr="00BB6FE9" w:rsidRDefault="00531EA9" w:rsidP="00BB6FE9">
      <w:pPr>
        <w:pStyle w:val="Paragraphedeliste"/>
        <w:numPr>
          <w:ilvl w:val="1"/>
          <w:numId w:val="31"/>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 xml:space="preserve">Mise à la disposition du Ministère de l’Energie et des Mines d’un consultant international (trois mois) et d’un consultant National (sept mois) qui ont contribué à l’élaboration de certains textes d’application du nouveau code minier notamment  un projet de cadastre et un nouveau code minier. Ce dernier a été adopté par le Groupe sectoriel « Mines et carrières » au </w:t>
      </w:r>
      <w:r w:rsidR="00BB6FE9">
        <w:rPr>
          <w:rFonts w:ascii="Times New Roman" w:hAnsi="Times New Roman" w:cs="Times New Roman"/>
          <w:sz w:val="24"/>
          <w:szCs w:val="24"/>
        </w:rPr>
        <w:t>début du mois de février 2014 ;</w:t>
      </w:r>
    </w:p>
    <w:p w:rsidR="00531EA9" w:rsidRPr="00BB6FE9" w:rsidRDefault="00531EA9" w:rsidP="00BB6FE9">
      <w:pPr>
        <w:pStyle w:val="Paragraphedeliste"/>
        <w:numPr>
          <w:ilvl w:val="1"/>
          <w:numId w:val="31"/>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Organisation de plusieurs ateliers regroupant toutes les parties prenantes  (Représentants du Gouvernement, Partenaires techniques et financiers (PTFs), entreprises minières et des Organisations de la Société Civile) dans le cadre de la préparation des projets de Règlement Minier et</w:t>
      </w:r>
      <w:r w:rsidR="00BB6FE9">
        <w:rPr>
          <w:rFonts w:ascii="Times New Roman" w:hAnsi="Times New Roman" w:cs="Times New Roman"/>
          <w:sz w:val="24"/>
          <w:szCs w:val="24"/>
        </w:rPr>
        <w:t xml:space="preserve"> du Cadastre Minier du Burundi ;</w:t>
      </w:r>
    </w:p>
    <w:p w:rsidR="00531EA9" w:rsidRPr="00BB6FE9" w:rsidRDefault="00531EA9" w:rsidP="00BB6FE9">
      <w:pPr>
        <w:pStyle w:val="Paragraphedeliste"/>
        <w:numPr>
          <w:ilvl w:val="1"/>
          <w:numId w:val="31"/>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 xml:space="preserve">Elaboration d’un nouveau projet intitulé « Innovation pour les énergies renouvelables », fruit d’une coopération trilatérale entre la Chine, le Burundi et le PNUD. Ce projet a pour objectif principal de proposer aux communautés rurales du Burundi de nouvelles solutions d’énergies alternatives écologiques, </w:t>
      </w:r>
      <w:r w:rsidRPr="00BB6FE9">
        <w:rPr>
          <w:rFonts w:ascii="Times New Roman" w:hAnsi="Times New Roman" w:cs="Times New Roman"/>
          <w:sz w:val="24"/>
          <w:szCs w:val="24"/>
        </w:rPr>
        <w:lastRenderedPageBreak/>
        <w:t>socialement viables, techniquement réalisables, disponibles localemen</w:t>
      </w:r>
      <w:r w:rsidR="00BB6FE9">
        <w:rPr>
          <w:rFonts w:ascii="Times New Roman" w:hAnsi="Times New Roman" w:cs="Times New Roman"/>
          <w:sz w:val="24"/>
          <w:szCs w:val="24"/>
        </w:rPr>
        <w:t>t et faciles à mettre en œuvre ;</w:t>
      </w:r>
    </w:p>
    <w:p w:rsidR="00531EA9" w:rsidRPr="00BB6FE9" w:rsidRDefault="00531EA9" w:rsidP="00BB6FE9">
      <w:pPr>
        <w:pStyle w:val="Paragraphedeliste"/>
        <w:numPr>
          <w:ilvl w:val="1"/>
          <w:numId w:val="31"/>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 xml:space="preserve">Appui au MEM pour la réalisation d’un film </w:t>
      </w:r>
      <w:r w:rsidR="00BB6FE9">
        <w:rPr>
          <w:rFonts w:ascii="Times New Roman" w:hAnsi="Times New Roman" w:cs="Times New Roman"/>
          <w:sz w:val="24"/>
          <w:szCs w:val="24"/>
        </w:rPr>
        <w:t>documentaire du secteur minier ;</w:t>
      </w:r>
    </w:p>
    <w:p w:rsidR="00531EA9" w:rsidRPr="00BB6FE9" w:rsidRDefault="00531EA9" w:rsidP="00BB6FE9">
      <w:pPr>
        <w:pStyle w:val="Paragraphedeliste"/>
        <w:numPr>
          <w:ilvl w:val="1"/>
          <w:numId w:val="31"/>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Appui d’un cadre du secteur minier pour participer au 8ème Forum CIRGL-OCDE-Groupe d’Experts des Nations Unies sur les chaînes d’approvisionnement responsables en minerais, et à la troisième réunion des ministres en charge des mines de la CIRGL qui ont eu lieu respectivement au Grand Hôtel de Kinshasa et à l’Hôtel MEMLING en Ré</w:t>
      </w:r>
      <w:r w:rsidR="00BB6FE9">
        <w:rPr>
          <w:rFonts w:ascii="Times New Roman" w:hAnsi="Times New Roman" w:cs="Times New Roman"/>
          <w:sz w:val="24"/>
          <w:szCs w:val="24"/>
        </w:rPr>
        <w:t>publique Démocratique du Congo ;</w:t>
      </w:r>
    </w:p>
    <w:p w:rsidR="00531EA9" w:rsidRPr="00BB6FE9" w:rsidRDefault="00531EA9" w:rsidP="00BB6FE9">
      <w:pPr>
        <w:pStyle w:val="Paragraphedeliste"/>
        <w:numPr>
          <w:ilvl w:val="1"/>
          <w:numId w:val="31"/>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Appui à l’organisation du « SHIFT 2014 EVENT ». En étroite collaboration avec le Gouvernement burundais et les parties prenantes, le Bureau du Burundi s’est joint aux autres Bureaux du PNUD dans le monde pour préparer dans la semaine du 22 au 27 Septembre 2014, des journées sur l’innovation des différentes thématiques en tenant compte des défis et enjeux nationaux. SHIFT représente un cadre ouvert à tous les collègues des Bureaux du PNUD dans le monde entier pour participer aux discussions et échanges de bonnes pratiques en matière d’innovation. C’est dans ce cadre qu’un atelier de réflexion sur l’innovation dans la recherche des solutions énergétiques innovantes susceptibles de contribuer à la gestion durable de la ressource bois a été organisé le 24 Septembre 2014 à Bujumbura avec la facilitation d’un consultant international. Le but essentiel de SHIFT est de promouvoir la réflexion sur l’accélération de l’in</w:t>
      </w:r>
      <w:r w:rsidR="00BB6FE9">
        <w:rPr>
          <w:rFonts w:ascii="Times New Roman" w:hAnsi="Times New Roman" w:cs="Times New Roman"/>
          <w:sz w:val="24"/>
          <w:szCs w:val="24"/>
        </w:rPr>
        <w:t>novation pour le développement ;</w:t>
      </w:r>
    </w:p>
    <w:p w:rsidR="00531EA9" w:rsidRPr="00BB6FE9" w:rsidRDefault="00531EA9" w:rsidP="00BB6FE9">
      <w:pPr>
        <w:pStyle w:val="Paragraphedeliste"/>
        <w:numPr>
          <w:ilvl w:val="1"/>
          <w:numId w:val="31"/>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Achat et mise à la disposition du projet des  équipements (véhicules et équipements informatiques) et d’un c</w:t>
      </w:r>
      <w:r w:rsidR="00BB6FE9">
        <w:rPr>
          <w:rFonts w:ascii="Times New Roman" w:hAnsi="Times New Roman" w:cs="Times New Roman"/>
          <w:sz w:val="24"/>
          <w:szCs w:val="24"/>
        </w:rPr>
        <w:t>hauffeur du véhicule du projet ;</w:t>
      </w:r>
    </w:p>
    <w:p w:rsidR="00531EA9" w:rsidRPr="00BB6FE9" w:rsidRDefault="00531EA9" w:rsidP="00BB6FE9">
      <w:pPr>
        <w:pStyle w:val="Paragraphedeliste"/>
        <w:numPr>
          <w:ilvl w:val="1"/>
          <w:numId w:val="31"/>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Recrutement d’un expert en Energie</w:t>
      </w:r>
      <w:r w:rsidR="00BB6FE9">
        <w:rPr>
          <w:rFonts w:ascii="Times New Roman" w:hAnsi="Times New Roman" w:cs="Times New Roman"/>
          <w:sz w:val="24"/>
          <w:szCs w:val="24"/>
        </w:rPr>
        <w:t xml:space="preserve">  dès le mois de décembre 2014 ;</w:t>
      </w:r>
    </w:p>
    <w:p w:rsidR="00531EA9" w:rsidRPr="00531EA9" w:rsidRDefault="00531EA9" w:rsidP="00531EA9">
      <w:pPr>
        <w:spacing w:line="276" w:lineRule="auto"/>
        <w:jc w:val="both"/>
        <w:rPr>
          <w:rFonts w:ascii="Times New Roman" w:hAnsi="Times New Roman" w:cs="Times New Roman"/>
          <w:sz w:val="24"/>
          <w:szCs w:val="24"/>
        </w:rPr>
      </w:pPr>
      <w:r w:rsidRPr="00531EA9">
        <w:rPr>
          <w:rFonts w:ascii="Times New Roman" w:hAnsi="Times New Roman" w:cs="Times New Roman"/>
          <w:sz w:val="24"/>
          <w:szCs w:val="24"/>
        </w:rPr>
        <w:t xml:space="preserve">D’une manière générale, on peut dire que le projet a réalisé de bonnes performances </w:t>
      </w:r>
      <w:r w:rsidR="00853FD1">
        <w:rPr>
          <w:rFonts w:ascii="Times New Roman" w:hAnsi="Times New Roman" w:cs="Times New Roman"/>
          <w:sz w:val="24"/>
          <w:szCs w:val="24"/>
        </w:rPr>
        <w:t>au courant de l’année 2014, même</w:t>
      </w:r>
      <w:r w:rsidRPr="00531EA9">
        <w:rPr>
          <w:rFonts w:ascii="Times New Roman" w:hAnsi="Times New Roman" w:cs="Times New Roman"/>
          <w:sz w:val="24"/>
          <w:szCs w:val="24"/>
        </w:rPr>
        <w:t xml:space="preserve"> si la principale contrainte soulignée dans l’introduction (non disponibilité de l’expertise internationale prévue) a limité la portée des résultats obtenus. Le premier expert (Energie) n’a été mis à la disposition du projet qu’en Décembre 2014 alors que le processus de recrutement de l’Expert en Mines n’a pas encore abouti. </w:t>
      </w:r>
    </w:p>
    <w:p w:rsidR="00531EA9" w:rsidRPr="00531EA9" w:rsidRDefault="00531EA9" w:rsidP="00531EA9">
      <w:pPr>
        <w:spacing w:line="276" w:lineRule="auto"/>
        <w:jc w:val="both"/>
        <w:rPr>
          <w:rFonts w:ascii="Times New Roman" w:hAnsi="Times New Roman" w:cs="Times New Roman"/>
          <w:sz w:val="24"/>
          <w:szCs w:val="24"/>
        </w:rPr>
      </w:pPr>
      <w:r w:rsidRPr="00531EA9">
        <w:rPr>
          <w:rFonts w:ascii="Times New Roman" w:hAnsi="Times New Roman" w:cs="Times New Roman"/>
          <w:sz w:val="24"/>
          <w:szCs w:val="24"/>
        </w:rPr>
        <w:t>Il faut aussi souligner qu’au niveau du suivi, deux réunions ont été organisées en 2014 :</w:t>
      </w:r>
    </w:p>
    <w:p w:rsidR="00531EA9" w:rsidRPr="00BB6FE9" w:rsidRDefault="00531EA9" w:rsidP="00BB6FE9">
      <w:pPr>
        <w:pStyle w:val="Paragraphedeliste"/>
        <w:numPr>
          <w:ilvl w:val="1"/>
          <w:numId w:val="34"/>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Une réunion du comité de pilotage en date du 21/02/2014 pour la validation du Plan de Travail Annuel (PTA) 2014 ;</w:t>
      </w:r>
    </w:p>
    <w:p w:rsidR="00531EA9" w:rsidRPr="00BB6FE9" w:rsidRDefault="00531EA9" w:rsidP="00531EA9">
      <w:pPr>
        <w:pStyle w:val="Paragraphedeliste"/>
        <w:numPr>
          <w:ilvl w:val="1"/>
          <w:numId w:val="34"/>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Une deuxième réunion du comité interne du projet  en date du 05/06/2014 pour la prise de contact avec le nouveau Directeur National et la revue de l’état d’avancement des activités du projet ;</w:t>
      </w:r>
    </w:p>
    <w:p w:rsidR="00531EA9" w:rsidRPr="00531EA9" w:rsidRDefault="00BB6FE9" w:rsidP="00531EA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531EA9" w:rsidRPr="00531EA9">
        <w:rPr>
          <w:rFonts w:ascii="Times New Roman" w:hAnsi="Times New Roman" w:cs="Times New Roman"/>
          <w:sz w:val="24"/>
          <w:szCs w:val="24"/>
        </w:rPr>
        <w:t>2015</w:t>
      </w:r>
    </w:p>
    <w:p w:rsidR="00531EA9" w:rsidRPr="00531EA9" w:rsidRDefault="00531EA9" w:rsidP="00531EA9">
      <w:pPr>
        <w:spacing w:line="276" w:lineRule="auto"/>
        <w:jc w:val="both"/>
        <w:rPr>
          <w:rFonts w:ascii="Times New Roman" w:hAnsi="Times New Roman" w:cs="Times New Roman"/>
          <w:sz w:val="24"/>
          <w:szCs w:val="24"/>
        </w:rPr>
      </w:pPr>
      <w:r w:rsidRPr="00531EA9">
        <w:rPr>
          <w:rFonts w:ascii="Times New Roman" w:hAnsi="Times New Roman" w:cs="Times New Roman"/>
          <w:sz w:val="24"/>
          <w:szCs w:val="24"/>
        </w:rPr>
        <w:t>Les principales réalisations sont les suivantes :</w:t>
      </w:r>
    </w:p>
    <w:p w:rsidR="00531EA9" w:rsidRPr="00BB6FE9" w:rsidRDefault="00531EA9" w:rsidP="00BB6FE9">
      <w:pPr>
        <w:pStyle w:val="Paragraphedeliste"/>
        <w:numPr>
          <w:ilvl w:val="1"/>
          <w:numId w:val="37"/>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 xml:space="preserve">Organisation d’une réunion du comité du projet tenue en date du 27/02/2015 qui a permis d’évaluer les résultats de l’année 2014 et de valider le Plan de Travail Annuel (PTA) 2015. Au cours de cette réunion, ledit Comité a proposé </w:t>
      </w:r>
      <w:r w:rsidRPr="00BB6FE9">
        <w:rPr>
          <w:rFonts w:ascii="Times New Roman" w:hAnsi="Times New Roman" w:cs="Times New Roman"/>
          <w:sz w:val="24"/>
          <w:szCs w:val="24"/>
        </w:rPr>
        <w:lastRenderedPageBreak/>
        <w:t>la prolongation de la période d’exécution du projet au-delà de l’année 2015 pour notamment permettre une bonne mise en œuvre du volet « Innovation pour les énergies renouvelables » qui sera cof</w:t>
      </w:r>
      <w:r w:rsidR="00BB6FE9">
        <w:rPr>
          <w:rFonts w:ascii="Times New Roman" w:hAnsi="Times New Roman" w:cs="Times New Roman"/>
          <w:sz w:val="24"/>
          <w:szCs w:val="24"/>
        </w:rPr>
        <w:t>inancé par la CHINE et le PNUD ;</w:t>
      </w:r>
    </w:p>
    <w:p w:rsidR="00531EA9" w:rsidRPr="00BB6FE9" w:rsidRDefault="00531EA9" w:rsidP="00BB6FE9">
      <w:pPr>
        <w:pStyle w:val="Paragraphedeliste"/>
        <w:numPr>
          <w:ilvl w:val="1"/>
          <w:numId w:val="37"/>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Mobilisation des ressources pour le financement du Projet « Innovation pour les énergies renouvelables » ; Soit 550,000 USD de la Chine dans le cadre d’une coopération innovante trilatérale Chine-Burundi-PNUD. Suite à la situation de mai 2015, la signature du doc</w:t>
      </w:r>
      <w:r w:rsidR="00BB6FE9">
        <w:rPr>
          <w:rFonts w:ascii="Times New Roman" w:hAnsi="Times New Roman" w:cs="Times New Roman"/>
          <w:sz w:val="24"/>
          <w:szCs w:val="24"/>
        </w:rPr>
        <w:t>ument de projet a été reportée ;</w:t>
      </w:r>
    </w:p>
    <w:p w:rsidR="00531EA9" w:rsidRPr="00BB6FE9" w:rsidRDefault="00531EA9" w:rsidP="00BB6FE9">
      <w:pPr>
        <w:pStyle w:val="Paragraphedeliste"/>
        <w:numPr>
          <w:ilvl w:val="1"/>
          <w:numId w:val="37"/>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L’Expert en Energie a travaillé sur un Programme de formation en politique énergétique, minière et pétrolière et des Termes de Référence pour l’élaboration d’une législation pétrolière. Cependant, ce travail n’a pas pu être poursuivi après le départ dudit Expert, suite à la suspension par le PNUD des activ</w:t>
      </w:r>
      <w:r w:rsidR="00BB6FE9">
        <w:rPr>
          <w:rFonts w:ascii="Times New Roman" w:hAnsi="Times New Roman" w:cs="Times New Roman"/>
          <w:sz w:val="24"/>
          <w:szCs w:val="24"/>
        </w:rPr>
        <w:t>ités non critiques en mai 2015 ;</w:t>
      </w:r>
    </w:p>
    <w:p w:rsidR="00531EA9" w:rsidRPr="00BB6FE9" w:rsidRDefault="00531EA9" w:rsidP="00BB6FE9">
      <w:pPr>
        <w:pStyle w:val="Paragraphedeliste"/>
        <w:numPr>
          <w:ilvl w:val="1"/>
          <w:numId w:val="37"/>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L’organisation d’une réunion stratégique entre le Ministre de l’Energie et des Mines et le Représentant Résident du PNUD pour fixer les grandes orientations sur les perceptives d’appui aux deux sect</w:t>
      </w:r>
      <w:r w:rsidR="00BB6FE9">
        <w:rPr>
          <w:rFonts w:ascii="Times New Roman" w:hAnsi="Times New Roman" w:cs="Times New Roman"/>
          <w:sz w:val="24"/>
          <w:szCs w:val="24"/>
        </w:rPr>
        <w:t>eurs de l’Energie et des Mines ;</w:t>
      </w:r>
    </w:p>
    <w:p w:rsidR="00531EA9" w:rsidRPr="00BB6FE9" w:rsidRDefault="00531EA9" w:rsidP="00BB6FE9">
      <w:pPr>
        <w:pStyle w:val="Paragraphedeliste"/>
        <w:numPr>
          <w:ilvl w:val="1"/>
          <w:numId w:val="37"/>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L’élaboration et l’adoption des TDRs pour le recrutement des consultants nationaux qui vont donner l’appui à la préparation d’un projet plus ambitieux pour l’appui aux sect</w:t>
      </w:r>
      <w:r w:rsidR="00BB6FE9">
        <w:rPr>
          <w:rFonts w:ascii="Times New Roman" w:hAnsi="Times New Roman" w:cs="Times New Roman"/>
          <w:sz w:val="24"/>
          <w:szCs w:val="24"/>
        </w:rPr>
        <w:t>eurs de l’Energie et des Mines ;</w:t>
      </w:r>
    </w:p>
    <w:p w:rsidR="00531EA9" w:rsidRPr="00BB6FE9" w:rsidRDefault="00531EA9" w:rsidP="00BB6FE9">
      <w:pPr>
        <w:pStyle w:val="Paragraphedeliste"/>
        <w:numPr>
          <w:ilvl w:val="1"/>
          <w:numId w:val="37"/>
        </w:numPr>
        <w:spacing w:line="276" w:lineRule="auto"/>
        <w:jc w:val="both"/>
        <w:rPr>
          <w:rFonts w:ascii="Times New Roman" w:hAnsi="Times New Roman" w:cs="Times New Roman"/>
          <w:sz w:val="24"/>
          <w:szCs w:val="24"/>
        </w:rPr>
      </w:pPr>
      <w:r w:rsidRPr="00BB6FE9">
        <w:rPr>
          <w:rFonts w:ascii="Times New Roman" w:hAnsi="Times New Roman" w:cs="Times New Roman"/>
          <w:sz w:val="24"/>
          <w:szCs w:val="24"/>
        </w:rPr>
        <w:t>L’organisation des ateliers provinciaux de diffusion des textes d’application du Code Minier afin de permettre leur appropriation par tous les acteurs locaux en vue de leur mise en application effective.</w:t>
      </w:r>
    </w:p>
    <w:p w:rsidR="00531EA9" w:rsidRPr="00531EA9" w:rsidRDefault="00531EA9" w:rsidP="00531EA9">
      <w:pPr>
        <w:spacing w:line="276" w:lineRule="auto"/>
        <w:jc w:val="both"/>
        <w:rPr>
          <w:rFonts w:ascii="Times New Roman" w:hAnsi="Times New Roman" w:cs="Times New Roman"/>
          <w:sz w:val="24"/>
          <w:szCs w:val="24"/>
        </w:rPr>
      </w:pPr>
      <w:r w:rsidRPr="00531EA9">
        <w:rPr>
          <w:rFonts w:ascii="Times New Roman" w:hAnsi="Times New Roman" w:cs="Times New Roman"/>
          <w:sz w:val="24"/>
          <w:szCs w:val="24"/>
        </w:rPr>
        <w:t xml:space="preserve">La plus grande contrainte est restée comme signalé plus haut « la non disponibilité » des deux experts internationaux prévus par le projet, alors que ce sont ces derniers qui devaient constituer les piliers dans l’obtention des résultats du projet. Cela explique en grande partie pourquoi le plan de renforcement des capacités du personnel du Ministère de l’Energie et des Mines n’a pas pu être élaboré. </w:t>
      </w:r>
    </w:p>
    <w:p w:rsidR="00531EA9" w:rsidRDefault="00531EA9" w:rsidP="00531EA9">
      <w:pPr>
        <w:spacing w:line="276" w:lineRule="auto"/>
        <w:jc w:val="both"/>
        <w:rPr>
          <w:rFonts w:ascii="Times New Roman" w:hAnsi="Times New Roman" w:cs="Times New Roman"/>
          <w:sz w:val="24"/>
          <w:szCs w:val="24"/>
        </w:rPr>
      </w:pPr>
      <w:r w:rsidRPr="00531EA9">
        <w:rPr>
          <w:rFonts w:ascii="Times New Roman" w:hAnsi="Times New Roman" w:cs="Times New Roman"/>
          <w:sz w:val="24"/>
          <w:szCs w:val="24"/>
        </w:rPr>
        <w:t>Aussi, la crise politique et sécuritaire déclenchée depuis Avril 2015 a handicapé la poursuite des activités qui étaient programmées notamment le démarrage du Projet «Innovation pour les énergies renouvelables ».</w:t>
      </w:r>
    </w:p>
    <w:p w:rsidR="00BB6FE9" w:rsidRPr="00C1764E" w:rsidRDefault="00BB6FE9" w:rsidP="00531EA9">
      <w:pPr>
        <w:spacing w:line="276" w:lineRule="auto"/>
        <w:jc w:val="both"/>
        <w:rPr>
          <w:rFonts w:ascii="Times New Roman" w:hAnsi="Times New Roman" w:cs="Times New Roman"/>
          <w:b/>
          <w:sz w:val="24"/>
          <w:szCs w:val="24"/>
        </w:rPr>
      </w:pPr>
      <w:r w:rsidRPr="00C1764E">
        <w:rPr>
          <w:rFonts w:ascii="Times New Roman" w:hAnsi="Times New Roman" w:cs="Times New Roman"/>
          <w:b/>
          <w:sz w:val="24"/>
          <w:szCs w:val="24"/>
        </w:rPr>
        <w:t>EN 2016</w:t>
      </w:r>
    </w:p>
    <w:p w:rsidR="00BB6FE9" w:rsidRPr="00531EA9" w:rsidRDefault="00C1764E" w:rsidP="00531EA9">
      <w:pPr>
        <w:spacing w:line="276" w:lineRule="auto"/>
        <w:jc w:val="both"/>
        <w:rPr>
          <w:rFonts w:ascii="Times New Roman" w:hAnsi="Times New Roman" w:cs="Times New Roman"/>
          <w:sz w:val="24"/>
          <w:szCs w:val="24"/>
        </w:rPr>
      </w:pPr>
      <w:r>
        <w:rPr>
          <w:rFonts w:ascii="Times New Roman" w:hAnsi="Times New Roman" w:cs="Times New Roman"/>
          <w:sz w:val="24"/>
          <w:szCs w:val="24"/>
        </w:rPr>
        <w:t>Il n’y a pas eu de réalisations majeures qui a été l’année la plus perturbée. Cependant l’audit fi</w:t>
      </w:r>
      <w:r w:rsidR="0016621E">
        <w:rPr>
          <w:rFonts w:ascii="Times New Roman" w:hAnsi="Times New Roman" w:cs="Times New Roman"/>
          <w:sz w:val="24"/>
          <w:szCs w:val="24"/>
        </w:rPr>
        <w:t xml:space="preserve">nancier et comptable a été </w:t>
      </w:r>
      <w:r w:rsidR="000206A5">
        <w:rPr>
          <w:rFonts w:ascii="Times New Roman" w:hAnsi="Times New Roman" w:cs="Times New Roman"/>
          <w:sz w:val="24"/>
          <w:szCs w:val="24"/>
        </w:rPr>
        <w:t>réalisé</w:t>
      </w:r>
      <w:r>
        <w:rPr>
          <w:rFonts w:ascii="Times New Roman" w:hAnsi="Times New Roman" w:cs="Times New Roman"/>
          <w:sz w:val="24"/>
          <w:szCs w:val="24"/>
        </w:rPr>
        <w:t xml:space="preserve">. </w:t>
      </w:r>
    </w:p>
    <w:p w:rsidR="001674FB" w:rsidRDefault="00D450E9" w:rsidP="005C0B68">
      <w:pPr>
        <w:pStyle w:val="Titre3"/>
        <w:spacing w:after="240" w:line="276" w:lineRule="auto"/>
        <w:jc w:val="both"/>
        <w:rPr>
          <w:rFonts w:ascii="Times New Roman" w:hAnsi="Times New Roman" w:cs="Times New Roman"/>
          <w:bCs/>
        </w:rPr>
      </w:pPr>
      <w:bookmarkStart w:id="50" w:name="_Toc500352735"/>
      <w:r w:rsidRPr="005C0B68">
        <w:rPr>
          <w:rFonts w:ascii="Times New Roman" w:hAnsi="Times New Roman" w:cs="Times New Roman"/>
          <w:b/>
          <w:bCs/>
          <w:color w:val="auto"/>
        </w:rPr>
        <w:t>Pertinence</w:t>
      </w:r>
      <w:bookmarkEnd w:id="50"/>
      <w:r>
        <w:rPr>
          <w:rFonts w:ascii="Times New Roman" w:hAnsi="Times New Roman" w:cs="Times New Roman"/>
          <w:bCs/>
        </w:rPr>
        <w:t xml:space="preserve"> </w:t>
      </w:r>
    </w:p>
    <w:p w:rsidR="003650B1" w:rsidRPr="0016621E" w:rsidRDefault="0016621E" w:rsidP="00100CA7">
      <w:pPr>
        <w:jc w:val="both"/>
        <w:rPr>
          <w:rFonts w:ascii="Times New Roman" w:hAnsi="Times New Roman" w:cs="Times New Roman"/>
          <w:sz w:val="24"/>
          <w:szCs w:val="24"/>
        </w:rPr>
      </w:pPr>
      <w:r w:rsidRPr="0016621E">
        <w:rPr>
          <w:rFonts w:ascii="Times New Roman" w:hAnsi="Times New Roman" w:cs="Times New Roman"/>
          <w:sz w:val="24"/>
          <w:szCs w:val="24"/>
        </w:rPr>
        <w:t>Comme indiqué dans le tableau de notation, le projet est pertinent</w:t>
      </w:r>
      <w:r>
        <w:rPr>
          <w:rFonts w:ascii="Times New Roman" w:hAnsi="Times New Roman" w:cs="Times New Roman"/>
          <w:sz w:val="24"/>
          <w:szCs w:val="24"/>
        </w:rPr>
        <w:t xml:space="preserve">. Il s’y ajoute qu’il </w:t>
      </w:r>
      <w:r w:rsidRPr="0016621E">
        <w:rPr>
          <w:rFonts w:ascii="Times New Roman" w:hAnsi="Times New Roman" w:cs="Times New Roman"/>
          <w:sz w:val="24"/>
          <w:szCs w:val="24"/>
        </w:rPr>
        <w:t xml:space="preserve">est </w:t>
      </w:r>
      <w:r w:rsidR="00851DA5" w:rsidRPr="0016621E">
        <w:rPr>
          <w:rFonts w:ascii="Times New Roman" w:hAnsi="Times New Roman" w:cs="Times New Roman"/>
          <w:bCs/>
          <w:sz w:val="24"/>
          <w:szCs w:val="24"/>
        </w:rPr>
        <w:t xml:space="preserve"> aligné avec les d</w:t>
      </w:r>
      <w:r>
        <w:rPr>
          <w:rFonts w:ascii="Times New Roman" w:hAnsi="Times New Roman" w:cs="Times New Roman"/>
          <w:bCs/>
          <w:sz w:val="24"/>
          <w:szCs w:val="24"/>
        </w:rPr>
        <w:t>ocuments stratégiques du pays comme V</w:t>
      </w:r>
      <w:r w:rsidR="00851DA5" w:rsidRPr="0016621E">
        <w:rPr>
          <w:rFonts w:ascii="Times New Roman" w:hAnsi="Times New Roman" w:cs="Times New Roman"/>
          <w:bCs/>
          <w:sz w:val="24"/>
          <w:szCs w:val="24"/>
        </w:rPr>
        <w:t>i</w:t>
      </w:r>
      <w:r w:rsidRPr="0016621E">
        <w:rPr>
          <w:rFonts w:ascii="Times New Roman" w:hAnsi="Times New Roman" w:cs="Times New Roman"/>
          <w:bCs/>
          <w:sz w:val="24"/>
          <w:szCs w:val="24"/>
        </w:rPr>
        <w:t xml:space="preserve">sion </w:t>
      </w:r>
      <w:r>
        <w:rPr>
          <w:rFonts w:ascii="Times New Roman" w:hAnsi="Times New Roman" w:cs="Times New Roman"/>
          <w:bCs/>
          <w:sz w:val="24"/>
          <w:szCs w:val="24"/>
        </w:rPr>
        <w:t xml:space="preserve"> Burundi </w:t>
      </w:r>
      <w:r w:rsidRPr="0016621E">
        <w:rPr>
          <w:rFonts w:ascii="Times New Roman" w:hAnsi="Times New Roman" w:cs="Times New Roman"/>
          <w:bCs/>
          <w:sz w:val="24"/>
          <w:szCs w:val="24"/>
        </w:rPr>
        <w:t>25 et CSLP II, mais aussi l</w:t>
      </w:r>
      <w:r w:rsidR="00851DA5" w:rsidRPr="0016621E">
        <w:rPr>
          <w:rFonts w:ascii="Times New Roman" w:hAnsi="Times New Roman" w:cs="Times New Roman"/>
          <w:bCs/>
          <w:sz w:val="24"/>
          <w:szCs w:val="24"/>
        </w:rPr>
        <w:t xml:space="preserve">es CPAP PNUD et d’autres stratégies nationales et internationales (SE4All, </w:t>
      </w:r>
      <w:r w:rsidRPr="0016621E">
        <w:rPr>
          <w:rFonts w:ascii="Times New Roman" w:hAnsi="Times New Roman" w:cs="Times New Roman"/>
          <w:bCs/>
          <w:sz w:val="24"/>
          <w:szCs w:val="24"/>
        </w:rPr>
        <w:t xml:space="preserve">ITIE, ODD etc. </w:t>
      </w:r>
    </w:p>
    <w:p w:rsidR="00851DA5" w:rsidRDefault="00851DA5" w:rsidP="00D450E9">
      <w:pPr>
        <w:spacing w:line="276" w:lineRule="auto"/>
        <w:ind w:left="1416"/>
        <w:jc w:val="both"/>
        <w:rPr>
          <w:rFonts w:ascii="Times New Roman" w:hAnsi="Times New Roman" w:cs="Times New Roman"/>
          <w:bCs/>
          <w:sz w:val="24"/>
          <w:szCs w:val="24"/>
        </w:rPr>
      </w:pPr>
    </w:p>
    <w:p w:rsidR="00851DA5" w:rsidRDefault="00851DA5" w:rsidP="00D450E9">
      <w:pPr>
        <w:spacing w:line="276" w:lineRule="auto"/>
        <w:ind w:left="1416"/>
        <w:jc w:val="both"/>
        <w:rPr>
          <w:rFonts w:ascii="Times New Roman" w:hAnsi="Times New Roman" w:cs="Times New Roman"/>
          <w:bCs/>
          <w:sz w:val="24"/>
          <w:szCs w:val="24"/>
        </w:rPr>
        <w:sectPr w:rsidR="00851DA5">
          <w:footerReference w:type="default" r:id="rId19"/>
          <w:pgSz w:w="11906" w:h="16838"/>
          <w:pgMar w:top="1417" w:right="1417" w:bottom="1417" w:left="1417" w:header="708" w:footer="708" w:gutter="0"/>
          <w:cols w:space="708"/>
          <w:docGrid w:linePitch="360"/>
        </w:sectPr>
      </w:pPr>
    </w:p>
    <w:p w:rsidR="001674FB" w:rsidRPr="005C0B68" w:rsidRDefault="001674FB" w:rsidP="005C0B68">
      <w:pPr>
        <w:pStyle w:val="Titre3"/>
        <w:spacing w:after="240" w:line="276" w:lineRule="auto"/>
        <w:rPr>
          <w:rFonts w:ascii="Times New Roman" w:hAnsi="Times New Roman" w:cs="Times New Roman"/>
          <w:bCs/>
          <w:color w:val="auto"/>
        </w:rPr>
      </w:pPr>
      <w:bookmarkStart w:id="51" w:name="_Toc500352736"/>
      <w:r w:rsidRPr="005C0B68">
        <w:rPr>
          <w:rFonts w:ascii="Times New Roman" w:hAnsi="Times New Roman" w:cs="Times New Roman"/>
          <w:b/>
          <w:bCs/>
          <w:color w:val="auto"/>
        </w:rPr>
        <w:lastRenderedPageBreak/>
        <w:t>Efficaci</w:t>
      </w:r>
      <w:r w:rsidR="00D450E9" w:rsidRPr="005C0B68">
        <w:rPr>
          <w:rFonts w:ascii="Times New Roman" w:hAnsi="Times New Roman" w:cs="Times New Roman"/>
          <w:b/>
          <w:bCs/>
          <w:color w:val="auto"/>
        </w:rPr>
        <w:t>té</w:t>
      </w:r>
      <w:r w:rsidR="00D450E9" w:rsidRPr="005C0B68">
        <w:rPr>
          <w:rFonts w:ascii="Times New Roman" w:hAnsi="Times New Roman" w:cs="Times New Roman"/>
          <w:bCs/>
          <w:color w:val="auto"/>
        </w:rPr>
        <w:t>.</w:t>
      </w:r>
      <w:bookmarkEnd w:id="51"/>
      <w:r w:rsidR="00D450E9" w:rsidRPr="005C0B68">
        <w:rPr>
          <w:rFonts w:ascii="Times New Roman" w:hAnsi="Times New Roman" w:cs="Times New Roman"/>
          <w:bCs/>
          <w:color w:val="auto"/>
        </w:rPr>
        <w:t xml:space="preserve"> </w:t>
      </w:r>
    </w:p>
    <w:tbl>
      <w:tblPr>
        <w:tblpPr w:leftFromText="141" w:rightFromText="141" w:vertAnchor="text" w:tblpX="-635"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559"/>
        <w:gridCol w:w="993"/>
        <w:gridCol w:w="3402"/>
        <w:gridCol w:w="1478"/>
        <w:gridCol w:w="3879"/>
      </w:tblGrid>
      <w:tr w:rsidR="000F5743" w:rsidRPr="007E6147" w:rsidTr="0054472A">
        <w:trPr>
          <w:trHeight w:val="127"/>
          <w:tblHeader/>
        </w:trPr>
        <w:tc>
          <w:tcPr>
            <w:tcW w:w="4106" w:type="dxa"/>
            <w:shd w:val="pct12" w:color="auto" w:fill="auto"/>
            <w:vAlign w:val="center"/>
          </w:tcPr>
          <w:p w:rsidR="007E6147" w:rsidRPr="007E6147" w:rsidRDefault="007E6147" w:rsidP="0054472A">
            <w:pPr>
              <w:spacing w:after="0" w:line="276" w:lineRule="auto"/>
              <w:ind w:left="29"/>
              <w:jc w:val="center"/>
              <w:rPr>
                <w:rFonts w:ascii="Times New Roman" w:eastAsia="Times New Roman" w:hAnsi="Times New Roman" w:cs="Times New Roman"/>
                <w:b/>
                <w:bCs/>
                <w:sz w:val="20"/>
                <w:szCs w:val="20"/>
              </w:rPr>
            </w:pPr>
            <w:r w:rsidRPr="007E6147">
              <w:rPr>
                <w:rFonts w:ascii="Times New Roman" w:eastAsia="Times New Roman" w:hAnsi="Times New Roman" w:cs="Times New Roman"/>
                <w:b/>
                <w:bCs/>
                <w:sz w:val="20"/>
                <w:szCs w:val="20"/>
              </w:rPr>
              <w:t>Objet / produit</w:t>
            </w:r>
          </w:p>
        </w:tc>
        <w:tc>
          <w:tcPr>
            <w:tcW w:w="1559" w:type="dxa"/>
            <w:shd w:val="pct12" w:color="auto" w:fill="auto"/>
            <w:vAlign w:val="center"/>
          </w:tcPr>
          <w:p w:rsidR="007E6147" w:rsidRPr="007E6147" w:rsidRDefault="007E6147" w:rsidP="000F5743">
            <w:pPr>
              <w:spacing w:after="0" w:line="276" w:lineRule="auto"/>
              <w:ind w:left="-106"/>
              <w:jc w:val="center"/>
              <w:rPr>
                <w:rFonts w:ascii="Times New Roman" w:eastAsia="Times New Roman" w:hAnsi="Times New Roman" w:cs="Times New Roman"/>
                <w:b/>
                <w:bCs/>
                <w:sz w:val="20"/>
                <w:szCs w:val="20"/>
              </w:rPr>
            </w:pPr>
            <w:r w:rsidRPr="007E6147">
              <w:rPr>
                <w:rFonts w:ascii="Times New Roman" w:eastAsia="Times New Roman" w:hAnsi="Times New Roman" w:cs="Times New Roman"/>
                <w:b/>
                <w:bCs/>
                <w:sz w:val="20"/>
                <w:szCs w:val="20"/>
              </w:rPr>
              <w:t>Indicateur</w:t>
            </w:r>
          </w:p>
        </w:tc>
        <w:tc>
          <w:tcPr>
            <w:tcW w:w="993" w:type="dxa"/>
            <w:shd w:val="pct12" w:color="auto" w:fill="auto"/>
            <w:vAlign w:val="center"/>
          </w:tcPr>
          <w:p w:rsidR="007E6147" w:rsidRPr="007E6147" w:rsidRDefault="007E6147" w:rsidP="000F5743">
            <w:pPr>
              <w:spacing w:after="0" w:line="276" w:lineRule="auto"/>
              <w:ind w:left="176" w:hanging="176"/>
              <w:jc w:val="center"/>
              <w:rPr>
                <w:rFonts w:ascii="Times New Roman" w:eastAsia="Times New Roman" w:hAnsi="Times New Roman" w:cs="Times New Roman"/>
                <w:b/>
                <w:bCs/>
                <w:sz w:val="20"/>
                <w:szCs w:val="20"/>
              </w:rPr>
            </w:pPr>
            <w:r w:rsidRPr="007E6147">
              <w:rPr>
                <w:rFonts w:ascii="Times New Roman" w:eastAsia="Times New Roman" w:hAnsi="Times New Roman" w:cs="Times New Roman"/>
                <w:b/>
                <w:bCs/>
                <w:sz w:val="20"/>
                <w:szCs w:val="20"/>
              </w:rPr>
              <w:t>Base line</w:t>
            </w:r>
          </w:p>
        </w:tc>
        <w:tc>
          <w:tcPr>
            <w:tcW w:w="3402" w:type="dxa"/>
            <w:shd w:val="pct12" w:color="auto" w:fill="auto"/>
            <w:vAlign w:val="center"/>
          </w:tcPr>
          <w:p w:rsidR="007E6147" w:rsidRPr="007E6147" w:rsidRDefault="007E6147" w:rsidP="0054472A">
            <w:pPr>
              <w:spacing w:after="0" w:line="276" w:lineRule="auto"/>
              <w:jc w:val="center"/>
              <w:rPr>
                <w:rFonts w:ascii="Times New Roman" w:eastAsia="Times New Roman" w:hAnsi="Times New Roman" w:cs="Times New Roman"/>
                <w:b/>
                <w:bCs/>
                <w:sz w:val="20"/>
                <w:szCs w:val="20"/>
              </w:rPr>
            </w:pPr>
            <w:r w:rsidRPr="007E6147">
              <w:rPr>
                <w:rFonts w:ascii="Times New Roman" w:eastAsia="Times New Roman" w:hAnsi="Times New Roman" w:cs="Times New Roman"/>
                <w:b/>
                <w:bCs/>
                <w:sz w:val="20"/>
                <w:szCs w:val="20"/>
              </w:rPr>
              <w:t>Cible à la fin du projet</w:t>
            </w:r>
          </w:p>
        </w:tc>
        <w:tc>
          <w:tcPr>
            <w:tcW w:w="1478" w:type="dxa"/>
            <w:shd w:val="pct12" w:color="auto" w:fill="auto"/>
            <w:vAlign w:val="center"/>
          </w:tcPr>
          <w:p w:rsidR="007E6147" w:rsidRPr="007E6147" w:rsidRDefault="007E6147" w:rsidP="0054472A">
            <w:pPr>
              <w:spacing w:after="0" w:line="276" w:lineRule="auto"/>
              <w:ind w:left="34"/>
              <w:jc w:val="center"/>
              <w:rPr>
                <w:rFonts w:ascii="Times New Roman" w:eastAsia="Times New Roman" w:hAnsi="Times New Roman" w:cs="Times New Roman"/>
                <w:b/>
                <w:bCs/>
                <w:sz w:val="20"/>
                <w:szCs w:val="20"/>
              </w:rPr>
            </w:pPr>
            <w:r w:rsidRPr="007E6147">
              <w:rPr>
                <w:rFonts w:ascii="Times New Roman" w:eastAsia="Times New Roman" w:hAnsi="Times New Roman" w:cs="Times New Roman"/>
                <w:b/>
                <w:bCs/>
                <w:sz w:val="20"/>
                <w:szCs w:val="20"/>
              </w:rPr>
              <w:t>Notation</w:t>
            </w:r>
          </w:p>
        </w:tc>
        <w:tc>
          <w:tcPr>
            <w:tcW w:w="3879" w:type="dxa"/>
            <w:shd w:val="pct12" w:color="auto" w:fill="auto"/>
            <w:vAlign w:val="center"/>
          </w:tcPr>
          <w:p w:rsidR="007E6147" w:rsidRPr="007E6147" w:rsidRDefault="007E6147" w:rsidP="0054472A">
            <w:pPr>
              <w:spacing w:after="0" w:line="276" w:lineRule="auto"/>
              <w:jc w:val="center"/>
              <w:rPr>
                <w:rFonts w:ascii="Times New Roman" w:eastAsia="Times New Roman" w:hAnsi="Times New Roman" w:cs="Times New Roman"/>
                <w:b/>
                <w:bCs/>
                <w:sz w:val="20"/>
                <w:szCs w:val="20"/>
              </w:rPr>
            </w:pPr>
            <w:r w:rsidRPr="007E6147">
              <w:rPr>
                <w:rFonts w:ascii="Times New Roman" w:eastAsia="Times New Roman" w:hAnsi="Times New Roman" w:cs="Times New Roman"/>
                <w:b/>
                <w:bCs/>
                <w:sz w:val="20"/>
                <w:szCs w:val="20"/>
              </w:rPr>
              <w:t>Observations</w:t>
            </w:r>
          </w:p>
        </w:tc>
      </w:tr>
      <w:tr w:rsidR="000F5743" w:rsidRPr="007E6147" w:rsidTr="0054472A">
        <w:trPr>
          <w:trHeight w:val="458"/>
          <w:tblHeader/>
        </w:trPr>
        <w:tc>
          <w:tcPr>
            <w:tcW w:w="4106" w:type="dxa"/>
            <w:shd w:val="pct12" w:color="auto" w:fill="auto"/>
          </w:tcPr>
          <w:p w:rsidR="007E6147" w:rsidRPr="007E6147" w:rsidRDefault="007E6147"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Améliorer l’environnement légal, réglementaire et institutionnel des secteurs de l’Energie et des Mines pour permettre à court et moyen terme la promotion des investissements publics et privé dans ces secteurs.</w:t>
            </w:r>
          </w:p>
        </w:tc>
        <w:tc>
          <w:tcPr>
            <w:tcW w:w="1559" w:type="dxa"/>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993" w:type="dxa"/>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3402" w:type="dxa"/>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1478" w:type="dxa"/>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3879" w:type="dxa"/>
            <w:shd w:val="clear" w:color="auto" w:fill="auto"/>
          </w:tcPr>
          <w:p w:rsidR="007E6147" w:rsidRPr="007E6147" w:rsidRDefault="007E6147" w:rsidP="000F5743">
            <w:pPr>
              <w:spacing w:after="60" w:line="276" w:lineRule="auto"/>
              <w:rPr>
                <w:rFonts w:ascii="Times New Roman" w:eastAsia="Times New Roman" w:hAnsi="Times New Roman" w:cs="Times New Roman"/>
                <w:bCs/>
                <w:sz w:val="20"/>
                <w:szCs w:val="20"/>
              </w:rPr>
            </w:pPr>
          </w:p>
        </w:tc>
      </w:tr>
      <w:tr w:rsidR="000F5743" w:rsidRPr="007E6147" w:rsidTr="0054472A">
        <w:trPr>
          <w:trHeight w:val="278"/>
          <w:tblHeader/>
        </w:trPr>
        <w:tc>
          <w:tcPr>
            <w:tcW w:w="4106" w:type="dxa"/>
            <w:vMerge w:val="restart"/>
            <w:shd w:val="pct12" w:color="auto" w:fill="auto"/>
          </w:tcPr>
          <w:p w:rsidR="007E6147" w:rsidRPr="007E6147" w:rsidRDefault="007E6147"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 xml:space="preserve">Les Politiques, stratégies et cadres légaux et réglementaires régissant les secteurs de l’Energie et des Mines modernisés en vue d’une plus grande attractivité de ces secteurs pour les investisseurs potentiels </w:t>
            </w:r>
          </w:p>
        </w:tc>
        <w:tc>
          <w:tcPr>
            <w:tcW w:w="1559" w:type="dxa"/>
            <w:vMerge w:val="restart"/>
          </w:tcPr>
          <w:p w:rsidR="007E6147" w:rsidRPr="007E6147" w:rsidRDefault="007E6147"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Disponibilité de nouveaux  outils de politique et stratégie dans les domaines de l’Energie et des Mines</w:t>
            </w:r>
          </w:p>
        </w:tc>
        <w:tc>
          <w:tcPr>
            <w:tcW w:w="993" w:type="dxa"/>
            <w:vMerge w:val="restart"/>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3402" w:type="dxa"/>
          </w:tcPr>
          <w:p w:rsidR="007E6147" w:rsidRPr="007E6147" w:rsidRDefault="007E6147"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2013 : Stratégie Nationale d’électrification et son plan action tenant compte énergies renouvelables formulée et validée</w:t>
            </w:r>
          </w:p>
        </w:tc>
        <w:tc>
          <w:tcPr>
            <w:tcW w:w="1478" w:type="dxa"/>
            <w:shd w:val="clear" w:color="auto" w:fill="00B050"/>
          </w:tcPr>
          <w:p w:rsidR="007E6147" w:rsidRPr="00100CA7" w:rsidRDefault="00953FCF" w:rsidP="000F5743">
            <w:pPr>
              <w:spacing w:after="60" w:line="276" w:lineRule="auto"/>
              <w:rPr>
                <w:rFonts w:ascii="Times New Roman" w:eastAsia="Times New Roman" w:hAnsi="Times New Roman" w:cs="Times New Roman"/>
                <w:bCs/>
                <w:sz w:val="20"/>
                <w:szCs w:val="20"/>
              </w:rPr>
            </w:pPr>
            <w:r w:rsidRPr="00100CA7">
              <w:rPr>
                <w:rFonts w:ascii="Times New Roman" w:eastAsia="Times New Roman" w:hAnsi="Times New Roman" w:cs="Times New Roman"/>
                <w:bCs/>
                <w:sz w:val="20"/>
                <w:szCs w:val="20"/>
              </w:rPr>
              <w:t>Très satisfaisant</w:t>
            </w:r>
          </w:p>
        </w:tc>
        <w:tc>
          <w:tcPr>
            <w:tcW w:w="3879" w:type="dxa"/>
            <w:shd w:val="clear" w:color="auto" w:fill="auto"/>
          </w:tcPr>
          <w:p w:rsidR="007E6147" w:rsidRPr="007E6147" w:rsidRDefault="007E6147"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 xml:space="preserve">Ce document en 6 volumes constitue l’activité phare du projet. Il constitue une bonne base SE4ALL – les forces et les faiblesses </w:t>
            </w:r>
          </w:p>
        </w:tc>
      </w:tr>
      <w:tr w:rsidR="000F5743" w:rsidRPr="007E6147" w:rsidTr="0054472A">
        <w:trPr>
          <w:trHeight w:val="275"/>
          <w:tblHeader/>
        </w:trPr>
        <w:tc>
          <w:tcPr>
            <w:tcW w:w="4106" w:type="dxa"/>
            <w:vMerge/>
            <w:shd w:val="pct12" w:color="auto" w:fill="auto"/>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1559" w:type="dxa"/>
            <w:vMerge/>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993" w:type="dxa"/>
            <w:vMerge/>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3402" w:type="dxa"/>
          </w:tcPr>
          <w:p w:rsidR="007E6147" w:rsidRPr="007E6147" w:rsidRDefault="007E6147"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 xml:space="preserve">2013 : Une politique sectorielle du secteur minier assortie de son plan d’action est formulée et validée par les partenaires nationaux et internationaux </w:t>
            </w:r>
          </w:p>
        </w:tc>
        <w:tc>
          <w:tcPr>
            <w:tcW w:w="1478" w:type="dxa"/>
            <w:shd w:val="clear" w:color="auto" w:fill="00B050"/>
          </w:tcPr>
          <w:p w:rsidR="007E6147" w:rsidRPr="00100CA7" w:rsidRDefault="00B03D99" w:rsidP="000F5743">
            <w:pPr>
              <w:spacing w:after="60" w:line="276" w:lineRule="auto"/>
              <w:rPr>
                <w:rFonts w:ascii="Times New Roman" w:eastAsia="Times New Roman" w:hAnsi="Times New Roman" w:cs="Times New Roman"/>
                <w:bCs/>
                <w:sz w:val="20"/>
                <w:szCs w:val="20"/>
              </w:rPr>
            </w:pPr>
            <w:r w:rsidRPr="00100CA7">
              <w:rPr>
                <w:rFonts w:ascii="Times New Roman" w:eastAsia="Times New Roman" w:hAnsi="Times New Roman" w:cs="Times New Roman"/>
                <w:bCs/>
                <w:sz w:val="20"/>
                <w:szCs w:val="20"/>
              </w:rPr>
              <w:t>S</w:t>
            </w:r>
            <w:r w:rsidR="00953FCF" w:rsidRPr="00100CA7">
              <w:rPr>
                <w:rFonts w:ascii="Times New Roman" w:eastAsia="Times New Roman" w:hAnsi="Times New Roman" w:cs="Times New Roman"/>
                <w:bCs/>
                <w:sz w:val="20"/>
                <w:szCs w:val="20"/>
              </w:rPr>
              <w:t>atisfaisant</w:t>
            </w:r>
          </w:p>
        </w:tc>
        <w:tc>
          <w:tcPr>
            <w:tcW w:w="3879" w:type="dxa"/>
            <w:shd w:val="clear" w:color="auto" w:fill="auto"/>
          </w:tcPr>
          <w:p w:rsidR="007E6147" w:rsidRPr="00B03D99" w:rsidRDefault="00B03D99" w:rsidP="000F5743">
            <w:pPr>
              <w:rPr>
                <w:rFonts w:ascii="Times New Roman" w:hAnsi="Times New Roman" w:cs="Times New Roman"/>
                <w:sz w:val="20"/>
                <w:szCs w:val="20"/>
              </w:rPr>
            </w:pPr>
            <w:r w:rsidRPr="00100CA7">
              <w:rPr>
                <w:rFonts w:ascii="Times New Roman" w:hAnsi="Times New Roman" w:cs="Times New Roman"/>
                <w:sz w:val="20"/>
                <w:szCs w:val="20"/>
              </w:rPr>
              <w:t xml:space="preserve">Grâce à la contribution de l’Expert national qui a été recruté à cet effet </w:t>
            </w:r>
          </w:p>
        </w:tc>
      </w:tr>
      <w:tr w:rsidR="000F5743" w:rsidRPr="007E6147" w:rsidTr="0054472A">
        <w:trPr>
          <w:trHeight w:val="275"/>
          <w:tblHeader/>
        </w:trPr>
        <w:tc>
          <w:tcPr>
            <w:tcW w:w="4106" w:type="dxa"/>
            <w:vMerge/>
            <w:shd w:val="pct12" w:color="auto" w:fill="auto"/>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1559" w:type="dxa"/>
            <w:vMerge/>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993" w:type="dxa"/>
            <w:vMerge/>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3402" w:type="dxa"/>
          </w:tcPr>
          <w:p w:rsidR="007E6147" w:rsidRPr="007E6147" w:rsidRDefault="007E6147"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2014 : Protocole pour l’adhésion à l’ITIE adopté par le Groupe Sectoriel</w:t>
            </w:r>
          </w:p>
        </w:tc>
        <w:tc>
          <w:tcPr>
            <w:tcW w:w="1478" w:type="dxa"/>
            <w:shd w:val="clear" w:color="auto" w:fill="00B050"/>
          </w:tcPr>
          <w:p w:rsidR="007E6147" w:rsidRPr="00100CA7" w:rsidRDefault="00953FCF" w:rsidP="000F5743">
            <w:pPr>
              <w:spacing w:after="60" w:line="276" w:lineRule="auto"/>
              <w:rPr>
                <w:rFonts w:ascii="Times New Roman" w:eastAsia="Times New Roman" w:hAnsi="Times New Roman" w:cs="Times New Roman"/>
                <w:bCs/>
                <w:sz w:val="20"/>
                <w:szCs w:val="20"/>
              </w:rPr>
            </w:pPr>
            <w:r w:rsidRPr="00100CA7">
              <w:rPr>
                <w:rFonts w:ascii="Times New Roman" w:eastAsia="Times New Roman" w:hAnsi="Times New Roman" w:cs="Times New Roman"/>
                <w:bCs/>
                <w:sz w:val="20"/>
                <w:szCs w:val="20"/>
              </w:rPr>
              <w:t>Satisfaisant</w:t>
            </w:r>
          </w:p>
        </w:tc>
        <w:tc>
          <w:tcPr>
            <w:tcW w:w="3879" w:type="dxa"/>
            <w:shd w:val="clear" w:color="auto" w:fill="auto"/>
          </w:tcPr>
          <w:p w:rsidR="007E6147" w:rsidRPr="007E6147" w:rsidRDefault="00531EA9" w:rsidP="000F5743">
            <w:pPr>
              <w:spacing w:after="60"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Car</w:t>
            </w:r>
            <w:r w:rsidR="007E6147" w:rsidRPr="007E6147">
              <w:rPr>
                <w:rFonts w:ascii="Times New Roman" w:eastAsia="Times New Roman" w:hAnsi="Times New Roman" w:cs="Times New Roman"/>
                <w:bCs/>
                <w:sz w:val="20"/>
                <w:szCs w:val="20"/>
              </w:rPr>
              <w:t xml:space="preserve"> le Ministère continue le pilotage du processus ITIE- Ainsi, avec l’appui de la GIZ un Décret y relatif a ét</w:t>
            </w:r>
            <w:r w:rsidR="00134A20">
              <w:rPr>
                <w:rFonts w:ascii="Times New Roman" w:eastAsia="Times New Roman" w:hAnsi="Times New Roman" w:cs="Times New Roman"/>
                <w:bCs/>
                <w:sz w:val="20"/>
                <w:szCs w:val="20"/>
              </w:rPr>
              <w:t xml:space="preserve">é pris et signé. </w:t>
            </w:r>
          </w:p>
        </w:tc>
      </w:tr>
      <w:tr w:rsidR="000F5743" w:rsidRPr="007E6147" w:rsidTr="0054472A">
        <w:trPr>
          <w:trHeight w:val="578"/>
          <w:tblHeader/>
        </w:trPr>
        <w:tc>
          <w:tcPr>
            <w:tcW w:w="4106" w:type="dxa"/>
            <w:vMerge/>
            <w:shd w:val="pct12" w:color="auto" w:fill="auto"/>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1559" w:type="dxa"/>
            <w:vMerge/>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993" w:type="dxa"/>
            <w:vMerge/>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3402" w:type="dxa"/>
          </w:tcPr>
          <w:p w:rsidR="007E6147" w:rsidRPr="007E6147" w:rsidRDefault="007E6147"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 xml:space="preserve">2014 : Nouveaux textes légaux et réglementaires sur l’Energie et les Mines élaborés et adoptés par le groupe sectoriel </w:t>
            </w:r>
          </w:p>
        </w:tc>
        <w:tc>
          <w:tcPr>
            <w:tcW w:w="1478" w:type="dxa"/>
            <w:shd w:val="clear" w:color="auto" w:fill="FFFF00"/>
          </w:tcPr>
          <w:p w:rsidR="007E6147" w:rsidRPr="007E6147" w:rsidRDefault="00100CA7" w:rsidP="000F5743">
            <w:pPr>
              <w:spacing w:after="60" w:line="276" w:lineRule="auto"/>
              <w:rPr>
                <w:rFonts w:ascii="Times New Roman" w:eastAsia="Times New Roman" w:hAnsi="Times New Roman" w:cs="Times New Roman"/>
                <w:bCs/>
                <w:sz w:val="20"/>
                <w:szCs w:val="20"/>
              </w:rPr>
            </w:pPr>
            <w:r w:rsidRPr="00100CA7">
              <w:rPr>
                <w:rFonts w:ascii="Times New Roman" w:eastAsia="Times New Roman" w:hAnsi="Times New Roman" w:cs="Times New Roman"/>
                <w:bCs/>
                <w:sz w:val="20"/>
                <w:szCs w:val="20"/>
              </w:rPr>
              <w:t xml:space="preserve">Moyennement </w:t>
            </w:r>
            <w:r w:rsidR="00B03D99" w:rsidRPr="00100CA7">
              <w:rPr>
                <w:rFonts w:ascii="Times New Roman" w:eastAsia="Times New Roman" w:hAnsi="Times New Roman" w:cs="Times New Roman"/>
                <w:bCs/>
                <w:sz w:val="20"/>
                <w:szCs w:val="20"/>
              </w:rPr>
              <w:t>s</w:t>
            </w:r>
            <w:r w:rsidR="00953FCF" w:rsidRPr="00100CA7">
              <w:rPr>
                <w:rFonts w:ascii="Times New Roman" w:eastAsia="Times New Roman" w:hAnsi="Times New Roman" w:cs="Times New Roman"/>
                <w:bCs/>
                <w:sz w:val="20"/>
                <w:szCs w:val="20"/>
              </w:rPr>
              <w:t>atisfaisant</w:t>
            </w:r>
          </w:p>
        </w:tc>
        <w:tc>
          <w:tcPr>
            <w:tcW w:w="3879" w:type="dxa"/>
            <w:shd w:val="clear" w:color="auto" w:fill="auto"/>
          </w:tcPr>
          <w:p w:rsidR="007E6147" w:rsidRPr="007E6147" w:rsidRDefault="007E6147"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Exécutée avec diffusion des textes d’application du Code minier</w:t>
            </w:r>
          </w:p>
        </w:tc>
      </w:tr>
      <w:tr w:rsidR="000F5743" w:rsidRPr="007E6147" w:rsidTr="0054472A">
        <w:trPr>
          <w:trHeight w:val="578"/>
          <w:tblHeader/>
        </w:trPr>
        <w:tc>
          <w:tcPr>
            <w:tcW w:w="4106" w:type="dxa"/>
            <w:vMerge/>
            <w:shd w:val="pct12" w:color="auto" w:fill="auto"/>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1559" w:type="dxa"/>
            <w:vMerge/>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993" w:type="dxa"/>
            <w:vMerge/>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3402" w:type="dxa"/>
          </w:tcPr>
          <w:p w:rsidR="007E6147" w:rsidRPr="007E6147" w:rsidRDefault="007E6147"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2014 : Code Minier actualisé à la lumière de la nouvelle politique sectorielle formulée et adopté par le groupe sectoriel</w:t>
            </w:r>
          </w:p>
        </w:tc>
        <w:tc>
          <w:tcPr>
            <w:tcW w:w="1478" w:type="dxa"/>
            <w:shd w:val="clear" w:color="auto" w:fill="00B050"/>
          </w:tcPr>
          <w:p w:rsidR="007E6147" w:rsidRPr="007E6147" w:rsidRDefault="00953FCF" w:rsidP="000F5743">
            <w:pPr>
              <w:spacing w:after="60"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Sat</w:t>
            </w:r>
            <w:r w:rsidRPr="006372F5">
              <w:rPr>
                <w:rFonts w:ascii="Times New Roman" w:eastAsia="Times New Roman" w:hAnsi="Times New Roman" w:cs="Times New Roman"/>
                <w:bCs/>
                <w:sz w:val="20"/>
                <w:szCs w:val="20"/>
                <w:shd w:val="clear" w:color="auto" w:fill="00B050"/>
              </w:rPr>
              <w:t>isfaisan</w:t>
            </w:r>
            <w:r>
              <w:rPr>
                <w:rFonts w:ascii="Times New Roman" w:eastAsia="Times New Roman" w:hAnsi="Times New Roman" w:cs="Times New Roman"/>
                <w:bCs/>
                <w:sz w:val="20"/>
                <w:szCs w:val="20"/>
              </w:rPr>
              <w:t>t</w:t>
            </w:r>
          </w:p>
        </w:tc>
        <w:tc>
          <w:tcPr>
            <w:tcW w:w="3879" w:type="dxa"/>
            <w:shd w:val="clear" w:color="auto" w:fill="auto"/>
          </w:tcPr>
          <w:p w:rsidR="007E6147" w:rsidRPr="007E6147" w:rsidRDefault="007E6147"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Cependant il est prévu à partir de janvier 2018 une consultation pour la réactualisation du code pétrolier (qui date de 1976) et son harmonisation</w:t>
            </w:r>
          </w:p>
        </w:tc>
      </w:tr>
      <w:tr w:rsidR="000F5743" w:rsidRPr="007E6147" w:rsidTr="0054472A">
        <w:trPr>
          <w:trHeight w:val="275"/>
          <w:tblHeader/>
        </w:trPr>
        <w:tc>
          <w:tcPr>
            <w:tcW w:w="4106" w:type="dxa"/>
            <w:vMerge/>
            <w:shd w:val="pct12" w:color="auto" w:fill="auto"/>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1559" w:type="dxa"/>
            <w:vMerge/>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993" w:type="dxa"/>
            <w:vMerge/>
          </w:tcPr>
          <w:p w:rsidR="007E6147" w:rsidRPr="007E6147" w:rsidRDefault="007E6147" w:rsidP="000F5743">
            <w:pPr>
              <w:spacing w:after="60" w:line="276" w:lineRule="auto"/>
              <w:rPr>
                <w:rFonts w:ascii="Times New Roman" w:eastAsia="Times New Roman" w:hAnsi="Times New Roman" w:cs="Times New Roman"/>
                <w:bCs/>
                <w:sz w:val="20"/>
                <w:szCs w:val="20"/>
              </w:rPr>
            </w:pPr>
          </w:p>
        </w:tc>
        <w:tc>
          <w:tcPr>
            <w:tcW w:w="3402" w:type="dxa"/>
          </w:tcPr>
          <w:p w:rsidR="007E6147" w:rsidRPr="007E6147" w:rsidRDefault="007E6147"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2014 : Protocole pour l’adhésion à l’ITIE adopté par le Groupe Sectoriel</w:t>
            </w:r>
          </w:p>
        </w:tc>
        <w:tc>
          <w:tcPr>
            <w:tcW w:w="1478" w:type="dxa"/>
            <w:shd w:val="clear" w:color="auto" w:fill="FFFF00"/>
          </w:tcPr>
          <w:p w:rsidR="007E6147" w:rsidRPr="007E6147" w:rsidRDefault="006372F5" w:rsidP="000F5743">
            <w:pPr>
              <w:spacing w:after="60"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Assez </w:t>
            </w:r>
            <w:r w:rsidR="00953FCF">
              <w:rPr>
                <w:rFonts w:ascii="Times New Roman" w:eastAsia="Times New Roman" w:hAnsi="Times New Roman" w:cs="Times New Roman"/>
                <w:bCs/>
                <w:sz w:val="20"/>
                <w:szCs w:val="20"/>
              </w:rPr>
              <w:t>Insatisfaisant</w:t>
            </w:r>
          </w:p>
        </w:tc>
        <w:tc>
          <w:tcPr>
            <w:tcW w:w="3879" w:type="dxa"/>
            <w:shd w:val="clear" w:color="auto" w:fill="auto"/>
          </w:tcPr>
          <w:p w:rsidR="007E6147" w:rsidRPr="007E6147" w:rsidRDefault="006372F5" w:rsidP="000F5743">
            <w:pPr>
              <w:spacing w:after="60"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Un avant-projet du document a été réalisé</w:t>
            </w:r>
          </w:p>
        </w:tc>
      </w:tr>
    </w:tbl>
    <w:p w:rsidR="0054472A" w:rsidRDefault="0054472A"/>
    <w:tbl>
      <w:tblPr>
        <w:tblpPr w:leftFromText="141" w:rightFromText="141" w:vertAnchor="text" w:tblpX="-635"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1"/>
        <w:gridCol w:w="1689"/>
        <w:gridCol w:w="992"/>
        <w:gridCol w:w="3431"/>
        <w:gridCol w:w="1195"/>
        <w:gridCol w:w="3879"/>
      </w:tblGrid>
      <w:tr w:rsidR="0054472A" w:rsidRPr="007E6147" w:rsidTr="004C65AB">
        <w:trPr>
          <w:trHeight w:val="127"/>
          <w:tblHeader/>
        </w:trPr>
        <w:tc>
          <w:tcPr>
            <w:tcW w:w="4231" w:type="dxa"/>
            <w:shd w:val="pct12" w:color="auto" w:fill="auto"/>
            <w:vAlign w:val="center"/>
          </w:tcPr>
          <w:p w:rsidR="0054472A" w:rsidRPr="007E6147" w:rsidRDefault="0054472A" w:rsidP="004C65AB">
            <w:pPr>
              <w:spacing w:after="0" w:line="276" w:lineRule="auto"/>
              <w:ind w:left="29"/>
              <w:jc w:val="center"/>
              <w:rPr>
                <w:rFonts w:ascii="Times New Roman" w:eastAsia="Times New Roman" w:hAnsi="Times New Roman" w:cs="Times New Roman"/>
                <w:b/>
                <w:bCs/>
                <w:sz w:val="20"/>
                <w:szCs w:val="20"/>
              </w:rPr>
            </w:pPr>
            <w:r w:rsidRPr="007E6147">
              <w:rPr>
                <w:rFonts w:ascii="Times New Roman" w:eastAsia="Times New Roman" w:hAnsi="Times New Roman" w:cs="Times New Roman"/>
                <w:b/>
                <w:bCs/>
                <w:sz w:val="20"/>
                <w:szCs w:val="20"/>
              </w:rPr>
              <w:t>Objet / produit</w:t>
            </w:r>
          </w:p>
        </w:tc>
        <w:tc>
          <w:tcPr>
            <w:tcW w:w="1689" w:type="dxa"/>
            <w:shd w:val="pct12" w:color="auto" w:fill="auto"/>
            <w:vAlign w:val="center"/>
          </w:tcPr>
          <w:p w:rsidR="0054472A" w:rsidRPr="007E6147" w:rsidRDefault="0054472A" w:rsidP="004C65AB">
            <w:pPr>
              <w:spacing w:after="0" w:line="276" w:lineRule="auto"/>
              <w:ind w:left="-106"/>
              <w:jc w:val="center"/>
              <w:rPr>
                <w:rFonts w:ascii="Times New Roman" w:eastAsia="Times New Roman" w:hAnsi="Times New Roman" w:cs="Times New Roman"/>
                <w:b/>
                <w:bCs/>
                <w:sz w:val="20"/>
                <w:szCs w:val="20"/>
              </w:rPr>
            </w:pPr>
            <w:r w:rsidRPr="007E6147">
              <w:rPr>
                <w:rFonts w:ascii="Times New Roman" w:eastAsia="Times New Roman" w:hAnsi="Times New Roman" w:cs="Times New Roman"/>
                <w:b/>
                <w:bCs/>
                <w:sz w:val="20"/>
                <w:szCs w:val="20"/>
              </w:rPr>
              <w:t>Indicateur</w:t>
            </w:r>
          </w:p>
        </w:tc>
        <w:tc>
          <w:tcPr>
            <w:tcW w:w="992" w:type="dxa"/>
            <w:shd w:val="pct12" w:color="auto" w:fill="auto"/>
            <w:vAlign w:val="center"/>
          </w:tcPr>
          <w:p w:rsidR="0054472A" w:rsidRPr="007E6147" w:rsidRDefault="0054472A" w:rsidP="004C65AB">
            <w:pPr>
              <w:spacing w:after="0" w:line="276" w:lineRule="auto"/>
              <w:ind w:left="176" w:hanging="176"/>
              <w:jc w:val="center"/>
              <w:rPr>
                <w:rFonts w:ascii="Times New Roman" w:eastAsia="Times New Roman" w:hAnsi="Times New Roman" w:cs="Times New Roman"/>
                <w:b/>
                <w:bCs/>
                <w:sz w:val="20"/>
                <w:szCs w:val="20"/>
              </w:rPr>
            </w:pPr>
            <w:r w:rsidRPr="007E6147">
              <w:rPr>
                <w:rFonts w:ascii="Times New Roman" w:eastAsia="Times New Roman" w:hAnsi="Times New Roman" w:cs="Times New Roman"/>
                <w:b/>
                <w:bCs/>
                <w:sz w:val="20"/>
                <w:szCs w:val="20"/>
              </w:rPr>
              <w:t>Base line</w:t>
            </w:r>
          </w:p>
        </w:tc>
        <w:tc>
          <w:tcPr>
            <w:tcW w:w="3431" w:type="dxa"/>
            <w:shd w:val="pct12" w:color="auto" w:fill="auto"/>
            <w:vAlign w:val="center"/>
          </w:tcPr>
          <w:p w:rsidR="0054472A" w:rsidRPr="007E6147" w:rsidRDefault="0054472A" w:rsidP="004C65AB">
            <w:pPr>
              <w:spacing w:after="0" w:line="276" w:lineRule="auto"/>
              <w:jc w:val="center"/>
              <w:rPr>
                <w:rFonts w:ascii="Times New Roman" w:eastAsia="Times New Roman" w:hAnsi="Times New Roman" w:cs="Times New Roman"/>
                <w:b/>
                <w:bCs/>
                <w:sz w:val="20"/>
                <w:szCs w:val="20"/>
              </w:rPr>
            </w:pPr>
            <w:r w:rsidRPr="007E6147">
              <w:rPr>
                <w:rFonts w:ascii="Times New Roman" w:eastAsia="Times New Roman" w:hAnsi="Times New Roman" w:cs="Times New Roman"/>
                <w:b/>
                <w:bCs/>
                <w:sz w:val="20"/>
                <w:szCs w:val="20"/>
              </w:rPr>
              <w:t>Cible à la fin du projet</w:t>
            </w:r>
          </w:p>
        </w:tc>
        <w:tc>
          <w:tcPr>
            <w:tcW w:w="1195" w:type="dxa"/>
            <w:shd w:val="pct12" w:color="auto" w:fill="auto"/>
            <w:vAlign w:val="center"/>
          </w:tcPr>
          <w:p w:rsidR="0054472A" w:rsidRPr="007E6147" w:rsidRDefault="0054472A" w:rsidP="004C65AB">
            <w:pPr>
              <w:spacing w:after="0" w:line="276" w:lineRule="auto"/>
              <w:ind w:left="34"/>
              <w:jc w:val="center"/>
              <w:rPr>
                <w:rFonts w:ascii="Times New Roman" w:eastAsia="Times New Roman" w:hAnsi="Times New Roman" w:cs="Times New Roman"/>
                <w:b/>
                <w:bCs/>
                <w:sz w:val="20"/>
                <w:szCs w:val="20"/>
              </w:rPr>
            </w:pPr>
            <w:r w:rsidRPr="007E6147">
              <w:rPr>
                <w:rFonts w:ascii="Times New Roman" w:eastAsia="Times New Roman" w:hAnsi="Times New Roman" w:cs="Times New Roman"/>
                <w:b/>
                <w:bCs/>
                <w:sz w:val="20"/>
                <w:szCs w:val="20"/>
              </w:rPr>
              <w:t>Notation</w:t>
            </w:r>
          </w:p>
        </w:tc>
        <w:tc>
          <w:tcPr>
            <w:tcW w:w="3879" w:type="dxa"/>
            <w:shd w:val="pct12" w:color="auto" w:fill="auto"/>
            <w:vAlign w:val="center"/>
          </w:tcPr>
          <w:p w:rsidR="0054472A" w:rsidRPr="007E6147" w:rsidRDefault="0054472A" w:rsidP="004C65AB">
            <w:pPr>
              <w:spacing w:after="0" w:line="276" w:lineRule="auto"/>
              <w:jc w:val="center"/>
              <w:rPr>
                <w:rFonts w:ascii="Times New Roman" w:eastAsia="Times New Roman" w:hAnsi="Times New Roman" w:cs="Times New Roman"/>
                <w:b/>
                <w:bCs/>
                <w:sz w:val="20"/>
                <w:szCs w:val="20"/>
              </w:rPr>
            </w:pPr>
            <w:r w:rsidRPr="007E6147">
              <w:rPr>
                <w:rFonts w:ascii="Times New Roman" w:eastAsia="Times New Roman" w:hAnsi="Times New Roman" w:cs="Times New Roman"/>
                <w:b/>
                <w:bCs/>
                <w:sz w:val="20"/>
                <w:szCs w:val="20"/>
              </w:rPr>
              <w:t>Observations</w:t>
            </w:r>
          </w:p>
        </w:tc>
      </w:tr>
      <w:tr w:rsidR="000F5743" w:rsidRPr="008C5721" w:rsidTr="0054472A">
        <w:trPr>
          <w:trHeight w:val="644"/>
          <w:tblHeader/>
        </w:trPr>
        <w:tc>
          <w:tcPr>
            <w:tcW w:w="4231" w:type="dxa"/>
            <w:vMerge w:val="restart"/>
            <w:shd w:val="pct12" w:color="auto" w:fill="auto"/>
          </w:tcPr>
          <w:p w:rsidR="00953FCF" w:rsidRPr="008C5721" w:rsidRDefault="00953FCF" w:rsidP="000F5743">
            <w:pPr>
              <w:spacing w:after="60"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2. </w:t>
            </w:r>
            <w:r w:rsidRPr="003F78B8">
              <w:rPr>
                <w:rFonts w:ascii="Times New Roman" w:eastAsia="Times New Roman" w:hAnsi="Times New Roman" w:cs="Times New Roman"/>
                <w:bCs/>
                <w:sz w:val="20"/>
                <w:szCs w:val="20"/>
              </w:rPr>
              <w:t>Les capacités institutionnelles du Ministère de l’Energie et des Mines renforcés particulièrement en matière de négociation des contrats</w:t>
            </w:r>
          </w:p>
        </w:tc>
        <w:tc>
          <w:tcPr>
            <w:tcW w:w="1689" w:type="dxa"/>
            <w:vMerge w:val="restart"/>
          </w:tcPr>
          <w:p w:rsidR="00953FCF" w:rsidRPr="008C5721" w:rsidRDefault="00953FCF" w:rsidP="000F5743">
            <w:pPr>
              <w:spacing w:after="60" w:line="276" w:lineRule="auto"/>
              <w:rPr>
                <w:rFonts w:ascii="Times New Roman" w:eastAsia="Times New Roman" w:hAnsi="Times New Roman" w:cs="Times New Roman"/>
                <w:bCs/>
                <w:sz w:val="20"/>
                <w:szCs w:val="20"/>
              </w:rPr>
            </w:pPr>
            <w:r w:rsidRPr="003F78B8">
              <w:rPr>
                <w:rFonts w:ascii="Times New Roman" w:eastAsia="Times New Roman" w:hAnsi="Times New Roman" w:cs="Times New Roman"/>
                <w:bCs/>
                <w:sz w:val="20"/>
                <w:szCs w:val="20"/>
              </w:rPr>
              <w:t>Nombre et qualité de modèles de contrats adoptés et nom</w:t>
            </w:r>
            <w:r>
              <w:rPr>
                <w:rFonts w:ascii="Times New Roman" w:eastAsia="Times New Roman" w:hAnsi="Times New Roman" w:cs="Times New Roman"/>
                <w:bCs/>
                <w:sz w:val="20"/>
                <w:szCs w:val="20"/>
              </w:rPr>
              <w:t xml:space="preserve">bre de cadre formés en matière de négociation </w:t>
            </w:r>
          </w:p>
        </w:tc>
        <w:tc>
          <w:tcPr>
            <w:tcW w:w="992" w:type="dxa"/>
            <w:vMerge w:val="restart"/>
          </w:tcPr>
          <w:p w:rsidR="00953FCF" w:rsidRPr="008C5721" w:rsidRDefault="00953FCF" w:rsidP="000F5743">
            <w:pPr>
              <w:spacing w:after="60" w:line="276" w:lineRule="auto"/>
              <w:rPr>
                <w:rFonts w:ascii="Times New Roman" w:eastAsia="Times New Roman" w:hAnsi="Times New Roman" w:cs="Times New Roman"/>
                <w:bCs/>
                <w:sz w:val="20"/>
                <w:szCs w:val="20"/>
              </w:rPr>
            </w:pPr>
          </w:p>
        </w:tc>
        <w:tc>
          <w:tcPr>
            <w:tcW w:w="3431" w:type="dxa"/>
          </w:tcPr>
          <w:p w:rsidR="00953FCF" w:rsidRPr="008C5721" w:rsidRDefault="00953FCF" w:rsidP="000F5743">
            <w:pPr>
              <w:spacing w:after="60" w:line="276" w:lineRule="auto"/>
              <w:rPr>
                <w:rFonts w:ascii="Times New Roman" w:eastAsia="Times New Roman" w:hAnsi="Times New Roman" w:cs="Times New Roman"/>
                <w:bCs/>
                <w:sz w:val="20"/>
                <w:szCs w:val="20"/>
              </w:rPr>
            </w:pPr>
            <w:r w:rsidRPr="003F78B8">
              <w:rPr>
                <w:rFonts w:ascii="Times New Roman" w:eastAsia="Times New Roman" w:hAnsi="Times New Roman" w:cs="Times New Roman"/>
                <w:bCs/>
                <w:sz w:val="20"/>
                <w:szCs w:val="20"/>
              </w:rPr>
              <w:t xml:space="preserve">2014 : Des modèles de contrats de concession pour les secteurs de l’Energie et les Mines élaborés et adoptés par le groupe sectoriel </w:t>
            </w:r>
          </w:p>
        </w:tc>
        <w:tc>
          <w:tcPr>
            <w:tcW w:w="1195" w:type="dxa"/>
            <w:shd w:val="clear" w:color="auto" w:fill="FF0000"/>
          </w:tcPr>
          <w:p w:rsidR="00953FCF" w:rsidRPr="008C5721" w:rsidRDefault="00531EA9" w:rsidP="000F5743">
            <w:pPr>
              <w:spacing w:after="60"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Très insatisfaisant </w:t>
            </w:r>
          </w:p>
        </w:tc>
        <w:tc>
          <w:tcPr>
            <w:tcW w:w="3879" w:type="dxa"/>
            <w:shd w:val="clear" w:color="auto" w:fill="auto"/>
          </w:tcPr>
          <w:p w:rsidR="00953FCF" w:rsidRPr="008C5721" w:rsidRDefault="00B554DD" w:rsidP="000F5743">
            <w:pPr>
              <w:spacing w:after="60"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 prendre en compte dans le cadre du PRCIEG pour les mines et d’autres projets pour l’Energie</w:t>
            </w:r>
          </w:p>
        </w:tc>
      </w:tr>
      <w:tr w:rsidR="000F5743" w:rsidRPr="008C5721" w:rsidTr="0054472A">
        <w:trPr>
          <w:trHeight w:val="644"/>
          <w:tblHeader/>
        </w:trPr>
        <w:tc>
          <w:tcPr>
            <w:tcW w:w="4231" w:type="dxa"/>
            <w:vMerge/>
            <w:shd w:val="pct12" w:color="auto" w:fill="auto"/>
          </w:tcPr>
          <w:p w:rsidR="00953FCF" w:rsidRDefault="00953FCF" w:rsidP="000F5743">
            <w:pPr>
              <w:spacing w:after="60" w:line="276" w:lineRule="auto"/>
              <w:rPr>
                <w:rFonts w:ascii="Times New Roman" w:eastAsia="Times New Roman" w:hAnsi="Times New Roman" w:cs="Times New Roman"/>
                <w:bCs/>
                <w:sz w:val="20"/>
                <w:szCs w:val="20"/>
              </w:rPr>
            </w:pPr>
          </w:p>
        </w:tc>
        <w:tc>
          <w:tcPr>
            <w:tcW w:w="1689" w:type="dxa"/>
            <w:vMerge/>
          </w:tcPr>
          <w:p w:rsidR="00953FCF" w:rsidRPr="003F78B8" w:rsidRDefault="00953FCF" w:rsidP="000F5743">
            <w:pPr>
              <w:spacing w:after="60" w:line="276" w:lineRule="auto"/>
              <w:rPr>
                <w:rFonts w:ascii="Times New Roman" w:eastAsia="Times New Roman" w:hAnsi="Times New Roman" w:cs="Times New Roman"/>
                <w:bCs/>
                <w:sz w:val="20"/>
                <w:szCs w:val="20"/>
              </w:rPr>
            </w:pPr>
          </w:p>
        </w:tc>
        <w:tc>
          <w:tcPr>
            <w:tcW w:w="992" w:type="dxa"/>
            <w:vMerge/>
          </w:tcPr>
          <w:p w:rsidR="00953FCF" w:rsidRPr="008C5721" w:rsidRDefault="00953FCF" w:rsidP="000F5743">
            <w:pPr>
              <w:spacing w:after="60" w:line="276" w:lineRule="auto"/>
              <w:rPr>
                <w:rFonts w:ascii="Times New Roman" w:eastAsia="Times New Roman" w:hAnsi="Times New Roman" w:cs="Times New Roman"/>
                <w:bCs/>
                <w:sz w:val="20"/>
                <w:szCs w:val="20"/>
              </w:rPr>
            </w:pPr>
          </w:p>
        </w:tc>
        <w:tc>
          <w:tcPr>
            <w:tcW w:w="3431" w:type="dxa"/>
          </w:tcPr>
          <w:p w:rsidR="00953FCF" w:rsidRPr="003F78B8" w:rsidRDefault="00953FCF" w:rsidP="000F5743">
            <w:pPr>
              <w:spacing w:after="60" w:line="276" w:lineRule="auto"/>
              <w:rPr>
                <w:rFonts w:ascii="Times New Roman" w:eastAsia="Times New Roman" w:hAnsi="Times New Roman" w:cs="Times New Roman"/>
                <w:bCs/>
                <w:sz w:val="20"/>
                <w:szCs w:val="20"/>
              </w:rPr>
            </w:pPr>
            <w:r w:rsidRPr="003F78B8">
              <w:rPr>
                <w:rFonts w:ascii="Times New Roman" w:eastAsia="Times New Roman" w:hAnsi="Times New Roman" w:cs="Times New Roman"/>
                <w:bCs/>
                <w:sz w:val="20"/>
                <w:szCs w:val="20"/>
              </w:rPr>
              <w:t>2013 - 2014 : Capacités du Ministère en matière négociation des contrats renforcées (Energie et Mines)</w:t>
            </w:r>
          </w:p>
        </w:tc>
        <w:tc>
          <w:tcPr>
            <w:tcW w:w="1195" w:type="dxa"/>
            <w:shd w:val="clear" w:color="auto" w:fill="FF0000"/>
          </w:tcPr>
          <w:p w:rsidR="00953FCF" w:rsidRPr="008C5721" w:rsidRDefault="00531EA9" w:rsidP="000F5743">
            <w:pPr>
              <w:spacing w:after="60"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Insatisfaisant</w:t>
            </w:r>
          </w:p>
        </w:tc>
        <w:tc>
          <w:tcPr>
            <w:tcW w:w="3879" w:type="dxa"/>
            <w:shd w:val="clear" w:color="auto" w:fill="auto"/>
          </w:tcPr>
          <w:p w:rsidR="00953FCF" w:rsidRPr="008C5721" w:rsidRDefault="00B554DD"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L’Expert international chargé d’appuyer le Ministère pour cette activité n’a jamais été recruté (AO infructueux)</w:t>
            </w:r>
            <w:r>
              <w:rPr>
                <w:rFonts w:ascii="Times New Roman" w:eastAsia="Times New Roman" w:hAnsi="Times New Roman" w:cs="Times New Roman"/>
                <w:bCs/>
                <w:sz w:val="20"/>
                <w:szCs w:val="20"/>
              </w:rPr>
              <w:t>- L’Expert international –Energie a été très peu disponible</w:t>
            </w:r>
          </w:p>
        </w:tc>
      </w:tr>
      <w:tr w:rsidR="000F5743" w:rsidRPr="008C5721" w:rsidTr="0054472A">
        <w:trPr>
          <w:trHeight w:val="578"/>
          <w:tblHeader/>
        </w:trPr>
        <w:tc>
          <w:tcPr>
            <w:tcW w:w="4231" w:type="dxa"/>
            <w:vMerge/>
            <w:shd w:val="pct12" w:color="auto" w:fill="auto"/>
          </w:tcPr>
          <w:p w:rsidR="00953FCF" w:rsidRPr="003F78B8" w:rsidRDefault="00953FCF" w:rsidP="000F5743">
            <w:pPr>
              <w:spacing w:after="60" w:line="276" w:lineRule="auto"/>
              <w:rPr>
                <w:rFonts w:ascii="Times New Roman" w:eastAsia="Times New Roman" w:hAnsi="Times New Roman" w:cs="Times New Roman"/>
                <w:bCs/>
                <w:sz w:val="20"/>
                <w:szCs w:val="20"/>
              </w:rPr>
            </w:pPr>
          </w:p>
        </w:tc>
        <w:tc>
          <w:tcPr>
            <w:tcW w:w="1689" w:type="dxa"/>
            <w:vMerge w:val="restart"/>
          </w:tcPr>
          <w:p w:rsidR="00953FCF" w:rsidRPr="003F78B8" w:rsidRDefault="00953FCF" w:rsidP="000F5743">
            <w:pPr>
              <w:spacing w:after="60" w:line="276" w:lineRule="auto"/>
              <w:rPr>
                <w:rFonts w:ascii="Times New Roman" w:eastAsia="Times New Roman" w:hAnsi="Times New Roman" w:cs="Times New Roman"/>
                <w:bCs/>
                <w:sz w:val="20"/>
                <w:szCs w:val="20"/>
              </w:rPr>
            </w:pPr>
            <w:r w:rsidRPr="003F78B8">
              <w:rPr>
                <w:rFonts w:ascii="Times New Roman" w:eastAsia="Times New Roman" w:hAnsi="Times New Roman" w:cs="Times New Roman"/>
                <w:bCs/>
                <w:sz w:val="20"/>
                <w:szCs w:val="20"/>
              </w:rPr>
              <w:t>Deux documents de projet de renforcement de capacités du Ministère sont disponible</w:t>
            </w:r>
            <w:r>
              <w:rPr>
                <w:rFonts w:ascii="Times New Roman" w:eastAsia="Times New Roman" w:hAnsi="Times New Roman" w:cs="Times New Roman"/>
                <w:bCs/>
                <w:sz w:val="20"/>
                <w:szCs w:val="20"/>
              </w:rPr>
              <w:t>s</w:t>
            </w:r>
          </w:p>
        </w:tc>
        <w:tc>
          <w:tcPr>
            <w:tcW w:w="992" w:type="dxa"/>
            <w:vMerge w:val="restart"/>
          </w:tcPr>
          <w:p w:rsidR="00953FCF" w:rsidRPr="008C5721" w:rsidRDefault="00953FCF" w:rsidP="000F5743">
            <w:pPr>
              <w:spacing w:after="60" w:line="276" w:lineRule="auto"/>
              <w:rPr>
                <w:rFonts w:ascii="Times New Roman" w:eastAsia="Times New Roman" w:hAnsi="Times New Roman" w:cs="Times New Roman"/>
                <w:bCs/>
                <w:sz w:val="20"/>
                <w:szCs w:val="20"/>
              </w:rPr>
            </w:pPr>
          </w:p>
        </w:tc>
        <w:tc>
          <w:tcPr>
            <w:tcW w:w="3431" w:type="dxa"/>
          </w:tcPr>
          <w:p w:rsidR="00953FCF" w:rsidRPr="008C5721" w:rsidRDefault="00953FCF" w:rsidP="000F5743">
            <w:pPr>
              <w:spacing w:after="60" w:line="276" w:lineRule="auto"/>
              <w:rPr>
                <w:rFonts w:ascii="Times New Roman" w:eastAsia="Times New Roman" w:hAnsi="Times New Roman" w:cs="Times New Roman"/>
                <w:bCs/>
                <w:sz w:val="20"/>
                <w:szCs w:val="20"/>
              </w:rPr>
            </w:pPr>
            <w:r w:rsidRPr="003F78B8">
              <w:rPr>
                <w:rFonts w:ascii="Times New Roman" w:eastAsia="Times New Roman" w:hAnsi="Times New Roman" w:cs="Times New Roman"/>
                <w:bCs/>
                <w:sz w:val="20"/>
                <w:szCs w:val="20"/>
              </w:rPr>
              <w:t>2014 : Un document de projet pour soutenir la mise en œuvre de la stratégie nationale de l’énergie formulée et validée</w:t>
            </w:r>
          </w:p>
        </w:tc>
        <w:tc>
          <w:tcPr>
            <w:tcW w:w="1195" w:type="dxa"/>
            <w:shd w:val="clear" w:color="auto" w:fill="FF0000"/>
          </w:tcPr>
          <w:p w:rsidR="00953FCF" w:rsidRPr="008C5721" w:rsidRDefault="00531EA9" w:rsidP="000F5743">
            <w:pPr>
              <w:spacing w:after="60"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Insatisfaisant</w:t>
            </w:r>
          </w:p>
        </w:tc>
        <w:tc>
          <w:tcPr>
            <w:tcW w:w="3879" w:type="dxa"/>
            <w:shd w:val="clear" w:color="auto" w:fill="auto"/>
          </w:tcPr>
          <w:p w:rsidR="00953FCF" w:rsidRPr="008C5721" w:rsidRDefault="009C082E" w:rsidP="000F5743">
            <w:pPr>
              <w:spacing w:after="60"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 noter cependant l’élaboration de la stratégie EnRs qui est un document de haute facture. </w:t>
            </w:r>
          </w:p>
        </w:tc>
      </w:tr>
      <w:tr w:rsidR="000F5743" w:rsidRPr="008C5721" w:rsidTr="0054472A">
        <w:trPr>
          <w:trHeight w:val="578"/>
          <w:tblHeader/>
        </w:trPr>
        <w:tc>
          <w:tcPr>
            <w:tcW w:w="4231" w:type="dxa"/>
            <w:vMerge/>
            <w:shd w:val="pct12" w:color="auto" w:fill="auto"/>
          </w:tcPr>
          <w:p w:rsidR="00953FCF" w:rsidRPr="003F78B8" w:rsidRDefault="00953FCF" w:rsidP="000F5743">
            <w:pPr>
              <w:spacing w:after="60" w:line="276" w:lineRule="auto"/>
              <w:rPr>
                <w:rFonts w:ascii="Times New Roman" w:eastAsia="Times New Roman" w:hAnsi="Times New Roman" w:cs="Times New Roman"/>
                <w:bCs/>
                <w:sz w:val="20"/>
                <w:szCs w:val="20"/>
              </w:rPr>
            </w:pPr>
          </w:p>
        </w:tc>
        <w:tc>
          <w:tcPr>
            <w:tcW w:w="1689" w:type="dxa"/>
            <w:vMerge/>
          </w:tcPr>
          <w:p w:rsidR="00953FCF" w:rsidRPr="003F78B8" w:rsidRDefault="00953FCF" w:rsidP="000F5743">
            <w:pPr>
              <w:spacing w:after="60" w:line="276" w:lineRule="auto"/>
              <w:rPr>
                <w:rFonts w:ascii="Times New Roman" w:eastAsia="Times New Roman" w:hAnsi="Times New Roman" w:cs="Times New Roman"/>
                <w:bCs/>
                <w:sz w:val="20"/>
                <w:szCs w:val="20"/>
              </w:rPr>
            </w:pPr>
          </w:p>
        </w:tc>
        <w:tc>
          <w:tcPr>
            <w:tcW w:w="992" w:type="dxa"/>
            <w:vMerge/>
          </w:tcPr>
          <w:p w:rsidR="00953FCF" w:rsidRPr="008C5721" w:rsidRDefault="00953FCF" w:rsidP="000F5743">
            <w:pPr>
              <w:spacing w:after="60" w:line="276" w:lineRule="auto"/>
              <w:rPr>
                <w:rFonts w:ascii="Times New Roman" w:eastAsia="Times New Roman" w:hAnsi="Times New Roman" w:cs="Times New Roman"/>
                <w:bCs/>
                <w:sz w:val="20"/>
                <w:szCs w:val="20"/>
              </w:rPr>
            </w:pPr>
          </w:p>
        </w:tc>
        <w:tc>
          <w:tcPr>
            <w:tcW w:w="3431" w:type="dxa"/>
          </w:tcPr>
          <w:p w:rsidR="00953FCF" w:rsidRPr="003F78B8" w:rsidRDefault="00953FCF" w:rsidP="000F5743">
            <w:pPr>
              <w:spacing w:after="60" w:line="276" w:lineRule="auto"/>
              <w:rPr>
                <w:rFonts w:ascii="Times New Roman" w:eastAsia="Times New Roman" w:hAnsi="Times New Roman" w:cs="Times New Roman"/>
                <w:bCs/>
                <w:sz w:val="20"/>
                <w:szCs w:val="20"/>
              </w:rPr>
            </w:pPr>
            <w:r w:rsidRPr="003F78B8">
              <w:rPr>
                <w:rFonts w:ascii="Times New Roman" w:eastAsia="Times New Roman" w:hAnsi="Times New Roman" w:cs="Times New Roman"/>
                <w:bCs/>
                <w:sz w:val="20"/>
                <w:szCs w:val="20"/>
              </w:rPr>
              <w:t>2014 : Un document de projet pour soutenir la mise en œuvre de la politique sectorielle du secteur minier formulée et validée</w:t>
            </w:r>
          </w:p>
        </w:tc>
        <w:tc>
          <w:tcPr>
            <w:tcW w:w="1195" w:type="dxa"/>
            <w:shd w:val="clear" w:color="auto" w:fill="FF0000"/>
          </w:tcPr>
          <w:p w:rsidR="00953FCF" w:rsidRPr="008C5721" w:rsidRDefault="00BB6FE9" w:rsidP="000F5743">
            <w:pPr>
              <w:spacing w:after="60" w:line="276"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Très </w:t>
            </w:r>
            <w:r w:rsidR="00531EA9">
              <w:rPr>
                <w:rFonts w:ascii="Times New Roman" w:eastAsia="Times New Roman" w:hAnsi="Times New Roman" w:cs="Times New Roman"/>
                <w:bCs/>
                <w:sz w:val="20"/>
                <w:szCs w:val="20"/>
              </w:rPr>
              <w:t>insatisfaisant</w:t>
            </w:r>
          </w:p>
        </w:tc>
        <w:tc>
          <w:tcPr>
            <w:tcW w:w="3879" w:type="dxa"/>
            <w:shd w:val="clear" w:color="auto" w:fill="auto"/>
          </w:tcPr>
          <w:p w:rsidR="00953FCF" w:rsidRPr="008C5721" w:rsidRDefault="00531EA9" w:rsidP="000F5743">
            <w:pPr>
              <w:spacing w:after="60" w:line="276" w:lineRule="auto"/>
              <w:rPr>
                <w:rFonts w:ascii="Times New Roman" w:eastAsia="Times New Roman" w:hAnsi="Times New Roman" w:cs="Times New Roman"/>
                <w:bCs/>
                <w:sz w:val="20"/>
                <w:szCs w:val="20"/>
              </w:rPr>
            </w:pPr>
            <w:r w:rsidRPr="007E6147">
              <w:rPr>
                <w:rFonts w:ascii="Times New Roman" w:eastAsia="Times New Roman" w:hAnsi="Times New Roman" w:cs="Times New Roman"/>
                <w:bCs/>
                <w:sz w:val="20"/>
                <w:szCs w:val="20"/>
              </w:rPr>
              <w:t>L’Expert international chargé d’appuyer le Ministère pour cette activité n’a jamais été recruté (AO infructueux)</w:t>
            </w:r>
          </w:p>
        </w:tc>
      </w:tr>
    </w:tbl>
    <w:p w:rsidR="003650B1" w:rsidRPr="00531EA9" w:rsidRDefault="00531EA9" w:rsidP="00531EA9">
      <w:pPr>
        <w:pStyle w:val="Lgende"/>
        <w:spacing w:before="240" w:line="276" w:lineRule="auto"/>
        <w:jc w:val="center"/>
        <w:rPr>
          <w:rFonts w:ascii="Times New Roman" w:hAnsi="Times New Roman" w:cs="Times New Roman"/>
          <w:bCs/>
          <w:i w:val="0"/>
          <w:color w:val="auto"/>
          <w:sz w:val="24"/>
          <w:szCs w:val="24"/>
        </w:rPr>
      </w:pPr>
      <w:bookmarkStart w:id="52" w:name="_Toc500352820"/>
      <w:r w:rsidRPr="00531EA9">
        <w:rPr>
          <w:rFonts w:ascii="Times New Roman" w:hAnsi="Times New Roman" w:cs="Times New Roman"/>
          <w:i w:val="0"/>
          <w:color w:val="auto"/>
          <w:sz w:val="24"/>
          <w:szCs w:val="24"/>
        </w:rPr>
        <w:t xml:space="preserve">Tableau </w:t>
      </w:r>
      <w:r w:rsidRPr="00531EA9">
        <w:rPr>
          <w:rFonts w:ascii="Times New Roman" w:hAnsi="Times New Roman" w:cs="Times New Roman"/>
          <w:i w:val="0"/>
          <w:color w:val="auto"/>
          <w:sz w:val="24"/>
          <w:szCs w:val="24"/>
        </w:rPr>
        <w:fldChar w:fldCharType="begin"/>
      </w:r>
      <w:r w:rsidRPr="00531EA9">
        <w:rPr>
          <w:rFonts w:ascii="Times New Roman" w:hAnsi="Times New Roman" w:cs="Times New Roman"/>
          <w:i w:val="0"/>
          <w:color w:val="auto"/>
          <w:sz w:val="24"/>
          <w:szCs w:val="24"/>
        </w:rPr>
        <w:instrText xml:space="preserve"> SEQ Tableau \* ARABIC </w:instrText>
      </w:r>
      <w:r w:rsidRPr="00531EA9">
        <w:rPr>
          <w:rFonts w:ascii="Times New Roman" w:hAnsi="Times New Roman" w:cs="Times New Roman"/>
          <w:i w:val="0"/>
          <w:color w:val="auto"/>
          <w:sz w:val="24"/>
          <w:szCs w:val="24"/>
        </w:rPr>
        <w:fldChar w:fldCharType="separate"/>
      </w:r>
      <w:r w:rsidR="002B1D0F">
        <w:rPr>
          <w:rFonts w:ascii="Times New Roman" w:hAnsi="Times New Roman" w:cs="Times New Roman"/>
          <w:i w:val="0"/>
          <w:noProof/>
          <w:color w:val="auto"/>
          <w:sz w:val="24"/>
          <w:szCs w:val="24"/>
        </w:rPr>
        <w:t>6</w:t>
      </w:r>
      <w:r w:rsidRPr="00531EA9">
        <w:rPr>
          <w:rFonts w:ascii="Times New Roman" w:hAnsi="Times New Roman" w:cs="Times New Roman"/>
          <w:i w:val="0"/>
          <w:color w:val="auto"/>
          <w:sz w:val="24"/>
          <w:szCs w:val="24"/>
        </w:rPr>
        <w:fldChar w:fldCharType="end"/>
      </w:r>
      <w:r w:rsidRPr="00531EA9">
        <w:rPr>
          <w:rFonts w:ascii="Times New Roman" w:hAnsi="Times New Roman" w:cs="Times New Roman"/>
          <w:i w:val="0"/>
          <w:color w:val="auto"/>
          <w:sz w:val="24"/>
          <w:szCs w:val="24"/>
        </w:rPr>
        <w:t xml:space="preserve"> : Tableau de notation pour l'efficacité du projet</w:t>
      </w:r>
      <w:bookmarkEnd w:id="52"/>
    </w:p>
    <w:p w:rsidR="003F78B8" w:rsidRDefault="003F78B8" w:rsidP="00D450E9">
      <w:pPr>
        <w:spacing w:line="276" w:lineRule="auto"/>
        <w:ind w:left="1416"/>
        <w:jc w:val="both"/>
        <w:rPr>
          <w:rFonts w:ascii="Times New Roman" w:hAnsi="Times New Roman" w:cs="Times New Roman"/>
          <w:bCs/>
          <w:sz w:val="24"/>
          <w:szCs w:val="24"/>
        </w:rPr>
      </w:pPr>
    </w:p>
    <w:p w:rsidR="003650B1" w:rsidRDefault="003650B1" w:rsidP="00D450E9">
      <w:pPr>
        <w:spacing w:line="276" w:lineRule="auto"/>
        <w:ind w:left="1416"/>
        <w:jc w:val="both"/>
        <w:rPr>
          <w:rFonts w:ascii="Times New Roman" w:hAnsi="Times New Roman" w:cs="Times New Roman"/>
          <w:bCs/>
          <w:sz w:val="24"/>
          <w:szCs w:val="24"/>
        </w:rPr>
        <w:sectPr w:rsidR="003650B1" w:rsidSect="008C5721">
          <w:footerReference w:type="default" r:id="rId20"/>
          <w:pgSz w:w="16838" w:h="11906" w:orient="landscape"/>
          <w:pgMar w:top="1417" w:right="1417" w:bottom="1417" w:left="1417" w:header="708" w:footer="708" w:gutter="0"/>
          <w:cols w:space="708"/>
          <w:docGrid w:linePitch="360"/>
        </w:sectPr>
      </w:pPr>
    </w:p>
    <w:p w:rsidR="001674FB" w:rsidRDefault="00D450E9" w:rsidP="005C0B68">
      <w:pPr>
        <w:pStyle w:val="Titre3"/>
        <w:spacing w:after="240" w:line="276" w:lineRule="auto"/>
        <w:rPr>
          <w:rFonts w:ascii="Times New Roman" w:hAnsi="Times New Roman" w:cs="Times New Roman"/>
          <w:b/>
          <w:bCs/>
          <w:color w:val="auto"/>
        </w:rPr>
      </w:pPr>
      <w:bookmarkStart w:id="53" w:name="_Toc500352737"/>
      <w:r w:rsidRPr="005C0B68">
        <w:rPr>
          <w:rFonts w:ascii="Times New Roman" w:hAnsi="Times New Roman" w:cs="Times New Roman"/>
          <w:b/>
          <w:bCs/>
          <w:color w:val="auto"/>
        </w:rPr>
        <w:lastRenderedPageBreak/>
        <w:t>Efficience</w:t>
      </w:r>
      <w:bookmarkEnd w:id="53"/>
      <w:r w:rsidRPr="005C0B68">
        <w:rPr>
          <w:rFonts w:ascii="Times New Roman" w:hAnsi="Times New Roman" w:cs="Times New Roman"/>
          <w:b/>
          <w:bCs/>
          <w:color w:val="auto"/>
        </w:rPr>
        <w:t xml:space="preserve"> </w:t>
      </w:r>
    </w:p>
    <w:p w:rsidR="005E7A18" w:rsidRPr="0016621E" w:rsidRDefault="005E7A18" w:rsidP="0016621E">
      <w:pPr>
        <w:jc w:val="both"/>
        <w:rPr>
          <w:rFonts w:ascii="Times New Roman" w:hAnsi="Times New Roman" w:cs="Times New Roman"/>
          <w:sz w:val="24"/>
          <w:szCs w:val="24"/>
        </w:rPr>
      </w:pPr>
      <w:r w:rsidRPr="0016621E">
        <w:rPr>
          <w:rFonts w:ascii="Times New Roman" w:eastAsia="Calibri" w:hAnsi="Times New Roman" w:cs="Times New Roman"/>
          <w:sz w:val="24"/>
          <w:szCs w:val="24"/>
        </w:rPr>
        <w:t>A</w:t>
      </w:r>
      <w:r w:rsidRPr="0016621E">
        <w:rPr>
          <w:rFonts w:ascii="Times New Roman" w:eastAsia="Calibri" w:hAnsi="Times New Roman" w:cs="Times New Roman"/>
          <w:bCs/>
          <w:sz w:val="24"/>
          <w:szCs w:val="24"/>
        </w:rPr>
        <w:t>u regard du taux de décaissement qui avoisine  les 65% et la non-exécution de certaines tâches majeures on peut dire que l’efficience du projet n’est pas</w:t>
      </w:r>
      <w:r w:rsidR="0016621E" w:rsidRPr="0016621E">
        <w:rPr>
          <w:rFonts w:ascii="Times New Roman" w:eastAsia="Calibri" w:hAnsi="Times New Roman" w:cs="Times New Roman"/>
          <w:bCs/>
          <w:sz w:val="24"/>
          <w:szCs w:val="24"/>
        </w:rPr>
        <w:t xml:space="preserve"> satisfaisante surtout que le projet </w:t>
      </w:r>
      <w:r w:rsidRPr="0016621E">
        <w:rPr>
          <w:rFonts w:ascii="Times New Roman" w:eastAsia="Calibri" w:hAnsi="Times New Roman" w:cs="Times New Roman"/>
          <w:bCs/>
          <w:sz w:val="24"/>
          <w:szCs w:val="24"/>
        </w:rPr>
        <w:t xml:space="preserve">a été exécuté suivant la procédure d’exécution nationale </w:t>
      </w:r>
      <w:r w:rsidR="0016621E" w:rsidRPr="0016621E">
        <w:rPr>
          <w:rFonts w:ascii="Times New Roman" w:eastAsia="Calibri" w:hAnsi="Times New Roman" w:cs="Times New Roman"/>
          <w:bCs/>
          <w:sz w:val="24"/>
          <w:szCs w:val="24"/>
        </w:rPr>
        <w:t>NIM qui ne semb</w:t>
      </w:r>
      <w:r w:rsidR="00C40B29">
        <w:rPr>
          <w:rFonts w:ascii="Times New Roman" w:eastAsia="Calibri" w:hAnsi="Times New Roman" w:cs="Times New Roman"/>
          <w:bCs/>
          <w:sz w:val="24"/>
          <w:szCs w:val="24"/>
        </w:rPr>
        <w:t xml:space="preserve">le pas être comprise par le MEM. </w:t>
      </w:r>
    </w:p>
    <w:p w:rsidR="001674FB" w:rsidRDefault="00D450E9" w:rsidP="005C0B68">
      <w:pPr>
        <w:pStyle w:val="Titre3"/>
        <w:spacing w:after="240" w:line="276" w:lineRule="auto"/>
        <w:rPr>
          <w:rFonts w:ascii="Times New Roman" w:hAnsi="Times New Roman" w:cs="Times New Roman"/>
          <w:b/>
          <w:bCs/>
          <w:color w:val="auto"/>
        </w:rPr>
      </w:pPr>
      <w:bookmarkStart w:id="54" w:name="_Toc500352738"/>
      <w:r w:rsidRPr="005C0B68">
        <w:rPr>
          <w:rFonts w:ascii="Times New Roman" w:hAnsi="Times New Roman" w:cs="Times New Roman"/>
          <w:b/>
          <w:bCs/>
          <w:color w:val="auto"/>
        </w:rPr>
        <w:t>Appropriation par le pays</w:t>
      </w:r>
      <w:bookmarkEnd w:id="54"/>
      <w:r w:rsidRPr="005C0B68">
        <w:rPr>
          <w:rFonts w:ascii="Times New Roman" w:hAnsi="Times New Roman" w:cs="Times New Roman"/>
          <w:b/>
          <w:bCs/>
          <w:color w:val="auto"/>
        </w:rPr>
        <w:t xml:space="preserve"> </w:t>
      </w:r>
    </w:p>
    <w:p w:rsidR="006E2945" w:rsidRPr="006E2945" w:rsidRDefault="006E2945" w:rsidP="006E2945">
      <w:pPr>
        <w:rPr>
          <w:rFonts w:ascii="Times New Roman" w:hAnsi="Times New Roman" w:cs="Times New Roman"/>
          <w:sz w:val="24"/>
          <w:szCs w:val="24"/>
        </w:rPr>
      </w:pPr>
      <w:r>
        <w:rPr>
          <w:rFonts w:ascii="Times New Roman" w:hAnsi="Times New Roman" w:cs="Times New Roman"/>
          <w:sz w:val="24"/>
          <w:szCs w:val="24"/>
        </w:rPr>
        <w:t>Des documents pertinents comme les cadres légaux et la stratégie ENR ont été produits parle projet. La mission a noté un début d’appropriation pour les  premiers avec leur intégration dans la politique minière  et leur prise en compte dans les projet</w:t>
      </w:r>
      <w:r w:rsidR="00F76EB3">
        <w:rPr>
          <w:rFonts w:ascii="Times New Roman" w:hAnsi="Times New Roman" w:cs="Times New Roman"/>
          <w:sz w:val="24"/>
          <w:szCs w:val="24"/>
        </w:rPr>
        <w:t>s</w:t>
      </w:r>
      <w:r>
        <w:rPr>
          <w:rFonts w:ascii="Times New Roman" w:hAnsi="Times New Roman" w:cs="Times New Roman"/>
          <w:sz w:val="24"/>
          <w:szCs w:val="24"/>
        </w:rPr>
        <w:t xml:space="preserve"> de grande envergure comme le  PRCIEG.</w:t>
      </w:r>
      <w:r w:rsidR="00C40B29">
        <w:rPr>
          <w:rFonts w:ascii="Times New Roman" w:hAnsi="Times New Roman" w:cs="Times New Roman"/>
          <w:sz w:val="24"/>
          <w:szCs w:val="24"/>
        </w:rPr>
        <w:t xml:space="preserve"> Quant à l’étude portant sur la stratégie </w:t>
      </w:r>
      <w:r w:rsidR="00576E87">
        <w:rPr>
          <w:rFonts w:ascii="Times New Roman" w:hAnsi="Times New Roman" w:cs="Times New Roman"/>
          <w:sz w:val="24"/>
          <w:szCs w:val="24"/>
        </w:rPr>
        <w:t xml:space="preserve">nationale des énergies renouvelables, elle constitue une </w:t>
      </w:r>
      <w:r w:rsidR="00D22B1F">
        <w:rPr>
          <w:rFonts w:ascii="Times New Roman" w:hAnsi="Times New Roman" w:cs="Times New Roman"/>
          <w:sz w:val="24"/>
          <w:szCs w:val="24"/>
        </w:rPr>
        <w:t>bonne base pour les actions futures en lien avec les initiatives globales comme les ODD, SE4ALL, l’économie verte, l’accès à l’énergie durable. Le MEM devrait s’en approprier.</w:t>
      </w:r>
    </w:p>
    <w:p w:rsidR="009C604D" w:rsidRPr="009C604D" w:rsidRDefault="00D450E9" w:rsidP="009C604D">
      <w:pPr>
        <w:pStyle w:val="Titre3"/>
        <w:spacing w:after="240" w:line="276" w:lineRule="auto"/>
        <w:rPr>
          <w:rFonts w:ascii="Times New Roman" w:hAnsi="Times New Roman" w:cs="Times New Roman"/>
          <w:b/>
          <w:bCs/>
          <w:color w:val="auto"/>
        </w:rPr>
      </w:pPr>
      <w:bookmarkStart w:id="55" w:name="_Toc500352739"/>
      <w:r w:rsidRPr="005C0B68">
        <w:rPr>
          <w:rFonts w:ascii="Times New Roman" w:hAnsi="Times New Roman" w:cs="Times New Roman"/>
          <w:b/>
          <w:bCs/>
          <w:color w:val="auto"/>
        </w:rPr>
        <w:t>Intégration</w:t>
      </w:r>
      <w:bookmarkEnd w:id="55"/>
      <w:r w:rsidRPr="005C0B68">
        <w:rPr>
          <w:rFonts w:ascii="Times New Roman" w:hAnsi="Times New Roman" w:cs="Times New Roman"/>
          <w:b/>
          <w:bCs/>
          <w:color w:val="auto"/>
        </w:rPr>
        <w:t xml:space="preserve"> </w:t>
      </w:r>
    </w:p>
    <w:p w:rsidR="009C604D" w:rsidRPr="00FF60E3" w:rsidRDefault="009C604D" w:rsidP="009C604D">
      <w:pPr>
        <w:spacing w:after="240" w:line="276" w:lineRule="auto"/>
        <w:jc w:val="both"/>
        <w:rPr>
          <w:rFonts w:ascii="Times New Roman" w:hAnsi="Times New Roman" w:cs="Times New Roman"/>
          <w:sz w:val="24"/>
          <w:szCs w:val="24"/>
        </w:rPr>
      </w:pPr>
      <w:r w:rsidRPr="00FF60E3">
        <w:rPr>
          <w:rFonts w:ascii="Times New Roman" w:hAnsi="Times New Roman" w:cs="Times New Roman"/>
          <w:sz w:val="24"/>
          <w:szCs w:val="24"/>
        </w:rPr>
        <w:t xml:space="preserve">Le Projet, un des premiers du genre, devrait avec les résultats escomptés jouer  un catalyseur et d’impulsion de l’économie burundaise au regard des niches d’intégration avec les autres secteurs comme les ressources naturelles et l’environnement,  l’agriculture, les infrastructures, la santé, l’éducation etc. </w:t>
      </w:r>
      <w:r w:rsidR="00FF60E3">
        <w:rPr>
          <w:rFonts w:ascii="Times New Roman" w:hAnsi="Times New Roman" w:cs="Times New Roman"/>
          <w:sz w:val="24"/>
          <w:szCs w:val="24"/>
        </w:rPr>
        <w:t>M</w:t>
      </w:r>
      <w:r w:rsidRPr="00FF60E3">
        <w:rPr>
          <w:rFonts w:ascii="Times New Roman" w:hAnsi="Times New Roman" w:cs="Times New Roman"/>
          <w:sz w:val="24"/>
          <w:szCs w:val="24"/>
        </w:rPr>
        <w:t>alheureusement</w:t>
      </w:r>
      <w:r w:rsidR="00FF60E3">
        <w:rPr>
          <w:rFonts w:ascii="Times New Roman" w:hAnsi="Times New Roman" w:cs="Times New Roman"/>
          <w:sz w:val="24"/>
          <w:szCs w:val="24"/>
        </w:rPr>
        <w:t>, dans sa mise en œuvre, on ne note</w:t>
      </w:r>
      <w:r w:rsidRPr="00FF60E3">
        <w:rPr>
          <w:rFonts w:ascii="Times New Roman" w:hAnsi="Times New Roman" w:cs="Times New Roman"/>
          <w:sz w:val="24"/>
          <w:szCs w:val="24"/>
        </w:rPr>
        <w:t xml:space="preserve"> pas cette intégration</w:t>
      </w:r>
      <w:r w:rsidR="00FF60E3" w:rsidRPr="00FF60E3">
        <w:rPr>
          <w:rFonts w:ascii="Times New Roman" w:hAnsi="Times New Roman" w:cs="Times New Roman"/>
          <w:sz w:val="24"/>
          <w:szCs w:val="24"/>
        </w:rPr>
        <w:t xml:space="preserve"> et synergie avec ces secteurs même en termes de préparation ou d’amélioration de la gouvernance</w:t>
      </w:r>
      <w:r w:rsidR="00FF60E3">
        <w:rPr>
          <w:rFonts w:ascii="Times New Roman" w:hAnsi="Times New Roman" w:cs="Times New Roman"/>
          <w:sz w:val="24"/>
          <w:szCs w:val="24"/>
        </w:rPr>
        <w:t xml:space="preserve">. </w:t>
      </w:r>
    </w:p>
    <w:p w:rsidR="00F76EB3" w:rsidRPr="00F76EB3" w:rsidRDefault="00FF60E3" w:rsidP="00FF60E3">
      <w:pPr>
        <w:jc w:val="both"/>
        <w:rPr>
          <w:rFonts w:ascii="Times New Roman" w:hAnsi="Times New Roman" w:cs="Times New Roman"/>
          <w:sz w:val="24"/>
          <w:szCs w:val="24"/>
        </w:rPr>
      </w:pPr>
      <w:r>
        <w:rPr>
          <w:rFonts w:ascii="Times New Roman" w:hAnsi="Times New Roman" w:cs="Times New Roman"/>
          <w:sz w:val="24"/>
          <w:szCs w:val="24"/>
        </w:rPr>
        <w:t>Cependant, l</w:t>
      </w:r>
      <w:r w:rsidR="00F76EB3" w:rsidRPr="00F76EB3">
        <w:rPr>
          <w:rFonts w:ascii="Times New Roman" w:hAnsi="Times New Roman" w:cs="Times New Roman"/>
          <w:sz w:val="24"/>
          <w:szCs w:val="24"/>
        </w:rPr>
        <w:t xml:space="preserve">e projet et tous ses résultats sont en phase avec la politique d’intégration régionale </w:t>
      </w:r>
      <w:r w:rsidR="00F76EB3">
        <w:rPr>
          <w:rFonts w:ascii="Times New Roman" w:hAnsi="Times New Roman" w:cs="Times New Roman"/>
          <w:sz w:val="24"/>
          <w:szCs w:val="24"/>
        </w:rPr>
        <w:t>en vigueur notamment</w:t>
      </w:r>
      <w:r>
        <w:rPr>
          <w:rFonts w:ascii="Times New Roman" w:hAnsi="Times New Roman" w:cs="Times New Roman"/>
          <w:sz w:val="24"/>
          <w:szCs w:val="24"/>
        </w:rPr>
        <w:t xml:space="preserve"> à l’égard d’</w:t>
      </w:r>
      <w:r w:rsidR="00F76EB3">
        <w:rPr>
          <w:rFonts w:ascii="Times New Roman" w:hAnsi="Times New Roman" w:cs="Times New Roman"/>
          <w:sz w:val="24"/>
          <w:szCs w:val="24"/>
        </w:rPr>
        <w:t>institutions comme la CEA</w:t>
      </w:r>
      <w:r w:rsidR="000B347A">
        <w:rPr>
          <w:rFonts w:ascii="Times New Roman" w:hAnsi="Times New Roman" w:cs="Times New Roman"/>
          <w:sz w:val="24"/>
          <w:szCs w:val="24"/>
        </w:rPr>
        <w:t xml:space="preserve">C </w:t>
      </w:r>
      <w:r w:rsidR="00F76EB3">
        <w:rPr>
          <w:rFonts w:ascii="Times New Roman" w:hAnsi="Times New Roman" w:cs="Times New Roman"/>
          <w:sz w:val="24"/>
          <w:szCs w:val="24"/>
        </w:rPr>
        <w:t xml:space="preserve"> et l’EGL</w:t>
      </w:r>
    </w:p>
    <w:p w:rsidR="001674FB" w:rsidRDefault="00D450E9" w:rsidP="005C0B68">
      <w:pPr>
        <w:pStyle w:val="Titre3"/>
        <w:spacing w:after="240" w:line="276" w:lineRule="auto"/>
        <w:rPr>
          <w:rFonts w:ascii="Times New Roman" w:hAnsi="Times New Roman" w:cs="Times New Roman"/>
          <w:b/>
          <w:bCs/>
          <w:color w:val="auto"/>
        </w:rPr>
      </w:pPr>
      <w:bookmarkStart w:id="56" w:name="_Toc500352740"/>
      <w:r w:rsidRPr="005C0B68">
        <w:rPr>
          <w:rFonts w:ascii="Times New Roman" w:hAnsi="Times New Roman" w:cs="Times New Roman"/>
          <w:b/>
          <w:bCs/>
          <w:color w:val="auto"/>
        </w:rPr>
        <w:t>Durabilité</w:t>
      </w:r>
      <w:bookmarkEnd w:id="56"/>
      <w:r w:rsidRPr="005C0B68">
        <w:rPr>
          <w:rFonts w:ascii="Times New Roman" w:hAnsi="Times New Roman" w:cs="Times New Roman"/>
          <w:b/>
          <w:bCs/>
          <w:color w:val="auto"/>
        </w:rPr>
        <w:t xml:space="preserve"> </w:t>
      </w:r>
    </w:p>
    <w:p w:rsidR="00F76EB3" w:rsidRPr="00F76EB3" w:rsidRDefault="00F76EB3" w:rsidP="00FF60E3">
      <w:pPr>
        <w:jc w:val="both"/>
        <w:rPr>
          <w:rFonts w:ascii="Times New Roman" w:hAnsi="Times New Roman" w:cs="Times New Roman"/>
          <w:sz w:val="24"/>
          <w:szCs w:val="24"/>
        </w:rPr>
      </w:pPr>
      <w:r w:rsidRPr="00F76EB3">
        <w:rPr>
          <w:rFonts w:ascii="Times New Roman" w:hAnsi="Times New Roman" w:cs="Times New Roman"/>
          <w:sz w:val="24"/>
          <w:szCs w:val="24"/>
        </w:rPr>
        <w:t>Malgré les résultats et acquis qui méritent d’être consolidé</w:t>
      </w:r>
      <w:r>
        <w:rPr>
          <w:rFonts w:ascii="Times New Roman" w:hAnsi="Times New Roman" w:cs="Times New Roman"/>
          <w:sz w:val="24"/>
          <w:szCs w:val="24"/>
        </w:rPr>
        <w:t>s</w:t>
      </w:r>
      <w:r w:rsidRPr="00F76EB3">
        <w:rPr>
          <w:rFonts w:ascii="Times New Roman" w:hAnsi="Times New Roman" w:cs="Times New Roman"/>
          <w:sz w:val="24"/>
          <w:szCs w:val="24"/>
        </w:rPr>
        <w:t>, la situation</w:t>
      </w:r>
      <w:r>
        <w:rPr>
          <w:rFonts w:ascii="Times New Roman" w:hAnsi="Times New Roman" w:cs="Times New Roman"/>
          <w:sz w:val="24"/>
          <w:szCs w:val="24"/>
        </w:rPr>
        <w:t xml:space="preserve"> économiques du pays  ne permet pas encore d’assurer la durabilité. Aussi au regard des atouts et potentialités du pays</w:t>
      </w:r>
      <w:r w:rsidR="0016621E">
        <w:rPr>
          <w:rFonts w:ascii="Times New Roman" w:hAnsi="Times New Roman" w:cs="Times New Roman"/>
          <w:sz w:val="24"/>
          <w:szCs w:val="24"/>
        </w:rPr>
        <w:t xml:space="preserve">, </w:t>
      </w:r>
      <w:r>
        <w:rPr>
          <w:rFonts w:ascii="Times New Roman" w:hAnsi="Times New Roman" w:cs="Times New Roman"/>
          <w:sz w:val="24"/>
          <w:szCs w:val="24"/>
        </w:rPr>
        <w:t xml:space="preserve">un accompagnement des partenaires techniques et financiers notamment du PNUD est encore nécessaire. </w:t>
      </w:r>
    </w:p>
    <w:p w:rsidR="001674FB" w:rsidRPr="005C0B68" w:rsidRDefault="00D450E9" w:rsidP="005C0B68">
      <w:pPr>
        <w:pStyle w:val="Titre3"/>
        <w:spacing w:after="240" w:line="276" w:lineRule="auto"/>
        <w:rPr>
          <w:rFonts w:ascii="Times New Roman" w:hAnsi="Times New Roman" w:cs="Times New Roman"/>
          <w:b/>
          <w:bCs/>
          <w:color w:val="auto"/>
        </w:rPr>
      </w:pPr>
      <w:bookmarkStart w:id="57" w:name="_Toc500352741"/>
      <w:r w:rsidRPr="005C0B68">
        <w:rPr>
          <w:rFonts w:ascii="Times New Roman" w:hAnsi="Times New Roman" w:cs="Times New Roman"/>
          <w:b/>
          <w:bCs/>
          <w:color w:val="auto"/>
        </w:rPr>
        <w:t>Impact</w:t>
      </w:r>
      <w:bookmarkEnd w:id="57"/>
      <w:r w:rsidRPr="005C0B68">
        <w:rPr>
          <w:rFonts w:ascii="Times New Roman" w:hAnsi="Times New Roman" w:cs="Times New Roman"/>
          <w:b/>
          <w:bCs/>
          <w:color w:val="auto"/>
        </w:rPr>
        <w:t xml:space="preserve"> </w:t>
      </w:r>
    </w:p>
    <w:p w:rsidR="00F76EB3" w:rsidRPr="000F5743" w:rsidRDefault="00F76EB3" w:rsidP="000F5743">
      <w:pPr>
        <w:spacing w:line="276" w:lineRule="auto"/>
        <w:jc w:val="both"/>
        <w:rPr>
          <w:rFonts w:ascii="Times New Roman" w:hAnsi="Times New Roman" w:cs="Times New Roman"/>
          <w:bCs/>
          <w:sz w:val="24"/>
          <w:szCs w:val="24"/>
        </w:rPr>
      </w:pPr>
      <w:r w:rsidRPr="000F5743">
        <w:rPr>
          <w:rFonts w:ascii="Times New Roman" w:hAnsi="Times New Roman" w:cs="Times New Roman"/>
          <w:bCs/>
          <w:sz w:val="24"/>
          <w:szCs w:val="24"/>
        </w:rPr>
        <w:t xml:space="preserve">Les résultats du projet ont eu un impact en termes de renforcement de capacités, de gouvernance du secteur minier avec le MEM qui déroule parfaitement son agenda dans ce domaine. </w:t>
      </w:r>
      <w:r w:rsidR="00FF60E3" w:rsidRPr="000F5743">
        <w:rPr>
          <w:rFonts w:ascii="Times New Roman" w:hAnsi="Times New Roman" w:cs="Times New Roman"/>
          <w:bCs/>
          <w:sz w:val="24"/>
          <w:szCs w:val="24"/>
        </w:rPr>
        <w:t xml:space="preserve">Il y’a urgence de mettre à niveau le secteur de l’énergie qui aura besoin de mobiliser davantage de ressources avec des financements innovants pour faire face aux nombreux défis. </w:t>
      </w:r>
    </w:p>
    <w:p w:rsidR="001674FB" w:rsidRDefault="00D450E9" w:rsidP="00FF60E3">
      <w:pPr>
        <w:pStyle w:val="Titre3"/>
        <w:spacing w:after="240" w:line="276" w:lineRule="auto"/>
        <w:jc w:val="both"/>
        <w:rPr>
          <w:rFonts w:ascii="Times New Roman" w:hAnsi="Times New Roman" w:cs="Times New Roman"/>
          <w:b/>
          <w:bCs/>
          <w:color w:val="auto"/>
        </w:rPr>
      </w:pPr>
      <w:bookmarkStart w:id="58" w:name="_Toc500352742"/>
      <w:r w:rsidRPr="005C0B68">
        <w:rPr>
          <w:rFonts w:ascii="Times New Roman" w:hAnsi="Times New Roman" w:cs="Times New Roman"/>
          <w:b/>
          <w:bCs/>
          <w:color w:val="auto"/>
        </w:rPr>
        <w:t>Prise en compte du genre</w:t>
      </w:r>
      <w:bookmarkEnd w:id="58"/>
      <w:r w:rsidRPr="005C0B68">
        <w:rPr>
          <w:rFonts w:ascii="Times New Roman" w:hAnsi="Times New Roman" w:cs="Times New Roman"/>
          <w:b/>
          <w:bCs/>
          <w:color w:val="auto"/>
        </w:rPr>
        <w:t xml:space="preserve"> </w:t>
      </w:r>
    </w:p>
    <w:p w:rsidR="00F76EB3" w:rsidRPr="00F76EB3" w:rsidRDefault="00F76EB3" w:rsidP="00FF60E3">
      <w:pPr>
        <w:jc w:val="both"/>
        <w:rPr>
          <w:rFonts w:ascii="Times New Roman" w:hAnsi="Times New Roman" w:cs="Times New Roman"/>
          <w:sz w:val="24"/>
          <w:szCs w:val="24"/>
        </w:rPr>
      </w:pPr>
      <w:r w:rsidRPr="00F76EB3">
        <w:rPr>
          <w:rFonts w:ascii="Times New Roman" w:hAnsi="Times New Roman" w:cs="Times New Roman"/>
          <w:sz w:val="24"/>
          <w:szCs w:val="24"/>
        </w:rPr>
        <w:t>Cet aspect n’est pas visible spécifiquement dans l’exécution du projet</w:t>
      </w:r>
      <w:r>
        <w:rPr>
          <w:rFonts w:ascii="Times New Roman" w:hAnsi="Times New Roman" w:cs="Times New Roman"/>
          <w:sz w:val="24"/>
          <w:szCs w:val="24"/>
        </w:rPr>
        <w:t xml:space="preserve"> même si le MEM </w:t>
      </w:r>
      <w:r w:rsidR="00566A70">
        <w:rPr>
          <w:rFonts w:ascii="Times New Roman" w:hAnsi="Times New Roman" w:cs="Times New Roman"/>
          <w:sz w:val="24"/>
          <w:szCs w:val="24"/>
        </w:rPr>
        <w:t>et la REGIDESO dispose de personnel féminins évoluant dans le</w:t>
      </w:r>
      <w:r w:rsidR="00FE388A">
        <w:rPr>
          <w:rFonts w:ascii="Times New Roman" w:hAnsi="Times New Roman" w:cs="Times New Roman"/>
          <w:sz w:val="24"/>
          <w:szCs w:val="24"/>
        </w:rPr>
        <w:t xml:space="preserve">s secteurs des mines et </w:t>
      </w:r>
      <w:r w:rsidR="00566A70">
        <w:rPr>
          <w:rFonts w:ascii="Times New Roman" w:hAnsi="Times New Roman" w:cs="Times New Roman"/>
          <w:sz w:val="24"/>
          <w:szCs w:val="24"/>
        </w:rPr>
        <w:t xml:space="preserve">de l’Energie. L’administration du PNUD prend cependant en compte cet aspect avec une unité dédiée à cette problématique et une assistante au niveau de l’UPS </w:t>
      </w:r>
      <w:r>
        <w:rPr>
          <w:rFonts w:ascii="Times New Roman" w:hAnsi="Times New Roman" w:cs="Times New Roman"/>
          <w:sz w:val="24"/>
          <w:szCs w:val="24"/>
        </w:rPr>
        <w:t xml:space="preserve"> </w:t>
      </w:r>
    </w:p>
    <w:p w:rsidR="001674FB" w:rsidRDefault="00D450E9" w:rsidP="00AA6908">
      <w:pPr>
        <w:pStyle w:val="Titre1"/>
        <w:spacing w:after="240" w:line="276" w:lineRule="auto"/>
        <w:jc w:val="both"/>
        <w:rPr>
          <w:rFonts w:ascii="Times New Roman" w:hAnsi="Times New Roman" w:cs="Times New Roman"/>
          <w:b/>
          <w:bCs/>
          <w:color w:val="auto"/>
          <w:sz w:val="24"/>
          <w:szCs w:val="24"/>
        </w:rPr>
      </w:pPr>
      <w:bookmarkStart w:id="59" w:name="_Toc500352743"/>
      <w:r w:rsidRPr="00AA6908">
        <w:rPr>
          <w:rFonts w:ascii="Times New Roman" w:hAnsi="Times New Roman" w:cs="Times New Roman"/>
          <w:b/>
          <w:bCs/>
          <w:color w:val="auto"/>
          <w:sz w:val="24"/>
          <w:szCs w:val="24"/>
        </w:rPr>
        <w:lastRenderedPageBreak/>
        <w:t>4. Contraintes et difficultés</w:t>
      </w:r>
      <w:bookmarkEnd w:id="59"/>
      <w:r w:rsidRPr="00AA6908">
        <w:rPr>
          <w:rFonts w:ascii="Times New Roman" w:hAnsi="Times New Roman" w:cs="Times New Roman"/>
          <w:b/>
          <w:bCs/>
          <w:color w:val="auto"/>
          <w:sz w:val="24"/>
          <w:szCs w:val="24"/>
        </w:rPr>
        <w:t xml:space="preserve"> </w:t>
      </w:r>
    </w:p>
    <w:p w:rsidR="00566A70" w:rsidRPr="00566A70" w:rsidRDefault="00566A70" w:rsidP="00566A70">
      <w:pPr>
        <w:spacing w:line="240" w:lineRule="auto"/>
        <w:rPr>
          <w:rFonts w:ascii="Times New Roman" w:hAnsi="Times New Roman" w:cs="Times New Roman"/>
          <w:sz w:val="24"/>
          <w:szCs w:val="24"/>
        </w:rPr>
      </w:pPr>
      <w:r w:rsidRPr="00566A70">
        <w:rPr>
          <w:rFonts w:ascii="Times New Roman" w:hAnsi="Times New Roman" w:cs="Times New Roman"/>
          <w:sz w:val="24"/>
          <w:szCs w:val="24"/>
        </w:rPr>
        <w:t xml:space="preserve">Les contraintes et difficultés que le projet a rencontrées dans sa mise en œuvre sont liées : </w:t>
      </w:r>
    </w:p>
    <w:p w:rsidR="00566A70" w:rsidRDefault="00566A70" w:rsidP="00566A70">
      <w:pPr>
        <w:pStyle w:val="Paragraphedeliste"/>
        <w:numPr>
          <w:ilvl w:val="0"/>
          <w:numId w:val="37"/>
        </w:numPr>
        <w:spacing w:line="240" w:lineRule="auto"/>
        <w:rPr>
          <w:rFonts w:ascii="Times New Roman" w:hAnsi="Times New Roman" w:cs="Times New Roman"/>
          <w:sz w:val="24"/>
          <w:szCs w:val="24"/>
        </w:rPr>
      </w:pPr>
      <w:r w:rsidRPr="00566A70">
        <w:rPr>
          <w:rFonts w:ascii="Times New Roman" w:hAnsi="Times New Roman" w:cs="Times New Roman"/>
          <w:sz w:val="24"/>
          <w:szCs w:val="24"/>
        </w:rPr>
        <w:t>la situation politico sécuritaire du pays</w:t>
      </w:r>
      <w:r>
        <w:rPr>
          <w:rFonts w:ascii="Times New Roman" w:hAnsi="Times New Roman" w:cs="Times New Roman"/>
          <w:sz w:val="24"/>
          <w:szCs w:val="24"/>
        </w:rPr>
        <w:t xml:space="preserve"> ; </w:t>
      </w:r>
    </w:p>
    <w:p w:rsidR="00566A70" w:rsidRDefault="00566A70" w:rsidP="00566A70">
      <w:pPr>
        <w:pStyle w:val="Paragraphedeliste"/>
        <w:numPr>
          <w:ilvl w:val="0"/>
          <w:numId w:val="37"/>
        </w:numPr>
        <w:spacing w:line="240" w:lineRule="auto"/>
        <w:rPr>
          <w:rFonts w:ascii="Times New Roman" w:hAnsi="Times New Roman" w:cs="Times New Roman"/>
          <w:sz w:val="24"/>
          <w:szCs w:val="24"/>
        </w:rPr>
      </w:pPr>
      <w:r w:rsidRPr="00566A70">
        <w:rPr>
          <w:rFonts w:ascii="Times New Roman" w:hAnsi="Times New Roman" w:cs="Times New Roman"/>
          <w:sz w:val="24"/>
          <w:szCs w:val="24"/>
        </w:rPr>
        <w:t>l’instabilité institutionnelle dans la Direction du projet</w:t>
      </w:r>
      <w:r>
        <w:rPr>
          <w:rFonts w:ascii="Times New Roman" w:hAnsi="Times New Roman" w:cs="Times New Roman"/>
          <w:sz w:val="24"/>
          <w:szCs w:val="24"/>
        </w:rPr>
        <w:t xml:space="preserve"> ; </w:t>
      </w:r>
    </w:p>
    <w:p w:rsidR="00566A70" w:rsidRDefault="00566A70" w:rsidP="00566A70">
      <w:pPr>
        <w:pStyle w:val="Paragraphedeliste"/>
        <w:numPr>
          <w:ilvl w:val="0"/>
          <w:numId w:val="37"/>
        </w:numPr>
        <w:spacing w:line="240" w:lineRule="auto"/>
        <w:rPr>
          <w:rFonts w:ascii="Times New Roman" w:hAnsi="Times New Roman" w:cs="Times New Roman"/>
          <w:sz w:val="24"/>
          <w:szCs w:val="24"/>
        </w:rPr>
      </w:pPr>
      <w:r w:rsidRPr="00566A70">
        <w:rPr>
          <w:rFonts w:ascii="Times New Roman" w:hAnsi="Times New Roman" w:cs="Times New Roman"/>
          <w:sz w:val="24"/>
          <w:szCs w:val="24"/>
        </w:rPr>
        <w:t>la faible fréquence des réunions du comité de pilotage</w:t>
      </w:r>
      <w:r>
        <w:rPr>
          <w:rFonts w:ascii="Times New Roman" w:hAnsi="Times New Roman" w:cs="Times New Roman"/>
          <w:sz w:val="24"/>
          <w:szCs w:val="24"/>
        </w:rPr>
        <w:t xml:space="preserve"> ; </w:t>
      </w:r>
    </w:p>
    <w:p w:rsidR="00566A70" w:rsidRDefault="00566A70" w:rsidP="00566A70">
      <w:pPr>
        <w:pStyle w:val="Paragraphedeliste"/>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l’incompréhension dans les procédures de gestion en NIM</w:t>
      </w:r>
    </w:p>
    <w:p w:rsidR="005E7A18" w:rsidRPr="00FE388A" w:rsidRDefault="00566A70" w:rsidP="005E7A18">
      <w:pPr>
        <w:pStyle w:val="Paragraphedeliste"/>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 xml:space="preserve">la non implication des usagers </w:t>
      </w:r>
      <w:r w:rsidR="005E7A18">
        <w:rPr>
          <w:rFonts w:ascii="Times New Roman" w:hAnsi="Times New Roman" w:cs="Times New Roman"/>
          <w:sz w:val="24"/>
          <w:szCs w:val="24"/>
        </w:rPr>
        <w:t xml:space="preserve">potentiels </w:t>
      </w:r>
      <w:r>
        <w:rPr>
          <w:rFonts w:ascii="Times New Roman" w:hAnsi="Times New Roman" w:cs="Times New Roman"/>
          <w:sz w:val="24"/>
          <w:szCs w:val="24"/>
        </w:rPr>
        <w:t>des retombées du projet comme l’</w:t>
      </w:r>
      <w:r w:rsidR="005E7A18">
        <w:rPr>
          <w:rFonts w:ascii="Times New Roman" w:hAnsi="Times New Roman" w:cs="Times New Roman"/>
          <w:sz w:val="24"/>
          <w:szCs w:val="24"/>
        </w:rPr>
        <w:t xml:space="preserve">AREEM, la CFCIB, l’ABER, l’OBM . </w:t>
      </w:r>
    </w:p>
    <w:p w:rsidR="006E2945" w:rsidRPr="006E2945" w:rsidRDefault="006E2945" w:rsidP="006E2945">
      <w:pPr>
        <w:pStyle w:val="Titre1"/>
        <w:spacing w:after="240" w:line="276" w:lineRule="auto"/>
        <w:jc w:val="both"/>
        <w:rPr>
          <w:rFonts w:ascii="Times New Roman" w:hAnsi="Times New Roman" w:cs="Times New Roman"/>
          <w:color w:val="auto"/>
          <w:sz w:val="24"/>
          <w:szCs w:val="24"/>
        </w:rPr>
      </w:pPr>
      <w:bookmarkStart w:id="60" w:name="m_2797968840765199402__Toc499467473"/>
      <w:bookmarkStart w:id="61" w:name="_Toc500352744"/>
      <w:r w:rsidRPr="006E2945">
        <w:rPr>
          <w:rFonts w:ascii="Times New Roman" w:hAnsi="Times New Roman" w:cs="Times New Roman"/>
          <w:b/>
          <w:color w:val="auto"/>
          <w:sz w:val="24"/>
          <w:szCs w:val="24"/>
        </w:rPr>
        <w:t>5</w:t>
      </w:r>
      <w:r w:rsidRPr="006E2945">
        <w:rPr>
          <w:rFonts w:ascii="Times New Roman" w:hAnsi="Times New Roman" w:cs="Times New Roman"/>
          <w:color w:val="auto"/>
          <w:sz w:val="24"/>
          <w:szCs w:val="24"/>
        </w:rPr>
        <w:t xml:space="preserve">. </w:t>
      </w:r>
      <w:r w:rsidRPr="006E2945">
        <w:rPr>
          <w:rFonts w:ascii="Times New Roman" w:hAnsi="Times New Roman" w:cs="Times New Roman"/>
          <w:b/>
          <w:color w:val="auto"/>
          <w:sz w:val="24"/>
          <w:szCs w:val="24"/>
        </w:rPr>
        <w:t>Conclusions, recommandations et enseignements</w:t>
      </w:r>
      <w:bookmarkEnd w:id="60"/>
      <w:bookmarkEnd w:id="61"/>
      <w:r w:rsidRPr="006E2945">
        <w:rPr>
          <w:rFonts w:ascii="Times New Roman" w:hAnsi="Times New Roman" w:cs="Times New Roman"/>
          <w:color w:val="auto"/>
          <w:sz w:val="24"/>
          <w:szCs w:val="24"/>
        </w:rPr>
        <w:t xml:space="preserve"> </w:t>
      </w:r>
    </w:p>
    <w:p w:rsidR="006E2945" w:rsidRPr="006E2945" w:rsidRDefault="00FE388A" w:rsidP="006E2945">
      <w:pPr>
        <w:jc w:val="both"/>
        <w:rPr>
          <w:rFonts w:ascii="Times New Roman" w:hAnsi="Times New Roman" w:cs="Times New Roman"/>
          <w:sz w:val="24"/>
          <w:szCs w:val="24"/>
          <w:lang w:eastAsia="fr-FR"/>
        </w:rPr>
      </w:pPr>
      <w:r>
        <w:rPr>
          <w:rFonts w:ascii="Times New Roman" w:hAnsi="Times New Roman" w:cs="Times New Roman"/>
          <w:sz w:val="24"/>
          <w:szCs w:val="24"/>
          <w:lang w:eastAsia="fr-FR"/>
        </w:rPr>
        <w:t>L’assistance technique en faveur des</w:t>
      </w:r>
      <w:r w:rsidR="006E2945" w:rsidRPr="006E2945">
        <w:rPr>
          <w:rFonts w:ascii="Times New Roman" w:hAnsi="Times New Roman" w:cs="Times New Roman"/>
          <w:sz w:val="24"/>
          <w:szCs w:val="24"/>
          <w:lang w:eastAsia="fr-FR"/>
        </w:rPr>
        <w:t xml:space="preserve"> secteurs de l’énergie et des mines abordés par le projet dans l’optique d’améliorer le cadre, légal, réglementaire et institutionnel les régissant est en soi une bonne initiative du Bureau PNUD –pays et du Gouvernement du Burundi à travers le MEM. Secteurs hautement capitalistiques dans l’économie du pays, ils continueront dans les années à venir à occuper une place importante dans les défis de croissance économique que le pays compte relever et esquissés dans la Vision Burundi 2025 et le CSLP II. C’est pourquoi, malgré les insuffisances constatées dans sa mise en œuvre et au regard des résultats obtenus qui sont tout de même globalement positifs, il est souhaitable de consolider les acquis du projet et de concentrer les efforts sur le secteur de l’énergie en s’arrimant sur les défis de l’heure (ODD, changements climatiques, SE4ALL), le secteur des mines ayant déjà trouvé l’appui financier nécessaire à travers le PRCIEG que le gouvernement a adopté avec la Banque mondiale. Dans cette optique, il conviendrait de prendre compte des  </w:t>
      </w:r>
      <w:r>
        <w:rPr>
          <w:rFonts w:ascii="Times New Roman" w:hAnsi="Times New Roman" w:cs="Times New Roman"/>
          <w:sz w:val="24"/>
          <w:szCs w:val="24"/>
          <w:lang w:eastAsia="fr-FR"/>
        </w:rPr>
        <w:t>mesures ci-dessous esquissées</w:t>
      </w:r>
      <w:r w:rsidR="006E2945" w:rsidRPr="006E2945">
        <w:rPr>
          <w:rFonts w:ascii="Times New Roman" w:hAnsi="Times New Roman" w:cs="Times New Roman"/>
          <w:sz w:val="24"/>
          <w:szCs w:val="24"/>
          <w:lang w:eastAsia="fr-FR"/>
        </w:rPr>
        <w:t xml:space="preserve"> :  </w:t>
      </w:r>
    </w:p>
    <w:p w:rsidR="006E2945" w:rsidRPr="006E2945" w:rsidRDefault="006E2945" w:rsidP="006E2945">
      <w:pPr>
        <w:pStyle w:val="m2797968840765199402gmail-msolistparagraph"/>
        <w:spacing w:line="276" w:lineRule="auto"/>
        <w:jc w:val="both"/>
        <w:rPr>
          <w:b/>
          <w:bCs/>
        </w:rPr>
      </w:pPr>
      <w:bookmarkStart w:id="62" w:name="m_2797968840765199402__Toc499467474"/>
      <w:r w:rsidRPr="006E2945">
        <w:rPr>
          <w:b/>
          <w:bCs/>
        </w:rPr>
        <w:t>5.1. Mesures correctives pour la conception, la mise en œuvre, le suivi et l’évaluation du projet</w:t>
      </w:r>
      <w:bookmarkEnd w:id="62"/>
      <w:r w:rsidRPr="006E2945">
        <w:rPr>
          <w:b/>
          <w:bCs/>
        </w:rPr>
        <w:t xml:space="preserve"> </w:t>
      </w:r>
    </w:p>
    <w:p w:rsidR="006E2945" w:rsidRPr="006E2945" w:rsidRDefault="006E2945" w:rsidP="006E2945">
      <w:pPr>
        <w:pStyle w:val="m2797968840765199402gmail-msolistparagraph"/>
        <w:spacing w:line="276" w:lineRule="auto"/>
        <w:jc w:val="both"/>
      </w:pPr>
      <w:r w:rsidRPr="006E2945">
        <w:rPr>
          <w:bCs/>
        </w:rPr>
        <w:t>Il s’agit à très court terme d’engager les discussions entre le PNUD et le MEM pour définir les nouvelles bases d’une coopération orientée vers le secteur de l’énergie durable, et l’environnement (avec prise en compte de la problématique du bois –énergie).  A noter par exemple que le Burundi est très en retard dans le processus de l’initiative SE4ALL où  il est encore au stade de « Gap Analysis » alors</w:t>
      </w:r>
      <w:r w:rsidR="00613827">
        <w:rPr>
          <w:bCs/>
        </w:rPr>
        <w:t xml:space="preserve"> que</w:t>
      </w:r>
      <w:r w:rsidRPr="006E2945">
        <w:rPr>
          <w:bCs/>
        </w:rPr>
        <w:t xml:space="preserve"> le plan d’actions à l’horizon de 2030 assorti d’un « Prospectus Invest » est à faire dans les meilleurs délais. C’est dire qu’u</w:t>
      </w:r>
      <w:r w:rsidR="00613827">
        <w:rPr>
          <w:bCs/>
        </w:rPr>
        <w:t>ne conception nouvelle de la coopération entre le PNUD et le MEM</w:t>
      </w:r>
      <w:r w:rsidRPr="006E2945">
        <w:rPr>
          <w:bCs/>
        </w:rPr>
        <w:t xml:space="preserve"> est donc à l’ordre du jour avec une feuille de route devant assurer le suivi et l’évaluation pour les actions futures. </w:t>
      </w:r>
    </w:p>
    <w:p w:rsidR="006E2945" w:rsidRPr="006E2945" w:rsidRDefault="006E2945" w:rsidP="006E2945">
      <w:pPr>
        <w:pStyle w:val="m2797968840765199402gmail-msolistparagraph"/>
        <w:spacing w:line="276" w:lineRule="auto"/>
        <w:jc w:val="both"/>
      </w:pPr>
      <w:bookmarkStart w:id="63" w:name="m_2797968840765199402__Toc499467475"/>
      <w:r w:rsidRPr="006E2945">
        <w:rPr>
          <w:b/>
          <w:bCs/>
        </w:rPr>
        <w:t>5.2. Mesures visant à assurer le suivi ou à renforcer les avantages initiaux du projet</w:t>
      </w:r>
      <w:bookmarkEnd w:id="63"/>
      <w:r w:rsidRPr="006E2945">
        <w:t xml:space="preserve"> </w:t>
      </w:r>
    </w:p>
    <w:p w:rsidR="005149CA" w:rsidRPr="005149CA" w:rsidRDefault="006E2945" w:rsidP="00613827">
      <w:pPr>
        <w:pStyle w:val="m2797968840765199402gmail-msolistparagraph"/>
        <w:spacing w:line="276" w:lineRule="auto"/>
        <w:jc w:val="both"/>
      </w:pPr>
      <w:r w:rsidRPr="006E2945">
        <w:t xml:space="preserve">A ce niveau la mission a constaté que le PNUD, en perspective de ses actions futures a pris déjà toutes les dispositions nécessaires en se dotant d’une Unité de Suivi Evaluation et qui travaille en synergie avec l’UPS et l’Unité en charge de la communication des ODD ce qui est un atout. A ce dispositif, il faut ajouter l’Unité genre qui s’occupe entre autres de l’implication des femmes dans la mise en œuvre des projets de développement. </w:t>
      </w:r>
      <w:bookmarkStart w:id="64" w:name="m_2797968840765199402__Toc499467476"/>
      <w:r w:rsidR="0054472A">
        <w:rPr>
          <w:b/>
          <w:bCs/>
        </w:rPr>
        <w:br w:type="page"/>
      </w:r>
    </w:p>
    <w:p w:rsidR="006E2945" w:rsidRPr="006E2945" w:rsidRDefault="006E2945" w:rsidP="00613827">
      <w:pPr>
        <w:pStyle w:val="m2797968840765199402gmail-msolistparagraph"/>
        <w:spacing w:line="276" w:lineRule="auto"/>
        <w:jc w:val="both"/>
        <w:rPr>
          <w:b/>
          <w:bCs/>
        </w:rPr>
      </w:pPr>
      <w:r w:rsidRPr="006E2945">
        <w:rPr>
          <w:b/>
          <w:bCs/>
        </w:rPr>
        <w:lastRenderedPageBreak/>
        <w:t>5.3. Propositions relatives aux orientations futures favorisant les principaux objectifs</w:t>
      </w:r>
      <w:bookmarkEnd w:id="64"/>
      <w:r w:rsidRPr="006E2945">
        <w:rPr>
          <w:b/>
          <w:bCs/>
        </w:rPr>
        <w:t xml:space="preserve"> </w:t>
      </w:r>
    </w:p>
    <w:p w:rsidR="00D535FB" w:rsidRDefault="00613827" w:rsidP="000F5743">
      <w:pPr>
        <w:spacing w:line="276" w:lineRule="auto"/>
        <w:jc w:val="both"/>
        <w:rPr>
          <w:rFonts w:ascii="Times New Roman" w:eastAsia="Times New Roman" w:hAnsi="Times New Roman" w:cs="Times New Roman"/>
          <w:sz w:val="24"/>
          <w:szCs w:val="24"/>
          <w:lang w:eastAsia="fr-FR"/>
        </w:rPr>
      </w:pPr>
      <w:r w:rsidRPr="00100CA7">
        <w:rPr>
          <w:rFonts w:ascii="Times New Roman" w:eastAsia="Times New Roman" w:hAnsi="Times New Roman" w:cs="Times New Roman"/>
          <w:sz w:val="24"/>
          <w:szCs w:val="24"/>
          <w:lang w:eastAsia="fr-FR"/>
        </w:rPr>
        <w:t>Ces propositions  en réponse aux</w:t>
      </w:r>
      <w:r w:rsidR="006E2945" w:rsidRPr="00100CA7">
        <w:rPr>
          <w:rFonts w:ascii="Times New Roman" w:eastAsia="Times New Roman" w:hAnsi="Times New Roman" w:cs="Times New Roman"/>
          <w:sz w:val="24"/>
          <w:szCs w:val="24"/>
          <w:lang w:eastAsia="fr-FR"/>
        </w:rPr>
        <w:t xml:space="preserve"> mesures correctives esquissées au point 5.1</w:t>
      </w:r>
      <w:r w:rsidR="00EB350B">
        <w:rPr>
          <w:rFonts w:ascii="Times New Roman" w:eastAsia="Times New Roman" w:hAnsi="Times New Roman" w:cs="Times New Roman"/>
          <w:sz w:val="24"/>
          <w:szCs w:val="24"/>
          <w:lang w:eastAsia="fr-FR"/>
        </w:rPr>
        <w:t xml:space="preserve"> et sous forme de recommandations </w:t>
      </w:r>
      <w:r w:rsidR="006E2945" w:rsidRPr="00100CA7">
        <w:rPr>
          <w:rFonts w:ascii="Times New Roman" w:eastAsia="Times New Roman" w:hAnsi="Times New Roman" w:cs="Times New Roman"/>
          <w:sz w:val="24"/>
          <w:szCs w:val="24"/>
          <w:lang w:eastAsia="fr-FR"/>
        </w:rPr>
        <w:t xml:space="preserve"> sont </w:t>
      </w:r>
      <w:r w:rsidR="00D535FB" w:rsidRPr="00100CA7">
        <w:rPr>
          <w:rFonts w:ascii="Times New Roman" w:eastAsia="Times New Roman" w:hAnsi="Times New Roman" w:cs="Times New Roman"/>
          <w:sz w:val="24"/>
          <w:szCs w:val="24"/>
          <w:lang w:eastAsia="fr-FR"/>
        </w:rPr>
        <w:t>les suivantes :  </w:t>
      </w:r>
    </w:p>
    <w:p w:rsidR="004B6EEB" w:rsidRPr="004B6EEB" w:rsidRDefault="004B6EEB" w:rsidP="004B6EEB">
      <w:pPr>
        <w:pStyle w:val="Paragraphedeliste"/>
        <w:numPr>
          <w:ilvl w:val="0"/>
          <w:numId w:val="48"/>
        </w:numPr>
        <w:spacing w:line="276" w:lineRule="auto"/>
        <w:jc w:val="both"/>
        <w:rPr>
          <w:rFonts w:ascii="Times New Roman" w:eastAsia="Times New Roman" w:hAnsi="Times New Roman" w:cs="Times New Roman"/>
          <w:sz w:val="24"/>
          <w:szCs w:val="24"/>
          <w:u w:val="single"/>
          <w:lang w:eastAsia="fr-FR"/>
        </w:rPr>
      </w:pPr>
      <w:r w:rsidRPr="004B6EEB">
        <w:rPr>
          <w:rFonts w:ascii="Times New Roman" w:eastAsia="Times New Roman" w:hAnsi="Times New Roman" w:cs="Times New Roman"/>
          <w:sz w:val="24"/>
          <w:szCs w:val="24"/>
          <w:u w:val="single"/>
          <w:lang w:eastAsia="fr-FR"/>
        </w:rPr>
        <w:t>A l’endroit du Gouvernement</w:t>
      </w:r>
    </w:p>
    <w:p w:rsidR="00D535FB" w:rsidRDefault="00D535FB" w:rsidP="000F5743">
      <w:pPr>
        <w:spacing w:line="276" w:lineRule="auto"/>
        <w:jc w:val="both"/>
        <w:rPr>
          <w:rFonts w:ascii="Times New Roman" w:eastAsia="Times New Roman" w:hAnsi="Times New Roman" w:cs="Times New Roman"/>
          <w:sz w:val="24"/>
          <w:szCs w:val="24"/>
          <w:lang w:eastAsia="fr-FR"/>
        </w:rPr>
      </w:pPr>
      <w:r w:rsidRPr="000F5743">
        <w:rPr>
          <w:rFonts w:ascii="Times New Roman" w:eastAsia="Times New Roman" w:hAnsi="Times New Roman" w:cs="Times New Roman"/>
          <w:b/>
          <w:sz w:val="24"/>
          <w:szCs w:val="24"/>
          <w:lang w:eastAsia="fr-FR"/>
        </w:rPr>
        <w:t>R1</w:t>
      </w:r>
      <w:r w:rsidRPr="000F5743">
        <w:rPr>
          <w:rFonts w:ascii="Times New Roman" w:eastAsia="Times New Roman" w:hAnsi="Times New Roman" w:cs="Times New Roman"/>
          <w:sz w:val="24"/>
          <w:szCs w:val="24"/>
          <w:lang w:eastAsia="fr-FR"/>
        </w:rPr>
        <w:t xml:space="preserve"> : Consolider les acquis du projet et poursuivre  les activités liées à la gouvernance minière (processus ITIE, code minier rénové, code pétrolier, renforcement de capacités, maîtrise des contours d</w:t>
      </w:r>
      <w:r w:rsidR="000F5743" w:rsidRPr="000F5743">
        <w:rPr>
          <w:rFonts w:ascii="Times New Roman" w:eastAsia="Times New Roman" w:hAnsi="Times New Roman" w:cs="Times New Roman"/>
          <w:sz w:val="24"/>
          <w:szCs w:val="24"/>
          <w:lang w:eastAsia="fr-FR"/>
        </w:rPr>
        <w:t>e négociation des contrats etc.</w:t>
      </w:r>
      <w:r w:rsidRPr="000F5743">
        <w:rPr>
          <w:rFonts w:ascii="Times New Roman" w:eastAsia="Times New Roman" w:hAnsi="Times New Roman" w:cs="Times New Roman"/>
          <w:sz w:val="24"/>
          <w:szCs w:val="24"/>
          <w:lang w:eastAsia="fr-FR"/>
        </w:rPr>
        <w:t>) dans le cadre  du PRCIEG qui a dédié assez de ressources financières pour  créer un cadre favorable de développement du secteur minier au Burundi. [</w:t>
      </w:r>
      <w:r w:rsidRPr="004B6EEB">
        <w:rPr>
          <w:rFonts w:ascii="Times New Roman" w:eastAsia="Times New Roman" w:hAnsi="Times New Roman" w:cs="Times New Roman"/>
          <w:b/>
          <w:sz w:val="24"/>
          <w:szCs w:val="24"/>
          <w:lang w:eastAsia="fr-FR"/>
        </w:rPr>
        <w:t>MEM</w:t>
      </w:r>
      <w:r w:rsidRPr="000F5743">
        <w:rPr>
          <w:rFonts w:ascii="Times New Roman" w:eastAsia="Times New Roman" w:hAnsi="Times New Roman" w:cs="Times New Roman"/>
          <w:sz w:val="24"/>
          <w:szCs w:val="24"/>
          <w:lang w:eastAsia="fr-FR"/>
        </w:rPr>
        <w:t>]</w:t>
      </w:r>
      <w:r w:rsidR="004B6EEB">
        <w:rPr>
          <w:rFonts w:ascii="Times New Roman" w:eastAsia="Times New Roman" w:hAnsi="Times New Roman" w:cs="Times New Roman"/>
          <w:sz w:val="24"/>
          <w:szCs w:val="24"/>
          <w:lang w:eastAsia="fr-FR"/>
        </w:rPr>
        <w:t>.</w:t>
      </w:r>
    </w:p>
    <w:p w:rsidR="004B6EEB" w:rsidRPr="004B6EEB" w:rsidRDefault="004B6EEB" w:rsidP="004B6EEB">
      <w:pPr>
        <w:pStyle w:val="Paragraphedeliste"/>
        <w:numPr>
          <w:ilvl w:val="0"/>
          <w:numId w:val="48"/>
        </w:numPr>
        <w:spacing w:line="276" w:lineRule="auto"/>
        <w:jc w:val="both"/>
        <w:rPr>
          <w:rFonts w:ascii="Times New Roman" w:eastAsia="Times New Roman" w:hAnsi="Times New Roman" w:cs="Times New Roman"/>
          <w:sz w:val="24"/>
          <w:szCs w:val="24"/>
          <w:u w:val="single"/>
          <w:lang w:eastAsia="fr-FR"/>
        </w:rPr>
      </w:pPr>
      <w:r w:rsidRPr="004B6EEB">
        <w:rPr>
          <w:rFonts w:ascii="Times New Roman" w:eastAsia="Times New Roman" w:hAnsi="Times New Roman" w:cs="Times New Roman"/>
          <w:sz w:val="24"/>
          <w:szCs w:val="24"/>
          <w:u w:val="single"/>
          <w:lang w:eastAsia="fr-FR"/>
        </w:rPr>
        <w:t>A l’endroit du Gouvernement et du PNUD</w:t>
      </w:r>
    </w:p>
    <w:p w:rsidR="006E2945" w:rsidRPr="00100CA7" w:rsidRDefault="006E2945" w:rsidP="000F5743">
      <w:pPr>
        <w:spacing w:line="276" w:lineRule="auto"/>
        <w:jc w:val="both"/>
        <w:rPr>
          <w:rFonts w:ascii="Times New Roman" w:eastAsia="Times New Roman" w:hAnsi="Times New Roman" w:cs="Times New Roman"/>
          <w:sz w:val="24"/>
          <w:szCs w:val="24"/>
          <w:lang w:eastAsia="fr-FR"/>
        </w:rPr>
      </w:pPr>
      <w:r w:rsidRPr="00100CA7">
        <w:rPr>
          <w:rFonts w:ascii="Times New Roman" w:eastAsia="Times New Roman" w:hAnsi="Times New Roman" w:cs="Times New Roman"/>
          <w:b/>
          <w:sz w:val="24"/>
          <w:szCs w:val="24"/>
          <w:lang w:eastAsia="fr-FR"/>
        </w:rPr>
        <w:t>R2</w:t>
      </w:r>
      <w:r w:rsidRPr="00100CA7">
        <w:rPr>
          <w:rFonts w:ascii="Times New Roman" w:eastAsia="Times New Roman" w:hAnsi="Times New Roman" w:cs="Times New Roman"/>
          <w:sz w:val="24"/>
          <w:szCs w:val="24"/>
          <w:lang w:eastAsia="fr-FR"/>
        </w:rPr>
        <w:t> : Poursuivre la coopération entre le PNUD et le MEM en se concentrant uniquement sur le secteur de l’énergie  avec focus sur, la planification énergétique, l’accès durable à l’énergie pour les populations rurale</w:t>
      </w:r>
      <w:r w:rsidR="0020174B" w:rsidRPr="00100CA7">
        <w:rPr>
          <w:rFonts w:ascii="Times New Roman" w:eastAsia="Times New Roman" w:hAnsi="Times New Roman" w:cs="Times New Roman"/>
          <w:sz w:val="24"/>
          <w:szCs w:val="24"/>
          <w:lang w:eastAsia="fr-FR"/>
        </w:rPr>
        <w:t>s, et le changement climatique.</w:t>
      </w:r>
      <w:r w:rsidR="00D535FB" w:rsidRPr="00100CA7">
        <w:rPr>
          <w:rFonts w:ascii="Times New Roman" w:eastAsia="Times New Roman" w:hAnsi="Times New Roman" w:cs="Times New Roman"/>
          <w:sz w:val="24"/>
          <w:szCs w:val="24"/>
          <w:lang w:eastAsia="fr-FR"/>
        </w:rPr>
        <w:t xml:space="preserve"> [</w:t>
      </w:r>
      <w:r w:rsidR="00D535FB" w:rsidRPr="00100CA7">
        <w:rPr>
          <w:rFonts w:ascii="Times New Roman" w:eastAsia="Times New Roman" w:hAnsi="Times New Roman" w:cs="Times New Roman"/>
          <w:b/>
          <w:sz w:val="24"/>
          <w:szCs w:val="24"/>
          <w:lang w:eastAsia="fr-FR"/>
        </w:rPr>
        <w:t>PNUD-MEM</w:t>
      </w:r>
      <w:r w:rsidR="00D535FB" w:rsidRPr="00100CA7">
        <w:rPr>
          <w:rFonts w:ascii="Times New Roman" w:eastAsia="Times New Roman" w:hAnsi="Times New Roman" w:cs="Times New Roman"/>
          <w:sz w:val="24"/>
          <w:szCs w:val="24"/>
          <w:lang w:eastAsia="fr-FR"/>
        </w:rPr>
        <w:t>]</w:t>
      </w:r>
    </w:p>
    <w:p w:rsidR="004B6EEB" w:rsidRPr="004B6EEB" w:rsidRDefault="004B6EEB" w:rsidP="000F5743">
      <w:pPr>
        <w:pStyle w:val="Paragraphedeliste"/>
        <w:numPr>
          <w:ilvl w:val="0"/>
          <w:numId w:val="48"/>
        </w:numPr>
        <w:spacing w:line="276" w:lineRule="auto"/>
        <w:jc w:val="both"/>
        <w:rPr>
          <w:rFonts w:ascii="Times New Roman" w:eastAsia="Times New Roman" w:hAnsi="Times New Roman" w:cs="Times New Roman"/>
          <w:sz w:val="24"/>
          <w:szCs w:val="24"/>
          <w:u w:val="single"/>
          <w:lang w:eastAsia="fr-FR"/>
        </w:rPr>
      </w:pPr>
      <w:r w:rsidRPr="004B6EEB">
        <w:rPr>
          <w:rFonts w:ascii="Times New Roman" w:eastAsia="Times New Roman" w:hAnsi="Times New Roman" w:cs="Times New Roman"/>
          <w:sz w:val="24"/>
          <w:szCs w:val="24"/>
          <w:u w:val="single"/>
          <w:lang w:eastAsia="fr-FR"/>
        </w:rPr>
        <w:t>A l’</w:t>
      </w:r>
      <w:r>
        <w:rPr>
          <w:rFonts w:ascii="Times New Roman" w:eastAsia="Times New Roman" w:hAnsi="Times New Roman" w:cs="Times New Roman"/>
          <w:sz w:val="24"/>
          <w:szCs w:val="24"/>
          <w:u w:val="single"/>
          <w:lang w:eastAsia="fr-FR"/>
        </w:rPr>
        <w:t xml:space="preserve">endroit </w:t>
      </w:r>
      <w:r w:rsidRPr="004B6EEB">
        <w:rPr>
          <w:rFonts w:ascii="Times New Roman" w:eastAsia="Times New Roman" w:hAnsi="Times New Roman" w:cs="Times New Roman"/>
          <w:sz w:val="24"/>
          <w:szCs w:val="24"/>
          <w:u w:val="single"/>
          <w:lang w:eastAsia="fr-FR"/>
        </w:rPr>
        <w:t xml:space="preserve"> du PNUD</w:t>
      </w:r>
    </w:p>
    <w:p w:rsidR="006E2945" w:rsidRDefault="006E2945" w:rsidP="000F5743">
      <w:pPr>
        <w:spacing w:line="276" w:lineRule="auto"/>
        <w:jc w:val="both"/>
        <w:rPr>
          <w:rFonts w:ascii="Times New Roman" w:eastAsia="Times New Roman" w:hAnsi="Times New Roman" w:cs="Times New Roman"/>
          <w:sz w:val="24"/>
          <w:szCs w:val="24"/>
          <w:lang w:eastAsia="fr-FR"/>
        </w:rPr>
      </w:pPr>
      <w:r w:rsidRPr="00100CA7">
        <w:rPr>
          <w:rFonts w:ascii="Times New Roman" w:eastAsia="Times New Roman" w:hAnsi="Times New Roman" w:cs="Times New Roman"/>
          <w:b/>
          <w:sz w:val="24"/>
          <w:szCs w:val="24"/>
          <w:lang w:eastAsia="fr-FR"/>
        </w:rPr>
        <w:t>R3 </w:t>
      </w:r>
      <w:r w:rsidRPr="00100CA7">
        <w:rPr>
          <w:rFonts w:ascii="Times New Roman" w:eastAsia="Times New Roman" w:hAnsi="Times New Roman" w:cs="Times New Roman"/>
          <w:sz w:val="24"/>
          <w:szCs w:val="24"/>
          <w:lang w:eastAsia="fr-FR"/>
        </w:rPr>
        <w:t xml:space="preserve">: Recruter </w:t>
      </w:r>
      <w:r w:rsidR="00CE2565">
        <w:rPr>
          <w:rFonts w:ascii="Times New Roman" w:eastAsia="Times New Roman" w:hAnsi="Times New Roman" w:cs="Times New Roman"/>
          <w:sz w:val="24"/>
          <w:szCs w:val="24"/>
          <w:lang w:eastAsia="fr-FR"/>
        </w:rPr>
        <w:t xml:space="preserve">un </w:t>
      </w:r>
      <w:r w:rsidRPr="00100CA7">
        <w:rPr>
          <w:rFonts w:ascii="Times New Roman" w:eastAsia="Times New Roman" w:hAnsi="Times New Roman" w:cs="Times New Roman"/>
          <w:sz w:val="24"/>
          <w:szCs w:val="24"/>
          <w:lang w:eastAsia="fr-FR"/>
        </w:rPr>
        <w:t>Expert  international pour (i) consolider les résultats du projet d’Assistance technique préparatoire et (ii) appuyer le Ministère en charge de l’Energie à la définition et à la mise en œuvre de sa politique énergétique dans le cadre des ODD, de SE4ALL et du changement climatique en s’appu</w:t>
      </w:r>
      <w:r w:rsidR="00CE2565">
        <w:rPr>
          <w:rFonts w:ascii="Times New Roman" w:eastAsia="Times New Roman" w:hAnsi="Times New Roman" w:cs="Times New Roman"/>
          <w:sz w:val="24"/>
          <w:szCs w:val="24"/>
          <w:lang w:eastAsia="fr-FR"/>
        </w:rPr>
        <w:t>yant sur les technologies sobre</w:t>
      </w:r>
      <w:r w:rsidRPr="00100CA7">
        <w:rPr>
          <w:rFonts w:ascii="Times New Roman" w:eastAsia="Times New Roman" w:hAnsi="Times New Roman" w:cs="Times New Roman"/>
          <w:sz w:val="24"/>
          <w:szCs w:val="24"/>
          <w:lang w:eastAsia="fr-FR"/>
        </w:rPr>
        <w:t>s en carbone (ENR notamment) et en proposant une stratégie d’actions pour un approvisionnement durable en  combustibles domestique</w:t>
      </w:r>
      <w:r w:rsidR="00D535FB" w:rsidRPr="00100CA7">
        <w:rPr>
          <w:rFonts w:ascii="Times New Roman" w:eastAsia="Times New Roman" w:hAnsi="Times New Roman" w:cs="Times New Roman"/>
          <w:sz w:val="24"/>
          <w:szCs w:val="24"/>
          <w:lang w:eastAsia="fr-FR"/>
        </w:rPr>
        <w:t>s des populations burundaises  [</w:t>
      </w:r>
      <w:r w:rsidR="00D535FB" w:rsidRPr="00100CA7">
        <w:rPr>
          <w:rFonts w:ascii="Times New Roman" w:eastAsia="Times New Roman" w:hAnsi="Times New Roman" w:cs="Times New Roman"/>
          <w:b/>
          <w:sz w:val="24"/>
          <w:szCs w:val="24"/>
          <w:lang w:eastAsia="fr-FR"/>
        </w:rPr>
        <w:t>PNUD</w:t>
      </w:r>
      <w:r w:rsidR="00D535FB" w:rsidRPr="00100CA7">
        <w:rPr>
          <w:rFonts w:ascii="Times New Roman" w:eastAsia="Times New Roman" w:hAnsi="Times New Roman" w:cs="Times New Roman"/>
          <w:sz w:val="24"/>
          <w:szCs w:val="24"/>
          <w:lang w:eastAsia="fr-FR"/>
        </w:rPr>
        <w:t>]</w:t>
      </w:r>
      <w:r w:rsidR="000F5743">
        <w:rPr>
          <w:rFonts w:ascii="Times New Roman" w:eastAsia="Times New Roman" w:hAnsi="Times New Roman" w:cs="Times New Roman"/>
          <w:sz w:val="24"/>
          <w:szCs w:val="24"/>
          <w:lang w:eastAsia="fr-FR"/>
        </w:rPr>
        <w:t>.</w:t>
      </w:r>
    </w:p>
    <w:p w:rsidR="004B6EEB" w:rsidRPr="004B6EEB" w:rsidRDefault="004B6EEB" w:rsidP="000F5743">
      <w:pPr>
        <w:pStyle w:val="Paragraphedeliste"/>
        <w:numPr>
          <w:ilvl w:val="0"/>
          <w:numId w:val="48"/>
        </w:numPr>
        <w:spacing w:line="276" w:lineRule="auto"/>
        <w:jc w:val="both"/>
        <w:rPr>
          <w:rFonts w:ascii="Times New Roman" w:eastAsia="Times New Roman" w:hAnsi="Times New Roman" w:cs="Times New Roman"/>
          <w:sz w:val="24"/>
          <w:szCs w:val="24"/>
          <w:u w:val="single"/>
          <w:lang w:eastAsia="fr-FR"/>
        </w:rPr>
      </w:pPr>
      <w:r w:rsidRPr="004B6EEB">
        <w:rPr>
          <w:rFonts w:ascii="Times New Roman" w:eastAsia="Times New Roman" w:hAnsi="Times New Roman" w:cs="Times New Roman"/>
          <w:sz w:val="24"/>
          <w:szCs w:val="24"/>
          <w:u w:val="single"/>
          <w:lang w:eastAsia="fr-FR"/>
        </w:rPr>
        <w:t>A l’en</w:t>
      </w:r>
      <w:r>
        <w:rPr>
          <w:rFonts w:ascii="Times New Roman" w:eastAsia="Times New Roman" w:hAnsi="Times New Roman" w:cs="Times New Roman"/>
          <w:sz w:val="24"/>
          <w:szCs w:val="24"/>
          <w:u w:val="single"/>
          <w:lang w:eastAsia="fr-FR"/>
        </w:rPr>
        <w:t xml:space="preserve">droit des PTF avec le PNUD comme Chef de file </w:t>
      </w:r>
    </w:p>
    <w:p w:rsidR="006E2945" w:rsidRPr="00100CA7" w:rsidRDefault="006E2945" w:rsidP="00100CA7">
      <w:pPr>
        <w:spacing w:after="0" w:line="276" w:lineRule="auto"/>
        <w:jc w:val="both"/>
        <w:rPr>
          <w:rFonts w:ascii="Times New Roman" w:eastAsia="Times New Roman" w:hAnsi="Times New Roman" w:cs="Times New Roman"/>
          <w:sz w:val="24"/>
          <w:szCs w:val="24"/>
          <w:lang w:eastAsia="fr-FR"/>
        </w:rPr>
      </w:pPr>
      <w:r w:rsidRPr="00100CA7">
        <w:rPr>
          <w:rFonts w:ascii="Times New Roman" w:eastAsia="Times New Roman" w:hAnsi="Times New Roman" w:cs="Times New Roman"/>
          <w:b/>
          <w:sz w:val="24"/>
          <w:szCs w:val="24"/>
          <w:lang w:eastAsia="fr-FR"/>
        </w:rPr>
        <w:t>R4 </w:t>
      </w:r>
      <w:r w:rsidRPr="00100CA7">
        <w:rPr>
          <w:rFonts w:ascii="Times New Roman" w:eastAsia="Times New Roman" w:hAnsi="Times New Roman" w:cs="Times New Roman"/>
          <w:sz w:val="24"/>
          <w:szCs w:val="24"/>
          <w:lang w:eastAsia="fr-FR"/>
        </w:rPr>
        <w:t>Mener des actions de « Fund raising » et développer des synergies en</w:t>
      </w:r>
      <w:r w:rsidR="004B6EEB">
        <w:rPr>
          <w:rFonts w:ascii="Times New Roman" w:eastAsia="Times New Roman" w:hAnsi="Times New Roman" w:cs="Times New Roman"/>
          <w:sz w:val="24"/>
          <w:szCs w:val="24"/>
          <w:lang w:eastAsia="fr-FR"/>
        </w:rPr>
        <w:t>tre Partenaires Techniques et F</w:t>
      </w:r>
      <w:r w:rsidRPr="00100CA7">
        <w:rPr>
          <w:rFonts w:ascii="Times New Roman" w:eastAsia="Times New Roman" w:hAnsi="Times New Roman" w:cs="Times New Roman"/>
          <w:sz w:val="24"/>
          <w:szCs w:val="24"/>
          <w:lang w:eastAsia="fr-FR"/>
        </w:rPr>
        <w:t>inanciers</w:t>
      </w:r>
      <w:r w:rsidR="004B6EEB">
        <w:rPr>
          <w:rFonts w:ascii="Times New Roman" w:eastAsia="Times New Roman" w:hAnsi="Times New Roman" w:cs="Times New Roman"/>
          <w:sz w:val="24"/>
          <w:szCs w:val="24"/>
          <w:lang w:eastAsia="fr-FR"/>
        </w:rPr>
        <w:t xml:space="preserve"> (PTF)</w:t>
      </w:r>
      <w:r w:rsidRPr="00100CA7">
        <w:rPr>
          <w:rFonts w:ascii="Times New Roman" w:eastAsia="Times New Roman" w:hAnsi="Times New Roman" w:cs="Times New Roman"/>
          <w:sz w:val="24"/>
          <w:szCs w:val="24"/>
          <w:lang w:eastAsia="fr-FR"/>
        </w:rPr>
        <w:t xml:space="preserve"> en vue de mobiliser les ressources nécessaires dans la mise en œuvre de projets et actions pertinents proposés par l’Expert international qui se déclinent comme suit: </w:t>
      </w:r>
    </w:p>
    <w:p w:rsidR="006E2945" w:rsidRPr="00100CA7" w:rsidRDefault="006E2945" w:rsidP="00100CA7">
      <w:pPr>
        <w:pStyle w:val="Paragraphedeliste"/>
        <w:numPr>
          <w:ilvl w:val="0"/>
          <w:numId w:val="46"/>
        </w:numPr>
        <w:spacing w:after="0" w:line="276" w:lineRule="auto"/>
        <w:jc w:val="both"/>
        <w:rPr>
          <w:rFonts w:ascii="Times New Roman" w:eastAsia="Times New Roman" w:hAnsi="Times New Roman" w:cs="Times New Roman"/>
          <w:sz w:val="24"/>
          <w:szCs w:val="24"/>
          <w:lang w:eastAsia="fr-FR"/>
        </w:rPr>
      </w:pPr>
      <w:r w:rsidRPr="00100CA7">
        <w:rPr>
          <w:rFonts w:ascii="Times New Roman" w:eastAsia="Times New Roman" w:hAnsi="Times New Roman" w:cs="Times New Roman"/>
          <w:sz w:val="24"/>
          <w:szCs w:val="24"/>
          <w:lang w:eastAsia="fr-FR"/>
        </w:rPr>
        <w:t>Planification énergétique par (i) la mise en en place d’un Observatoire national de l’Energie et (ii) l’élaboration d’un Atlas des énergies renouvelables</w:t>
      </w:r>
    </w:p>
    <w:p w:rsidR="006E2945" w:rsidRPr="00100CA7" w:rsidRDefault="006E2945" w:rsidP="00100CA7">
      <w:pPr>
        <w:pStyle w:val="Paragraphedeliste"/>
        <w:numPr>
          <w:ilvl w:val="0"/>
          <w:numId w:val="46"/>
        </w:numPr>
        <w:spacing w:after="0" w:line="276" w:lineRule="auto"/>
        <w:jc w:val="both"/>
        <w:rPr>
          <w:rFonts w:ascii="Times New Roman" w:eastAsia="Times New Roman" w:hAnsi="Times New Roman" w:cs="Times New Roman"/>
          <w:sz w:val="24"/>
          <w:szCs w:val="24"/>
          <w:lang w:eastAsia="fr-FR"/>
        </w:rPr>
      </w:pPr>
      <w:r w:rsidRPr="00100CA7">
        <w:rPr>
          <w:rFonts w:ascii="Times New Roman" w:eastAsia="Times New Roman" w:hAnsi="Times New Roman" w:cs="Times New Roman"/>
          <w:sz w:val="24"/>
          <w:szCs w:val="24"/>
          <w:lang w:eastAsia="fr-FR"/>
        </w:rPr>
        <w:t>Etude pour la mise en place d’un cadre juridique, règlementaire et attractif du sous – secteur des Energies renouvelables</w:t>
      </w:r>
    </w:p>
    <w:p w:rsidR="006E2945" w:rsidRPr="00100CA7" w:rsidRDefault="00F30B86" w:rsidP="00100CA7">
      <w:pPr>
        <w:pStyle w:val="Paragraphedeliste"/>
        <w:numPr>
          <w:ilvl w:val="0"/>
          <w:numId w:val="46"/>
        </w:numPr>
        <w:spacing w:after="0" w:line="276" w:lineRule="auto"/>
        <w:jc w:val="both"/>
        <w:rPr>
          <w:rFonts w:ascii="Times New Roman" w:eastAsia="Times New Roman" w:hAnsi="Times New Roman" w:cs="Times New Roman"/>
          <w:sz w:val="24"/>
          <w:szCs w:val="24"/>
          <w:lang w:eastAsia="fr-FR"/>
        </w:rPr>
      </w:pPr>
      <w:r w:rsidRPr="00100CA7">
        <w:rPr>
          <w:rFonts w:ascii="Times New Roman" w:eastAsia="Times New Roman" w:hAnsi="Times New Roman" w:cs="Times New Roman"/>
          <w:sz w:val="24"/>
          <w:szCs w:val="24"/>
          <w:lang w:eastAsia="fr-FR"/>
        </w:rPr>
        <w:t>Développement de s</w:t>
      </w:r>
      <w:r w:rsidR="006E2945" w:rsidRPr="00100CA7">
        <w:rPr>
          <w:rFonts w:ascii="Times New Roman" w:eastAsia="Times New Roman" w:hAnsi="Times New Roman" w:cs="Times New Roman"/>
          <w:sz w:val="24"/>
          <w:szCs w:val="24"/>
          <w:lang w:eastAsia="fr-FR"/>
        </w:rPr>
        <w:t>ervices énergétiques de base pour assurer dans le cadre des ODD, la santé, l’éducation, l’approvisionnement en eau, la sécurité alimentaire etc.</w:t>
      </w:r>
    </w:p>
    <w:p w:rsidR="006E2945" w:rsidRPr="00100CA7" w:rsidRDefault="006E2945" w:rsidP="00100CA7">
      <w:pPr>
        <w:pStyle w:val="Paragraphedeliste"/>
        <w:numPr>
          <w:ilvl w:val="0"/>
          <w:numId w:val="46"/>
        </w:numPr>
        <w:spacing w:after="0" w:line="276" w:lineRule="auto"/>
        <w:jc w:val="both"/>
        <w:rPr>
          <w:rFonts w:ascii="Times New Roman" w:eastAsia="Times New Roman" w:hAnsi="Times New Roman" w:cs="Times New Roman"/>
          <w:sz w:val="24"/>
          <w:szCs w:val="24"/>
          <w:lang w:eastAsia="fr-FR"/>
        </w:rPr>
      </w:pPr>
      <w:r w:rsidRPr="00100CA7">
        <w:rPr>
          <w:rFonts w:ascii="Times New Roman" w:eastAsia="Times New Roman" w:hAnsi="Times New Roman" w:cs="Times New Roman"/>
          <w:sz w:val="24"/>
          <w:szCs w:val="24"/>
          <w:lang w:eastAsia="fr-FR"/>
        </w:rPr>
        <w:t xml:space="preserve">Approvisionnement durable des ménages en combustibles domestiques ; </w:t>
      </w:r>
    </w:p>
    <w:p w:rsidR="006E2945" w:rsidRPr="00100CA7" w:rsidRDefault="006E2945" w:rsidP="00100CA7">
      <w:pPr>
        <w:pStyle w:val="Paragraphedeliste"/>
        <w:numPr>
          <w:ilvl w:val="0"/>
          <w:numId w:val="46"/>
        </w:numPr>
        <w:spacing w:after="0" w:line="276" w:lineRule="auto"/>
        <w:jc w:val="both"/>
        <w:rPr>
          <w:rFonts w:ascii="Times New Roman" w:eastAsia="Times New Roman" w:hAnsi="Times New Roman" w:cs="Times New Roman"/>
          <w:sz w:val="24"/>
          <w:szCs w:val="24"/>
          <w:lang w:eastAsia="fr-FR"/>
        </w:rPr>
      </w:pPr>
      <w:r w:rsidRPr="00100CA7">
        <w:rPr>
          <w:rFonts w:ascii="Times New Roman" w:eastAsia="Times New Roman" w:hAnsi="Times New Roman" w:cs="Times New Roman"/>
          <w:sz w:val="24"/>
          <w:szCs w:val="24"/>
          <w:lang w:eastAsia="fr-FR"/>
        </w:rPr>
        <w:t>Opérationnalisation de l’Initiative SE4ALL avec un plan d’actions à l’horizon de 2030 assorti d’un prospectus d’investissements</w:t>
      </w:r>
      <w:r w:rsidR="009E0FB9" w:rsidRPr="00100CA7">
        <w:rPr>
          <w:rFonts w:ascii="Times New Roman" w:eastAsia="Times New Roman" w:hAnsi="Times New Roman" w:cs="Times New Roman"/>
          <w:sz w:val="24"/>
          <w:szCs w:val="24"/>
          <w:lang w:eastAsia="fr-FR"/>
        </w:rPr>
        <w:t>. [</w:t>
      </w:r>
      <w:r w:rsidR="009E0FB9" w:rsidRPr="00100CA7">
        <w:rPr>
          <w:rFonts w:ascii="Times New Roman" w:eastAsia="Times New Roman" w:hAnsi="Times New Roman" w:cs="Times New Roman"/>
          <w:b/>
          <w:sz w:val="24"/>
          <w:szCs w:val="24"/>
          <w:lang w:eastAsia="fr-FR"/>
        </w:rPr>
        <w:t>PNUD</w:t>
      </w:r>
      <w:r w:rsidR="009E0FB9" w:rsidRPr="00100CA7">
        <w:rPr>
          <w:rFonts w:ascii="Times New Roman" w:eastAsia="Times New Roman" w:hAnsi="Times New Roman" w:cs="Times New Roman"/>
          <w:sz w:val="24"/>
          <w:szCs w:val="24"/>
          <w:lang w:eastAsia="fr-FR"/>
        </w:rPr>
        <w:t>].</w:t>
      </w:r>
    </w:p>
    <w:p w:rsidR="000F5743" w:rsidRDefault="000F5743">
      <w:pPr>
        <w:rPr>
          <w:rFonts w:ascii="Times New Roman" w:eastAsia="Times New Roman" w:hAnsi="Times New Roman" w:cs="Times New Roman"/>
          <w:b/>
          <w:bCs/>
          <w:sz w:val="24"/>
          <w:szCs w:val="24"/>
          <w:lang w:eastAsia="fr-FR"/>
        </w:rPr>
      </w:pPr>
      <w:bookmarkStart w:id="65" w:name="m_2797968840765199402__Toc499467477"/>
      <w:r>
        <w:rPr>
          <w:b/>
          <w:bCs/>
        </w:rPr>
        <w:br w:type="page"/>
      </w:r>
    </w:p>
    <w:p w:rsidR="006E2945" w:rsidRPr="00100CA7" w:rsidRDefault="006E2945" w:rsidP="00100CA7">
      <w:pPr>
        <w:pStyle w:val="m2797968840765199402gmail-msolistparagraph"/>
        <w:spacing w:line="276" w:lineRule="auto"/>
        <w:jc w:val="both"/>
      </w:pPr>
      <w:r w:rsidRPr="00100CA7">
        <w:rPr>
          <w:b/>
          <w:bCs/>
        </w:rPr>
        <w:lastRenderedPageBreak/>
        <w:t>5.4. Les meilleures et les pires pratiques lors du traitement des questions concernant la pertinence, la performance et la réussite</w:t>
      </w:r>
      <w:bookmarkEnd w:id="65"/>
      <w:r w:rsidRPr="00100CA7">
        <w:t xml:space="preserve"> </w:t>
      </w:r>
    </w:p>
    <w:p w:rsidR="006E2945" w:rsidRPr="00100CA7" w:rsidRDefault="006E2945" w:rsidP="00100CA7">
      <w:pPr>
        <w:spacing w:after="0" w:line="276" w:lineRule="auto"/>
        <w:jc w:val="both"/>
        <w:rPr>
          <w:rFonts w:ascii="Times New Roman" w:eastAsia="Times New Roman" w:hAnsi="Times New Roman" w:cs="Times New Roman"/>
          <w:sz w:val="24"/>
          <w:szCs w:val="24"/>
          <w:lang w:eastAsia="fr-FR"/>
        </w:rPr>
      </w:pPr>
      <w:r w:rsidRPr="00100CA7">
        <w:rPr>
          <w:rFonts w:ascii="Times New Roman" w:eastAsia="Times New Roman" w:hAnsi="Times New Roman" w:cs="Times New Roman"/>
          <w:sz w:val="24"/>
          <w:szCs w:val="24"/>
          <w:lang w:eastAsia="fr-FR"/>
        </w:rPr>
        <w:t xml:space="preserve">Vu l’envergure du projet et les circonstances dans lesquelles il a évolué, cette question ne peut être traitée qu’en termes de difficultés et d’atouts : </w:t>
      </w:r>
    </w:p>
    <w:p w:rsidR="006E2945" w:rsidRPr="00100CA7" w:rsidRDefault="006E2945" w:rsidP="00100CA7">
      <w:pPr>
        <w:spacing w:after="0" w:line="276" w:lineRule="auto"/>
        <w:jc w:val="both"/>
        <w:rPr>
          <w:rFonts w:ascii="Times New Roman" w:eastAsia="Times New Roman" w:hAnsi="Times New Roman" w:cs="Times New Roman"/>
          <w:sz w:val="24"/>
          <w:szCs w:val="24"/>
          <w:lang w:eastAsia="fr-FR"/>
        </w:rPr>
      </w:pPr>
    </w:p>
    <w:p w:rsidR="006E2945" w:rsidRPr="006E2945" w:rsidRDefault="006E2945" w:rsidP="00613827">
      <w:pPr>
        <w:pStyle w:val="Paragraphedeliste"/>
        <w:numPr>
          <w:ilvl w:val="0"/>
          <w:numId w:val="47"/>
        </w:numPr>
        <w:spacing w:after="0" w:line="240" w:lineRule="auto"/>
        <w:jc w:val="both"/>
        <w:rPr>
          <w:rFonts w:ascii="Times New Roman" w:eastAsia="Times New Roman" w:hAnsi="Times New Roman" w:cs="Times New Roman"/>
          <w:b/>
          <w:sz w:val="24"/>
          <w:szCs w:val="24"/>
          <w:lang w:eastAsia="fr-FR"/>
        </w:rPr>
      </w:pPr>
      <w:r w:rsidRPr="006E2945">
        <w:rPr>
          <w:rFonts w:ascii="Times New Roman" w:eastAsia="Times New Roman" w:hAnsi="Times New Roman" w:cs="Times New Roman"/>
          <w:b/>
          <w:sz w:val="24"/>
          <w:szCs w:val="24"/>
          <w:lang w:eastAsia="fr-FR"/>
        </w:rPr>
        <w:t>difficultés  et pires le</w:t>
      </w:r>
      <w:r w:rsidRPr="006E2945">
        <w:rPr>
          <w:rFonts w:ascii="Times New Roman" w:eastAsia="Times New Roman" w:hAnsi="Times New Roman" w:cs="Times New Roman"/>
          <w:sz w:val="24"/>
          <w:szCs w:val="24"/>
          <w:lang w:eastAsia="fr-FR"/>
        </w:rPr>
        <w:t>ç</w:t>
      </w:r>
      <w:r w:rsidRPr="006E2945">
        <w:rPr>
          <w:rFonts w:ascii="Times New Roman" w:eastAsia="Times New Roman" w:hAnsi="Times New Roman" w:cs="Times New Roman"/>
          <w:b/>
          <w:sz w:val="24"/>
          <w:szCs w:val="24"/>
          <w:lang w:eastAsia="fr-FR"/>
        </w:rPr>
        <w:t xml:space="preserve">ons du projet </w:t>
      </w:r>
    </w:p>
    <w:p w:rsidR="006E2945" w:rsidRPr="006E2945" w:rsidRDefault="006E2945" w:rsidP="00613827">
      <w:pPr>
        <w:spacing w:after="0" w:line="240" w:lineRule="auto"/>
        <w:jc w:val="both"/>
        <w:rPr>
          <w:rFonts w:ascii="Times New Roman" w:eastAsia="Times New Roman" w:hAnsi="Times New Roman" w:cs="Times New Roman"/>
          <w:sz w:val="24"/>
          <w:szCs w:val="24"/>
          <w:lang w:eastAsia="fr-FR"/>
        </w:rPr>
      </w:pPr>
    </w:p>
    <w:p w:rsidR="006E2945" w:rsidRPr="006E2945" w:rsidRDefault="006E2945" w:rsidP="00613827">
      <w:pPr>
        <w:pStyle w:val="Paragraphedeliste"/>
        <w:numPr>
          <w:ilvl w:val="0"/>
          <w:numId w:val="43"/>
        </w:numPr>
        <w:spacing w:after="0" w:line="240" w:lineRule="auto"/>
        <w:jc w:val="both"/>
        <w:rPr>
          <w:rFonts w:ascii="Times New Roman" w:eastAsia="Times New Roman" w:hAnsi="Times New Roman" w:cs="Times New Roman"/>
          <w:sz w:val="24"/>
          <w:szCs w:val="24"/>
          <w:lang w:eastAsia="fr-FR"/>
        </w:rPr>
      </w:pPr>
      <w:r w:rsidRPr="006E2945">
        <w:rPr>
          <w:rFonts w:ascii="Times New Roman" w:eastAsia="Times New Roman" w:hAnsi="Times New Roman" w:cs="Times New Roman"/>
          <w:sz w:val="24"/>
          <w:szCs w:val="24"/>
          <w:lang w:eastAsia="fr-FR"/>
        </w:rPr>
        <w:t>L’approche préconisée de renforcer concomitamment le cadre légal, réglementaire et institutionnel de deux secteurs hautement capitalistiques  n’était pas évidente</w:t>
      </w:r>
      <w:r w:rsidR="00F30B86">
        <w:rPr>
          <w:rFonts w:ascii="Times New Roman" w:eastAsia="Times New Roman" w:hAnsi="Times New Roman" w:cs="Times New Roman"/>
          <w:sz w:val="24"/>
          <w:szCs w:val="24"/>
          <w:lang w:eastAsia="fr-FR"/>
        </w:rPr>
        <w:t xml:space="preserve"> ; </w:t>
      </w:r>
    </w:p>
    <w:p w:rsidR="006E2945" w:rsidRPr="006E2945" w:rsidRDefault="006E2945" w:rsidP="00613827">
      <w:pPr>
        <w:pStyle w:val="Paragraphedeliste"/>
        <w:numPr>
          <w:ilvl w:val="0"/>
          <w:numId w:val="43"/>
        </w:numPr>
        <w:spacing w:after="0" w:line="240" w:lineRule="auto"/>
        <w:jc w:val="both"/>
        <w:rPr>
          <w:rFonts w:ascii="Times New Roman" w:eastAsia="Times New Roman" w:hAnsi="Times New Roman" w:cs="Times New Roman"/>
          <w:sz w:val="24"/>
          <w:szCs w:val="24"/>
          <w:lang w:eastAsia="fr-FR"/>
        </w:rPr>
      </w:pPr>
      <w:r w:rsidRPr="006E2945">
        <w:rPr>
          <w:rFonts w:ascii="Times New Roman" w:eastAsia="Times New Roman" w:hAnsi="Times New Roman" w:cs="Times New Roman"/>
          <w:sz w:val="24"/>
          <w:szCs w:val="24"/>
          <w:lang w:eastAsia="fr-FR"/>
        </w:rPr>
        <w:t xml:space="preserve">L’instabilité des Directeurs de projets : 4 Directeurs nommés en 36 mois  soit Directeur tous les  9 mois – parfois incompatibilité de fonctions celles d’un  Directeur national (Directeur Général de la Recherche Géologique et du Cadasre minier) et celles de Directeur de projet ; </w:t>
      </w:r>
    </w:p>
    <w:p w:rsidR="006E2945" w:rsidRPr="006E2945" w:rsidRDefault="006E2945" w:rsidP="00613827">
      <w:pPr>
        <w:pStyle w:val="Paragraphedeliste"/>
        <w:numPr>
          <w:ilvl w:val="0"/>
          <w:numId w:val="43"/>
        </w:numPr>
        <w:spacing w:after="0" w:line="240" w:lineRule="auto"/>
        <w:jc w:val="both"/>
        <w:rPr>
          <w:rFonts w:ascii="Times New Roman" w:eastAsia="Times New Roman" w:hAnsi="Times New Roman" w:cs="Times New Roman"/>
          <w:sz w:val="24"/>
          <w:szCs w:val="24"/>
          <w:lang w:eastAsia="fr-FR"/>
        </w:rPr>
      </w:pPr>
      <w:r w:rsidRPr="006E2945">
        <w:rPr>
          <w:rFonts w:ascii="Times New Roman" w:eastAsia="Times New Roman" w:hAnsi="Times New Roman" w:cs="Times New Roman"/>
          <w:sz w:val="24"/>
          <w:szCs w:val="24"/>
          <w:lang w:eastAsia="fr-FR"/>
        </w:rPr>
        <w:t xml:space="preserve">La non disponibilité en plein temps des deux Experts internationaux en charge de l’Energie et des Mines </w:t>
      </w:r>
    </w:p>
    <w:p w:rsidR="006E2945" w:rsidRPr="006E2945" w:rsidRDefault="006E2945" w:rsidP="00613827">
      <w:pPr>
        <w:pStyle w:val="Paragraphedeliste"/>
        <w:numPr>
          <w:ilvl w:val="0"/>
          <w:numId w:val="43"/>
        </w:numPr>
        <w:spacing w:after="0" w:line="240" w:lineRule="auto"/>
        <w:jc w:val="both"/>
        <w:rPr>
          <w:rFonts w:ascii="Times New Roman" w:eastAsia="Times New Roman" w:hAnsi="Times New Roman" w:cs="Times New Roman"/>
          <w:sz w:val="24"/>
          <w:szCs w:val="24"/>
          <w:lang w:eastAsia="fr-FR"/>
        </w:rPr>
      </w:pPr>
      <w:r w:rsidRPr="006E2945">
        <w:rPr>
          <w:rFonts w:ascii="Times New Roman" w:eastAsia="Times New Roman" w:hAnsi="Times New Roman" w:cs="Times New Roman"/>
          <w:sz w:val="24"/>
          <w:szCs w:val="24"/>
          <w:lang w:eastAsia="fr-FR"/>
        </w:rPr>
        <w:t xml:space="preserve">Faible fréquence des réunions du comité de pilotage ; </w:t>
      </w:r>
    </w:p>
    <w:p w:rsidR="006E2945" w:rsidRPr="006E2945" w:rsidRDefault="006E2945" w:rsidP="00613827">
      <w:pPr>
        <w:pStyle w:val="Paragraphedeliste"/>
        <w:numPr>
          <w:ilvl w:val="0"/>
          <w:numId w:val="43"/>
        </w:numPr>
        <w:spacing w:after="0" w:line="240" w:lineRule="auto"/>
        <w:jc w:val="both"/>
        <w:rPr>
          <w:rFonts w:ascii="Times New Roman" w:eastAsia="Times New Roman" w:hAnsi="Times New Roman" w:cs="Times New Roman"/>
          <w:sz w:val="24"/>
          <w:szCs w:val="24"/>
          <w:lang w:eastAsia="fr-FR"/>
        </w:rPr>
      </w:pPr>
      <w:r w:rsidRPr="006E2945">
        <w:rPr>
          <w:rFonts w:ascii="Times New Roman" w:eastAsia="Times New Roman" w:hAnsi="Times New Roman" w:cs="Times New Roman"/>
          <w:sz w:val="24"/>
          <w:szCs w:val="24"/>
          <w:lang w:eastAsia="fr-FR"/>
        </w:rPr>
        <w:t xml:space="preserve">Manque de concertation  et de dialogue entre le PNUD et le Ministère, ce qui engendre parfois des incompréhensions. </w:t>
      </w:r>
    </w:p>
    <w:p w:rsidR="006E2945" w:rsidRPr="006E2945" w:rsidRDefault="006E2945" w:rsidP="00613827">
      <w:pPr>
        <w:pStyle w:val="Paragraphedeliste"/>
        <w:numPr>
          <w:ilvl w:val="0"/>
          <w:numId w:val="43"/>
        </w:numPr>
        <w:spacing w:after="0" w:line="240" w:lineRule="auto"/>
        <w:jc w:val="both"/>
        <w:rPr>
          <w:rFonts w:ascii="Times New Roman" w:eastAsia="Times New Roman" w:hAnsi="Times New Roman" w:cs="Times New Roman"/>
          <w:sz w:val="24"/>
          <w:szCs w:val="24"/>
          <w:lang w:eastAsia="fr-FR"/>
        </w:rPr>
      </w:pPr>
      <w:r w:rsidRPr="006E2945">
        <w:rPr>
          <w:rFonts w:ascii="Times New Roman" w:eastAsia="Times New Roman" w:hAnsi="Times New Roman" w:cs="Times New Roman"/>
          <w:sz w:val="24"/>
          <w:szCs w:val="24"/>
          <w:lang w:eastAsia="fr-FR"/>
        </w:rPr>
        <w:t xml:space="preserve">Manque de synergie entre deux principaux partenaires techniques et financiers : Banque mondiale qui a appuyé le secteur des mines et l’UE qui s’occupe de l’énergie.  </w:t>
      </w:r>
    </w:p>
    <w:p w:rsidR="006E2945" w:rsidRPr="006E2945" w:rsidRDefault="006E2945" w:rsidP="00613827">
      <w:pPr>
        <w:spacing w:after="0" w:line="240" w:lineRule="auto"/>
        <w:jc w:val="both"/>
        <w:rPr>
          <w:rFonts w:ascii="Times New Roman" w:eastAsia="Times New Roman" w:hAnsi="Times New Roman" w:cs="Times New Roman"/>
          <w:sz w:val="24"/>
          <w:szCs w:val="24"/>
          <w:lang w:eastAsia="fr-FR"/>
        </w:rPr>
      </w:pPr>
    </w:p>
    <w:p w:rsidR="006E2945" w:rsidRPr="006E2945" w:rsidRDefault="006E2945" w:rsidP="00613827">
      <w:pPr>
        <w:pStyle w:val="Paragraphedeliste"/>
        <w:numPr>
          <w:ilvl w:val="0"/>
          <w:numId w:val="47"/>
        </w:numPr>
        <w:spacing w:after="0" w:line="240" w:lineRule="auto"/>
        <w:jc w:val="both"/>
        <w:rPr>
          <w:rFonts w:ascii="Times New Roman" w:eastAsia="Times New Roman" w:hAnsi="Times New Roman" w:cs="Times New Roman"/>
          <w:b/>
          <w:sz w:val="24"/>
          <w:szCs w:val="24"/>
          <w:lang w:eastAsia="fr-FR"/>
        </w:rPr>
      </w:pPr>
      <w:r w:rsidRPr="006E2945">
        <w:rPr>
          <w:rFonts w:ascii="Times New Roman" w:eastAsia="Times New Roman" w:hAnsi="Times New Roman" w:cs="Times New Roman"/>
          <w:b/>
          <w:sz w:val="24"/>
          <w:szCs w:val="24"/>
          <w:lang w:eastAsia="fr-FR"/>
        </w:rPr>
        <w:t xml:space="preserve">Atouts du projet </w:t>
      </w:r>
    </w:p>
    <w:p w:rsidR="006E2945" w:rsidRPr="006E2945" w:rsidRDefault="006E2945" w:rsidP="00613827">
      <w:pPr>
        <w:spacing w:after="0" w:line="240" w:lineRule="auto"/>
        <w:jc w:val="both"/>
        <w:rPr>
          <w:rFonts w:ascii="Times New Roman" w:eastAsia="Times New Roman" w:hAnsi="Times New Roman" w:cs="Times New Roman"/>
          <w:sz w:val="24"/>
          <w:szCs w:val="24"/>
          <w:lang w:eastAsia="fr-FR"/>
        </w:rPr>
      </w:pPr>
    </w:p>
    <w:p w:rsidR="006E2945" w:rsidRPr="006E2945" w:rsidRDefault="006E2945" w:rsidP="00613827">
      <w:pPr>
        <w:pStyle w:val="Paragraphedeliste"/>
        <w:numPr>
          <w:ilvl w:val="0"/>
          <w:numId w:val="45"/>
        </w:numPr>
        <w:spacing w:after="0" w:line="240" w:lineRule="auto"/>
        <w:jc w:val="both"/>
        <w:rPr>
          <w:rFonts w:ascii="Times New Roman" w:eastAsia="Times New Roman" w:hAnsi="Times New Roman" w:cs="Times New Roman"/>
          <w:sz w:val="24"/>
          <w:szCs w:val="24"/>
          <w:lang w:eastAsia="fr-FR"/>
        </w:rPr>
      </w:pPr>
      <w:r w:rsidRPr="006E2945">
        <w:rPr>
          <w:rFonts w:ascii="Times New Roman" w:eastAsia="Times New Roman" w:hAnsi="Times New Roman" w:cs="Times New Roman"/>
          <w:sz w:val="24"/>
          <w:szCs w:val="24"/>
          <w:lang w:eastAsia="fr-FR"/>
        </w:rPr>
        <w:t xml:space="preserve">Le projet est pertinent et il est en phase avec les grandes orientations économiques du Burundi et les initiatives globales des secteurs de l’énergie et des mines : Vision Burundi 2025, Cadre Stratégique de Croissance de Lutte contre la Pauvreté (CLSP II), le processus ITIE, ODD, SE4ALL etc. </w:t>
      </w:r>
    </w:p>
    <w:p w:rsidR="006E2945" w:rsidRPr="006E2945" w:rsidRDefault="006E2945" w:rsidP="00613827">
      <w:pPr>
        <w:pStyle w:val="Paragraphedeliste"/>
        <w:numPr>
          <w:ilvl w:val="0"/>
          <w:numId w:val="44"/>
        </w:numPr>
        <w:spacing w:after="0" w:line="240" w:lineRule="auto"/>
        <w:jc w:val="both"/>
        <w:rPr>
          <w:rFonts w:ascii="Times New Roman" w:eastAsia="Times New Roman" w:hAnsi="Times New Roman" w:cs="Times New Roman"/>
          <w:sz w:val="24"/>
          <w:szCs w:val="24"/>
          <w:lang w:eastAsia="fr-FR"/>
        </w:rPr>
      </w:pPr>
      <w:r w:rsidRPr="006E2945">
        <w:rPr>
          <w:rFonts w:ascii="Times New Roman" w:eastAsia="Times New Roman" w:hAnsi="Times New Roman" w:cs="Times New Roman"/>
          <w:sz w:val="24"/>
          <w:szCs w:val="24"/>
          <w:lang w:eastAsia="fr-FR"/>
        </w:rPr>
        <w:t>Les secteurs de l’énergie et des mines sont hautement capitalistique et devraient dans un environnement de « doing business » propice, contribuer significativement à la croissance</w:t>
      </w:r>
      <w:r w:rsidR="00F30B86">
        <w:rPr>
          <w:rFonts w:ascii="Times New Roman" w:eastAsia="Times New Roman" w:hAnsi="Times New Roman" w:cs="Times New Roman"/>
          <w:sz w:val="24"/>
          <w:szCs w:val="24"/>
          <w:lang w:eastAsia="fr-FR"/>
        </w:rPr>
        <w:t xml:space="preserve"> de l’économie</w:t>
      </w:r>
      <w:r w:rsidRPr="006E2945">
        <w:rPr>
          <w:rFonts w:ascii="Times New Roman" w:eastAsia="Times New Roman" w:hAnsi="Times New Roman" w:cs="Times New Roman"/>
          <w:sz w:val="24"/>
          <w:szCs w:val="24"/>
          <w:lang w:eastAsia="fr-FR"/>
        </w:rPr>
        <w:t xml:space="preserve"> du pays</w:t>
      </w:r>
      <w:r w:rsidR="00F30B86">
        <w:rPr>
          <w:rFonts w:ascii="Times New Roman" w:eastAsia="Times New Roman" w:hAnsi="Times New Roman" w:cs="Times New Roman"/>
          <w:sz w:val="24"/>
          <w:szCs w:val="24"/>
          <w:lang w:eastAsia="fr-FR"/>
        </w:rPr>
        <w:t xml:space="preserve"> ; </w:t>
      </w:r>
      <w:r w:rsidRPr="006E2945">
        <w:rPr>
          <w:rFonts w:ascii="Times New Roman" w:eastAsia="Times New Roman" w:hAnsi="Times New Roman" w:cs="Times New Roman"/>
          <w:sz w:val="24"/>
          <w:szCs w:val="24"/>
          <w:lang w:eastAsia="fr-FR"/>
        </w:rPr>
        <w:t xml:space="preserve"> </w:t>
      </w:r>
    </w:p>
    <w:p w:rsidR="006E2945" w:rsidRPr="006E2945" w:rsidRDefault="006E2945" w:rsidP="00613827">
      <w:pPr>
        <w:pStyle w:val="Paragraphedeliste"/>
        <w:numPr>
          <w:ilvl w:val="0"/>
          <w:numId w:val="44"/>
        </w:numPr>
        <w:spacing w:after="0" w:line="240" w:lineRule="auto"/>
        <w:jc w:val="both"/>
        <w:rPr>
          <w:rFonts w:ascii="Times New Roman" w:eastAsia="Times New Roman" w:hAnsi="Times New Roman" w:cs="Times New Roman"/>
          <w:sz w:val="24"/>
          <w:szCs w:val="24"/>
          <w:lang w:eastAsia="fr-FR"/>
        </w:rPr>
      </w:pPr>
      <w:r w:rsidRPr="006E2945">
        <w:rPr>
          <w:rFonts w:ascii="Times New Roman" w:eastAsia="Times New Roman" w:hAnsi="Times New Roman" w:cs="Times New Roman"/>
          <w:sz w:val="24"/>
          <w:szCs w:val="24"/>
          <w:lang w:eastAsia="fr-FR"/>
        </w:rPr>
        <w:t>Malgré les difficultés rencontrées dans la mise en œuvre du projet</w:t>
      </w:r>
      <w:r w:rsidR="00F30B86">
        <w:rPr>
          <w:rFonts w:ascii="Times New Roman" w:eastAsia="Times New Roman" w:hAnsi="Times New Roman" w:cs="Times New Roman"/>
          <w:sz w:val="24"/>
          <w:szCs w:val="24"/>
          <w:lang w:eastAsia="fr-FR"/>
        </w:rPr>
        <w:t>,</w:t>
      </w:r>
      <w:r w:rsidRPr="006E2945">
        <w:rPr>
          <w:rFonts w:ascii="Times New Roman" w:eastAsia="Times New Roman" w:hAnsi="Times New Roman" w:cs="Times New Roman"/>
          <w:sz w:val="24"/>
          <w:szCs w:val="24"/>
          <w:lang w:eastAsia="fr-FR"/>
        </w:rPr>
        <w:t xml:space="preserve"> la gouvernance du secteur minier est toujours dans l’Agenda du Ministère avec à la clef la gestion du Règlement minier hérité du projet, le lancement de l’élaboration d’un code pétrolier, la responsabilisation de l’Office Burundais  des Mines </w:t>
      </w:r>
    </w:p>
    <w:p w:rsidR="006E2945" w:rsidRDefault="006E2945" w:rsidP="00613827">
      <w:pPr>
        <w:pStyle w:val="Paragraphedeliste"/>
        <w:numPr>
          <w:ilvl w:val="0"/>
          <w:numId w:val="44"/>
        </w:numPr>
        <w:spacing w:after="0" w:line="240" w:lineRule="auto"/>
        <w:jc w:val="both"/>
        <w:rPr>
          <w:rFonts w:ascii="Times New Roman" w:eastAsia="Times New Roman" w:hAnsi="Times New Roman" w:cs="Times New Roman"/>
          <w:sz w:val="24"/>
          <w:szCs w:val="24"/>
          <w:lang w:eastAsia="fr-FR"/>
        </w:rPr>
      </w:pPr>
      <w:r w:rsidRPr="006E2945">
        <w:rPr>
          <w:rFonts w:ascii="Times New Roman" w:eastAsia="Times New Roman" w:hAnsi="Times New Roman" w:cs="Times New Roman"/>
          <w:sz w:val="24"/>
          <w:szCs w:val="24"/>
          <w:lang w:eastAsia="fr-FR"/>
        </w:rPr>
        <w:t>Les fondamentaux d’une stratégie d’Information, de Sensibilisation et de Formation a ont été posées par le projet avec les ateliers, le film et la formation des agents.</w:t>
      </w:r>
      <w:r>
        <w:rPr>
          <w:rFonts w:ascii="Times New Roman" w:eastAsia="Times New Roman" w:hAnsi="Times New Roman" w:cs="Times New Roman"/>
          <w:sz w:val="24"/>
          <w:szCs w:val="24"/>
          <w:lang w:eastAsia="fr-FR"/>
        </w:rPr>
        <w:t xml:space="preserve">  </w:t>
      </w:r>
    </w:p>
    <w:p w:rsidR="008E2A16" w:rsidRDefault="008E2A16" w:rsidP="00613827">
      <w:pPr>
        <w:jc w:val="both"/>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rsidR="001674FB" w:rsidRPr="00AA6908" w:rsidRDefault="001674FB" w:rsidP="00AA6908">
      <w:pPr>
        <w:pStyle w:val="Titre1"/>
        <w:spacing w:after="240" w:line="276" w:lineRule="auto"/>
        <w:jc w:val="both"/>
        <w:rPr>
          <w:rFonts w:ascii="Times New Roman" w:hAnsi="Times New Roman" w:cs="Times New Roman"/>
          <w:b/>
          <w:bCs/>
          <w:color w:val="auto"/>
          <w:sz w:val="24"/>
          <w:szCs w:val="24"/>
        </w:rPr>
      </w:pPr>
      <w:bookmarkStart w:id="66" w:name="_Toc500352745"/>
      <w:r w:rsidRPr="00AA6908">
        <w:rPr>
          <w:rFonts w:ascii="Times New Roman" w:hAnsi="Times New Roman" w:cs="Times New Roman"/>
          <w:b/>
          <w:bCs/>
          <w:color w:val="auto"/>
          <w:sz w:val="24"/>
          <w:szCs w:val="24"/>
        </w:rPr>
        <w:lastRenderedPageBreak/>
        <w:t>6. Annexes</w:t>
      </w:r>
      <w:bookmarkEnd w:id="66"/>
      <w:r w:rsidRPr="00AA6908">
        <w:rPr>
          <w:rFonts w:ascii="Times New Roman" w:hAnsi="Times New Roman" w:cs="Times New Roman"/>
          <w:b/>
          <w:bCs/>
          <w:color w:val="auto"/>
          <w:sz w:val="24"/>
          <w:szCs w:val="24"/>
        </w:rPr>
        <w:t xml:space="preserve"> </w:t>
      </w:r>
    </w:p>
    <w:p w:rsidR="001674FB" w:rsidRDefault="001674FB" w:rsidP="00720FA2">
      <w:pPr>
        <w:pStyle w:val="Paragraphedeliste"/>
        <w:spacing w:line="276" w:lineRule="auto"/>
        <w:jc w:val="both"/>
        <w:outlineLvl w:val="1"/>
        <w:rPr>
          <w:rFonts w:ascii="Times New Roman" w:hAnsi="Times New Roman" w:cs="Times New Roman"/>
          <w:b/>
          <w:bCs/>
          <w:sz w:val="24"/>
          <w:szCs w:val="24"/>
        </w:rPr>
      </w:pPr>
      <w:bookmarkStart w:id="67" w:name="_Toc500352746"/>
      <w:r w:rsidRPr="00720FA2">
        <w:rPr>
          <w:rFonts w:ascii="Times New Roman" w:hAnsi="Times New Roman" w:cs="Times New Roman"/>
          <w:b/>
          <w:bCs/>
          <w:sz w:val="24"/>
          <w:szCs w:val="24"/>
        </w:rPr>
        <w:t>6.1. Termes de référence</w:t>
      </w:r>
      <w:bookmarkEnd w:id="67"/>
      <w:r w:rsidRPr="00720FA2">
        <w:rPr>
          <w:rFonts w:ascii="Times New Roman" w:hAnsi="Times New Roman" w:cs="Times New Roman"/>
          <w:b/>
          <w:bCs/>
          <w:sz w:val="24"/>
          <w:szCs w:val="24"/>
        </w:rPr>
        <w:t xml:space="preserve"> </w:t>
      </w:r>
    </w:p>
    <w:bookmarkStart w:id="68" w:name="_MON_1573207935"/>
    <w:bookmarkEnd w:id="68"/>
    <w:p w:rsidR="008E2A16" w:rsidRPr="008E2A16" w:rsidRDefault="008E2A16" w:rsidP="008E2A16">
      <w:pPr>
        <w:rPr>
          <w:rFonts w:ascii="Times New Roman" w:hAnsi="Times New Roman" w:cs="Times New Roman"/>
          <w:bCs/>
          <w:sz w:val="24"/>
          <w:szCs w:val="24"/>
        </w:rPr>
      </w:pPr>
      <w:r>
        <w:rPr>
          <w:rFonts w:ascii="Times New Roman" w:hAnsi="Times New Roman" w:cs="Times New Roman"/>
          <w:bCs/>
          <w:sz w:val="24"/>
          <w:szCs w:val="24"/>
        </w:rPr>
        <w:object w:dxaOrig="1543" w:dyaOrig="995" w14:anchorId="62438C14">
          <v:shape id="_x0000_i1027" type="#_x0000_t75" style="width:77.25pt;height:49.5pt" o:ole="">
            <v:imagedata r:id="rId21" o:title=""/>
          </v:shape>
          <o:OLEObject Type="Embed" ProgID="Word.Document.12" ShapeID="_x0000_i1027" DrawAspect="Icon" ObjectID="_1574508687" r:id="rId22">
            <o:FieldCodes>\s</o:FieldCodes>
          </o:OLEObject>
        </w:object>
      </w:r>
    </w:p>
    <w:p w:rsidR="001674FB" w:rsidRDefault="001674FB" w:rsidP="00720FA2">
      <w:pPr>
        <w:pStyle w:val="Paragraphedeliste"/>
        <w:spacing w:line="276" w:lineRule="auto"/>
        <w:jc w:val="both"/>
        <w:outlineLvl w:val="1"/>
        <w:rPr>
          <w:rFonts w:ascii="Times New Roman" w:hAnsi="Times New Roman" w:cs="Times New Roman"/>
          <w:bCs/>
          <w:sz w:val="24"/>
          <w:szCs w:val="24"/>
        </w:rPr>
      </w:pPr>
      <w:bookmarkStart w:id="69" w:name="_Toc500352747"/>
      <w:r w:rsidRPr="00720FA2">
        <w:rPr>
          <w:rFonts w:ascii="Times New Roman" w:hAnsi="Times New Roman" w:cs="Times New Roman"/>
          <w:b/>
          <w:bCs/>
          <w:sz w:val="24"/>
          <w:szCs w:val="24"/>
        </w:rPr>
        <w:t>6.2. Itinéraires</w:t>
      </w:r>
      <w:bookmarkEnd w:id="69"/>
      <w:r>
        <w:rPr>
          <w:rFonts w:ascii="Times New Roman" w:hAnsi="Times New Roman" w:cs="Times New Roman"/>
          <w:bCs/>
          <w:sz w:val="24"/>
          <w:szCs w:val="24"/>
        </w:rPr>
        <w:t xml:space="preserve"> </w:t>
      </w:r>
    </w:p>
    <w:p w:rsidR="008E2A16" w:rsidRPr="008E2A16" w:rsidRDefault="002C2E43" w:rsidP="002C2E43">
      <w:pPr>
        <w:rPr>
          <w:rFonts w:ascii="Times New Roman" w:hAnsi="Times New Roman" w:cs="Times New Roman"/>
          <w:bCs/>
          <w:sz w:val="24"/>
          <w:szCs w:val="24"/>
        </w:rPr>
      </w:pPr>
      <w:r w:rsidRPr="002C2E43">
        <w:rPr>
          <w:rFonts w:ascii="Times New Roman" w:hAnsi="Times New Roman" w:cs="Times New Roman"/>
          <w:bCs/>
          <w:sz w:val="24"/>
          <w:szCs w:val="24"/>
        </w:rPr>
        <w:t>Le projet consistant à renforcer les capacités institutionnel au niveau central</w:t>
      </w:r>
      <w:r>
        <w:rPr>
          <w:rFonts w:ascii="Times New Roman" w:hAnsi="Times New Roman" w:cs="Times New Roman"/>
          <w:bCs/>
          <w:sz w:val="24"/>
          <w:szCs w:val="24"/>
        </w:rPr>
        <w:t xml:space="preserve"> toutes les parties prenantes </w:t>
      </w:r>
      <w:r w:rsidRPr="002C2E43">
        <w:rPr>
          <w:rFonts w:ascii="Times New Roman" w:hAnsi="Times New Roman" w:cs="Times New Roman"/>
          <w:bCs/>
          <w:sz w:val="24"/>
          <w:szCs w:val="24"/>
        </w:rPr>
        <w:t>rencontrée</w:t>
      </w:r>
      <w:r>
        <w:rPr>
          <w:rFonts w:ascii="Times New Roman" w:hAnsi="Times New Roman" w:cs="Times New Roman"/>
          <w:bCs/>
          <w:sz w:val="24"/>
          <w:szCs w:val="24"/>
        </w:rPr>
        <w:t>s se trouvaient</w:t>
      </w:r>
      <w:r w:rsidRPr="002C2E43">
        <w:rPr>
          <w:rFonts w:ascii="Times New Roman" w:hAnsi="Times New Roman" w:cs="Times New Roman"/>
          <w:bCs/>
          <w:sz w:val="24"/>
          <w:szCs w:val="24"/>
        </w:rPr>
        <w:t xml:space="preserve"> à Bujumbura</w:t>
      </w:r>
    </w:p>
    <w:p w:rsidR="001674FB" w:rsidRPr="002C2E43" w:rsidRDefault="001674FB" w:rsidP="00720FA2">
      <w:pPr>
        <w:pStyle w:val="Paragraphedeliste"/>
        <w:spacing w:line="276" w:lineRule="auto"/>
        <w:jc w:val="both"/>
        <w:outlineLvl w:val="1"/>
        <w:rPr>
          <w:rFonts w:ascii="Times New Roman" w:hAnsi="Times New Roman" w:cs="Times New Roman"/>
          <w:b/>
          <w:bCs/>
          <w:sz w:val="24"/>
          <w:szCs w:val="24"/>
        </w:rPr>
      </w:pPr>
      <w:bookmarkStart w:id="70" w:name="_Toc500352748"/>
      <w:r w:rsidRPr="00720FA2">
        <w:rPr>
          <w:rFonts w:ascii="Times New Roman" w:hAnsi="Times New Roman" w:cs="Times New Roman"/>
          <w:b/>
          <w:bCs/>
          <w:sz w:val="24"/>
          <w:szCs w:val="24"/>
        </w:rPr>
        <w:t xml:space="preserve">6.3. Liste des personnes </w:t>
      </w:r>
      <w:r w:rsidR="00F30B86">
        <w:rPr>
          <w:rFonts w:ascii="Times New Roman" w:hAnsi="Times New Roman" w:cs="Times New Roman"/>
          <w:b/>
          <w:bCs/>
          <w:sz w:val="24"/>
          <w:szCs w:val="24"/>
        </w:rPr>
        <w:t>rencontrées</w:t>
      </w:r>
      <w:bookmarkEnd w:id="70"/>
      <w:r w:rsidRPr="002C2E43">
        <w:rPr>
          <w:rFonts w:ascii="Times New Roman" w:hAnsi="Times New Roman" w:cs="Times New Roman"/>
          <w:b/>
          <w:bCs/>
          <w:sz w:val="24"/>
          <w:szCs w:val="24"/>
        </w:rPr>
        <w:t xml:space="preserve"> </w:t>
      </w:r>
    </w:p>
    <w:tbl>
      <w:tblPr>
        <w:tblStyle w:val="Grilledutableau"/>
        <w:tblW w:w="0" w:type="auto"/>
        <w:tblLook w:val="04A0" w:firstRow="1" w:lastRow="0" w:firstColumn="1" w:lastColumn="0" w:noHBand="0" w:noVBand="1"/>
      </w:tblPr>
      <w:tblGrid>
        <w:gridCol w:w="3936"/>
        <w:gridCol w:w="3969"/>
      </w:tblGrid>
      <w:tr w:rsidR="00614AAB" w:rsidRPr="009C478C" w:rsidTr="006372F5">
        <w:tc>
          <w:tcPr>
            <w:tcW w:w="3936" w:type="dxa"/>
          </w:tcPr>
          <w:p w:rsidR="00614AAB" w:rsidRPr="009C478C" w:rsidRDefault="00614AAB" w:rsidP="006372F5">
            <w:pPr>
              <w:rPr>
                <w:b/>
                <w:sz w:val="24"/>
                <w:szCs w:val="24"/>
              </w:rPr>
            </w:pPr>
            <w:r w:rsidRPr="009C478C">
              <w:rPr>
                <w:b/>
                <w:sz w:val="24"/>
                <w:szCs w:val="24"/>
              </w:rPr>
              <w:t>Prénoms et NOM</w:t>
            </w:r>
          </w:p>
        </w:tc>
        <w:tc>
          <w:tcPr>
            <w:tcW w:w="3969" w:type="dxa"/>
          </w:tcPr>
          <w:p w:rsidR="00614AAB" w:rsidRPr="009C478C" w:rsidRDefault="00614AAB" w:rsidP="006372F5">
            <w:pPr>
              <w:rPr>
                <w:b/>
                <w:sz w:val="24"/>
                <w:szCs w:val="24"/>
              </w:rPr>
            </w:pPr>
            <w:r w:rsidRPr="009C478C">
              <w:rPr>
                <w:b/>
                <w:sz w:val="24"/>
                <w:szCs w:val="24"/>
              </w:rPr>
              <w:t>Fonctions</w:t>
            </w:r>
          </w:p>
        </w:tc>
      </w:tr>
      <w:tr w:rsidR="00614AAB" w:rsidRPr="009C478C" w:rsidTr="006372F5">
        <w:trPr>
          <w:trHeight w:val="455"/>
        </w:trPr>
        <w:tc>
          <w:tcPr>
            <w:tcW w:w="3936" w:type="dxa"/>
          </w:tcPr>
          <w:p w:rsidR="00614AAB" w:rsidRPr="009C478C" w:rsidRDefault="00614AAB" w:rsidP="006372F5">
            <w:pPr>
              <w:rPr>
                <w:sz w:val="24"/>
                <w:szCs w:val="24"/>
              </w:rPr>
            </w:pPr>
            <w:r w:rsidRPr="009C478C">
              <w:rPr>
                <w:sz w:val="24"/>
                <w:szCs w:val="24"/>
              </w:rPr>
              <w:t>M.  Ernest  BAMOU</w:t>
            </w:r>
          </w:p>
        </w:tc>
        <w:tc>
          <w:tcPr>
            <w:tcW w:w="3969" w:type="dxa"/>
          </w:tcPr>
          <w:p w:rsidR="00614AAB" w:rsidRPr="009C478C" w:rsidRDefault="00614AAB" w:rsidP="006372F5">
            <w:pPr>
              <w:rPr>
                <w:sz w:val="24"/>
                <w:szCs w:val="24"/>
              </w:rPr>
            </w:pPr>
            <w:r w:rsidRPr="009C478C">
              <w:rPr>
                <w:sz w:val="24"/>
                <w:szCs w:val="24"/>
              </w:rPr>
              <w:t xml:space="preserve"> Responsable U</w:t>
            </w:r>
            <w:r>
              <w:rPr>
                <w:sz w:val="24"/>
                <w:szCs w:val="24"/>
              </w:rPr>
              <w:t xml:space="preserve">nité </w:t>
            </w:r>
            <w:r w:rsidRPr="009C478C">
              <w:rPr>
                <w:sz w:val="24"/>
                <w:szCs w:val="24"/>
              </w:rPr>
              <w:t>P</w:t>
            </w:r>
            <w:r>
              <w:rPr>
                <w:sz w:val="24"/>
                <w:szCs w:val="24"/>
              </w:rPr>
              <w:t>olitiques et Stratégies (UPS)</w:t>
            </w:r>
          </w:p>
        </w:tc>
      </w:tr>
      <w:tr w:rsidR="00614AAB" w:rsidRPr="009C478C" w:rsidTr="006372F5">
        <w:tc>
          <w:tcPr>
            <w:tcW w:w="3936" w:type="dxa"/>
          </w:tcPr>
          <w:p w:rsidR="00614AAB" w:rsidRPr="009C478C" w:rsidRDefault="00614AAB" w:rsidP="006372F5">
            <w:pPr>
              <w:rPr>
                <w:sz w:val="24"/>
                <w:szCs w:val="24"/>
              </w:rPr>
            </w:pPr>
            <w:r w:rsidRPr="009C478C">
              <w:rPr>
                <w:sz w:val="24"/>
                <w:szCs w:val="24"/>
              </w:rPr>
              <w:t>M. Arthur RUSHEMEZA</w:t>
            </w:r>
          </w:p>
        </w:tc>
        <w:tc>
          <w:tcPr>
            <w:tcW w:w="3969" w:type="dxa"/>
          </w:tcPr>
          <w:p w:rsidR="00614AAB" w:rsidRPr="009C478C" w:rsidRDefault="00614AAB" w:rsidP="006372F5">
            <w:pPr>
              <w:rPr>
                <w:sz w:val="24"/>
                <w:szCs w:val="24"/>
              </w:rPr>
            </w:pPr>
            <w:r w:rsidRPr="009C478C">
              <w:rPr>
                <w:sz w:val="24"/>
                <w:szCs w:val="24"/>
              </w:rPr>
              <w:t xml:space="preserve">Economiste UPS </w:t>
            </w:r>
          </w:p>
        </w:tc>
      </w:tr>
      <w:tr w:rsidR="00614AAB" w:rsidRPr="009C478C" w:rsidTr="006372F5">
        <w:tc>
          <w:tcPr>
            <w:tcW w:w="3936" w:type="dxa"/>
          </w:tcPr>
          <w:p w:rsidR="00614AAB" w:rsidRPr="009C478C" w:rsidRDefault="00614AAB" w:rsidP="006372F5">
            <w:pPr>
              <w:rPr>
                <w:sz w:val="24"/>
                <w:szCs w:val="24"/>
              </w:rPr>
            </w:pPr>
            <w:r w:rsidRPr="009C478C">
              <w:rPr>
                <w:sz w:val="24"/>
                <w:szCs w:val="24"/>
              </w:rPr>
              <w:t>Mme Françoise BIGIRIMANA</w:t>
            </w:r>
          </w:p>
        </w:tc>
        <w:tc>
          <w:tcPr>
            <w:tcW w:w="3969" w:type="dxa"/>
          </w:tcPr>
          <w:p w:rsidR="00614AAB" w:rsidRPr="009C478C" w:rsidRDefault="00614AAB" w:rsidP="006372F5">
            <w:pPr>
              <w:rPr>
                <w:sz w:val="24"/>
                <w:szCs w:val="24"/>
              </w:rPr>
            </w:pPr>
            <w:r>
              <w:rPr>
                <w:sz w:val="24"/>
                <w:szCs w:val="24"/>
              </w:rPr>
              <w:t xml:space="preserve">Programme Associate </w:t>
            </w:r>
            <w:r w:rsidRPr="009C478C">
              <w:rPr>
                <w:sz w:val="24"/>
                <w:szCs w:val="24"/>
              </w:rPr>
              <w:t>UPS</w:t>
            </w:r>
          </w:p>
        </w:tc>
      </w:tr>
      <w:tr w:rsidR="00614AAB" w:rsidRPr="009C478C" w:rsidTr="006372F5">
        <w:tc>
          <w:tcPr>
            <w:tcW w:w="3936" w:type="dxa"/>
          </w:tcPr>
          <w:p w:rsidR="00614AAB" w:rsidRPr="009C478C" w:rsidRDefault="00614AAB" w:rsidP="006372F5">
            <w:pPr>
              <w:tabs>
                <w:tab w:val="right" w:pos="2788"/>
              </w:tabs>
              <w:rPr>
                <w:sz w:val="24"/>
                <w:szCs w:val="24"/>
              </w:rPr>
            </w:pPr>
            <w:r w:rsidRPr="009C478C">
              <w:rPr>
                <w:sz w:val="24"/>
                <w:szCs w:val="24"/>
              </w:rPr>
              <w:t>M. Pascal MUKANYA</w:t>
            </w:r>
            <w:r w:rsidRPr="009C478C">
              <w:rPr>
                <w:sz w:val="24"/>
                <w:szCs w:val="24"/>
              </w:rPr>
              <w:tab/>
            </w:r>
          </w:p>
        </w:tc>
        <w:tc>
          <w:tcPr>
            <w:tcW w:w="3969" w:type="dxa"/>
          </w:tcPr>
          <w:p w:rsidR="00614AAB" w:rsidRPr="009C478C" w:rsidRDefault="00614AAB" w:rsidP="006372F5">
            <w:pPr>
              <w:rPr>
                <w:sz w:val="24"/>
                <w:szCs w:val="24"/>
              </w:rPr>
            </w:pPr>
            <w:r w:rsidRPr="009C478C">
              <w:rPr>
                <w:sz w:val="24"/>
                <w:szCs w:val="24"/>
              </w:rPr>
              <w:t>Ch</w:t>
            </w:r>
            <w:r>
              <w:rPr>
                <w:sz w:val="24"/>
                <w:szCs w:val="24"/>
              </w:rPr>
              <w:t>argé de Suivi 1Evaluation</w:t>
            </w:r>
            <w:r w:rsidR="006372F5">
              <w:rPr>
                <w:sz w:val="24"/>
                <w:szCs w:val="24"/>
              </w:rPr>
              <w:t xml:space="preserve"> </w:t>
            </w:r>
          </w:p>
        </w:tc>
      </w:tr>
      <w:tr w:rsidR="00614AAB" w:rsidRPr="009C478C" w:rsidTr="006372F5">
        <w:tc>
          <w:tcPr>
            <w:tcW w:w="3936" w:type="dxa"/>
          </w:tcPr>
          <w:p w:rsidR="00614AAB" w:rsidRPr="009C478C" w:rsidRDefault="00614AAB" w:rsidP="006372F5">
            <w:pPr>
              <w:tabs>
                <w:tab w:val="right" w:pos="2788"/>
              </w:tabs>
              <w:rPr>
                <w:sz w:val="24"/>
                <w:szCs w:val="24"/>
              </w:rPr>
            </w:pPr>
            <w:r>
              <w:rPr>
                <w:sz w:val="24"/>
                <w:szCs w:val="24"/>
              </w:rPr>
              <w:t>M. Patrice BRIZARD</w:t>
            </w:r>
          </w:p>
        </w:tc>
        <w:tc>
          <w:tcPr>
            <w:tcW w:w="3969" w:type="dxa"/>
          </w:tcPr>
          <w:p w:rsidR="00614AAB" w:rsidRPr="009C478C" w:rsidRDefault="00614AAB" w:rsidP="006372F5">
            <w:pPr>
              <w:rPr>
                <w:sz w:val="24"/>
                <w:szCs w:val="24"/>
              </w:rPr>
            </w:pPr>
            <w:r>
              <w:rPr>
                <w:sz w:val="24"/>
                <w:szCs w:val="24"/>
              </w:rPr>
              <w:t>Chef Unité Communication - ODD</w:t>
            </w:r>
          </w:p>
        </w:tc>
      </w:tr>
      <w:tr w:rsidR="00614AAB" w:rsidRPr="009C478C" w:rsidTr="006372F5">
        <w:tc>
          <w:tcPr>
            <w:tcW w:w="3936" w:type="dxa"/>
          </w:tcPr>
          <w:p w:rsidR="00614AAB" w:rsidRPr="009C478C" w:rsidRDefault="00614AAB" w:rsidP="006372F5">
            <w:pPr>
              <w:tabs>
                <w:tab w:val="right" w:pos="2788"/>
              </w:tabs>
              <w:rPr>
                <w:sz w:val="24"/>
                <w:szCs w:val="24"/>
              </w:rPr>
            </w:pPr>
            <w:r>
              <w:rPr>
                <w:sz w:val="24"/>
                <w:szCs w:val="24"/>
              </w:rPr>
              <w:t>M. Aaron NSAVYIMANA</w:t>
            </w:r>
          </w:p>
        </w:tc>
        <w:tc>
          <w:tcPr>
            <w:tcW w:w="3969" w:type="dxa"/>
          </w:tcPr>
          <w:p w:rsidR="00614AAB" w:rsidRPr="009C478C" w:rsidRDefault="00614AAB" w:rsidP="006372F5">
            <w:pPr>
              <w:rPr>
                <w:sz w:val="24"/>
                <w:szCs w:val="24"/>
              </w:rPr>
            </w:pPr>
            <w:r>
              <w:rPr>
                <w:sz w:val="24"/>
                <w:szCs w:val="24"/>
              </w:rPr>
              <w:t>Chargé de communication – ODD</w:t>
            </w:r>
          </w:p>
        </w:tc>
      </w:tr>
      <w:tr w:rsidR="00614AAB" w:rsidRPr="009C478C" w:rsidTr="006372F5">
        <w:tc>
          <w:tcPr>
            <w:tcW w:w="3936" w:type="dxa"/>
          </w:tcPr>
          <w:p w:rsidR="00614AAB" w:rsidRPr="009C478C" w:rsidRDefault="00614AAB" w:rsidP="006372F5">
            <w:pPr>
              <w:rPr>
                <w:sz w:val="24"/>
                <w:szCs w:val="24"/>
              </w:rPr>
            </w:pPr>
            <w:r w:rsidRPr="009C478C">
              <w:rPr>
                <w:sz w:val="24"/>
                <w:szCs w:val="24"/>
              </w:rPr>
              <w:t xml:space="preserve">M. Cédric DUVAL </w:t>
            </w:r>
          </w:p>
        </w:tc>
        <w:tc>
          <w:tcPr>
            <w:tcW w:w="3969" w:type="dxa"/>
          </w:tcPr>
          <w:p w:rsidR="00614AAB" w:rsidRPr="009C478C" w:rsidRDefault="00614AAB" w:rsidP="006372F5">
            <w:pPr>
              <w:rPr>
                <w:sz w:val="24"/>
                <w:szCs w:val="24"/>
              </w:rPr>
            </w:pPr>
            <w:r w:rsidRPr="009C478C">
              <w:rPr>
                <w:sz w:val="24"/>
                <w:szCs w:val="24"/>
              </w:rPr>
              <w:t>TL Procurement spécialiste PNUD</w:t>
            </w:r>
          </w:p>
        </w:tc>
      </w:tr>
      <w:tr w:rsidR="00614AAB" w:rsidRPr="009C478C" w:rsidTr="006372F5">
        <w:tc>
          <w:tcPr>
            <w:tcW w:w="3936" w:type="dxa"/>
          </w:tcPr>
          <w:p w:rsidR="00614AAB" w:rsidRPr="009C478C" w:rsidRDefault="00614AAB" w:rsidP="006372F5">
            <w:pPr>
              <w:rPr>
                <w:sz w:val="24"/>
                <w:szCs w:val="24"/>
              </w:rPr>
            </w:pPr>
            <w:r w:rsidRPr="009C478C">
              <w:rPr>
                <w:sz w:val="24"/>
                <w:szCs w:val="24"/>
              </w:rPr>
              <w:t>M. Siméon HABONIMANA</w:t>
            </w:r>
          </w:p>
        </w:tc>
        <w:tc>
          <w:tcPr>
            <w:tcW w:w="3969" w:type="dxa"/>
          </w:tcPr>
          <w:p w:rsidR="00614AAB" w:rsidRPr="009C478C" w:rsidRDefault="00614AAB" w:rsidP="006372F5">
            <w:pPr>
              <w:rPr>
                <w:sz w:val="24"/>
                <w:szCs w:val="24"/>
              </w:rPr>
            </w:pPr>
            <w:r w:rsidRPr="009C478C">
              <w:rPr>
                <w:sz w:val="24"/>
                <w:szCs w:val="24"/>
              </w:rPr>
              <w:t>Secrétaire permanent  Ministère de l’Energie et des Mines</w:t>
            </w:r>
          </w:p>
        </w:tc>
      </w:tr>
      <w:tr w:rsidR="00614AAB" w:rsidRPr="009C478C" w:rsidTr="006372F5">
        <w:tc>
          <w:tcPr>
            <w:tcW w:w="3936" w:type="dxa"/>
          </w:tcPr>
          <w:p w:rsidR="00614AAB" w:rsidRPr="009C478C" w:rsidRDefault="00614AAB" w:rsidP="006372F5">
            <w:pPr>
              <w:rPr>
                <w:sz w:val="24"/>
                <w:szCs w:val="24"/>
              </w:rPr>
            </w:pPr>
            <w:r w:rsidRPr="009C478C">
              <w:rPr>
                <w:sz w:val="24"/>
                <w:szCs w:val="24"/>
              </w:rPr>
              <w:t>M. Donat NIYONZIMA</w:t>
            </w:r>
          </w:p>
        </w:tc>
        <w:tc>
          <w:tcPr>
            <w:tcW w:w="3969" w:type="dxa"/>
          </w:tcPr>
          <w:p w:rsidR="00614AAB" w:rsidRPr="009C478C" w:rsidRDefault="00614AAB" w:rsidP="006372F5">
            <w:pPr>
              <w:rPr>
                <w:sz w:val="24"/>
                <w:szCs w:val="24"/>
              </w:rPr>
            </w:pPr>
            <w:r w:rsidRPr="009C478C">
              <w:rPr>
                <w:sz w:val="24"/>
                <w:szCs w:val="24"/>
              </w:rPr>
              <w:t>Directeur Général AREEM</w:t>
            </w:r>
          </w:p>
        </w:tc>
      </w:tr>
      <w:tr w:rsidR="00614AAB" w:rsidRPr="009C478C" w:rsidTr="006372F5">
        <w:tc>
          <w:tcPr>
            <w:tcW w:w="3936" w:type="dxa"/>
          </w:tcPr>
          <w:p w:rsidR="00614AAB" w:rsidRPr="009C478C" w:rsidRDefault="00614AAB" w:rsidP="006372F5">
            <w:pPr>
              <w:rPr>
                <w:sz w:val="24"/>
                <w:szCs w:val="24"/>
              </w:rPr>
            </w:pPr>
            <w:r w:rsidRPr="009C478C">
              <w:rPr>
                <w:sz w:val="24"/>
                <w:szCs w:val="24"/>
              </w:rPr>
              <w:t>M. Gratien NTIRADEKURA</w:t>
            </w:r>
          </w:p>
        </w:tc>
        <w:tc>
          <w:tcPr>
            <w:tcW w:w="3969" w:type="dxa"/>
          </w:tcPr>
          <w:p w:rsidR="00614AAB" w:rsidRPr="009C478C" w:rsidRDefault="00614AAB" w:rsidP="006372F5">
            <w:pPr>
              <w:rPr>
                <w:sz w:val="24"/>
                <w:szCs w:val="24"/>
              </w:rPr>
            </w:pPr>
            <w:r w:rsidRPr="009C478C">
              <w:rPr>
                <w:sz w:val="24"/>
                <w:szCs w:val="24"/>
              </w:rPr>
              <w:t>Directeur National du Projet</w:t>
            </w:r>
          </w:p>
        </w:tc>
      </w:tr>
      <w:tr w:rsidR="00614AAB" w:rsidRPr="009C478C" w:rsidTr="006372F5">
        <w:tc>
          <w:tcPr>
            <w:tcW w:w="3936" w:type="dxa"/>
          </w:tcPr>
          <w:p w:rsidR="00614AAB" w:rsidRPr="009C478C" w:rsidRDefault="00614AAB" w:rsidP="006372F5">
            <w:pPr>
              <w:rPr>
                <w:sz w:val="24"/>
                <w:szCs w:val="24"/>
              </w:rPr>
            </w:pPr>
            <w:r w:rsidRPr="009C478C">
              <w:rPr>
                <w:sz w:val="24"/>
                <w:szCs w:val="24"/>
              </w:rPr>
              <w:t>M. Nolasque NDAYINAYE</w:t>
            </w:r>
          </w:p>
        </w:tc>
        <w:tc>
          <w:tcPr>
            <w:tcW w:w="3969" w:type="dxa"/>
          </w:tcPr>
          <w:p w:rsidR="00614AAB" w:rsidRPr="009C478C" w:rsidRDefault="00614AAB" w:rsidP="006372F5">
            <w:pPr>
              <w:rPr>
                <w:sz w:val="24"/>
                <w:szCs w:val="24"/>
              </w:rPr>
            </w:pPr>
            <w:r w:rsidRPr="009C478C">
              <w:rPr>
                <w:sz w:val="24"/>
                <w:szCs w:val="24"/>
              </w:rPr>
              <w:t>Directeur Général de l’Energie</w:t>
            </w:r>
          </w:p>
        </w:tc>
      </w:tr>
      <w:tr w:rsidR="00614AAB" w:rsidRPr="009C478C" w:rsidTr="006372F5">
        <w:tc>
          <w:tcPr>
            <w:tcW w:w="3936" w:type="dxa"/>
          </w:tcPr>
          <w:p w:rsidR="00614AAB" w:rsidRPr="009C478C" w:rsidRDefault="00614AAB" w:rsidP="006372F5">
            <w:pPr>
              <w:rPr>
                <w:sz w:val="24"/>
                <w:szCs w:val="24"/>
              </w:rPr>
            </w:pPr>
            <w:r w:rsidRPr="009C478C">
              <w:rPr>
                <w:sz w:val="24"/>
                <w:szCs w:val="24"/>
              </w:rPr>
              <w:t>Paul NDARIHONYOYE</w:t>
            </w:r>
          </w:p>
        </w:tc>
        <w:tc>
          <w:tcPr>
            <w:tcW w:w="3969" w:type="dxa"/>
          </w:tcPr>
          <w:p w:rsidR="00614AAB" w:rsidRPr="009C478C" w:rsidRDefault="00614AAB" w:rsidP="006372F5">
            <w:pPr>
              <w:rPr>
                <w:sz w:val="24"/>
                <w:szCs w:val="24"/>
              </w:rPr>
            </w:pPr>
            <w:r w:rsidRPr="009C478C">
              <w:rPr>
                <w:sz w:val="24"/>
                <w:szCs w:val="24"/>
              </w:rPr>
              <w:t xml:space="preserve">Directeur Général de la Recherche Géologique et du Cadastre Minier </w:t>
            </w:r>
          </w:p>
        </w:tc>
      </w:tr>
      <w:tr w:rsidR="00614AAB" w:rsidRPr="009C478C" w:rsidTr="006372F5">
        <w:tc>
          <w:tcPr>
            <w:tcW w:w="3936" w:type="dxa"/>
          </w:tcPr>
          <w:p w:rsidR="00614AAB" w:rsidRPr="00614AAB" w:rsidRDefault="00614AAB" w:rsidP="006372F5">
            <w:pPr>
              <w:rPr>
                <w:sz w:val="24"/>
                <w:szCs w:val="24"/>
              </w:rPr>
            </w:pPr>
            <w:r w:rsidRPr="00614AAB">
              <w:rPr>
                <w:sz w:val="24"/>
                <w:szCs w:val="24"/>
              </w:rPr>
              <w:t>Jean-Marie NDIKUMAGENGE</w:t>
            </w:r>
          </w:p>
        </w:tc>
        <w:tc>
          <w:tcPr>
            <w:tcW w:w="3969" w:type="dxa"/>
          </w:tcPr>
          <w:p w:rsidR="00614AAB" w:rsidRPr="00614AAB" w:rsidRDefault="00614AAB" w:rsidP="006372F5">
            <w:pPr>
              <w:rPr>
                <w:sz w:val="24"/>
                <w:szCs w:val="24"/>
              </w:rPr>
            </w:pPr>
            <w:r w:rsidRPr="00614AAB">
              <w:rPr>
                <w:sz w:val="24"/>
                <w:szCs w:val="24"/>
              </w:rPr>
              <w:t xml:space="preserve">Economiste – PEE – REGIDESO </w:t>
            </w:r>
          </w:p>
        </w:tc>
      </w:tr>
      <w:tr w:rsidR="00614AAB" w:rsidRPr="009C478C" w:rsidTr="006372F5">
        <w:tc>
          <w:tcPr>
            <w:tcW w:w="3936" w:type="dxa"/>
          </w:tcPr>
          <w:p w:rsidR="00614AAB" w:rsidRPr="009C478C" w:rsidRDefault="00614AAB" w:rsidP="006372F5">
            <w:pPr>
              <w:rPr>
                <w:sz w:val="24"/>
                <w:szCs w:val="24"/>
              </w:rPr>
            </w:pPr>
            <w:r w:rsidRPr="009C478C">
              <w:rPr>
                <w:sz w:val="24"/>
                <w:szCs w:val="24"/>
              </w:rPr>
              <w:t xml:space="preserve">Audace  NDAYIZEYE – </w:t>
            </w:r>
          </w:p>
        </w:tc>
        <w:tc>
          <w:tcPr>
            <w:tcW w:w="3969" w:type="dxa"/>
          </w:tcPr>
          <w:p w:rsidR="00614AAB" w:rsidRPr="009C478C" w:rsidRDefault="00614AAB" w:rsidP="006372F5">
            <w:pPr>
              <w:rPr>
                <w:sz w:val="24"/>
                <w:szCs w:val="24"/>
              </w:rPr>
            </w:pPr>
            <w:r w:rsidRPr="009C478C">
              <w:rPr>
                <w:sz w:val="24"/>
                <w:szCs w:val="24"/>
              </w:rPr>
              <w:t>Président de la Chambre Fédérale de Commerce et d’Industrie du Burundi CFCIB</w:t>
            </w:r>
          </w:p>
        </w:tc>
      </w:tr>
    </w:tbl>
    <w:p w:rsidR="002C2E43" w:rsidRDefault="002C2E43" w:rsidP="002C2E43">
      <w:pPr>
        <w:rPr>
          <w:rFonts w:ascii="Times New Roman" w:hAnsi="Times New Roman" w:cs="Times New Roman"/>
          <w:bCs/>
          <w:sz w:val="24"/>
          <w:szCs w:val="24"/>
        </w:rPr>
      </w:pPr>
    </w:p>
    <w:p w:rsidR="002C2E43" w:rsidRDefault="002C2E43" w:rsidP="002C2E43">
      <w:pPr>
        <w:pStyle w:val="Paragraphedeliste"/>
        <w:spacing w:line="276" w:lineRule="auto"/>
        <w:jc w:val="both"/>
        <w:outlineLvl w:val="1"/>
        <w:rPr>
          <w:rFonts w:ascii="Times New Roman" w:hAnsi="Times New Roman" w:cs="Times New Roman"/>
          <w:b/>
          <w:bCs/>
          <w:sz w:val="24"/>
          <w:szCs w:val="24"/>
        </w:rPr>
      </w:pPr>
      <w:bookmarkStart w:id="71" w:name="_Toc500352749"/>
      <w:r w:rsidRPr="002C2E43">
        <w:rPr>
          <w:rFonts w:ascii="Times New Roman" w:hAnsi="Times New Roman" w:cs="Times New Roman"/>
          <w:b/>
          <w:bCs/>
          <w:sz w:val="24"/>
          <w:szCs w:val="24"/>
        </w:rPr>
        <w:t>6.4. Liste des documents consultés</w:t>
      </w:r>
      <w:bookmarkEnd w:id="71"/>
    </w:p>
    <w:p w:rsidR="002C2E43" w:rsidRDefault="002C2E43" w:rsidP="002C2E43">
      <w:pPr>
        <w:rPr>
          <w:rFonts w:ascii="Times New Roman" w:hAnsi="Times New Roman" w:cs="Times New Roman"/>
          <w:bCs/>
          <w:sz w:val="24"/>
          <w:szCs w:val="24"/>
        </w:rPr>
      </w:pPr>
      <w:r>
        <w:rPr>
          <w:rFonts w:ascii="Times New Roman" w:hAnsi="Times New Roman" w:cs="Times New Roman"/>
          <w:bCs/>
          <w:sz w:val="24"/>
          <w:szCs w:val="24"/>
        </w:rPr>
        <w:t>Les documents ci-après ont été consultés</w:t>
      </w:r>
    </w:p>
    <w:p w:rsidR="000D492E" w:rsidRPr="000D492E" w:rsidRDefault="000D492E" w:rsidP="00851DA5">
      <w:pPr>
        <w:numPr>
          <w:ilvl w:val="0"/>
          <w:numId w:val="42"/>
        </w:numPr>
        <w:spacing w:after="0" w:line="240" w:lineRule="auto"/>
        <w:contextualSpacing/>
        <w:jc w:val="both"/>
        <w:rPr>
          <w:rFonts w:ascii="Times New Roman" w:eastAsia="Times New Roman" w:hAnsi="Times New Roman" w:cs="Times New Roman"/>
          <w:sz w:val="24"/>
          <w:szCs w:val="24"/>
          <w:lang w:eastAsia="fr-FR"/>
        </w:rPr>
      </w:pPr>
      <w:r w:rsidRPr="000D492E">
        <w:rPr>
          <w:rFonts w:ascii="Times New Roman" w:eastAsia="Times New Roman" w:hAnsi="Times New Roman" w:cs="Times New Roman"/>
          <w:sz w:val="24"/>
          <w:szCs w:val="24"/>
          <w:lang w:eastAsia="fr-FR"/>
        </w:rPr>
        <w:t>Vision Burundi 2025 Synthesis</w:t>
      </w:r>
    </w:p>
    <w:p w:rsidR="000D492E" w:rsidRPr="000D492E" w:rsidRDefault="000D492E" w:rsidP="00851DA5">
      <w:pPr>
        <w:numPr>
          <w:ilvl w:val="0"/>
          <w:numId w:val="42"/>
        </w:numPr>
        <w:spacing w:after="0" w:line="240" w:lineRule="auto"/>
        <w:contextualSpacing/>
        <w:jc w:val="both"/>
        <w:rPr>
          <w:rFonts w:ascii="Times New Roman" w:eastAsia="Times New Roman" w:hAnsi="Times New Roman" w:cs="Times New Roman"/>
          <w:sz w:val="24"/>
          <w:szCs w:val="24"/>
          <w:lang w:eastAsia="fr-FR"/>
        </w:rPr>
      </w:pPr>
      <w:r w:rsidRPr="000D492E">
        <w:rPr>
          <w:rFonts w:ascii="Times New Roman" w:eastAsia="Times New Roman" w:hAnsi="Times New Roman" w:cs="Times New Roman"/>
          <w:sz w:val="24"/>
          <w:szCs w:val="24"/>
          <w:lang w:eastAsia="fr-FR"/>
        </w:rPr>
        <w:t>Cadre Stratégique de Croissance de Lutte contre la Pauvreté (CLSP II)</w:t>
      </w:r>
    </w:p>
    <w:p w:rsidR="000D492E" w:rsidRPr="00851DA5" w:rsidRDefault="00851DA5" w:rsidP="00851DA5">
      <w:pPr>
        <w:numPr>
          <w:ilvl w:val="0"/>
          <w:numId w:val="42"/>
        </w:numPr>
        <w:spacing w:after="0" w:line="240" w:lineRule="auto"/>
        <w:contextualSpacing/>
        <w:jc w:val="both"/>
        <w:rPr>
          <w:rFonts w:ascii="Times New Roman" w:eastAsia="Times New Roman" w:hAnsi="Times New Roman" w:cs="Times New Roman"/>
          <w:sz w:val="24"/>
          <w:szCs w:val="24"/>
          <w:lang w:eastAsia="fr-FR"/>
        </w:rPr>
      </w:pPr>
      <w:r w:rsidRPr="00851DA5">
        <w:rPr>
          <w:rFonts w:ascii="Times New Roman" w:eastAsia="Times New Roman" w:hAnsi="Times New Roman" w:cs="Times New Roman"/>
          <w:sz w:val="24"/>
          <w:szCs w:val="24"/>
          <w:lang w:eastAsia="fr-FR"/>
        </w:rPr>
        <w:t xml:space="preserve">Etude </w:t>
      </w:r>
      <w:r w:rsidR="000D492E" w:rsidRPr="00851DA5">
        <w:rPr>
          <w:rFonts w:ascii="Times New Roman" w:eastAsia="Times New Roman" w:hAnsi="Times New Roman" w:cs="Times New Roman"/>
          <w:sz w:val="24"/>
          <w:szCs w:val="24"/>
          <w:lang w:eastAsia="fr-FR"/>
        </w:rPr>
        <w:t>diagnostiqu</w:t>
      </w:r>
      <w:r w:rsidRPr="00851DA5">
        <w:rPr>
          <w:rFonts w:ascii="Times New Roman" w:eastAsia="Times New Roman" w:hAnsi="Times New Roman" w:cs="Times New Roman"/>
          <w:sz w:val="24"/>
          <w:szCs w:val="24"/>
          <w:lang w:eastAsia="fr-FR"/>
        </w:rPr>
        <w:t xml:space="preserve">e du secteur de l’Energie au Burundi dans le cadre </w:t>
      </w:r>
      <w:r>
        <w:rPr>
          <w:rFonts w:ascii="Times New Roman" w:eastAsia="Times New Roman" w:hAnsi="Times New Roman" w:cs="Times New Roman"/>
          <w:sz w:val="24"/>
          <w:szCs w:val="24"/>
          <w:lang w:eastAsia="fr-FR"/>
        </w:rPr>
        <w:t xml:space="preserve">de l’Initiative du Secrétaire Général des Nations Unies sur l’Energie durable pour tous (Sustainable Energy for All) – Juin </w:t>
      </w:r>
      <w:r w:rsidR="000D492E" w:rsidRPr="00851DA5">
        <w:rPr>
          <w:rFonts w:ascii="Times New Roman" w:eastAsia="Times New Roman" w:hAnsi="Times New Roman" w:cs="Times New Roman"/>
          <w:sz w:val="24"/>
          <w:szCs w:val="24"/>
          <w:lang w:eastAsia="fr-FR"/>
        </w:rPr>
        <w:t>2013</w:t>
      </w:r>
    </w:p>
    <w:p w:rsidR="000D492E" w:rsidRPr="000D492E" w:rsidRDefault="000D492E" w:rsidP="00851DA5">
      <w:pPr>
        <w:numPr>
          <w:ilvl w:val="0"/>
          <w:numId w:val="42"/>
        </w:numPr>
        <w:spacing w:after="0" w:line="240" w:lineRule="auto"/>
        <w:contextualSpacing/>
        <w:jc w:val="both"/>
        <w:rPr>
          <w:rFonts w:ascii="Times New Roman" w:eastAsia="Times New Roman" w:hAnsi="Times New Roman" w:cs="Times New Roman"/>
          <w:sz w:val="24"/>
          <w:szCs w:val="24"/>
          <w:lang w:eastAsia="fr-FR"/>
        </w:rPr>
      </w:pPr>
      <w:r w:rsidRPr="000D492E">
        <w:rPr>
          <w:rFonts w:ascii="Times New Roman" w:eastAsia="Times New Roman" w:hAnsi="Times New Roman" w:cs="Times New Roman"/>
          <w:sz w:val="24"/>
          <w:szCs w:val="24"/>
          <w:lang w:eastAsia="fr-FR"/>
        </w:rPr>
        <w:t xml:space="preserve">Élaboration de la Stratégie sectorielle pour le secteur de l’énergie au Burundi RAPPORT FINAL PROVISOIRE Janvier  2011 –IED </w:t>
      </w:r>
    </w:p>
    <w:p w:rsidR="000D492E" w:rsidRPr="000D492E" w:rsidRDefault="000D492E" w:rsidP="00851DA5">
      <w:pPr>
        <w:numPr>
          <w:ilvl w:val="0"/>
          <w:numId w:val="42"/>
        </w:numPr>
        <w:spacing w:after="0" w:line="240" w:lineRule="auto"/>
        <w:contextualSpacing/>
        <w:jc w:val="both"/>
        <w:rPr>
          <w:rFonts w:ascii="Times New Roman" w:eastAsia="Times New Roman" w:hAnsi="Times New Roman" w:cs="Times New Roman"/>
          <w:sz w:val="24"/>
          <w:szCs w:val="24"/>
          <w:lang w:eastAsia="fr-FR"/>
        </w:rPr>
      </w:pPr>
      <w:r w:rsidRPr="000D492E">
        <w:rPr>
          <w:rFonts w:ascii="Times New Roman" w:eastAsia="Times New Roman" w:hAnsi="Times New Roman" w:cs="Times New Roman"/>
          <w:sz w:val="24"/>
          <w:szCs w:val="24"/>
          <w:lang w:eastAsia="fr-FR"/>
        </w:rPr>
        <w:t>Transparence des revenus de l’exploitation minière artisanale et à petite échelle liée à la production d’étain, de tantale, de tungstène et d’or au Burundi- World Bank</w:t>
      </w:r>
    </w:p>
    <w:p w:rsidR="000D492E" w:rsidRPr="000D492E" w:rsidRDefault="000D492E" w:rsidP="00851DA5">
      <w:pPr>
        <w:numPr>
          <w:ilvl w:val="0"/>
          <w:numId w:val="42"/>
        </w:numPr>
        <w:spacing w:after="0" w:line="240" w:lineRule="auto"/>
        <w:contextualSpacing/>
        <w:jc w:val="both"/>
        <w:rPr>
          <w:rFonts w:ascii="Times New Roman" w:eastAsia="Times New Roman" w:hAnsi="Times New Roman" w:cs="Times New Roman"/>
          <w:sz w:val="24"/>
          <w:szCs w:val="24"/>
          <w:lang w:eastAsia="fr-FR"/>
        </w:rPr>
      </w:pPr>
      <w:r w:rsidRPr="000D492E">
        <w:rPr>
          <w:rFonts w:ascii="Times New Roman" w:eastAsia="Times New Roman" w:hAnsi="Times New Roman" w:cs="Times New Roman"/>
          <w:sz w:val="24"/>
          <w:szCs w:val="24"/>
          <w:lang w:eastAsia="fr-FR"/>
        </w:rPr>
        <w:lastRenderedPageBreak/>
        <w:t>Transparence des revenus de l’exploitation minière artisanale et à petite échelle liée à la production d’étain, de tantale, de tungstène et d’or au Burundi - GeRI/GIZ – 2015</w:t>
      </w:r>
    </w:p>
    <w:p w:rsidR="000D492E" w:rsidRPr="000D492E" w:rsidRDefault="000D492E" w:rsidP="00851DA5">
      <w:pPr>
        <w:numPr>
          <w:ilvl w:val="0"/>
          <w:numId w:val="42"/>
        </w:numPr>
        <w:spacing w:after="0" w:line="240" w:lineRule="auto"/>
        <w:contextualSpacing/>
        <w:jc w:val="both"/>
        <w:rPr>
          <w:rFonts w:ascii="Times New Roman" w:eastAsia="Times New Roman" w:hAnsi="Times New Roman" w:cs="Times New Roman"/>
          <w:sz w:val="24"/>
          <w:szCs w:val="24"/>
          <w:lang w:eastAsia="fr-FR"/>
        </w:rPr>
      </w:pPr>
      <w:r w:rsidRPr="000D492E">
        <w:rPr>
          <w:rFonts w:ascii="Times New Roman" w:eastAsia="Times New Roman" w:hAnsi="Times New Roman" w:cs="Times New Roman"/>
          <w:sz w:val="24"/>
          <w:szCs w:val="24"/>
          <w:lang w:eastAsia="fr-FR"/>
        </w:rPr>
        <w:t>Étude de faisabilité de l’ITIE  Phase de pré candidature ;  Burundi</w:t>
      </w:r>
      <w:r w:rsidR="006372F5">
        <w:rPr>
          <w:rFonts w:ascii="Times New Roman" w:eastAsia="Times New Roman" w:hAnsi="Times New Roman" w:cs="Times New Roman"/>
          <w:sz w:val="24"/>
          <w:szCs w:val="24"/>
          <w:lang w:eastAsia="fr-FR"/>
        </w:rPr>
        <w:t xml:space="preserve"> </w:t>
      </w:r>
      <w:r w:rsidRPr="000D492E">
        <w:rPr>
          <w:rFonts w:ascii="Times New Roman" w:eastAsia="Times New Roman" w:hAnsi="Times New Roman" w:cs="Times New Roman"/>
          <w:sz w:val="24"/>
          <w:szCs w:val="24"/>
          <w:lang w:eastAsia="fr-FR"/>
        </w:rPr>
        <w:t xml:space="preserve"> Projet de Rapport final 20 avril 2014</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Vision du Régime Minier de l’Afrique (Africa Mining Vision) ;</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Loi n°1/ 21 du 15 octobre 2013 portant code minier du Burundi ;</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Etude genre dans le secteur minier au Burundi réalisée par le CAFOB pour le compte du projet GeRI/GIZ mars 2015 ;</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Convention d’exploitation minière sur le gisement de nickel et de minerais associés du gisement de MUSONGATI ;</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Les exploitants miniers burundais à l’épreuve de la fiscalité et de la responsabilité sociétale-Par Prudence Bararunyeretse, Mai 2014 ;</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Rapport sur les prélèvements légaux et étude de cas en matière d’exploitation minière artisanale au Burundi, Association Burundaise des consommateurs ;</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Le potentiel en ressources minérales du Burundi, nord - est de la ceinture orogénique Kibarienne, Afrique centre- orientale, 2013 - Mémoire de Seconde Ntiharirizwa ;</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Étude de faisabilité de l’Initiative pour la Transparence dans les Industries Extractives (ITIE) Phase de pré candidature ; Burundi Projet de Rapport final 20 avril 2014,</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Les exploitations minières artisanales du Burundi  par Gilbert Midende.</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Etude diagnostique du secteur de l’Energie au Burundi dans le cadre de l’Initiative du Secrétaire Général des Nations  Unies sur l’Energie durable pour tous (Sustainable Energy  for All) Juin 2013 ;</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Décret N° 100/131 du 23 juin 2016 relatif à la production, à l’importation et à l’exportation de l’électricité ;</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Décret n° 100/112 du 24 Novembre 2015 portant réorganisation et fonctionnement du ministère de l’énergie et des mines ;</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Décret N° 100/130 du 23 juin 2016 portant réorganisation du transport et de la distribution de l’électricité et de la commercialisation de l’électricité ;</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Loi N° 1/014 du 11 août 2000 portant libéralisation et règlementation du service public de l’eau potable et de l’énergie électrique ;</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Élaboration de la Stratégie sectorielle pour le secteur de l’énergie au Burundi Rapport final provisoire EUEI PDF Janvier 2011 ;</w:t>
      </w:r>
    </w:p>
    <w:p w:rsidR="000D492E" w:rsidRPr="000D492E" w:rsidRDefault="000D492E" w:rsidP="00851DA5">
      <w:pPr>
        <w:numPr>
          <w:ilvl w:val="0"/>
          <w:numId w:val="42"/>
        </w:numPr>
        <w:spacing w:after="0" w:line="276" w:lineRule="auto"/>
        <w:jc w:val="both"/>
        <w:rPr>
          <w:rFonts w:ascii="Times New Roman" w:eastAsia="Calibri" w:hAnsi="Times New Roman" w:cs="Times New Roman"/>
          <w:sz w:val="24"/>
          <w:szCs w:val="24"/>
        </w:rPr>
      </w:pPr>
      <w:r w:rsidRPr="000D492E">
        <w:rPr>
          <w:rFonts w:ascii="Times New Roman" w:eastAsia="Calibri" w:hAnsi="Times New Roman" w:cs="Times New Roman"/>
          <w:sz w:val="24"/>
          <w:szCs w:val="24"/>
        </w:rPr>
        <w:t>Note conceptuelle sur l’environnement et la gestion des ressources naturelles</w:t>
      </w:r>
      <w:r w:rsidR="006372F5">
        <w:rPr>
          <w:rFonts w:ascii="Times New Roman" w:eastAsia="Calibri" w:hAnsi="Times New Roman" w:cs="Times New Roman"/>
          <w:sz w:val="24"/>
          <w:szCs w:val="24"/>
        </w:rPr>
        <w:t xml:space="preserve"> </w:t>
      </w:r>
      <w:r w:rsidRPr="000D492E">
        <w:rPr>
          <w:rFonts w:ascii="Times New Roman" w:eastAsia="Calibri" w:hAnsi="Times New Roman" w:cs="Times New Roman"/>
          <w:sz w:val="24"/>
          <w:szCs w:val="24"/>
        </w:rPr>
        <w:t>Ministères Environnement/Energie et Mine -OCTOBRE 2013 ;</w:t>
      </w:r>
    </w:p>
    <w:p w:rsidR="000C0C6A" w:rsidRPr="000C0C6A" w:rsidRDefault="000D492E" w:rsidP="000F5743">
      <w:pPr>
        <w:numPr>
          <w:ilvl w:val="0"/>
          <w:numId w:val="42"/>
        </w:numPr>
        <w:spacing w:after="240" w:line="276" w:lineRule="auto"/>
      </w:pPr>
      <w:r w:rsidRPr="000F5743">
        <w:rPr>
          <w:rFonts w:ascii="Times New Roman" w:eastAsia="Calibri" w:hAnsi="Times New Roman" w:cs="Times New Roman"/>
          <w:sz w:val="24"/>
          <w:szCs w:val="24"/>
        </w:rPr>
        <w:t>Décret n° 100/132 du 23 juin 2016 portant procédure de développement d’une centrale de production de l’énergie</w:t>
      </w:r>
      <w:r w:rsidR="000C0C6A" w:rsidRPr="000F5743">
        <w:rPr>
          <w:rFonts w:ascii="Times New Roman" w:eastAsia="Calibri" w:hAnsi="Times New Roman" w:cs="Times New Roman"/>
          <w:sz w:val="24"/>
          <w:szCs w:val="24"/>
        </w:rPr>
        <w:t xml:space="preserve"> à usage exclusif et commercial</w:t>
      </w:r>
      <w:r w:rsidR="00802A58" w:rsidRPr="000F5743">
        <w:rPr>
          <w:rFonts w:ascii="Times New Roman" w:eastAsia="Calibri" w:hAnsi="Times New Roman" w:cs="Times New Roman"/>
          <w:sz w:val="24"/>
          <w:szCs w:val="24"/>
        </w:rPr>
        <w:t>.</w:t>
      </w:r>
    </w:p>
    <w:sectPr w:rsidR="000C0C6A" w:rsidRPr="000C0C6A">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989" w:rsidRDefault="00FC1989" w:rsidP="00E865E0">
      <w:pPr>
        <w:spacing w:after="0" w:line="240" w:lineRule="auto"/>
      </w:pPr>
      <w:r>
        <w:separator/>
      </w:r>
    </w:p>
  </w:endnote>
  <w:endnote w:type="continuationSeparator" w:id="0">
    <w:p w:rsidR="00FC1989" w:rsidRDefault="00FC1989" w:rsidP="00E8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60444"/>
      <w:docPartObj>
        <w:docPartGallery w:val="Page Numbers (Bottom of Page)"/>
        <w:docPartUnique/>
      </w:docPartObj>
    </w:sdtPr>
    <w:sdtEndPr/>
    <w:sdtContent>
      <w:p w:rsidR="004B6EEB" w:rsidRDefault="004B6EEB">
        <w:pPr>
          <w:pStyle w:val="Pieddepage"/>
          <w:jc w:val="right"/>
        </w:pPr>
        <w:r>
          <w:fldChar w:fldCharType="begin"/>
        </w:r>
        <w:r>
          <w:instrText>PAGE   \* MERGEFORMAT</w:instrText>
        </w:r>
        <w:r>
          <w:fldChar w:fldCharType="separate"/>
        </w:r>
        <w:r w:rsidR="00875494">
          <w:rPr>
            <w:noProof/>
          </w:rPr>
          <w:t>2</w:t>
        </w:r>
        <w:r>
          <w:fldChar w:fldCharType="end"/>
        </w:r>
      </w:p>
    </w:sdtContent>
  </w:sdt>
  <w:p w:rsidR="004B6EEB" w:rsidRPr="00E865E0" w:rsidRDefault="004B6EEB">
    <w:pPr>
      <w:pStyle w:val="Pieddepage"/>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45909136"/>
      <w:docPartObj>
        <w:docPartGallery w:val="Page Numbers (Bottom of Page)"/>
        <w:docPartUnique/>
      </w:docPartObj>
    </w:sdtPr>
    <w:sdtEndPr>
      <w:rPr>
        <w:rFonts w:ascii="Times New Roman" w:hAnsi="Times New Roman" w:cs="Times New Roman"/>
        <w:sz w:val="24"/>
        <w:szCs w:val="22"/>
      </w:rPr>
    </w:sdtEndPr>
    <w:sdtContent>
      <w:p w:rsidR="004B6EEB" w:rsidRPr="00E865E0" w:rsidRDefault="004B6EEB" w:rsidP="00E865E0">
        <w:pPr>
          <w:pStyle w:val="Pieddepage"/>
          <w:jc w:val="both"/>
          <w:rPr>
            <w:rFonts w:ascii="Times New Roman" w:hAnsi="Times New Roman" w:cs="Times New Roman"/>
            <w:sz w:val="24"/>
          </w:rPr>
        </w:pPr>
        <w:r w:rsidRPr="00CF1DF6">
          <w:rPr>
            <w:rFonts w:ascii="Times New Roman" w:hAnsi="Times New Roman" w:cs="Times New Roman"/>
            <w:sz w:val="20"/>
            <w:szCs w:val="20"/>
          </w:rPr>
          <w:t>Evaluation finale - Projet d’Assistance Technique Préparatoire pour le renforcement du cadre légal, réglementaire et institutionnel des secteurs de l’Energie et des Mines</w:t>
        </w:r>
        <w:r>
          <w:t xml:space="preserve"> </w:t>
        </w:r>
        <w:r>
          <w:tab/>
        </w:r>
        <w:r w:rsidRPr="00E865E0">
          <w:rPr>
            <w:rFonts w:ascii="Times New Roman" w:hAnsi="Times New Roman" w:cs="Times New Roman"/>
            <w:sz w:val="24"/>
          </w:rPr>
          <w:fldChar w:fldCharType="begin"/>
        </w:r>
        <w:r w:rsidRPr="00E865E0">
          <w:rPr>
            <w:rFonts w:ascii="Times New Roman" w:hAnsi="Times New Roman" w:cs="Times New Roman"/>
            <w:sz w:val="24"/>
          </w:rPr>
          <w:instrText>PAGE   \* MERGEFORMAT</w:instrText>
        </w:r>
        <w:r w:rsidRPr="00E865E0">
          <w:rPr>
            <w:rFonts w:ascii="Times New Roman" w:hAnsi="Times New Roman" w:cs="Times New Roman"/>
            <w:sz w:val="24"/>
          </w:rPr>
          <w:fldChar w:fldCharType="separate"/>
        </w:r>
        <w:r w:rsidR="00875494">
          <w:rPr>
            <w:rFonts w:ascii="Times New Roman" w:hAnsi="Times New Roman" w:cs="Times New Roman"/>
            <w:noProof/>
            <w:sz w:val="24"/>
          </w:rPr>
          <w:t>ii</w:t>
        </w:r>
        <w:r w:rsidRPr="00E865E0">
          <w:rPr>
            <w:rFonts w:ascii="Times New Roman" w:hAnsi="Times New Roman" w:cs="Times New Roman"/>
            <w:sz w:val="24"/>
          </w:rPr>
          <w:fldChar w:fldCharType="end"/>
        </w:r>
      </w:p>
    </w:sdtContent>
  </w:sdt>
  <w:p w:rsidR="004B6EEB" w:rsidRPr="00E865E0" w:rsidRDefault="004B6EEB">
    <w:pPr>
      <w:pStyle w:val="Pieddepage"/>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2861"/>
      <w:docPartObj>
        <w:docPartGallery w:val="Page Numbers (Bottom of Page)"/>
        <w:docPartUnique/>
      </w:docPartObj>
    </w:sdtPr>
    <w:sdtEndPr>
      <w:rPr>
        <w:rFonts w:ascii="Times New Roman" w:hAnsi="Times New Roman" w:cs="Times New Roman"/>
        <w:sz w:val="24"/>
      </w:rPr>
    </w:sdtEndPr>
    <w:sdtContent>
      <w:p w:rsidR="004B6EEB" w:rsidRPr="00E865E0" w:rsidRDefault="004B6EEB" w:rsidP="00E865E0">
        <w:pPr>
          <w:pStyle w:val="Pieddepage"/>
          <w:jc w:val="both"/>
          <w:rPr>
            <w:rFonts w:ascii="Times New Roman" w:hAnsi="Times New Roman" w:cs="Times New Roman"/>
            <w:sz w:val="24"/>
          </w:rPr>
        </w:pPr>
        <w:r>
          <w:rPr>
            <w:rFonts w:ascii="Times New Roman" w:hAnsi="Times New Roman" w:cs="Times New Roman"/>
            <w:sz w:val="24"/>
          </w:rPr>
          <w:t>Evaluation finale P</w:t>
        </w:r>
        <w:r w:rsidRPr="00E865E0">
          <w:rPr>
            <w:rFonts w:ascii="Times New Roman" w:hAnsi="Times New Roman" w:cs="Times New Roman"/>
            <w:sz w:val="24"/>
          </w:rPr>
          <w:t xml:space="preserve">rojet d’Assistance Technique Préparatoire pour le renforcement du cadre légal, </w:t>
        </w:r>
        <w:r>
          <w:rPr>
            <w:rFonts w:ascii="Times New Roman" w:hAnsi="Times New Roman" w:cs="Times New Roman"/>
            <w:sz w:val="24"/>
          </w:rPr>
          <w:t>r</w:t>
        </w:r>
        <w:r w:rsidRPr="00E865E0">
          <w:rPr>
            <w:rFonts w:ascii="Times New Roman" w:hAnsi="Times New Roman" w:cs="Times New Roman"/>
            <w:sz w:val="24"/>
          </w:rPr>
          <w:t>églementaire et institutionnel des secteurs de l’Energie et des Mines</w:t>
        </w:r>
        <w:r>
          <w:t xml:space="preserve"> </w:t>
        </w:r>
        <w:r>
          <w:tab/>
        </w:r>
        <w:r>
          <w:tab/>
        </w:r>
        <w:r>
          <w:tab/>
        </w:r>
        <w:r>
          <w:tab/>
        </w:r>
        <w:r>
          <w:tab/>
        </w:r>
        <w:r>
          <w:tab/>
        </w:r>
        <w:r>
          <w:tab/>
        </w:r>
        <w:r>
          <w:tab/>
        </w:r>
        <w:r>
          <w:tab/>
          <w:t xml:space="preserve">       </w:t>
        </w:r>
        <w:r w:rsidRPr="00E865E0">
          <w:rPr>
            <w:rFonts w:ascii="Times New Roman" w:hAnsi="Times New Roman" w:cs="Times New Roman"/>
            <w:sz w:val="24"/>
          </w:rPr>
          <w:fldChar w:fldCharType="begin"/>
        </w:r>
        <w:r w:rsidRPr="00E865E0">
          <w:rPr>
            <w:rFonts w:ascii="Times New Roman" w:hAnsi="Times New Roman" w:cs="Times New Roman"/>
            <w:sz w:val="24"/>
          </w:rPr>
          <w:instrText>PAGE   \* MERGEFORMAT</w:instrText>
        </w:r>
        <w:r w:rsidRPr="00E865E0">
          <w:rPr>
            <w:rFonts w:ascii="Times New Roman" w:hAnsi="Times New Roman" w:cs="Times New Roman"/>
            <w:sz w:val="24"/>
          </w:rPr>
          <w:fldChar w:fldCharType="separate"/>
        </w:r>
        <w:r w:rsidR="00875494">
          <w:rPr>
            <w:rFonts w:ascii="Times New Roman" w:hAnsi="Times New Roman" w:cs="Times New Roman"/>
            <w:noProof/>
            <w:sz w:val="24"/>
          </w:rPr>
          <w:t>vii</w:t>
        </w:r>
        <w:r w:rsidRPr="00E865E0">
          <w:rPr>
            <w:rFonts w:ascii="Times New Roman" w:hAnsi="Times New Roman" w:cs="Times New Roman"/>
            <w:sz w:val="24"/>
          </w:rPr>
          <w:fldChar w:fldCharType="end"/>
        </w:r>
      </w:p>
    </w:sdtContent>
  </w:sdt>
  <w:p w:rsidR="004B6EEB" w:rsidRPr="00E865E0" w:rsidRDefault="004B6EEB">
    <w:pPr>
      <w:pStyle w:val="Pieddepage"/>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751035"/>
      <w:docPartObj>
        <w:docPartGallery w:val="Page Numbers (Bottom of Page)"/>
        <w:docPartUnique/>
      </w:docPartObj>
    </w:sdtPr>
    <w:sdtEndPr>
      <w:rPr>
        <w:rFonts w:ascii="Times New Roman" w:hAnsi="Times New Roman" w:cs="Times New Roman"/>
        <w:sz w:val="24"/>
      </w:rPr>
    </w:sdtEndPr>
    <w:sdtContent>
      <w:p w:rsidR="004B6EEB" w:rsidRPr="00E865E0" w:rsidRDefault="004B6EEB" w:rsidP="00E865E0">
        <w:pPr>
          <w:pStyle w:val="Pieddepage"/>
          <w:jc w:val="both"/>
          <w:rPr>
            <w:rFonts w:ascii="Times New Roman" w:hAnsi="Times New Roman" w:cs="Times New Roman"/>
            <w:sz w:val="24"/>
          </w:rPr>
        </w:pPr>
        <w:r>
          <w:rPr>
            <w:rFonts w:ascii="Times New Roman" w:hAnsi="Times New Roman" w:cs="Times New Roman"/>
            <w:sz w:val="24"/>
          </w:rPr>
          <w:t>Evaluation finale - P</w:t>
        </w:r>
        <w:r w:rsidRPr="00E865E0">
          <w:rPr>
            <w:rFonts w:ascii="Times New Roman" w:hAnsi="Times New Roman" w:cs="Times New Roman"/>
            <w:sz w:val="24"/>
          </w:rPr>
          <w:t xml:space="preserve">rojet d’Assistance Technique Préparatoire pour le renforcement du cadre légal, </w:t>
        </w:r>
        <w:r>
          <w:rPr>
            <w:rFonts w:ascii="Times New Roman" w:hAnsi="Times New Roman" w:cs="Times New Roman"/>
            <w:sz w:val="24"/>
          </w:rPr>
          <w:t>r</w:t>
        </w:r>
        <w:r w:rsidRPr="00E865E0">
          <w:rPr>
            <w:rFonts w:ascii="Times New Roman" w:hAnsi="Times New Roman" w:cs="Times New Roman"/>
            <w:sz w:val="24"/>
          </w:rPr>
          <w:t>églementaire et institutionnel des secteurs de l’Energie et des Mines</w:t>
        </w:r>
        <w:r>
          <w:rPr>
            <w:rFonts w:ascii="Times New Roman" w:hAnsi="Times New Roman" w:cs="Times New Roman"/>
            <w:sz w:val="24"/>
          </w:rPr>
          <w:tab/>
        </w:r>
        <w:r w:rsidRPr="00E865E0">
          <w:rPr>
            <w:rFonts w:ascii="Times New Roman" w:hAnsi="Times New Roman" w:cs="Times New Roman"/>
            <w:sz w:val="24"/>
          </w:rPr>
          <w:fldChar w:fldCharType="begin"/>
        </w:r>
        <w:r w:rsidRPr="00E865E0">
          <w:rPr>
            <w:rFonts w:ascii="Times New Roman" w:hAnsi="Times New Roman" w:cs="Times New Roman"/>
            <w:sz w:val="24"/>
          </w:rPr>
          <w:instrText>PAGE   \* MERGEFORMAT</w:instrText>
        </w:r>
        <w:r w:rsidRPr="00E865E0">
          <w:rPr>
            <w:rFonts w:ascii="Times New Roman" w:hAnsi="Times New Roman" w:cs="Times New Roman"/>
            <w:sz w:val="24"/>
          </w:rPr>
          <w:fldChar w:fldCharType="separate"/>
        </w:r>
        <w:r w:rsidR="00875494">
          <w:rPr>
            <w:rFonts w:ascii="Times New Roman" w:hAnsi="Times New Roman" w:cs="Times New Roman"/>
            <w:noProof/>
            <w:sz w:val="24"/>
          </w:rPr>
          <w:t>x</w:t>
        </w:r>
        <w:r w:rsidRPr="00E865E0">
          <w:rPr>
            <w:rFonts w:ascii="Times New Roman" w:hAnsi="Times New Roman" w:cs="Times New Roman"/>
            <w:sz w:val="24"/>
          </w:rPr>
          <w:fldChar w:fldCharType="end"/>
        </w:r>
      </w:p>
    </w:sdtContent>
  </w:sdt>
  <w:p w:rsidR="004B6EEB" w:rsidRPr="00E865E0" w:rsidRDefault="004B6EEB">
    <w:pPr>
      <w:pStyle w:val="Pieddepage"/>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51996660"/>
      <w:docPartObj>
        <w:docPartGallery w:val="Page Numbers (Bottom of Page)"/>
        <w:docPartUnique/>
      </w:docPartObj>
    </w:sdtPr>
    <w:sdtEndPr>
      <w:rPr>
        <w:rFonts w:ascii="Times New Roman" w:hAnsi="Times New Roman" w:cs="Times New Roman"/>
        <w:sz w:val="24"/>
        <w:szCs w:val="22"/>
      </w:rPr>
    </w:sdtEndPr>
    <w:sdtContent>
      <w:p w:rsidR="004B6EEB" w:rsidRPr="00E865E0" w:rsidRDefault="004B6EEB" w:rsidP="00E865E0">
        <w:pPr>
          <w:pStyle w:val="Pieddepage"/>
          <w:jc w:val="both"/>
          <w:rPr>
            <w:rFonts w:ascii="Times New Roman" w:hAnsi="Times New Roman" w:cs="Times New Roman"/>
            <w:sz w:val="24"/>
          </w:rPr>
        </w:pPr>
        <w:r w:rsidRPr="00411B73">
          <w:rPr>
            <w:rFonts w:ascii="Times New Roman" w:hAnsi="Times New Roman" w:cs="Times New Roman"/>
            <w:sz w:val="20"/>
            <w:szCs w:val="20"/>
          </w:rPr>
          <w:t>Evaluation finale - Projet d’Assistance Technique Préparatoire pour le renforcement du cadre légal, réglementaire et institutionnel des secteurs de l’Energie et des Mines</w:t>
        </w:r>
        <w:r>
          <w:rPr>
            <w:rFonts w:ascii="Times New Roman" w:hAnsi="Times New Roman" w:cs="Times New Roman"/>
            <w:sz w:val="24"/>
          </w:rPr>
          <w:tab/>
        </w:r>
        <w:r w:rsidRPr="00E865E0">
          <w:rPr>
            <w:rFonts w:ascii="Times New Roman" w:hAnsi="Times New Roman" w:cs="Times New Roman"/>
            <w:sz w:val="24"/>
          </w:rPr>
          <w:fldChar w:fldCharType="begin"/>
        </w:r>
        <w:r w:rsidRPr="00E865E0">
          <w:rPr>
            <w:rFonts w:ascii="Times New Roman" w:hAnsi="Times New Roman" w:cs="Times New Roman"/>
            <w:sz w:val="24"/>
          </w:rPr>
          <w:instrText>PAGE   \* MERGEFORMAT</w:instrText>
        </w:r>
        <w:r w:rsidRPr="00E865E0">
          <w:rPr>
            <w:rFonts w:ascii="Times New Roman" w:hAnsi="Times New Roman" w:cs="Times New Roman"/>
            <w:sz w:val="24"/>
          </w:rPr>
          <w:fldChar w:fldCharType="separate"/>
        </w:r>
        <w:r w:rsidR="00875494">
          <w:rPr>
            <w:rFonts w:ascii="Times New Roman" w:hAnsi="Times New Roman" w:cs="Times New Roman"/>
            <w:noProof/>
            <w:sz w:val="24"/>
          </w:rPr>
          <w:t>8</w:t>
        </w:r>
        <w:r w:rsidRPr="00E865E0">
          <w:rPr>
            <w:rFonts w:ascii="Times New Roman" w:hAnsi="Times New Roman" w:cs="Times New Roman"/>
            <w:sz w:val="24"/>
          </w:rPr>
          <w:fldChar w:fldCharType="end"/>
        </w:r>
      </w:p>
    </w:sdtContent>
  </w:sdt>
  <w:p w:rsidR="004B6EEB" w:rsidRPr="00E865E0" w:rsidRDefault="004B6EEB">
    <w:pPr>
      <w:pStyle w:val="Pieddepage"/>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379545"/>
      <w:docPartObj>
        <w:docPartGallery w:val="Page Numbers (Bottom of Page)"/>
        <w:docPartUnique/>
      </w:docPartObj>
    </w:sdtPr>
    <w:sdtEndPr>
      <w:rPr>
        <w:rFonts w:ascii="Times New Roman" w:hAnsi="Times New Roman" w:cs="Times New Roman"/>
        <w:sz w:val="24"/>
      </w:rPr>
    </w:sdtEndPr>
    <w:sdtContent>
      <w:p w:rsidR="004B6EEB" w:rsidRPr="00E865E0" w:rsidRDefault="004B6EEB" w:rsidP="00E865E0">
        <w:pPr>
          <w:pStyle w:val="Pieddepage"/>
          <w:jc w:val="both"/>
          <w:rPr>
            <w:rFonts w:ascii="Times New Roman" w:hAnsi="Times New Roman" w:cs="Times New Roman"/>
            <w:sz w:val="24"/>
          </w:rPr>
        </w:pPr>
        <w:r>
          <w:rPr>
            <w:rFonts w:ascii="Times New Roman" w:hAnsi="Times New Roman" w:cs="Times New Roman"/>
            <w:sz w:val="24"/>
          </w:rPr>
          <w:t>Evaluation finale - P</w:t>
        </w:r>
        <w:r w:rsidRPr="00E865E0">
          <w:rPr>
            <w:rFonts w:ascii="Times New Roman" w:hAnsi="Times New Roman" w:cs="Times New Roman"/>
            <w:sz w:val="24"/>
          </w:rPr>
          <w:t xml:space="preserve">rojet d’Assistance Technique Préparatoire pour le renforcement du cadre légal, </w:t>
        </w:r>
        <w:r>
          <w:rPr>
            <w:rFonts w:ascii="Times New Roman" w:hAnsi="Times New Roman" w:cs="Times New Roman"/>
            <w:sz w:val="24"/>
          </w:rPr>
          <w:t>r</w:t>
        </w:r>
        <w:r w:rsidRPr="00E865E0">
          <w:rPr>
            <w:rFonts w:ascii="Times New Roman" w:hAnsi="Times New Roman" w:cs="Times New Roman"/>
            <w:sz w:val="24"/>
          </w:rPr>
          <w:t>églementaire et institutionnel des secteurs de l’Energie et des Mines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E865E0">
          <w:rPr>
            <w:rFonts w:ascii="Times New Roman" w:hAnsi="Times New Roman" w:cs="Times New Roman"/>
            <w:sz w:val="24"/>
          </w:rPr>
          <w:fldChar w:fldCharType="begin"/>
        </w:r>
        <w:r w:rsidRPr="00E865E0">
          <w:rPr>
            <w:rFonts w:ascii="Times New Roman" w:hAnsi="Times New Roman" w:cs="Times New Roman"/>
            <w:sz w:val="24"/>
          </w:rPr>
          <w:instrText>PAGE   \* MERGEFORMAT</w:instrText>
        </w:r>
        <w:r w:rsidRPr="00E865E0">
          <w:rPr>
            <w:rFonts w:ascii="Times New Roman" w:hAnsi="Times New Roman" w:cs="Times New Roman"/>
            <w:sz w:val="24"/>
          </w:rPr>
          <w:fldChar w:fldCharType="separate"/>
        </w:r>
        <w:r w:rsidR="00875494">
          <w:rPr>
            <w:rFonts w:ascii="Times New Roman" w:hAnsi="Times New Roman" w:cs="Times New Roman"/>
            <w:noProof/>
            <w:sz w:val="24"/>
          </w:rPr>
          <w:t>11</w:t>
        </w:r>
        <w:r w:rsidRPr="00E865E0">
          <w:rPr>
            <w:rFonts w:ascii="Times New Roman" w:hAnsi="Times New Roman" w:cs="Times New Roman"/>
            <w:sz w:val="24"/>
          </w:rPr>
          <w:fldChar w:fldCharType="end"/>
        </w:r>
      </w:p>
    </w:sdtContent>
  </w:sdt>
  <w:p w:rsidR="004B6EEB" w:rsidRPr="00E865E0" w:rsidRDefault="004B6EEB">
    <w:pPr>
      <w:pStyle w:val="Pieddepage"/>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03544"/>
      <w:docPartObj>
        <w:docPartGallery w:val="Page Numbers (Bottom of Page)"/>
        <w:docPartUnique/>
      </w:docPartObj>
    </w:sdtPr>
    <w:sdtEndPr>
      <w:rPr>
        <w:rFonts w:ascii="Times New Roman" w:hAnsi="Times New Roman" w:cs="Times New Roman"/>
        <w:sz w:val="24"/>
      </w:rPr>
    </w:sdtEndPr>
    <w:sdtContent>
      <w:p w:rsidR="004B6EEB" w:rsidRPr="00E865E0" w:rsidRDefault="004B6EEB" w:rsidP="00E865E0">
        <w:pPr>
          <w:pStyle w:val="Pieddepage"/>
          <w:jc w:val="both"/>
          <w:rPr>
            <w:rFonts w:ascii="Times New Roman" w:hAnsi="Times New Roman" w:cs="Times New Roman"/>
            <w:sz w:val="24"/>
          </w:rPr>
        </w:pPr>
        <w:r w:rsidRPr="00D35F5B">
          <w:rPr>
            <w:rFonts w:ascii="Times New Roman" w:hAnsi="Times New Roman" w:cs="Times New Roman"/>
            <w:sz w:val="20"/>
            <w:szCs w:val="20"/>
          </w:rPr>
          <w:t>Evaluation finale - Projet d’Assistance Technique Préparatoire pour le renforcement du cadre légal, réglementaire et institutionnel des secteurs de l’Energie et des Mines</w:t>
        </w:r>
        <w:r>
          <w:rPr>
            <w:rFonts w:ascii="Times New Roman" w:hAnsi="Times New Roman" w:cs="Times New Roman"/>
            <w:sz w:val="24"/>
          </w:rPr>
          <w:tab/>
        </w:r>
        <w:r w:rsidRPr="00E865E0">
          <w:rPr>
            <w:rFonts w:ascii="Times New Roman" w:hAnsi="Times New Roman" w:cs="Times New Roman"/>
            <w:sz w:val="24"/>
          </w:rPr>
          <w:fldChar w:fldCharType="begin"/>
        </w:r>
        <w:r w:rsidRPr="00E865E0">
          <w:rPr>
            <w:rFonts w:ascii="Times New Roman" w:hAnsi="Times New Roman" w:cs="Times New Roman"/>
            <w:sz w:val="24"/>
          </w:rPr>
          <w:instrText>PAGE   \* MERGEFORMAT</w:instrText>
        </w:r>
        <w:r w:rsidRPr="00E865E0">
          <w:rPr>
            <w:rFonts w:ascii="Times New Roman" w:hAnsi="Times New Roman" w:cs="Times New Roman"/>
            <w:sz w:val="24"/>
          </w:rPr>
          <w:fldChar w:fldCharType="separate"/>
        </w:r>
        <w:r w:rsidR="00875494">
          <w:rPr>
            <w:rFonts w:ascii="Times New Roman" w:hAnsi="Times New Roman" w:cs="Times New Roman"/>
            <w:noProof/>
            <w:sz w:val="24"/>
          </w:rPr>
          <w:t>18</w:t>
        </w:r>
        <w:r w:rsidRPr="00E865E0">
          <w:rPr>
            <w:rFonts w:ascii="Times New Roman" w:hAnsi="Times New Roman" w:cs="Times New Roman"/>
            <w:sz w:val="24"/>
          </w:rPr>
          <w:fldChar w:fldCharType="end"/>
        </w:r>
      </w:p>
    </w:sdtContent>
  </w:sdt>
  <w:p w:rsidR="004B6EEB" w:rsidRPr="00E865E0" w:rsidRDefault="004B6EEB">
    <w:pPr>
      <w:pStyle w:val="Pieddepage"/>
      <w:rPr>
        <w:rFonts w:ascii="Times New Roman" w:hAnsi="Times New Roman"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172594"/>
      <w:docPartObj>
        <w:docPartGallery w:val="Page Numbers (Bottom of Page)"/>
        <w:docPartUnique/>
      </w:docPartObj>
    </w:sdtPr>
    <w:sdtEndPr>
      <w:rPr>
        <w:rFonts w:ascii="Times New Roman" w:hAnsi="Times New Roman" w:cs="Times New Roman"/>
        <w:sz w:val="24"/>
      </w:rPr>
    </w:sdtEndPr>
    <w:sdtContent>
      <w:p w:rsidR="004B6EEB" w:rsidRPr="00E865E0" w:rsidRDefault="004B6EEB" w:rsidP="00E865E0">
        <w:pPr>
          <w:pStyle w:val="Pieddepage"/>
          <w:jc w:val="both"/>
          <w:rPr>
            <w:rFonts w:ascii="Times New Roman" w:hAnsi="Times New Roman" w:cs="Times New Roman"/>
            <w:sz w:val="24"/>
          </w:rPr>
        </w:pPr>
        <w:r>
          <w:rPr>
            <w:rFonts w:ascii="Times New Roman" w:hAnsi="Times New Roman" w:cs="Times New Roman"/>
            <w:sz w:val="24"/>
          </w:rPr>
          <w:t>Evaluation finale - P</w:t>
        </w:r>
        <w:r w:rsidRPr="00E865E0">
          <w:rPr>
            <w:rFonts w:ascii="Times New Roman" w:hAnsi="Times New Roman" w:cs="Times New Roman"/>
            <w:sz w:val="24"/>
          </w:rPr>
          <w:t xml:space="preserve">rojet d’Assistance Technique Préparatoire pour le renforcement du cadre légal, </w:t>
        </w:r>
        <w:r>
          <w:rPr>
            <w:rFonts w:ascii="Times New Roman" w:hAnsi="Times New Roman" w:cs="Times New Roman"/>
            <w:sz w:val="24"/>
          </w:rPr>
          <w:t>r</w:t>
        </w:r>
        <w:r w:rsidRPr="00E865E0">
          <w:rPr>
            <w:rFonts w:ascii="Times New Roman" w:hAnsi="Times New Roman" w:cs="Times New Roman"/>
            <w:sz w:val="24"/>
          </w:rPr>
          <w:t>églementaire et institutionnel des secteurs de l’Energie et des Mines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E865E0">
          <w:rPr>
            <w:rFonts w:ascii="Times New Roman" w:hAnsi="Times New Roman" w:cs="Times New Roman"/>
            <w:sz w:val="24"/>
          </w:rPr>
          <w:fldChar w:fldCharType="begin"/>
        </w:r>
        <w:r w:rsidRPr="00E865E0">
          <w:rPr>
            <w:rFonts w:ascii="Times New Roman" w:hAnsi="Times New Roman" w:cs="Times New Roman"/>
            <w:sz w:val="24"/>
          </w:rPr>
          <w:instrText>PAGE   \* MERGEFORMAT</w:instrText>
        </w:r>
        <w:r w:rsidRPr="00E865E0">
          <w:rPr>
            <w:rFonts w:ascii="Times New Roman" w:hAnsi="Times New Roman" w:cs="Times New Roman"/>
            <w:sz w:val="24"/>
          </w:rPr>
          <w:fldChar w:fldCharType="separate"/>
        </w:r>
        <w:r w:rsidR="00875494">
          <w:rPr>
            <w:rFonts w:ascii="Times New Roman" w:hAnsi="Times New Roman" w:cs="Times New Roman"/>
            <w:noProof/>
            <w:sz w:val="24"/>
          </w:rPr>
          <w:t>20</w:t>
        </w:r>
        <w:r w:rsidRPr="00E865E0">
          <w:rPr>
            <w:rFonts w:ascii="Times New Roman" w:hAnsi="Times New Roman" w:cs="Times New Roman"/>
            <w:sz w:val="24"/>
          </w:rPr>
          <w:fldChar w:fldCharType="end"/>
        </w:r>
      </w:p>
    </w:sdtContent>
  </w:sdt>
  <w:p w:rsidR="004B6EEB" w:rsidRPr="00E865E0" w:rsidRDefault="004B6EEB">
    <w:pPr>
      <w:pStyle w:val="Pieddepage"/>
      <w:rPr>
        <w:rFonts w:ascii="Times New Roman" w:hAnsi="Times New Roman"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1238"/>
      <w:docPartObj>
        <w:docPartGallery w:val="Page Numbers (Bottom of Page)"/>
        <w:docPartUnique/>
      </w:docPartObj>
    </w:sdtPr>
    <w:sdtEndPr>
      <w:rPr>
        <w:rFonts w:ascii="Times New Roman" w:hAnsi="Times New Roman" w:cs="Times New Roman"/>
        <w:sz w:val="24"/>
      </w:rPr>
    </w:sdtEndPr>
    <w:sdtContent>
      <w:p w:rsidR="004B6EEB" w:rsidRPr="00E865E0" w:rsidRDefault="004B6EEB" w:rsidP="00E865E0">
        <w:pPr>
          <w:pStyle w:val="Pieddepage"/>
          <w:jc w:val="both"/>
          <w:rPr>
            <w:rFonts w:ascii="Times New Roman" w:hAnsi="Times New Roman" w:cs="Times New Roman"/>
            <w:sz w:val="24"/>
          </w:rPr>
        </w:pPr>
        <w:r>
          <w:rPr>
            <w:rFonts w:ascii="Times New Roman" w:hAnsi="Times New Roman" w:cs="Times New Roman"/>
            <w:sz w:val="24"/>
          </w:rPr>
          <w:t>Evaluation finale - P</w:t>
        </w:r>
        <w:r w:rsidRPr="00E865E0">
          <w:rPr>
            <w:rFonts w:ascii="Times New Roman" w:hAnsi="Times New Roman" w:cs="Times New Roman"/>
            <w:sz w:val="24"/>
          </w:rPr>
          <w:t xml:space="preserve">rojet d’Assistance Technique Préparatoire pour le renforcement du cadre légal, </w:t>
        </w:r>
        <w:r>
          <w:rPr>
            <w:rFonts w:ascii="Times New Roman" w:hAnsi="Times New Roman" w:cs="Times New Roman"/>
            <w:sz w:val="24"/>
          </w:rPr>
          <w:t>r</w:t>
        </w:r>
        <w:r w:rsidRPr="00E865E0">
          <w:rPr>
            <w:rFonts w:ascii="Times New Roman" w:hAnsi="Times New Roman" w:cs="Times New Roman"/>
            <w:sz w:val="24"/>
          </w:rPr>
          <w:t>églementaire et institutionnel des secteurs de l’Energie et des Mines</w:t>
        </w:r>
        <w:r>
          <w:rPr>
            <w:rFonts w:ascii="Times New Roman" w:hAnsi="Times New Roman" w:cs="Times New Roman"/>
            <w:sz w:val="24"/>
          </w:rPr>
          <w:tab/>
        </w:r>
        <w:r w:rsidRPr="00E865E0">
          <w:rPr>
            <w:rFonts w:ascii="Times New Roman" w:hAnsi="Times New Roman" w:cs="Times New Roman"/>
            <w:sz w:val="24"/>
          </w:rPr>
          <w:fldChar w:fldCharType="begin"/>
        </w:r>
        <w:r w:rsidRPr="00E865E0">
          <w:rPr>
            <w:rFonts w:ascii="Times New Roman" w:hAnsi="Times New Roman" w:cs="Times New Roman"/>
            <w:sz w:val="24"/>
          </w:rPr>
          <w:instrText>PAGE   \* MERGEFORMAT</w:instrText>
        </w:r>
        <w:r w:rsidRPr="00E865E0">
          <w:rPr>
            <w:rFonts w:ascii="Times New Roman" w:hAnsi="Times New Roman" w:cs="Times New Roman"/>
            <w:sz w:val="24"/>
          </w:rPr>
          <w:fldChar w:fldCharType="separate"/>
        </w:r>
        <w:r w:rsidR="00875494">
          <w:rPr>
            <w:rFonts w:ascii="Times New Roman" w:hAnsi="Times New Roman" w:cs="Times New Roman"/>
            <w:noProof/>
            <w:sz w:val="24"/>
          </w:rPr>
          <w:t>26</w:t>
        </w:r>
        <w:r w:rsidRPr="00E865E0">
          <w:rPr>
            <w:rFonts w:ascii="Times New Roman" w:hAnsi="Times New Roman" w:cs="Times New Roman"/>
            <w:sz w:val="24"/>
          </w:rPr>
          <w:fldChar w:fldCharType="end"/>
        </w:r>
      </w:p>
    </w:sdtContent>
  </w:sdt>
  <w:p w:rsidR="004B6EEB" w:rsidRPr="00E865E0" w:rsidRDefault="004B6EEB">
    <w:pPr>
      <w:pStyle w:val="Pieddepage"/>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989" w:rsidRDefault="00FC1989" w:rsidP="00E865E0">
      <w:pPr>
        <w:spacing w:after="0" w:line="240" w:lineRule="auto"/>
      </w:pPr>
      <w:r>
        <w:separator/>
      </w:r>
    </w:p>
  </w:footnote>
  <w:footnote w:type="continuationSeparator" w:id="0">
    <w:p w:rsidR="00FC1989" w:rsidRDefault="00FC1989" w:rsidP="00E86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A17"/>
      </v:shape>
    </w:pict>
  </w:numPicBullet>
  <w:abstractNum w:abstractNumId="0">
    <w:nsid w:val="01135825"/>
    <w:multiLevelType w:val="hybridMultilevel"/>
    <w:tmpl w:val="A7063DCE"/>
    <w:lvl w:ilvl="0" w:tplc="040C0003">
      <w:start w:val="1"/>
      <w:numFmt w:val="bullet"/>
      <w:lvlText w:val="o"/>
      <w:lvlJc w:val="left"/>
      <w:pPr>
        <w:ind w:left="2135" w:hanging="360"/>
      </w:pPr>
      <w:rPr>
        <w:rFonts w:ascii="Courier New" w:hAnsi="Courier New" w:cs="Courier New"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1">
    <w:nsid w:val="05361812"/>
    <w:multiLevelType w:val="hybridMultilevel"/>
    <w:tmpl w:val="2D266C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FF1732"/>
    <w:multiLevelType w:val="hybridMultilevel"/>
    <w:tmpl w:val="1AA2242A"/>
    <w:lvl w:ilvl="0" w:tplc="E5E65890">
      <w:numFmt w:val="bullet"/>
      <w:lvlText w:val="-"/>
      <w:lvlJc w:val="left"/>
      <w:pPr>
        <w:tabs>
          <w:tab w:val="num" w:pos="720"/>
        </w:tabs>
        <w:ind w:left="720" w:hanging="360"/>
      </w:pPr>
      <w:rPr>
        <w:rFonts w:ascii="Arial" w:eastAsia="Times New Roman" w:hAnsi="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83339B5"/>
    <w:multiLevelType w:val="hybridMultilevel"/>
    <w:tmpl w:val="204A2B66"/>
    <w:lvl w:ilvl="0" w:tplc="3C58561C">
      <w:start w:val="14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BD6931"/>
    <w:multiLevelType w:val="hybridMultilevel"/>
    <w:tmpl w:val="973C85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971D05"/>
    <w:multiLevelType w:val="hybridMultilevel"/>
    <w:tmpl w:val="1E6C66D6"/>
    <w:lvl w:ilvl="0" w:tplc="3AA06E8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F814EB"/>
    <w:multiLevelType w:val="hybridMultilevel"/>
    <w:tmpl w:val="4538DC4A"/>
    <w:lvl w:ilvl="0" w:tplc="3AA06E8A">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2F32E3"/>
    <w:multiLevelType w:val="hybridMultilevel"/>
    <w:tmpl w:val="CDAA90C8"/>
    <w:lvl w:ilvl="0" w:tplc="3C58561C">
      <w:start w:val="145"/>
      <w:numFmt w:val="bullet"/>
      <w:lvlText w:val="-"/>
      <w:lvlJc w:val="left"/>
      <w:pPr>
        <w:ind w:left="720" w:hanging="360"/>
      </w:pPr>
      <w:rPr>
        <w:rFonts w:ascii="Times New Roman" w:eastAsia="Times New Roman" w:hAnsi="Times New Roman" w:cs="Times New Roman" w:hint="default"/>
      </w:rPr>
    </w:lvl>
    <w:lvl w:ilvl="1" w:tplc="3C58561C">
      <w:start w:val="145"/>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361E9D"/>
    <w:multiLevelType w:val="hybridMultilevel"/>
    <w:tmpl w:val="2A24F9FC"/>
    <w:lvl w:ilvl="0" w:tplc="3C58561C">
      <w:start w:val="14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861A5C"/>
    <w:multiLevelType w:val="hybridMultilevel"/>
    <w:tmpl w:val="C9488C50"/>
    <w:lvl w:ilvl="0" w:tplc="3C58561C">
      <w:start w:val="145"/>
      <w:numFmt w:val="bullet"/>
      <w:lvlText w:val="-"/>
      <w:lvlJc w:val="left"/>
      <w:pPr>
        <w:ind w:left="720" w:hanging="360"/>
      </w:pPr>
      <w:rPr>
        <w:rFonts w:ascii="Times New Roman" w:eastAsia="Times New Roman" w:hAnsi="Times New Roman" w:cs="Times New Roman" w:hint="default"/>
      </w:rPr>
    </w:lvl>
    <w:lvl w:ilvl="1" w:tplc="3C58561C">
      <w:start w:val="145"/>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771B24"/>
    <w:multiLevelType w:val="hybridMultilevel"/>
    <w:tmpl w:val="2C367200"/>
    <w:lvl w:ilvl="0" w:tplc="E5E65890">
      <w:numFmt w:val="bullet"/>
      <w:lvlText w:val="-"/>
      <w:lvlJc w:val="left"/>
      <w:pPr>
        <w:tabs>
          <w:tab w:val="num" w:pos="720"/>
        </w:tabs>
        <w:ind w:left="720" w:hanging="360"/>
      </w:pPr>
      <w:rPr>
        <w:rFonts w:ascii="Arial" w:eastAsia="Times New Roman" w:hAnsi="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4EA53B3"/>
    <w:multiLevelType w:val="hybridMultilevel"/>
    <w:tmpl w:val="92206948"/>
    <w:lvl w:ilvl="0" w:tplc="3C58561C">
      <w:start w:val="145"/>
      <w:numFmt w:val="bullet"/>
      <w:lvlText w:val="-"/>
      <w:lvlJc w:val="left"/>
      <w:pPr>
        <w:ind w:left="720" w:hanging="360"/>
      </w:pPr>
      <w:rPr>
        <w:rFonts w:ascii="Times New Roman" w:eastAsia="Times New Roman" w:hAnsi="Times New Roman" w:cs="Times New Roman"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9C4A53"/>
    <w:multiLevelType w:val="hybridMultilevel"/>
    <w:tmpl w:val="46A69DD6"/>
    <w:lvl w:ilvl="0" w:tplc="6A884B00">
      <w:start w:val="2"/>
      <w:numFmt w:val="bullet"/>
      <w:lvlText w:val="-"/>
      <w:lvlJc w:val="left"/>
      <w:pPr>
        <w:ind w:left="720" w:hanging="360"/>
      </w:pPr>
      <w:rPr>
        <w:rFonts w:ascii="Calibri" w:eastAsia="Times New Roman" w:hAnsi="Calibri"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8F364D"/>
    <w:multiLevelType w:val="hybridMultilevel"/>
    <w:tmpl w:val="EAE4B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111EE9"/>
    <w:multiLevelType w:val="hybridMultilevel"/>
    <w:tmpl w:val="344EFFE4"/>
    <w:lvl w:ilvl="0" w:tplc="4074F5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2C165D9"/>
    <w:multiLevelType w:val="hybridMultilevel"/>
    <w:tmpl w:val="041E5AFA"/>
    <w:lvl w:ilvl="0" w:tplc="3C58561C">
      <w:start w:val="145"/>
      <w:numFmt w:val="bullet"/>
      <w:lvlText w:val="-"/>
      <w:lvlJc w:val="left"/>
      <w:pPr>
        <w:ind w:left="720" w:hanging="360"/>
      </w:pPr>
      <w:rPr>
        <w:rFonts w:ascii="Times New Roman" w:eastAsia="Times New Roman" w:hAnsi="Times New Roman" w:cs="Times New Roman" w:hint="default"/>
      </w:rPr>
    </w:lvl>
    <w:lvl w:ilvl="1" w:tplc="3C58561C">
      <w:start w:val="145"/>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C1060A"/>
    <w:multiLevelType w:val="hybridMultilevel"/>
    <w:tmpl w:val="B5B2EF60"/>
    <w:lvl w:ilvl="0" w:tplc="E5E65890">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DD1215"/>
    <w:multiLevelType w:val="hybridMultilevel"/>
    <w:tmpl w:val="E50ECC7A"/>
    <w:lvl w:ilvl="0" w:tplc="3C58561C">
      <w:start w:val="145"/>
      <w:numFmt w:val="bullet"/>
      <w:lvlText w:val="-"/>
      <w:lvlJc w:val="left"/>
      <w:pPr>
        <w:ind w:left="720" w:hanging="360"/>
      </w:pPr>
      <w:rPr>
        <w:rFonts w:ascii="Times New Roman" w:eastAsia="Times New Roman" w:hAnsi="Times New Roman" w:cs="Times New Roman"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E9197E"/>
    <w:multiLevelType w:val="hybridMultilevel"/>
    <w:tmpl w:val="427C0202"/>
    <w:lvl w:ilvl="0" w:tplc="3C58561C">
      <w:start w:val="14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D7A371B"/>
    <w:multiLevelType w:val="hybridMultilevel"/>
    <w:tmpl w:val="CF9E6090"/>
    <w:lvl w:ilvl="0" w:tplc="E5E65890">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195940"/>
    <w:multiLevelType w:val="hybridMultilevel"/>
    <w:tmpl w:val="58B47BCC"/>
    <w:lvl w:ilvl="0" w:tplc="3C58561C">
      <w:start w:val="145"/>
      <w:numFmt w:val="bullet"/>
      <w:lvlText w:val="-"/>
      <w:lvlJc w:val="left"/>
      <w:pPr>
        <w:ind w:left="720" w:hanging="360"/>
      </w:pPr>
      <w:rPr>
        <w:rFonts w:ascii="Times New Roman" w:eastAsia="Times New Roman" w:hAnsi="Times New Roman" w:cs="Times New Roman" w:hint="default"/>
      </w:rPr>
    </w:lvl>
    <w:lvl w:ilvl="1" w:tplc="3C58561C">
      <w:start w:val="145"/>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C51AE0"/>
    <w:multiLevelType w:val="hybridMultilevel"/>
    <w:tmpl w:val="660C47AE"/>
    <w:lvl w:ilvl="0" w:tplc="E5E65890">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BC33B74"/>
    <w:multiLevelType w:val="hybridMultilevel"/>
    <w:tmpl w:val="5E069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CF355B2"/>
    <w:multiLevelType w:val="hybridMultilevel"/>
    <w:tmpl w:val="4A2622BE"/>
    <w:lvl w:ilvl="0" w:tplc="B26A24D8">
      <w:numFmt w:val="bullet"/>
      <w:lvlText w:val="-"/>
      <w:lvlJc w:val="left"/>
      <w:pPr>
        <w:ind w:left="720" w:hanging="360"/>
      </w:pPr>
      <w:rPr>
        <w:rFonts w:ascii="Arial" w:eastAsia="Times New Roman" w:hAnsi="Arial" w:hint="default"/>
      </w:rPr>
    </w:lvl>
    <w:lvl w:ilvl="1" w:tplc="4074F53E">
      <w:start w:val="1"/>
      <w:numFmt w:val="decimal"/>
      <w:lvlText w:val="%2."/>
      <w:lvlJc w:val="left"/>
      <w:pPr>
        <w:ind w:left="1440" w:hanging="360"/>
      </w:pPr>
      <w:rPr>
        <w:rFonts w:hint="default"/>
      </w:rPr>
    </w:lvl>
    <w:lvl w:ilvl="2" w:tplc="53FEB156">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0AA598E"/>
    <w:multiLevelType w:val="hybridMultilevel"/>
    <w:tmpl w:val="E48430D8"/>
    <w:lvl w:ilvl="0" w:tplc="E5E65890">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D67350"/>
    <w:multiLevelType w:val="hybridMultilevel"/>
    <w:tmpl w:val="517A4628"/>
    <w:lvl w:ilvl="0" w:tplc="3C2CEE2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F76985"/>
    <w:multiLevelType w:val="hybridMultilevel"/>
    <w:tmpl w:val="C91CB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EF7242"/>
    <w:multiLevelType w:val="hybridMultilevel"/>
    <w:tmpl w:val="086EE836"/>
    <w:lvl w:ilvl="0" w:tplc="B26A24D8">
      <w:numFmt w:val="bullet"/>
      <w:lvlText w:val="-"/>
      <w:lvlJc w:val="left"/>
      <w:pPr>
        <w:ind w:left="720" w:hanging="360"/>
      </w:pPr>
      <w:rPr>
        <w:rFonts w:ascii="Arial" w:eastAsia="Times New Roman" w:hAnsi="Arial" w:hint="default"/>
      </w:rPr>
    </w:lvl>
    <w:lvl w:ilvl="1" w:tplc="2196D0E6">
      <w:numFmt w:val="bullet"/>
      <w:lvlText w:val="•"/>
      <w:lvlJc w:val="left"/>
      <w:pPr>
        <w:ind w:left="1785" w:hanging="705"/>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2A511D"/>
    <w:multiLevelType w:val="hybridMultilevel"/>
    <w:tmpl w:val="28F002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E860C6"/>
    <w:multiLevelType w:val="hybridMultilevel"/>
    <w:tmpl w:val="AF92094E"/>
    <w:lvl w:ilvl="0" w:tplc="3C58561C">
      <w:start w:val="14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48B1650"/>
    <w:multiLevelType w:val="hybridMultilevel"/>
    <w:tmpl w:val="4E9881D6"/>
    <w:lvl w:ilvl="0" w:tplc="E5E65890">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4AF7A0B"/>
    <w:multiLevelType w:val="hybridMultilevel"/>
    <w:tmpl w:val="DBF6202E"/>
    <w:lvl w:ilvl="0" w:tplc="3C58561C">
      <w:start w:val="145"/>
      <w:numFmt w:val="bullet"/>
      <w:lvlText w:val="-"/>
      <w:lvlJc w:val="left"/>
      <w:pPr>
        <w:ind w:left="791"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53A65B9"/>
    <w:multiLevelType w:val="hybridMultilevel"/>
    <w:tmpl w:val="5D98F22E"/>
    <w:lvl w:ilvl="0" w:tplc="942A754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5666308"/>
    <w:multiLevelType w:val="hybridMultilevel"/>
    <w:tmpl w:val="DCDEDB7A"/>
    <w:lvl w:ilvl="0" w:tplc="3C58561C">
      <w:start w:val="145"/>
      <w:numFmt w:val="bullet"/>
      <w:lvlText w:val="-"/>
      <w:lvlJc w:val="left"/>
      <w:pPr>
        <w:ind w:left="720" w:hanging="360"/>
      </w:pPr>
      <w:rPr>
        <w:rFonts w:ascii="Times New Roman" w:eastAsia="Times New Roman" w:hAnsi="Times New Roman" w:cs="Times New Roman" w:hint="default"/>
      </w:rPr>
    </w:lvl>
    <w:lvl w:ilvl="1" w:tplc="3C58561C">
      <w:start w:val="145"/>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B144E5B"/>
    <w:multiLevelType w:val="hybridMultilevel"/>
    <w:tmpl w:val="93C8F9E8"/>
    <w:lvl w:ilvl="0" w:tplc="3C58561C">
      <w:start w:val="145"/>
      <w:numFmt w:val="bullet"/>
      <w:lvlText w:val="-"/>
      <w:lvlJc w:val="left"/>
      <w:pPr>
        <w:ind w:left="720" w:hanging="360"/>
      </w:pPr>
      <w:rPr>
        <w:rFonts w:ascii="Times New Roman" w:eastAsia="Times New Roman" w:hAnsi="Times New Roman" w:cs="Times New Roman"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152605C"/>
    <w:multiLevelType w:val="hybridMultilevel"/>
    <w:tmpl w:val="098232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1EE378C"/>
    <w:multiLevelType w:val="hybridMultilevel"/>
    <w:tmpl w:val="6FC2CD24"/>
    <w:lvl w:ilvl="0" w:tplc="3C58561C">
      <w:start w:val="14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2301BE1"/>
    <w:multiLevelType w:val="hybridMultilevel"/>
    <w:tmpl w:val="78DE3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4347454"/>
    <w:multiLevelType w:val="hybridMultilevel"/>
    <w:tmpl w:val="15E07C64"/>
    <w:lvl w:ilvl="0" w:tplc="3C58561C">
      <w:start w:val="145"/>
      <w:numFmt w:val="bullet"/>
      <w:lvlText w:val="-"/>
      <w:lvlJc w:val="left"/>
      <w:pPr>
        <w:ind w:left="720" w:hanging="360"/>
      </w:pPr>
      <w:rPr>
        <w:rFonts w:ascii="Times New Roman" w:eastAsia="Times New Roman" w:hAnsi="Times New Roman" w:cs="Times New Roman"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CF42B13"/>
    <w:multiLevelType w:val="hybridMultilevel"/>
    <w:tmpl w:val="4B1AAF7A"/>
    <w:lvl w:ilvl="0" w:tplc="B26A24D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DE368A1"/>
    <w:multiLevelType w:val="hybridMultilevel"/>
    <w:tmpl w:val="63F04FA6"/>
    <w:lvl w:ilvl="0" w:tplc="3C58561C">
      <w:start w:val="145"/>
      <w:numFmt w:val="bullet"/>
      <w:lvlText w:val="-"/>
      <w:lvlJc w:val="left"/>
      <w:pPr>
        <w:ind w:left="720" w:hanging="360"/>
      </w:pPr>
      <w:rPr>
        <w:rFonts w:ascii="Times New Roman" w:eastAsia="Times New Roman" w:hAnsi="Times New Roman" w:cs="Times New Roman"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F101738"/>
    <w:multiLevelType w:val="hybridMultilevel"/>
    <w:tmpl w:val="F112F5BC"/>
    <w:lvl w:ilvl="0" w:tplc="3C58561C">
      <w:start w:val="14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2893CA0"/>
    <w:multiLevelType w:val="hybridMultilevel"/>
    <w:tmpl w:val="1534DC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1F69A7"/>
    <w:multiLevelType w:val="hybridMultilevel"/>
    <w:tmpl w:val="7B2257BC"/>
    <w:lvl w:ilvl="0" w:tplc="6706B886">
      <w:start w:val="4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44">
    <w:nsid w:val="7A7D5DEF"/>
    <w:multiLevelType w:val="hybridMultilevel"/>
    <w:tmpl w:val="17568E1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B00700C"/>
    <w:multiLevelType w:val="hybridMultilevel"/>
    <w:tmpl w:val="BB6A7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C6193D"/>
    <w:multiLevelType w:val="hybridMultilevel"/>
    <w:tmpl w:val="DBF85500"/>
    <w:lvl w:ilvl="0" w:tplc="E5E65890">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D2E22CC"/>
    <w:multiLevelType w:val="hybridMultilevel"/>
    <w:tmpl w:val="65AE2D02"/>
    <w:lvl w:ilvl="0" w:tplc="3C58561C">
      <w:start w:val="145"/>
      <w:numFmt w:val="bullet"/>
      <w:lvlText w:val="-"/>
      <w:lvlJc w:val="left"/>
      <w:pPr>
        <w:ind w:left="720" w:hanging="360"/>
      </w:pPr>
      <w:rPr>
        <w:rFonts w:ascii="Times New Roman" w:eastAsia="Times New Roman" w:hAnsi="Times New Roman" w:cs="Times New Roman" w:hint="default"/>
      </w:rPr>
    </w:lvl>
    <w:lvl w:ilvl="1" w:tplc="3C58561C">
      <w:start w:val="145"/>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45"/>
  </w:num>
  <w:num w:numId="3">
    <w:abstractNumId w:val="24"/>
  </w:num>
  <w:num w:numId="4">
    <w:abstractNumId w:val="5"/>
  </w:num>
  <w:num w:numId="5">
    <w:abstractNumId w:val="23"/>
  </w:num>
  <w:num w:numId="6">
    <w:abstractNumId w:val="27"/>
  </w:num>
  <w:num w:numId="7">
    <w:abstractNumId w:val="32"/>
  </w:num>
  <w:num w:numId="8">
    <w:abstractNumId w:val="16"/>
  </w:num>
  <w:num w:numId="9">
    <w:abstractNumId w:val="25"/>
  </w:num>
  <w:num w:numId="10">
    <w:abstractNumId w:val="44"/>
  </w:num>
  <w:num w:numId="11">
    <w:abstractNumId w:val="6"/>
  </w:num>
  <w:num w:numId="12">
    <w:abstractNumId w:val="28"/>
  </w:num>
  <w:num w:numId="13">
    <w:abstractNumId w:val="2"/>
  </w:num>
  <w:num w:numId="14">
    <w:abstractNumId w:val="10"/>
  </w:num>
  <w:num w:numId="15">
    <w:abstractNumId w:val="46"/>
  </w:num>
  <w:num w:numId="16">
    <w:abstractNumId w:val="30"/>
  </w:num>
  <w:num w:numId="17">
    <w:abstractNumId w:val="42"/>
  </w:num>
  <w:num w:numId="18">
    <w:abstractNumId w:val="4"/>
  </w:num>
  <w:num w:numId="19">
    <w:abstractNumId w:val="18"/>
  </w:num>
  <w:num w:numId="20">
    <w:abstractNumId w:val="17"/>
  </w:num>
  <w:num w:numId="21">
    <w:abstractNumId w:val="20"/>
  </w:num>
  <w:num w:numId="22">
    <w:abstractNumId w:val="8"/>
  </w:num>
  <w:num w:numId="23">
    <w:abstractNumId w:val="36"/>
  </w:num>
  <w:num w:numId="24">
    <w:abstractNumId w:val="40"/>
  </w:num>
  <w:num w:numId="25">
    <w:abstractNumId w:val="47"/>
  </w:num>
  <w:num w:numId="26">
    <w:abstractNumId w:val="31"/>
  </w:num>
  <w:num w:numId="27">
    <w:abstractNumId w:val="43"/>
  </w:num>
  <w:num w:numId="28">
    <w:abstractNumId w:val="3"/>
  </w:num>
  <w:num w:numId="29">
    <w:abstractNumId w:val="9"/>
  </w:num>
  <w:num w:numId="30">
    <w:abstractNumId w:val="11"/>
  </w:num>
  <w:num w:numId="31">
    <w:abstractNumId w:val="15"/>
  </w:num>
  <w:num w:numId="32">
    <w:abstractNumId w:val="29"/>
  </w:num>
  <w:num w:numId="33">
    <w:abstractNumId w:val="34"/>
  </w:num>
  <w:num w:numId="34">
    <w:abstractNumId w:val="33"/>
  </w:num>
  <w:num w:numId="35">
    <w:abstractNumId w:val="41"/>
  </w:num>
  <w:num w:numId="36">
    <w:abstractNumId w:val="38"/>
  </w:num>
  <w:num w:numId="37">
    <w:abstractNumId w:val="7"/>
  </w:num>
  <w:num w:numId="38">
    <w:abstractNumId w:val="12"/>
  </w:num>
  <w:num w:numId="39">
    <w:abstractNumId w:val="35"/>
  </w:num>
  <w:num w:numId="40">
    <w:abstractNumId w:val="39"/>
  </w:num>
  <w:num w:numId="41">
    <w:abstractNumId w:val="19"/>
  </w:num>
  <w:num w:numId="42">
    <w:abstractNumId w:val="21"/>
  </w:num>
  <w:num w:numId="43">
    <w:abstractNumId w:val="26"/>
  </w:num>
  <w:num w:numId="44">
    <w:abstractNumId w:val="37"/>
  </w:num>
  <w:num w:numId="45">
    <w:abstractNumId w:val="13"/>
  </w:num>
  <w:num w:numId="46">
    <w:abstractNumId w:val="0"/>
  </w:num>
  <w:num w:numId="47">
    <w:abstractNumId w:val="22"/>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B"/>
    <w:rsid w:val="0000056C"/>
    <w:rsid w:val="000009FB"/>
    <w:rsid w:val="000206A5"/>
    <w:rsid w:val="00021C69"/>
    <w:rsid w:val="00042DFE"/>
    <w:rsid w:val="00043193"/>
    <w:rsid w:val="00051E05"/>
    <w:rsid w:val="0005569E"/>
    <w:rsid w:val="00071397"/>
    <w:rsid w:val="00075A74"/>
    <w:rsid w:val="00086C3C"/>
    <w:rsid w:val="0009476D"/>
    <w:rsid w:val="00097D6E"/>
    <w:rsid w:val="000B347A"/>
    <w:rsid w:val="000C0C6A"/>
    <w:rsid w:val="000D492E"/>
    <w:rsid w:val="000F282E"/>
    <w:rsid w:val="000F5743"/>
    <w:rsid w:val="00100CA7"/>
    <w:rsid w:val="00103AC6"/>
    <w:rsid w:val="00104B38"/>
    <w:rsid w:val="00134A20"/>
    <w:rsid w:val="001415CF"/>
    <w:rsid w:val="0016621E"/>
    <w:rsid w:val="001674FB"/>
    <w:rsid w:val="0018028E"/>
    <w:rsid w:val="001835E0"/>
    <w:rsid w:val="00183663"/>
    <w:rsid w:val="00184002"/>
    <w:rsid w:val="001A2822"/>
    <w:rsid w:val="001A4251"/>
    <w:rsid w:val="001D54BA"/>
    <w:rsid w:val="001F4B6A"/>
    <w:rsid w:val="001F5CDB"/>
    <w:rsid w:val="0020174B"/>
    <w:rsid w:val="002045D0"/>
    <w:rsid w:val="00226A71"/>
    <w:rsid w:val="002558C8"/>
    <w:rsid w:val="00256572"/>
    <w:rsid w:val="0029768C"/>
    <w:rsid w:val="002B1D0F"/>
    <w:rsid w:val="002B3375"/>
    <w:rsid w:val="002C11BB"/>
    <w:rsid w:val="002C2E43"/>
    <w:rsid w:val="002F26DC"/>
    <w:rsid w:val="00305EF4"/>
    <w:rsid w:val="003650B1"/>
    <w:rsid w:val="00386B2F"/>
    <w:rsid w:val="003C4457"/>
    <w:rsid w:val="003D15AD"/>
    <w:rsid w:val="003D7844"/>
    <w:rsid w:val="003D7EAC"/>
    <w:rsid w:val="003E0944"/>
    <w:rsid w:val="003F483F"/>
    <w:rsid w:val="003F78B8"/>
    <w:rsid w:val="00411B73"/>
    <w:rsid w:val="004268E8"/>
    <w:rsid w:val="00443C56"/>
    <w:rsid w:val="004543F8"/>
    <w:rsid w:val="004550B0"/>
    <w:rsid w:val="00456C97"/>
    <w:rsid w:val="0046529A"/>
    <w:rsid w:val="0046733C"/>
    <w:rsid w:val="0047455D"/>
    <w:rsid w:val="004B6EEB"/>
    <w:rsid w:val="004C4B99"/>
    <w:rsid w:val="004C65AB"/>
    <w:rsid w:val="004E6D30"/>
    <w:rsid w:val="00507A65"/>
    <w:rsid w:val="005149CA"/>
    <w:rsid w:val="005150D2"/>
    <w:rsid w:val="0052016A"/>
    <w:rsid w:val="00531EA9"/>
    <w:rsid w:val="00536032"/>
    <w:rsid w:val="0054472A"/>
    <w:rsid w:val="00555681"/>
    <w:rsid w:val="00566A70"/>
    <w:rsid w:val="00576E87"/>
    <w:rsid w:val="00594792"/>
    <w:rsid w:val="005B4C7C"/>
    <w:rsid w:val="005C0B68"/>
    <w:rsid w:val="005C3893"/>
    <w:rsid w:val="005D1350"/>
    <w:rsid w:val="005D7B24"/>
    <w:rsid w:val="005E7A18"/>
    <w:rsid w:val="005F4C7E"/>
    <w:rsid w:val="00601FB4"/>
    <w:rsid w:val="00610B33"/>
    <w:rsid w:val="00613827"/>
    <w:rsid w:val="00614AAB"/>
    <w:rsid w:val="00623C1D"/>
    <w:rsid w:val="0063099A"/>
    <w:rsid w:val="0063507B"/>
    <w:rsid w:val="006372F5"/>
    <w:rsid w:val="00650754"/>
    <w:rsid w:val="00650EF1"/>
    <w:rsid w:val="006B59F4"/>
    <w:rsid w:val="006C6AA8"/>
    <w:rsid w:val="006E2945"/>
    <w:rsid w:val="006E512E"/>
    <w:rsid w:val="006E548C"/>
    <w:rsid w:val="006F25AA"/>
    <w:rsid w:val="006F7598"/>
    <w:rsid w:val="00707399"/>
    <w:rsid w:val="00711DDA"/>
    <w:rsid w:val="00717BB9"/>
    <w:rsid w:val="00720FA2"/>
    <w:rsid w:val="00763AC5"/>
    <w:rsid w:val="00763F79"/>
    <w:rsid w:val="007C4B5C"/>
    <w:rsid w:val="007E1741"/>
    <w:rsid w:val="007E46F8"/>
    <w:rsid w:val="007E6147"/>
    <w:rsid w:val="007F772B"/>
    <w:rsid w:val="00802A58"/>
    <w:rsid w:val="00826481"/>
    <w:rsid w:val="00841C32"/>
    <w:rsid w:val="00845DA8"/>
    <w:rsid w:val="00851DA5"/>
    <w:rsid w:val="00853FD1"/>
    <w:rsid w:val="00855142"/>
    <w:rsid w:val="008641AB"/>
    <w:rsid w:val="00871ABA"/>
    <w:rsid w:val="00875494"/>
    <w:rsid w:val="00875B5C"/>
    <w:rsid w:val="00894B13"/>
    <w:rsid w:val="008C04D8"/>
    <w:rsid w:val="008C5721"/>
    <w:rsid w:val="008E2A16"/>
    <w:rsid w:val="008E5AD7"/>
    <w:rsid w:val="00900454"/>
    <w:rsid w:val="009030D1"/>
    <w:rsid w:val="0092011F"/>
    <w:rsid w:val="00920CCB"/>
    <w:rsid w:val="00927194"/>
    <w:rsid w:val="00953FCF"/>
    <w:rsid w:val="0095579C"/>
    <w:rsid w:val="0096794C"/>
    <w:rsid w:val="00972394"/>
    <w:rsid w:val="009763DE"/>
    <w:rsid w:val="0098717C"/>
    <w:rsid w:val="009A0C9F"/>
    <w:rsid w:val="009C082E"/>
    <w:rsid w:val="009C604D"/>
    <w:rsid w:val="009D19F4"/>
    <w:rsid w:val="009E0FB9"/>
    <w:rsid w:val="009F38F6"/>
    <w:rsid w:val="009F6B22"/>
    <w:rsid w:val="009F6E05"/>
    <w:rsid w:val="00A105CA"/>
    <w:rsid w:val="00A137A4"/>
    <w:rsid w:val="00A64828"/>
    <w:rsid w:val="00A84141"/>
    <w:rsid w:val="00AA6908"/>
    <w:rsid w:val="00AB115C"/>
    <w:rsid w:val="00AC129B"/>
    <w:rsid w:val="00AC46ED"/>
    <w:rsid w:val="00AD3B08"/>
    <w:rsid w:val="00AD7338"/>
    <w:rsid w:val="00AE045D"/>
    <w:rsid w:val="00AE47D9"/>
    <w:rsid w:val="00AF31A8"/>
    <w:rsid w:val="00AF533D"/>
    <w:rsid w:val="00B03D99"/>
    <w:rsid w:val="00B060FE"/>
    <w:rsid w:val="00B16AB9"/>
    <w:rsid w:val="00B25C01"/>
    <w:rsid w:val="00B342FE"/>
    <w:rsid w:val="00B517C7"/>
    <w:rsid w:val="00B51E5D"/>
    <w:rsid w:val="00B53312"/>
    <w:rsid w:val="00B554DD"/>
    <w:rsid w:val="00B57EB3"/>
    <w:rsid w:val="00B97D6C"/>
    <w:rsid w:val="00BB6FE9"/>
    <w:rsid w:val="00BC425B"/>
    <w:rsid w:val="00BD3C42"/>
    <w:rsid w:val="00BE631C"/>
    <w:rsid w:val="00BE6379"/>
    <w:rsid w:val="00C01784"/>
    <w:rsid w:val="00C036D3"/>
    <w:rsid w:val="00C1764E"/>
    <w:rsid w:val="00C26929"/>
    <w:rsid w:val="00C40B29"/>
    <w:rsid w:val="00C43DFC"/>
    <w:rsid w:val="00C52BE0"/>
    <w:rsid w:val="00C54FE9"/>
    <w:rsid w:val="00C575B1"/>
    <w:rsid w:val="00C57E74"/>
    <w:rsid w:val="00C62F1C"/>
    <w:rsid w:val="00C639B7"/>
    <w:rsid w:val="00C90191"/>
    <w:rsid w:val="00CB0B95"/>
    <w:rsid w:val="00CB254B"/>
    <w:rsid w:val="00CE2565"/>
    <w:rsid w:val="00CE6CBC"/>
    <w:rsid w:val="00CF1DF6"/>
    <w:rsid w:val="00D049F2"/>
    <w:rsid w:val="00D22B1F"/>
    <w:rsid w:val="00D33E9A"/>
    <w:rsid w:val="00D35F5B"/>
    <w:rsid w:val="00D450E9"/>
    <w:rsid w:val="00D535FB"/>
    <w:rsid w:val="00D86489"/>
    <w:rsid w:val="00DA10DC"/>
    <w:rsid w:val="00DA5AA2"/>
    <w:rsid w:val="00DB0836"/>
    <w:rsid w:val="00DB39FF"/>
    <w:rsid w:val="00DC1AE1"/>
    <w:rsid w:val="00E177FA"/>
    <w:rsid w:val="00E25E3A"/>
    <w:rsid w:val="00E40CA1"/>
    <w:rsid w:val="00E71867"/>
    <w:rsid w:val="00E8038F"/>
    <w:rsid w:val="00E865E0"/>
    <w:rsid w:val="00EB350B"/>
    <w:rsid w:val="00EC5DAF"/>
    <w:rsid w:val="00ED703A"/>
    <w:rsid w:val="00F25398"/>
    <w:rsid w:val="00F30B86"/>
    <w:rsid w:val="00F335A9"/>
    <w:rsid w:val="00F35045"/>
    <w:rsid w:val="00F536DC"/>
    <w:rsid w:val="00F63B89"/>
    <w:rsid w:val="00F65C63"/>
    <w:rsid w:val="00F76EB3"/>
    <w:rsid w:val="00FC1989"/>
    <w:rsid w:val="00FD2808"/>
    <w:rsid w:val="00FE388A"/>
    <w:rsid w:val="00FF6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4FE7E5-A0EA-4CFF-84C7-B669D668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FB"/>
  </w:style>
  <w:style w:type="paragraph" w:styleId="Titre1">
    <w:name w:val="heading 1"/>
    <w:basedOn w:val="Normal"/>
    <w:next w:val="Normal"/>
    <w:link w:val="Titre1Car"/>
    <w:uiPriority w:val="9"/>
    <w:qFormat/>
    <w:rsid w:val="001674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100C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E5A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74FB"/>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1674FB"/>
    <w:pPr>
      <w:outlineLvl w:val="9"/>
    </w:pPr>
    <w:rPr>
      <w:lang w:eastAsia="fr-FR"/>
    </w:rPr>
  </w:style>
  <w:style w:type="paragraph" w:styleId="TM3">
    <w:name w:val="toc 3"/>
    <w:basedOn w:val="Normal"/>
    <w:next w:val="Normal"/>
    <w:autoRedefine/>
    <w:uiPriority w:val="39"/>
    <w:unhideWhenUsed/>
    <w:rsid w:val="001674FB"/>
    <w:pPr>
      <w:tabs>
        <w:tab w:val="right" w:leader="dot" w:pos="9062"/>
      </w:tabs>
      <w:spacing w:after="100"/>
      <w:ind w:left="708"/>
    </w:pPr>
  </w:style>
  <w:style w:type="paragraph" w:styleId="TM1">
    <w:name w:val="toc 1"/>
    <w:basedOn w:val="Normal"/>
    <w:next w:val="Normal"/>
    <w:autoRedefine/>
    <w:uiPriority w:val="39"/>
    <w:unhideWhenUsed/>
    <w:rsid w:val="001674FB"/>
    <w:pPr>
      <w:spacing w:after="100"/>
    </w:pPr>
  </w:style>
  <w:style w:type="paragraph" w:styleId="TM2">
    <w:name w:val="toc 2"/>
    <w:basedOn w:val="Normal"/>
    <w:next w:val="Normal"/>
    <w:autoRedefine/>
    <w:uiPriority w:val="39"/>
    <w:unhideWhenUsed/>
    <w:rsid w:val="001674FB"/>
    <w:pPr>
      <w:spacing w:after="100"/>
      <w:ind w:left="220"/>
    </w:pPr>
  </w:style>
  <w:style w:type="character" w:styleId="Lienhypertexte">
    <w:name w:val="Hyperlink"/>
    <w:basedOn w:val="Policepardfaut"/>
    <w:uiPriority w:val="99"/>
    <w:unhideWhenUsed/>
    <w:rsid w:val="001674FB"/>
    <w:rPr>
      <w:color w:val="0563C1" w:themeColor="hyperlink"/>
      <w:u w:val="single"/>
    </w:rPr>
  </w:style>
  <w:style w:type="character" w:styleId="Lienhypertextesuivivisit">
    <w:name w:val="FollowedHyperlink"/>
    <w:basedOn w:val="Policepardfaut"/>
    <w:uiPriority w:val="99"/>
    <w:semiHidden/>
    <w:unhideWhenUsed/>
    <w:rsid w:val="001674FB"/>
    <w:rPr>
      <w:color w:val="954F72" w:themeColor="followedHyperlink"/>
      <w:u w:val="single"/>
    </w:rPr>
  </w:style>
  <w:style w:type="paragraph" w:styleId="Paragraphedeliste">
    <w:name w:val="List Paragraph"/>
    <w:aliases w:val="References,List Paragraph (numbered (a)),Liste 1"/>
    <w:basedOn w:val="Normal"/>
    <w:link w:val="ParagraphedelisteCar"/>
    <w:uiPriority w:val="34"/>
    <w:qFormat/>
    <w:rsid w:val="001674FB"/>
    <w:pPr>
      <w:ind w:left="720"/>
      <w:contextualSpacing/>
    </w:pPr>
  </w:style>
  <w:style w:type="paragraph" w:customStyle="1" w:styleId="Default">
    <w:name w:val="Default"/>
    <w:rsid w:val="0029768C"/>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3650B1"/>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865E0"/>
    <w:pPr>
      <w:tabs>
        <w:tab w:val="center" w:pos="4536"/>
        <w:tab w:val="right" w:pos="9072"/>
      </w:tabs>
      <w:spacing w:after="0" w:line="240" w:lineRule="auto"/>
    </w:pPr>
  </w:style>
  <w:style w:type="character" w:customStyle="1" w:styleId="En-tteCar">
    <w:name w:val="En-tête Car"/>
    <w:basedOn w:val="Policepardfaut"/>
    <w:link w:val="En-tte"/>
    <w:uiPriority w:val="99"/>
    <w:rsid w:val="00E865E0"/>
  </w:style>
  <w:style w:type="paragraph" w:styleId="Pieddepage">
    <w:name w:val="footer"/>
    <w:basedOn w:val="Normal"/>
    <w:link w:val="PieddepageCar"/>
    <w:uiPriority w:val="99"/>
    <w:unhideWhenUsed/>
    <w:rsid w:val="00E865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65E0"/>
  </w:style>
  <w:style w:type="character" w:customStyle="1" w:styleId="Titre3Car">
    <w:name w:val="Titre 3 Car"/>
    <w:basedOn w:val="Policepardfaut"/>
    <w:link w:val="Titre3"/>
    <w:uiPriority w:val="9"/>
    <w:rsid w:val="008E5AD7"/>
    <w:rPr>
      <w:rFonts w:asciiTheme="majorHAnsi" w:eastAsiaTheme="majorEastAsia" w:hAnsiTheme="majorHAnsi" w:cstheme="majorBidi"/>
      <w:color w:val="1F4D78" w:themeColor="accent1" w:themeShade="7F"/>
      <w:sz w:val="24"/>
      <w:szCs w:val="24"/>
    </w:rPr>
  </w:style>
  <w:style w:type="table" w:customStyle="1" w:styleId="Grilledutableau1">
    <w:name w:val="Grille du tableau1"/>
    <w:basedOn w:val="TableauNormal"/>
    <w:next w:val="Grilledutableau"/>
    <w:uiPriority w:val="59"/>
    <w:rsid w:val="008E5AD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40C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641AB"/>
    <w:rPr>
      <w:sz w:val="16"/>
      <w:szCs w:val="16"/>
    </w:rPr>
  </w:style>
  <w:style w:type="paragraph" w:styleId="Commentaire">
    <w:name w:val="annotation text"/>
    <w:basedOn w:val="Normal"/>
    <w:link w:val="CommentaireCar"/>
    <w:uiPriority w:val="99"/>
    <w:semiHidden/>
    <w:unhideWhenUsed/>
    <w:rsid w:val="008641AB"/>
    <w:pPr>
      <w:spacing w:line="240" w:lineRule="auto"/>
    </w:pPr>
    <w:rPr>
      <w:sz w:val="20"/>
      <w:szCs w:val="20"/>
    </w:rPr>
  </w:style>
  <w:style w:type="character" w:customStyle="1" w:styleId="CommentaireCar">
    <w:name w:val="Commentaire Car"/>
    <w:basedOn w:val="Policepardfaut"/>
    <w:link w:val="Commentaire"/>
    <w:uiPriority w:val="99"/>
    <w:semiHidden/>
    <w:rsid w:val="008641AB"/>
    <w:rPr>
      <w:sz w:val="20"/>
      <w:szCs w:val="20"/>
    </w:rPr>
  </w:style>
  <w:style w:type="paragraph" w:styleId="Objetducommentaire">
    <w:name w:val="annotation subject"/>
    <w:basedOn w:val="Commentaire"/>
    <w:next w:val="Commentaire"/>
    <w:link w:val="ObjetducommentaireCar"/>
    <w:uiPriority w:val="99"/>
    <w:semiHidden/>
    <w:unhideWhenUsed/>
    <w:rsid w:val="008641AB"/>
    <w:rPr>
      <w:b/>
      <w:bCs/>
    </w:rPr>
  </w:style>
  <w:style w:type="character" w:customStyle="1" w:styleId="ObjetducommentaireCar">
    <w:name w:val="Objet du commentaire Car"/>
    <w:basedOn w:val="CommentaireCar"/>
    <w:link w:val="Objetducommentaire"/>
    <w:uiPriority w:val="99"/>
    <w:semiHidden/>
    <w:rsid w:val="008641AB"/>
    <w:rPr>
      <w:b/>
      <w:bCs/>
      <w:sz w:val="20"/>
      <w:szCs w:val="20"/>
    </w:rPr>
  </w:style>
  <w:style w:type="paragraph" w:styleId="Textedebulles">
    <w:name w:val="Balloon Text"/>
    <w:basedOn w:val="Normal"/>
    <w:link w:val="TextedebullesCar"/>
    <w:uiPriority w:val="99"/>
    <w:semiHidden/>
    <w:unhideWhenUsed/>
    <w:rsid w:val="008641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41AB"/>
    <w:rPr>
      <w:rFonts w:ascii="Segoe UI" w:hAnsi="Segoe UI" w:cs="Segoe UI"/>
      <w:sz w:val="18"/>
      <w:szCs w:val="18"/>
    </w:rPr>
  </w:style>
  <w:style w:type="paragraph" w:styleId="Lgende">
    <w:name w:val="caption"/>
    <w:basedOn w:val="Normal"/>
    <w:next w:val="Normal"/>
    <w:uiPriority w:val="35"/>
    <w:unhideWhenUsed/>
    <w:qFormat/>
    <w:rsid w:val="002558C8"/>
    <w:pPr>
      <w:spacing w:after="200" w:line="240" w:lineRule="auto"/>
    </w:pPr>
    <w:rPr>
      <w:i/>
      <w:iCs/>
      <w:color w:val="44546A" w:themeColor="text2"/>
      <w:sz w:val="18"/>
      <w:szCs w:val="18"/>
    </w:rPr>
  </w:style>
  <w:style w:type="paragraph" w:styleId="Sansinterligne">
    <w:name w:val="No Spacing"/>
    <w:uiPriority w:val="1"/>
    <w:qFormat/>
    <w:rsid w:val="0052016A"/>
    <w:pPr>
      <w:spacing w:after="0" w:line="240" w:lineRule="auto"/>
    </w:pPr>
  </w:style>
  <w:style w:type="paragraph" w:styleId="Notedebasdepage">
    <w:name w:val="footnote text"/>
    <w:basedOn w:val="Normal"/>
    <w:link w:val="NotedebasdepageCar"/>
    <w:uiPriority w:val="99"/>
    <w:rsid w:val="0052016A"/>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52016A"/>
    <w:rPr>
      <w:rFonts w:ascii="Times New Roman" w:eastAsia="Times New Roman" w:hAnsi="Times New Roman" w:cs="Times New Roman"/>
      <w:sz w:val="20"/>
      <w:szCs w:val="20"/>
    </w:rPr>
  </w:style>
  <w:style w:type="character" w:styleId="Appelnotedebasdep">
    <w:name w:val="footnote reference"/>
    <w:uiPriority w:val="99"/>
    <w:rsid w:val="0052016A"/>
    <w:rPr>
      <w:vertAlign w:val="superscript"/>
    </w:rPr>
  </w:style>
  <w:style w:type="character" w:customStyle="1" w:styleId="ParagraphedelisteCar">
    <w:name w:val="Paragraphe de liste Car"/>
    <w:aliases w:val="References Car,List Paragraph (numbered (a)) Car,Liste 1 Car"/>
    <w:link w:val="Paragraphedeliste"/>
    <w:uiPriority w:val="34"/>
    <w:rsid w:val="006E2945"/>
  </w:style>
  <w:style w:type="paragraph" w:customStyle="1" w:styleId="m2797968840765199402gmail-msolistparagraph">
    <w:name w:val="m_2797968840765199402gmail-msolistparagraph"/>
    <w:basedOn w:val="Normal"/>
    <w:rsid w:val="006E29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100CA7"/>
    <w:rPr>
      <w:rFonts w:asciiTheme="majorHAnsi" w:eastAsiaTheme="majorEastAsia" w:hAnsiTheme="majorHAnsi" w:cstheme="majorBidi"/>
      <w:color w:val="2E74B5" w:themeColor="accent1" w:themeShade="BF"/>
      <w:sz w:val="26"/>
      <w:szCs w:val="26"/>
    </w:rPr>
  </w:style>
  <w:style w:type="paragraph" w:styleId="Tabledesillustrations">
    <w:name w:val="table of figures"/>
    <w:basedOn w:val="Normal"/>
    <w:next w:val="Normal"/>
    <w:uiPriority w:val="99"/>
    <w:unhideWhenUsed/>
    <w:rsid w:val="000F574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18159">
      <w:bodyDiv w:val="1"/>
      <w:marLeft w:val="0"/>
      <w:marRight w:val="0"/>
      <w:marTop w:val="0"/>
      <w:marBottom w:val="0"/>
      <w:divBdr>
        <w:top w:val="none" w:sz="0" w:space="0" w:color="auto"/>
        <w:left w:val="none" w:sz="0" w:space="0" w:color="auto"/>
        <w:bottom w:val="none" w:sz="0" w:space="0" w:color="auto"/>
        <w:right w:val="none" w:sz="0" w:space="0" w:color="auto"/>
      </w:divBdr>
    </w:div>
    <w:div w:id="611519662">
      <w:bodyDiv w:val="1"/>
      <w:marLeft w:val="0"/>
      <w:marRight w:val="0"/>
      <w:marTop w:val="0"/>
      <w:marBottom w:val="0"/>
      <w:divBdr>
        <w:top w:val="none" w:sz="0" w:space="0" w:color="auto"/>
        <w:left w:val="none" w:sz="0" w:space="0" w:color="auto"/>
        <w:bottom w:val="none" w:sz="0" w:space="0" w:color="auto"/>
        <w:right w:val="none" w:sz="0" w:space="0" w:color="auto"/>
      </w:divBdr>
    </w:div>
    <w:div w:id="1094665808">
      <w:bodyDiv w:val="1"/>
      <w:marLeft w:val="0"/>
      <w:marRight w:val="0"/>
      <w:marTop w:val="0"/>
      <w:marBottom w:val="0"/>
      <w:divBdr>
        <w:top w:val="none" w:sz="0" w:space="0" w:color="auto"/>
        <w:left w:val="none" w:sz="0" w:space="0" w:color="auto"/>
        <w:bottom w:val="none" w:sz="0" w:space="0" w:color="auto"/>
        <w:right w:val="none" w:sz="0" w:space="0" w:color="auto"/>
      </w:divBdr>
    </w:div>
    <w:div w:id="1560165481">
      <w:bodyDiv w:val="1"/>
      <w:marLeft w:val="0"/>
      <w:marRight w:val="0"/>
      <w:marTop w:val="0"/>
      <w:marBottom w:val="0"/>
      <w:divBdr>
        <w:top w:val="none" w:sz="0" w:space="0" w:color="auto"/>
        <w:left w:val="none" w:sz="0" w:space="0" w:color="auto"/>
        <w:bottom w:val="none" w:sz="0" w:space="0" w:color="auto"/>
        <w:right w:val="none" w:sz="0" w:space="0" w:color="auto"/>
      </w:divBdr>
    </w:div>
    <w:div w:id="1840271656">
      <w:bodyDiv w:val="1"/>
      <w:marLeft w:val="0"/>
      <w:marRight w:val="0"/>
      <w:marTop w:val="0"/>
      <w:marBottom w:val="0"/>
      <w:divBdr>
        <w:top w:val="none" w:sz="0" w:space="0" w:color="auto"/>
        <w:left w:val="none" w:sz="0" w:space="0" w:color="auto"/>
        <w:bottom w:val="none" w:sz="0" w:space="0" w:color="auto"/>
        <w:right w:val="none" w:sz="0" w:space="0" w:color="auto"/>
      </w:divBdr>
      <w:divsChild>
        <w:div w:id="9359875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2083136">
              <w:marLeft w:val="0"/>
              <w:marRight w:val="0"/>
              <w:marTop w:val="0"/>
              <w:marBottom w:val="0"/>
              <w:divBdr>
                <w:top w:val="none" w:sz="0" w:space="0" w:color="auto"/>
                <w:left w:val="none" w:sz="0" w:space="0" w:color="auto"/>
                <w:bottom w:val="none" w:sz="0" w:space="0" w:color="auto"/>
                <w:right w:val="none" w:sz="0" w:space="0" w:color="auto"/>
              </w:divBdr>
            </w:div>
          </w:divsChild>
        </w:div>
        <w:div w:id="1812553479">
          <w:marLeft w:val="0"/>
          <w:marRight w:val="0"/>
          <w:marTop w:val="0"/>
          <w:marBottom w:val="0"/>
          <w:divBdr>
            <w:top w:val="none" w:sz="0" w:space="0" w:color="auto"/>
            <w:left w:val="none" w:sz="0" w:space="0" w:color="auto"/>
            <w:bottom w:val="none" w:sz="0" w:space="0" w:color="auto"/>
            <w:right w:val="none" w:sz="0" w:space="0" w:color="auto"/>
          </w:divBdr>
        </w:div>
        <w:div w:id="793719250">
          <w:marLeft w:val="0"/>
          <w:marRight w:val="0"/>
          <w:marTop w:val="0"/>
          <w:marBottom w:val="0"/>
          <w:divBdr>
            <w:top w:val="none" w:sz="0" w:space="0" w:color="auto"/>
            <w:left w:val="none" w:sz="0" w:space="0" w:color="auto"/>
            <w:bottom w:val="none" w:sz="0" w:space="0" w:color="auto"/>
            <w:right w:val="none" w:sz="0" w:space="0" w:color="auto"/>
          </w:divBdr>
        </w:div>
        <w:div w:id="10272141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4980784">
              <w:marLeft w:val="0"/>
              <w:marRight w:val="0"/>
              <w:marTop w:val="0"/>
              <w:marBottom w:val="0"/>
              <w:divBdr>
                <w:top w:val="none" w:sz="0" w:space="0" w:color="auto"/>
                <w:left w:val="none" w:sz="0" w:space="0" w:color="auto"/>
                <w:bottom w:val="none" w:sz="0" w:space="0" w:color="auto"/>
                <w:right w:val="none" w:sz="0" w:space="0" w:color="auto"/>
              </w:divBdr>
            </w:div>
          </w:divsChild>
        </w:div>
        <w:div w:id="1459715146">
          <w:marLeft w:val="0"/>
          <w:marRight w:val="0"/>
          <w:marTop w:val="0"/>
          <w:marBottom w:val="0"/>
          <w:divBdr>
            <w:top w:val="none" w:sz="0" w:space="0" w:color="auto"/>
            <w:left w:val="none" w:sz="0" w:space="0" w:color="auto"/>
            <w:bottom w:val="none" w:sz="0" w:space="0" w:color="auto"/>
            <w:right w:val="none" w:sz="0" w:space="0" w:color="auto"/>
          </w:divBdr>
        </w:div>
        <w:div w:id="1431006142">
          <w:marLeft w:val="0"/>
          <w:marRight w:val="0"/>
          <w:marTop w:val="0"/>
          <w:marBottom w:val="0"/>
          <w:divBdr>
            <w:top w:val="none" w:sz="0" w:space="0" w:color="auto"/>
            <w:left w:val="none" w:sz="0" w:space="0" w:color="auto"/>
            <w:bottom w:val="none" w:sz="0" w:space="0" w:color="auto"/>
            <w:right w:val="none" w:sz="0" w:space="0" w:color="auto"/>
          </w:divBdr>
        </w:div>
        <w:div w:id="13552247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0780189">
              <w:marLeft w:val="0"/>
              <w:marRight w:val="0"/>
              <w:marTop w:val="0"/>
              <w:marBottom w:val="0"/>
              <w:divBdr>
                <w:top w:val="none" w:sz="0" w:space="0" w:color="auto"/>
                <w:left w:val="none" w:sz="0" w:space="0" w:color="auto"/>
                <w:bottom w:val="none" w:sz="0" w:space="0" w:color="auto"/>
                <w:right w:val="none" w:sz="0" w:space="0" w:color="auto"/>
              </w:divBdr>
            </w:div>
          </w:divsChild>
        </w:div>
        <w:div w:id="1323973323">
          <w:marLeft w:val="0"/>
          <w:marRight w:val="0"/>
          <w:marTop w:val="0"/>
          <w:marBottom w:val="0"/>
          <w:divBdr>
            <w:top w:val="none" w:sz="0" w:space="0" w:color="auto"/>
            <w:left w:val="none" w:sz="0" w:space="0" w:color="auto"/>
            <w:bottom w:val="none" w:sz="0" w:space="0" w:color="auto"/>
            <w:right w:val="none" w:sz="0" w:space="0" w:color="auto"/>
          </w:divBdr>
        </w:div>
        <w:div w:id="403190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anselme@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erc.undp.org/evaluation/evaluations/detail/7797"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3.xml"/><Relationship Id="rId22" Type="http://schemas.openxmlformats.org/officeDocument/2006/relationships/package" Target="embeddings/Document_Microsoft_Word1.docx"/></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DE02F-8229-4438-871B-A77CEEE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12827</Words>
  <Characters>70552</Characters>
  <Application>Microsoft Office Word</Application>
  <DocSecurity>0</DocSecurity>
  <Lines>587</Lines>
  <Paragraphs>166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dc:creator>
  <cp:lastModifiedBy>Pascal M</cp:lastModifiedBy>
  <cp:revision>2</cp:revision>
  <dcterms:created xsi:type="dcterms:W3CDTF">2017-12-11T12:44:00Z</dcterms:created>
  <dcterms:modified xsi:type="dcterms:W3CDTF">2017-12-11T12:44:00Z</dcterms:modified>
</cp:coreProperties>
</file>