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AB" w:rsidRPr="00CF5F54" w:rsidRDefault="00824EAB" w:rsidP="00824EAB">
      <w:pPr>
        <w:pStyle w:val="Heading2"/>
        <w:rPr>
          <w:rFonts w:ascii="Calibri" w:hAnsi="Calibri"/>
          <w:sz w:val="60"/>
          <w:szCs w:val="60"/>
        </w:rPr>
      </w:pPr>
      <w:bookmarkStart w:id="0" w:name="_Toc389221721"/>
      <w:r w:rsidRPr="00CF5F54">
        <w:rPr>
          <w:rFonts w:ascii="Calibri" w:hAnsi="Calibri"/>
          <w:sz w:val="60"/>
          <w:szCs w:val="60"/>
        </w:rPr>
        <w:t xml:space="preserve">UNDP-GEF </w:t>
      </w:r>
      <w:r w:rsidR="003765C5" w:rsidRPr="00CF5F54">
        <w:rPr>
          <w:rFonts w:ascii="Calibri" w:hAnsi="Calibri"/>
          <w:sz w:val="60"/>
          <w:szCs w:val="60"/>
        </w:rPr>
        <w:t>TE</w:t>
      </w:r>
      <w:r w:rsidRPr="00CF5F54">
        <w:rPr>
          <w:rFonts w:ascii="Calibri" w:hAnsi="Calibri"/>
          <w:sz w:val="60"/>
          <w:szCs w:val="60"/>
        </w:rPr>
        <w:t xml:space="preserve"> Report Audit Trail </w:t>
      </w:r>
      <w:bookmarkEnd w:id="0"/>
    </w:p>
    <w:p w:rsidR="00824EAB" w:rsidRPr="00CF5F54" w:rsidRDefault="00824EAB" w:rsidP="00824EAB">
      <w:pPr>
        <w:autoSpaceDE w:val="0"/>
        <w:autoSpaceDN w:val="0"/>
        <w:adjustRightInd w:val="0"/>
        <w:spacing w:after="0" w:line="240" w:lineRule="auto"/>
        <w:jc w:val="both"/>
        <w:rPr>
          <w:rFonts w:ascii="Calibri" w:hAnsi="Calibri"/>
        </w:rPr>
      </w:pPr>
      <w:bookmarkStart w:id="1" w:name="_GoBack"/>
      <w:bookmarkEnd w:id="1"/>
    </w:p>
    <w:p w:rsidR="00824EAB" w:rsidRPr="00CF5F54" w:rsidRDefault="00824EAB" w:rsidP="00824EAB">
      <w:pPr>
        <w:autoSpaceDE w:val="0"/>
        <w:autoSpaceDN w:val="0"/>
        <w:adjustRightInd w:val="0"/>
        <w:spacing w:after="0" w:line="240" w:lineRule="auto"/>
        <w:jc w:val="both"/>
        <w:rPr>
          <w:rFonts w:ascii="Calibri" w:hAnsi="Calibri"/>
        </w:rPr>
      </w:pPr>
    </w:p>
    <w:p w:rsidR="00824EAB" w:rsidRPr="00CF5F54" w:rsidRDefault="00824EAB" w:rsidP="00824EAB">
      <w:pPr>
        <w:spacing w:after="0" w:line="240" w:lineRule="auto"/>
        <w:jc w:val="both"/>
        <w:rPr>
          <w:rFonts w:ascii="Calibri" w:hAnsi="Calibri"/>
          <w:b/>
        </w:rPr>
      </w:pPr>
      <w:r w:rsidRPr="00CF5F54">
        <w:rPr>
          <w:rFonts w:ascii="Calibri" w:hAnsi="Calibri"/>
          <w:b/>
        </w:rPr>
        <w:t xml:space="preserve">To the comments received on </w:t>
      </w:r>
      <w:r w:rsidR="00E85557" w:rsidRPr="00E85557">
        <w:rPr>
          <w:rFonts w:ascii="Calibri" w:hAnsi="Calibri"/>
          <w:b/>
          <w:i/>
        </w:rPr>
        <w:t>19.04.2017</w:t>
      </w:r>
      <w:r w:rsidR="00E85557">
        <w:rPr>
          <w:rFonts w:ascii="Calibri" w:hAnsi="Calibri"/>
          <w:b/>
        </w:rPr>
        <w:t xml:space="preserve"> and </w:t>
      </w:r>
      <w:r w:rsidR="00B84112" w:rsidRPr="00E85557">
        <w:rPr>
          <w:rFonts w:ascii="Calibri" w:hAnsi="Calibri"/>
          <w:b/>
          <w:i/>
        </w:rPr>
        <w:t>17.08.2017</w:t>
      </w:r>
      <w:r w:rsidRPr="00CF5F54">
        <w:rPr>
          <w:rFonts w:ascii="Calibri" w:hAnsi="Calibri"/>
          <w:b/>
        </w:rPr>
        <w:t xml:space="preserve"> from the </w:t>
      </w:r>
      <w:r w:rsidR="00543A48" w:rsidRPr="00CF5F54">
        <w:rPr>
          <w:rFonts w:ascii="Calibri" w:hAnsi="Calibri"/>
          <w:b/>
        </w:rPr>
        <w:t xml:space="preserve">Terminal Evaluation </w:t>
      </w:r>
      <w:r w:rsidR="00E85557">
        <w:rPr>
          <w:rFonts w:ascii="Calibri" w:hAnsi="Calibri"/>
          <w:b/>
        </w:rPr>
        <w:t xml:space="preserve">of the project </w:t>
      </w:r>
      <w:r w:rsidR="00E85557" w:rsidRPr="00E85557">
        <w:rPr>
          <w:rFonts w:ascii="Calibri" w:hAnsi="Calibri"/>
          <w:b/>
          <w:i/>
        </w:rPr>
        <w:t xml:space="preserve">Removal of Barriers to Solar PV Power Generation in Mauritius, </w:t>
      </w:r>
      <w:proofErr w:type="spellStart"/>
      <w:r w:rsidR="00E85557" w:rsidRPr="00E85557">
        <w:rPr>
          <w:rFonts w:ascii="Calibri" w:hAnsi="Calibri"/>
          <w:b/>
          <w:i/>
        </w:rPr>
        <w:t>Rodrigues</w:t>
      </w:r>
      <w:proofErr w:type="spellEnd"/>
      <w:r w:rsidR="00E85557" w:rsidRPr="00E85557">
        <w:rPr>
          <w:rFonts w:ascii="Calibri" w:hAnsi="Calibri"/>
          <w:b/>
          <w:i/>
        </w:rPr>
        <w:t xml:space="preserve"> and the Outer Islands</w:t>
      </w:r>
      <w:r w:rsidR="00170105" w:rsidRPr="00CF5F54">
        <w:rPr>
          <w:rFonts w:ascii="Calibri" w:hAnsi="Calibri"/>
          <w:b/>
        </w:rPr>
        <w:t xml:space="preserve"> (</w:t>
      </w:r>
      <w:r w:rsidR="00306BE9" w:rsidRPr="00CF5F54">
        <w:rPr>
          <w:rFonts w:ascii="Calibri" w:hAnsi="Calibri"/>
          <w:b/>
        </w:rPr>
        <w:t>UNDP Project ID-</w:t>
      </w:r>
      <w:r w:rsidR="00E85557" w:rsidRPr="00E85557">
        <w:rPr>
          <w:rFonts w:ascii="Calibri" w:hAnsi="Calibri"/>
          <w:b/>
        </w:rPr>
        <w:t>4333</w:t>
      </w:r>
      <w:r w:rsidR="00170105" w:rsidRPr="00E85557">
        <w:rPr>
          <w:rFonts w:ascii="Calibri" w:hAnsi="Calibri"/>
          <w:b/>
        </w:rPr>
        <w:t>)</w:t>
      </w:r>
    </w:p>
    <w:p w:rsidR="00824EAB" w:rsidRPr="00CF5F54" w:rsidRDefault="00824EAB" w:rsidP="00824EAB">
      <w:pPr>
        <w:spacing w:after="0" w:line="240" w:lineRule="auto"/>
        <w:jc w:val="both"/>
        <w:rPr>
          <w:rFonts w:ascii="Calibri" w:hAnsi="Calibri"/>
          <w:b/>
        </w:rPr>
      </w:pPr>
    </w:p>
    <w:p w:rsidR="00824EAB" w:rsidRPr="00CF5F54" w:rsidRDefault="00824EAB" w:rsidP="00824EAB">
      <w:pPr>
        <w:spacing w:after="0" w:line="240" w:lineRule="auto"/>
        <w:jc w:val="both"/>
        <w:rPr>
          <w:rFonts w:ascii="Calibri" w:hAnsi="Calibri"/>
          <w:i/>
        </w:rPr>
      </w:pPr>
      <w:r w:rsidRPr="00CF5F54">
        <w:rPr>
          <w:rFonts w:ascii="Calibri" w:hAnsi="Calibri"/>
          <w:i/>
        </w:rPr>
        <w:t xml:space="preserve">The following comments were provided in track changes to the draft </w:t>
      </w:r>
      <w:r w:rsidR="00C40F90">
        <w:rPr>
          <w:rFonts w:ascii="Calibri" w:hAnsi="Calibri"/>
          <w:i/>
        </w:rPr>
        <w:t>Terminal Evaluation report</w:t>
      </w:r>
      <w:r w:rsidRPr="00CF5F54">
        <w:rPr>
          <w:rFonts w:ascii="Calibri" w:hAnsi="Calibri"/>
          <w:i/>
        </w:rPr>
        <w:t>; they are referenced by institution (“Author” column) and track change comment number (“#” column):</w:t>
      </w:r>
    </w:p>
    <w:p w:rsidR="00824EAB" w:rsidRPr="00CF5F54" w:rsidRDefault="00824EAB" w:rsidP="00824EAB">
      <w:pPr>
        <w:spacing w:after="0" w:line="240" w:lineRule="auto"/>
        <w:jc w:val="center"/>
        <w:rPr>
          <w:rFonts w:ascii="Calibri" w:hAnsi="Calibri"/>
          <w:b/>
        </w:rPr>
      </w:pPr>
    </w:p>
    <w:tbl>
      <w:tblPr>
        <w:tblStyle w:val="TableGrid"/>
        <w:tblW w:w="9540" w:type="dxa"/>
        <w:tblInd w:w="108" w:type="dxa"/>
        <w:tblLook w:val="04A0"/>
      </w:tblPr>
      <w:tblGrid>
        <w:gridCol w:w="1269"/>
        <w:gridCol w:w="608"/>
        <w:gridCol w:w="1808"/>
        <w:gridCol w:w="3488"/>
        <w:gridCol w:w="2367"/>
      </w:tblGrid>
      <w:tr w:rsidR="00824EAB" w:rsidRPr="00CF5F54" w:rsidTr="00E65F8C">
        <w:trPr>
          <w:trHeight w:val="350"/>
        </w:trPr>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24EAB" w:rsidRPr="00CF5F54" w:rsidRDefault="00824EAB" w:rsidP="003D0DB0">
            <w:pPr>
              <w:jc w:val="center"/>
              <w:rPr>
                <w:rFonts w:ascii="Calibri" w:hAnsi="Calibri"/>
                <w:b/>
              </w:rPr>
            </w:pPr>
            <w:r w:rsidRPr="00CF5F54">
              <w:rPr>
                <w:rFonts w:ascii="Calibri" w:hAnsi="Calibri"/>
                <w:b/>
              </w:rPr>
              <w:t>Author</w:t>
            </w:r>
          </w:p>
        </w:tc>
        <w:tc>
          <w:tcPr>
            <w:tcW w:w="6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24EAB" w:rsidRPr="00CF5F54" w:rsidRDefault="00824EAB" w:rsidP="003D0DB0">
            <w:pPr>
              <w:jc w:val="center"/>
              <w:rPr>
                <w:rFonts w:ascii="Calibri" w:hAnsi="Calibri"/>
                <w:b/>
              </w:rPr>
            </w:pPr>
            <w:r w:rsidRPr="00CF5F54">
              <w:rPr>
                <w:rFonts w:ascii="Calibri" w:hAnsi="Calibri"/>
                <w:b/>
              </w:rPr>
              <w:t>#</w:t>
            </w:r>
          </w:p>
        </w:tc>
        <w:tc>
          <w:tcPr>
            <w:tcW w:w="1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24EAB" w:rsidRPr="00CF5F54" w:rsidRDefault="00824EAB" w:rsidP="003D0DB0">
            <w:pPr>
              <w:jc w:val="center"/>
              <w:rPr>
                <w:rFonts w:ascii="Calibri" w:hAnsi="Calibri"/>
                <w:b/>
              </w:rPr>
            </w:pPr>
            <w:r w:rsidRPr="00CF5F54">
              <w:rPr>
                <w:rFonts w:ascii="Calibri" w:hAnsi="Calibri"/>
                <w:b/>
              </w:rPr>
              <w:t xml:space="preserve">Para No./ comment location </w:t>
            </w:r>
          </w:p>
        </w:tc>
        <w:tc>
          <w:tcPr>
            <w:tcW w:w="3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24EAB" w:rsidRPr="00CF5F54" w:rsidRDefault="00824EAB" w:rsidP="003D0DB0">
            <w:pPr>
              <w:jc w:val="center"/>
              <w:rPr>
                <w:rFonts w:ascii="Calibri" w:hAnsi="Calibri"/>
                <w:b/>
              </w:rPr>
            </w:pPr>
            <w:r w:rsidRPr="00CF5F54">
              <w:rPr>
                <w:rFonts w:ascii="Calibri" w:hAnsi="Calibri"/>
                <w:b/>
              </w:rPr>
              <w:t>Comment</w:t>
            </w:r>
            <w:r w:rsidR="00543A48" w:rsidRPr="00CF5F54">
              <w:rPr>
                <w:rFonts w:ascii="Calibri" w:hAnsi="Calibri"/>
                <w:b/>
              </w:rPr>
              <w:t>/Feedback on the draft TE</w:t>
            </w:r>
            <w:r w:rsidRPr="00CF5F54">
              <w:rPr>
                <w:rFonts w:ascii="Calibri" w:hAnsi="Calibri"/>
                <w:b/>
              </w:rPr>
              <w:t xml:space="preserve"> report</w:t>
            </w:r>
          </w:p>
        </w:tc>
        <w:tc>
          <w:tcPr>
            <w:tcW w:w="2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24EAB" w:rsidRPr="00CF5F54" w:rsidRDefault="00543A48" w:rsidP="00824EAB">
            <w:pPr>
              <w:spacing w:after="0" w:line="240" w:lineRule="auto"/>
              <w:jc w:val="center"/>
              <w:rPr>
                <w:rFonts w:ascii="Calibri" w:hAnsi="Calibri"/>
                <w:b/>
              </w:rPr>
            </w:pPr>
            <w:r w:rsidRPr="00CF5F54">
              <w:rPr>
                <w:rFonts w:ascii="Calibri" w:hAnsi="Calibri"/>
                <w:b/>
              </w:rPr>
              <w:t>TE</w:t>
            </w:r>
            <w:r w:rsidR="00824EAB" w:rsidRPr="00CF5F54">
              <w:rPr>
                <w:rFonts w:ascii="Calibri" w:hAnsi="Calibri"/>
                <w:b/>
              </w:rPr>
              <w:t xml:space="preserve"> team</w:t>
            </w:r>
          </w:p>
          <w:p w:rsidR="00824EAB" w:rsidRPr="00CF5F54" w:rsidRDefault="00824EAB" w:rsidP="00824EAB">
            <w:pPr>
              <w:spacing w:after="0" w:line="240" w:lineRule="auto"/>
              <w:jc w:val="center"/>
              <w:rPr>
                <w:rFonts w:ascii="Calibri" w:hAnsi="Calibri"/>
                <w:b/>
              </w:rPr>
            </w:pPr>
            <w:r w:rsidRPr="00CF5F54">
              <w:rPr>
                <w:rFonts w:ascii="Calibri" w:hAnsi="Calibri"/>
                <w:b/>
              </w:rPr>
              <w:t>response and actions taken</w:t>
            </w:r>
          </w:p>
        </w:tc>
      </w:tr>
      <w:tr w:rsidR="00824EAB" w:rsidRPr="00CF5F54" w:rsidTr="00E65F8C">
        <w:trPr>
          <w:trHeight w:val="261"/>
        </w:trPr>
        <w:tc>
          <w:tcPr>
            <w:tcW w:w="1269" w:type="dxa"/>
            <w:tcBorders>
              <w:top w:val="single" w:sz="4" w:space="0" w:color="FFFFFF" w:themeColor="background1"/>
            </w:tcBorders>
          </w:tcPr>
          <w:p w:rsidR="00824EAB" w:rsidRPr="00E46075" w:rsidRDefault="009D0B3E" w:rsidP="00F3783E">
            <w:pPr>
              <w:spacing w:after="0" w:line="240" w:lineRule="auto"/>
              <w:rPr>
                <w:rFonts w:asciiTheme="majorHAnsi" w:hAnsiTheme="majorHAnsi"/>
              </w:rPr>
            </w:pPr>
            <w:r w:rsidRPr="00E46075">
              <w:rPr>
                <w:rFonts w:asciiTheme="majorHAnsi" w:hAnsiTheme="majorHAnsi"/>
              </w:rPr>
              <w:t>UNDP IEO</w:t>
            </w:r>
          </w:p>
        </w:tc>
        <w:tc>
          <w:tcPr>
            <w:tcW w:w="608" w:type="dxa"/>
            <w:tcBorders>
              <w:top w:val="single" w:sz="4" w:space="0" w:color="FFFFFF" w:themeColor="background1"/>
            </w:tcBorders>
          </w:tcPr>
          <w:p w:rsidR="00824EAB" w:rsidRPr="00E46075" w:rsidRDefault="009D0B3E" w:rsidP="00E46075">
            <w:pPr>
              <w:spacing w:after="0" w:line="240" w:lineRule="auto"/>
              <w:jc w:val="center"/>
              <w:rPr>
                <w:rFonts w:asciiTheme="majorHAnsi" w:hAnsiTheme="majorHAnsi"/>
              </w:rPr>
            </w:pPr>
            <w:r w:rsidRPr="00E46075">
              <w:rPr>
                <w:rFonts w:asciiTheme="majorHAnsi" w:hAnsiTheme="majorHAnsi"/>
              </w:rPr>
              <w:t>1</w:t>
            </w:r>
          </w:p>
        </w:tc>
        <w:tc>
          <w:tcPr>
            <w:tcW w:w="1808" w:type="dxa"/>
            <w:tcBorders>
              <w:top w:val="single" w:sz="4" w:space="0" w:color="FFFFFF" w:themeColor="background1"/>
            </w:tcBorders>
          </w:tcPr>
          <w:p w:rsidR="009D0B3E" w:rsidRPr="00E46075" w:rsidRDefault="009D0B3E" w:rsidP="00E46075">
            <w:pPr>
              <w:spacing w:after="0" w:line="240" w:lineRule="auto"/>
              <w:rPr>
                <w:rFonts w:asciiTheme="majorHAnsi" w:hAnsiTheme="majorHAnsi"/>
                <w:color w:val="203864"/>
              </w:rPr>
            </w:pPr>
            <w:r w:rsidRPr="00E46075">
              <w:rPr>
                <w:rFonts w:asciiTheme="majorHAnsi" w:hAnsiTheme="majorHAnsi"/>
                <w:color w:val="203864"/>
              </w:rPr>
              <w:t>Table of Contents</w:t>
            </w:r>
          </w:p>
          <w:p w:rsidR="00824EAB" w:rsidRPr="00E46075" w:rsidRDefault="00824EAB" w:rsidP="00E46075">
            <w:pPr>
              <w:spacing w:after="0" w:line="240" w:lineRule="auto"/>
              <w:jc w:val="center"/>
              <w:rPr>
                <w:rFonts w:asciiTheme="majorHAnsi" w:hAnsiTheme="majorHAnsi"/>
              </w:rPr>
            </w:pPr>
          </w:p>
        </w:tc>
        <w:tc>
          <w:tcPr>
            <w:tcW w:w="3488" w:type="dxa"/>
            <w:tcBorders>
              <w:top w:val="single" w:sz="4" w:space="0" w:color="FFFFFF" w:themeColor="background1"/>
            </w:tcBorders>
          </w:tcPr>
          <w:p w:rsidR="00824EAB" w:rsidRPr="00ED1C86" w:rsidRDefault="009D0B3E" w:rsidP="00E46075">
            <w:pPr>
              <w:spacing w:after="0" w:line="240" w:lineRule="auto"/>
              <w:rPr>
                <w:rFonts w:ascii="Arial" w:hAnsi="Arial" w:cs="Arial"/>
                <w:color w:val="203864"/>
                <w:sz w:val="20"/>
                <w:szCs w:val="20"/>
              </w:rPr>
            </w:pPr>
            <w:r w:rsidRPr="00ED1C86">
              <w:rPr>
                <w:rFonts w:ascii="Arial" w:hAnsi="Arial" w:cs="Arial"/>
                <w:color w:val="203864"/>
                <w:sz w:val="20"/>
                <w:szCs w:val="20"/>
              </w:rPr>
              <w:t>add “Summary of conclusions, recommendations, and lessons” which is part of the report but is not mentioned in the Table  of Contents</w:t>
            </w:r>
          </w:p>
        </w:tc>
        <w:tc>
          <w:tcPr>
            <w:tcW w:w="2367" w:type="dxa"/>
            <w:tcBorders>
              <w:top w:val="single" w:sz="4" w:space="0" w:color="FFFFFF" w:themeColor="background1"/>
            </w:tcBorders>
          </w:tcPr>
          <w:p w:rsidR="00824EAB" w:rsidRPr="00E46075" w:rsidRDefault="009D0B3E" w:rsidP="00E46075">
            <w:pPr>
              <w:spacing w:after="0" w:line="240" w:lineRule="auto"/>
              <w:rPr>
                <w:rFonts w:asciiTheme="majorHAnsi" w:hAnsiTheme="majorHAnsi"/>
              </w:rPr>
            </w:pPr>
            <w:r w:rsidRPr="00E46075">
              <w:rPr>
                <w:rFonts w:asciiTheme="majorHAnsi" w:hAnsiTheme="majorHAnsi"/>
                <w:color w:val="203864"/>
              </w:rPr>
              <w:t>added</w:t>
            </w:r>
          </w:p>
        </w:tc>
      </w:tr>
      <w:tr w:rsidR="00824EAB" w:rsidRPr="00CF5F54" w:rsidTr="00E65F8C">
        <w:trPr>
          <w:trHeight w:val="261"/>
        </w:trPr>
        <w:tc>
          <w:tcPr>
            <w:tcW w:w="1269" w:type="dxa"/>
          </w:tcPr>
          <w:p w:rsidR="00824EAB" w:rsidRPr="00E46075" w:rsidRDefault="009D0B3E" w:rsidP="00F3783E">
            <w:pPr>
              <w:spacing w:after="0" w:line="240" w:lineRule="auto"/>
              <w:rPr>
                <w:rFonts w:asciiTheme="majorHAnsi" w:hAnsiTheme="majorHAnsi"/>
              </w:rPr>
            </w:pPr>
            <w:r w:rsidRPr="00E46075">
              <w:rPr>
                <w:rFonts w:asciiTheme="majorHAnsi" w:hAnsiTheme="majorHAnsi"/>
              </w:rPr>
              <w:t>UNDP IEO</w:t>
            </w:r>
          </w:p>
        </w:tc>
        <w:tc>
          <w:tcPr>
            <w:tcW w:w="608" w:type="dxa"/>
          </w:tcPr>
          <w:p w:rsidR="00824EAB" w:rsidRPr="00E46075" w:rsidRDefault="009D0B3E" w:rsidP="00E46075">
            <w:pPr>
              <w:spacing w:after="0" w:line="240" w:lineRule="auto"/>
              <w:jc w:val="center"/>
              <w:rPr>
                <w:rFonts w:asciiTheme="majorHAnsi" w:hAnsiTheme="majorHAnsi"/>
              </w:rPr>
            </w:pPr>
            <w:r w:rsidRPr="00E46075">
              <w:rPr>
                <w:rFonts w:asciiTheme="majorHAnsi" w:hAnsiTheme="majorHAnsi"/>
              </w:rPr>
              <w:t>2</w:t>
            </w:r>
          </w:p>
        </w:tc>
        <w:tc>
          <w:tcPr>
            <w:tcW w:w="1808" w:type="dxa"/>
          </w:tcPr>
          <w:p w:rsidR="00824EAB" w:rsidRPr="00E46075" w:rsidRDefault="009D0B3E" w:rsidP="00E46075">
            <w:pPr>
              <w:spacing w:after="0" w:line="240" w:lineRule="auto"/>
              <w:rPr>
                <w:rFonts w:asciiTheme="majorHAnsi" w:hAnsiTheme="majorHAnsi"/>
                <w:color w:val="203864"/>
              </w:rPr>
            </w:pPr>
            <w:r w:rsidRPr="00E46075">
              <w:rPr>
                <w:rFonts w:asciiTheme="majorHAnsi" w:hAnsiTheme="majorHAnsi"/>
                <w:color w:val="203864"/>
              </w:rPr>
              <w:t>Page 10</w:t>
            </w:r>
          </w:p>
          <w:p w:rsidR="003D0DB0" w:rsidRPr="00E46075" w:rsidRDefault="003D0DB0" w:rsidP="00E46075">
            <w:pPr>
              <w:spacing w:after="0" w:line="240" w:lineRule="auto"/>
              <w:rPr>
                <w:rFonts w:asciiTheme="majorHAnsi" w:hAnsiTheme="majorHAnsi"/>
              </w:rPr>
            </w:pPr>
            <w:r w:rsidRPr="00E46075">
              <w:rPr>
                <w:rFonts w:asciiTheme="majorHAnsi" w:hAnsiTheme="majorHAnsi"/>
                <w:color w:val="203864"/>
              </w:rPr>
              <w:t>Introduction</w:t>
            </w:r>
          </w:p>
        </w:tc>
        <w:tc>
          <w:tcPr>
            <w:tcW w:w="3488" w:type="dxa"/>
          </w:tcPr>
          <w:p w:rsidR="00824EAB" w:rsidRPr="00ED1C86" w:rsidRDefault="009D0B3E" w:rsidP="00E46075">
            <w:pPr>
              <w:pStyle w:val="CommentText"/>
              <w:spacing w:after="0"/>
              <w:rPr>
                <w:rFonts w:ascii="Arial" w:hAnsi="Arial" w:cs="Arial"/>
              </w:rPr>
            </w:pPr>
            <w:r w:rsidRPr="00ED1C86">
              <w:rPr>
                <w:rFonts w:ascii="Arial" w:hAnsi="Arial" w:cs="Arial"/>
                <w:color w:val="203864"/>
              </w:rPr>
              <w:t>Change “UNDP/GEF Project” to “UNDP-supported GEF-financed Project”</w:t>
            </w:r>
          </w:p>
        </w:tc>
        <w:tc>
          <w:tcPr>
            <w:tcW w:w="2367" w:type="dxa"/>
          </w:tcPr>
          <w:p w:rsidR="00824EAB" w:rsidRPr="00E46075" w:rsidRDefault="009D0B3E" w:rsidP="00E46075">
            <w:pPr>
              <w:spacing w:after="0" w:line="240" w:lineRule="auto"/>
              <w:rPr>
                <w:rFonts w:asciiTheme="majorHAnsi" w:hAnsiTheme="majorHAnsi"/>
              </w:rPr>
            </w:pPr>
            <w:r w:rsidRPr="00E46075">
              <w:rPr>
                <w:rFonts w:asciiTheme="majorHAnsi" w:hAnsiTheme="majorHAnsi"/>
              </w:rPr>
              <w:t>changed</w:t>
            </w:r>
          </w:p>
        </w:tc>
      </w:tr>
      <w:tr w:rsidR="00824EAB" w:rsidRPr="00CF5F54" w:rsidTr="00E65F8C">
        <w:trPr>
          <w:trHeight w:val="248"/>
        </w:trPr>
        <w:tc>
          <w:tcPr>
            <w:tcW w:w="1269"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3</w:t>
            </w:r>
          </w:p>
        </w:tc>
        <w:tc>
          <w:tcPr>
            <w:tcW w:w="1808"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11 – 2.1 Project start and duration</w:t>
            </w:r>
          </w:p>
        </w:tc>
        <w:tc>
          <w:tcPr>
            <w:tcW w:w="3488" w:type="dxa"/>
          </w:tcPr>
          <w:p w:rsidR="00824EAB" w:rsidRPr="00ED1C86" w:rsidRDefault="00E46075" w:rsidP="002D14A4">
            <w:pPr>
              <w:pStyle w:val="CommentText"/>
              <w:spacing w:after="0"/>
              <w:rPr>
                <w:rFonts w:ascii="Arial" w:hAnsi="Arial" w:cs="Arial"/>
                <w:color w:val="203864"/>
              </w:rPr>
            </w:pPr>
            <w:r w:rsidRPr="00ED1C86">
              <w:rPr>
                <w:rFonts w:ascii="Arial" w:hAnsi="Arial" w:cs="Arial"/>
                <w:color w:val="203864"/>
              </w:rPr>
              <w:t>Change “….the GEF project…” to “…the UNDP-supported GEF-financed project…”</w:t>
            </w:r>
          </w:p>
        </w:tc>
        <w:tc>
          <w:tcPr>
            <w:tcW w:w="2367" w:type="dxa"/>
          </w:tcPr>
          <w:p w:rsidR="00824EAB" w:rsidRPr="00E46075" w:rsidRDefault="00E46075" w:rsidP="00E46075">
            <w:pPr>
              <w:spacing w:after="0" w:line="240" w:lineRule="auto"/>
              <w:rPr>
                <w:rFonts w:asciiTheme="majorHAnsi" w:hAnsiTheme="majorHAnsi"/>
              </w:rPr>
            </w:pPr>
            <w:r w:rsidRPr="00E46075">
              <w:rPr>
                <w:rFonts w:asciiTheme="majorHAnsi" w:hAnsiTheme="majorHAnsi"/>
              </w:rPr>
              <w:t>changed</w:t>
            </w:r>
          </w:p>
        </w:tc>
      </w:tr>
      <w:tr w:rsidR="00824EAB" w:rsidRPr="00CF5F54" w:rsidTr="00E65F8C">
        <w:trPr>
          <w:trHeight w:val="248"/>
        </w:trPr>
        <w:tc>
          <w:tcPr>
            <w:tcW w:w="1269"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4</w:t>
            </w:r>
          </w:p>
        </w:tc>
        <w:tc>
          <w:tcPr>
            <w:tcW w:w="1808" w:type="dxa"/>
          </w:tcPr>
          <w:p w:rsidR="00824EAB" w:rsidRPr="00E46075" w:rsidRDefault="00E46075" w:rsidP="002D14A4">
            <w:pPr>
              <w:pStyle w:val="CommentText"/>
              <w:spacing w:after="0"/>
              <w:rPr>
                <w:rFonts w:asciiTheme="majorHAnsi" w:hAnsiTheme="majorHAnsi"/>
                <w:color w:val="203864"/>
                <w:sz w:val="22"/>
                <w:szCs w:val="22"/>
              </w:rPr>
            </w:pPr>
            <w:r w:rsidRPr="00E46075">
              <w:rPr>
                <w:rFonts w:asciiTheme="majorHAnsi" w:hAnsiTheme="majorHAnsi"/>
                <w:color w:val="203864"/>
                <w:sz w:val="22"/>
                <w:szCs w:val="22"/>
              </w:rPr>
              <w:t>Page 12 – 2.4 Baseline Indicators established</w:t>
            </w:r>
          </w:p>
        </w:tc>
        <w:tc>
          <w:tcPr>
            <w:tcW w:w="3488" w:type="dxa"/>
          </w:tcPr>
          <w:p w:rsidR="00824EAB" w:rsidRPr="00ED1C86" w:rsidRDefault="00E46075" w:rsidP="002D14A4">
            <w:pPr>
              <w:pStyle w:val="CommentText"/>
              <w:spacing w:after="0"/>
              <w:rPr>
                <w:rFonts w:ascii="Arial" w:hAnsi="Arial" w:cs="Arial"/>
                <w:color w:val="203864"/>
                <w:highlight w:val="yellow"/>
              </w:rPr>
            </w:pPr>
            <w:r w:rsidRPr="00581D5B">
              <w:rPr>
                <w:rFonts w:ascii="Arial" w:hAnsi="Arial" w:cs="Arial"/>
                <w:color w:val="203864"/>
              </w:rPr>
              <w:t>Include the baseline indicators in this section</w:t>
            </w:r>
          </w:p>
        </w:tc>
        <w:tc>
          <w:tcPr>
            <w:tcW w:w="2367" w:type="dxa"/>
          </w:tcPr>
          <w:p w:rsidR="00824EAB" w:rsidRPr="00E46075" w:rsidRDefault="00581D5B" w:rsidP="00581D5B">
            <w:pPr>
              <w:spacing w:after="0" w:line="240" w:lineRule="auto"/>
              <w:rPr>
                <w:rFonts w:asciiTheme="majorHAnsi" w:hAnsiTheme="majorHAnsi"/>
              </w:rPr>
            </w:pPr>
            <w:r>
              <w:rPr>
                <w:rFonts w:asciiTheme="majorHAnsi" w:hAnsiTheme="majorHAnsi"/>
              </w:rPr>
              <w:t xml:space="preserve">List of baseline indicators taken from the </w:t>
            </w:r>
            <w:proofErr w:type="spellStart"/>
            <w:r>
              <w:rPr>
                <w:rFonts w:asciiTheme="majorHAnsi" w:hAnsiTheme="majorHAnsi"/>
              </w:rPr>
              <w:t>logframe</w:t>
            </w:r>
            <w:proofErr w:type="spellEnd"/>
            <w:r>
              <w:rPr>
                <w:rFonts w:asciiTheme="majorHAnsi" w:hAnsiTheme="majorHAnsi"/>
              </w:rPr>
              <w:t xml:space="preserve"> has been added to section 2.4</w:t>
            </w:r>
          </w:p>
        </w:tc>
      </w:tr>
      <w:tr w:rsidR="00824EAB" w:rsidRPr="00CF5F54" w:rsidTr="00E65F8C">
        <w:trPr>
          <w:trHeight w:val="261"/>
        </w:trPr>
        <w:tc>
          <w:tcPr>
            <w:tcW w:w="1269"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5</w:t>
            </w:r>
          </w:p>
        </w:tc>
        <w:tc>
          <w:tcPr>
            <w:tcW w:w="1808" w:type="dxa"/>
          </w:tcPr>
          <w:p w:rsidR="00824EAB" w:rsidRPr="002D14A4" w:rsidRDefault="00E46075" w:rsidP="002D14A4">
            <w:pPr>
              <w:pStyle w:val="CommentText"/>
              <w:spacing w:after="0"/>
              <w:rPr>
                <w:rFonts w:asciiTheme="majorHAnsi" w:hAnsiTheme="majorHAnsi"/>
                <w:color w:val="203864"/>
                <w:sz w:val="22"/>
                <w:szCs w:val="22"/>
              </w:rPr>
            </w:pPr>
            <w:r w:rsidRPr="00E46075">
              <w:rPr>
                <w:rFonts w:asciiTheme="majorHAnsi" w:hAnsiTheme="majorHAnsi"/>
                <w:color w:val="203864"/>
                <w:sz w:val="22"/>
                <w:szCs w:val="22"/>
              </w:rPr>
              <w:t>Page 14 – Assumptions and Risks:</w:t>
            </w:r>
          </w:p>
        </w:tc>
        <w:tc>
          <w:tcPr>
            <w:tcW w:w="3488" w:type="dxa"/>
          </w:tcPr>
          <w:p w:rsidR="00824EAB" w:rsidRPr="00ED1C86" w:rsidRDefault="00E46075" w:rsidP="002D14A4">
            <w:pPr>
              <w:pStyle w:val="CommentText"/>
              <w:spacing w:after="0"/>
              <w:rPr>
                <w:rFonts w:ascii="Arial" w:hAnsi="Arial" w:cs="Arial"/>
                <w:color w:val="203864"/>
                <w:highlight w:val="yellow"/>
              </w:rPr>
            </w:pPr>
            <w:r w:rsidRPr="008B5A43">
              <w:rPr>
                <w:rFonts w:ascii="Arial" w:hAnsi="Arial" w:cs="Arial"/>
                <w:color w:val="203864"/>
              </w:rPr>
              <w:t xml:space="preserve">This section mentions that there were 6 risks identified in the </w:t>
            </w:r>
            <w:proofErr w:type="spellStart"/>
            <w:r w:rsidRPr="008B5A43">
              <w:rPr>
                <w:rFonts w:ascii="Arial" w:hAnsi="Arial" w:cs="Arial"/>
                <w:color w:val="203864"/>
              </w:rPr>
              <w:t>prodoc</w:t>
            </w:r>
            <w:proofErr w:type="spellEnd"/>
            <w:r w:rsidRPr="008B5A43">
              <w:rPr>
                <w:rFonts w:ascii="Arial" w:hAnsi="Arial" w:cs="Arial"/>
                <w:color w:val="203864"/>
              </w:rPr>
              <w:t xml:space="preserve">. However, there is no discussion on the risks other than that they were considered to be low risks.  I recommend expanding the discussion on the risks outlined in the </w:t>
            </w:r>
            <w:proofErr w:type="spellStart"/>
            <w:r w:rsidRPr="008B5A43">
              <w:rPr>
                <w:rFonts w:ascii="Arial" w:hAnsi="Arial" w:cs="Arial"/>
                <w:color w:val="203864"/>
              </w:rPr>
              <w:t>prodoc</w:t>
            </w:r>
            <w:proofErr w:type="spellEnd"/>
            <w:r w:rsidRPr="008B5A43">
              <w:rPr>
                <w:rFonts w:ascii="Arial" w:hAnsi="Arial" w:cs="Arial"/>
                <w:color w:val="203864"/>
              </w:rPr>
              <w:t>. Were the risks logical and robust?</w:t>
            </w:r>
          </w:p>
        </w:tc>
        <w:tc>
          <w:tcPr>
            <w:tcW w:w="2367" w:type="dxa"/>
          </w:tcPr>
          <w:p w:rsidR="00824EAB" w:rsidRPr="00E46075" w:rsidRDefault="008B5A43" w:rsidP="00E46075">
            <w:pPr>
              <w:spacing w:after="0" w:line="240" w:lineRule="auto"/>
              <w:rPr>
                <w:rFonts w:asciiTheme="majorHAnsi" w:hAnsiTheme="majorHAnsi"/>
              </w:rPr>
            </w:pPr>
            <w:r>
              <w:rPr>
                <w:rFonts w:asciiTheme="majorHAnsi" w:hAnsiTheme="majorHAnsi"/>
              </w:rPr>
              <w:t xml:space="preserve">Discussion of risks outlined in the </w:t>
            </w:r>
            <w:proofErr w:type="spellStart"/>
            <w:r>
              <w:rPr>
                <w:rFonts w:asciiTheme="majorHAnsi" w:hAnsiTheme="majorHAnsi"/>
              </w:rPr>
              <w:t>Prodoc</w:t>
            </w:r>
            <w:proofErr w:type="spellEnd"/>
            <w:r>
              <w:rPr>
                <w:rFonts w:asciiTheme="majorHAnsi" w:hAnsiTheme="majorHAnsi"/>
              </w:rPr>
              <w:t xml:space="preserve"> has been added.</w:t>
            </w:r>
          </w:p>
        </w:tc>
      </w:tr>
      <w:tr w:rsidR="00824EAB" w:rsidRPr="00CF5F54" w:rsidTr="00E65F8C">
        <w:trPr>
          <w:trHeight w:val="261"/>
        </w:trPr>
        <w:tc>
          <w:tcPr>
            <w:tcW w:w="1269"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6</w:t>
            </w:r>
          </w:p>
          <w:p w:rsidR="00E46075" w:rsidRPr="002D14A4" w:rsidRDefault="00E46075" w:rsidP="002D14A4">
            <w:pPr>
              <w:pStyle w:val="CommentText"/>
              <w:spacing w:after="0"/>
              <w:rPr>
                <w:rFonts w:asciiTheme="majorHAnsi" w:hAnsiTheme="majorHAnsi"/>
                <w:color w:val="203864"/>
                <w:sz w:val="22"/>
                <w:szCs w:val="22"/>
              </w:rPr>
            </w:pPr>
          </w:p>
        </w:tc>
        <w:tc>
          <w:tcPr>
            <w:tcW w:w="1808" w:type="dxa"/>
          </w:tcPr>
          <w:p w:rsidR="00824EAB" w:rsidRPr="002D14A4" w:rsidRDefault="00E46075" w:rsidP="002D14A4">
            <w:pPr>
              <w:pStyle w:val="CommentText"/>
              <w:spacing w:after="0"/>
              <w:rPr>
                <w:rFonts w:asciiTheme="majorHAnsi" w:hAnsiTheme="majorHAnsi"/>
                <w:color w:val="203864"/>
                <w:sz w:val="22"/>
                <w:szCs w:val="22"/>
              </w:rPr>
            </w:pPr>
            <w:r w:rsidRPr="00E46075">
              <w:rPr>
                <w:rFonts w:asciiTheme="majorHAnsi" w:hAnsiTheme="majorHAnsi"/>
                <w:color w:val="203864"/>
                <w:sz w:val="22"/>
                <w:szCs w:val="22"/>
              </w:rPr>
              <w:t>Page 14 – Lessons from other relevant projects</w:t>
            </w:r>
          </w:p>
        </w:tc>
        <w:tc>
          <w:tcPr>
            <w:tcW w:w="3488" w:type="dxa"/>
            <w:shd w:val="clear" w:color="auto" w:fill="auto"/>
          </w:tcPr>
          <w:p w:rsidR="00824EAB" w:rsidRPr="00ED1C86" w:rsidRDefault="00E46075" w:rsidP="002D14A4">
            <w:pPr>
              <w:pStyle w:val="CommentText"/>
              <w:spacing w:after="0"/>
              <w:rPr>
                <w:rFonts w:ascii="Arial" w:hAnsi="Arial" w:cs="Arial"/>
                <w:color w:val="203864"/>
              </w:rPr>
            </w:pPr>
            <w:r w:rsidRPr="00907957">
              <w:rPr>
                <w:rFonts w:ascii="Arial" w:hAnsi="Arial" w:cs="Arial"/>
                <w:color w:val="203864"/>
              </w:rPr>
              <w:t>In the third paragraph, change “UNDP-GEF projects” to “UNDP-supported GEF-financed projects”.  There is something awkward in the phrase “…which have also developed solid to capitalize…</w:t>
            </w:r>
            <w:proofErr w:type="gramStart"/>
            <w:r w:rsidRPr="00907957">
              <w:rPr>
                <w:rFonts w:ascii="Arial" w:hAnsi="Arial" w:cs="Arial"/>
                <w:color w:val="203864"/>
              </w:rPr>
              <w:t>”.</w:t>
            </w:r>
            <w:proofErr w:type="gramEnd"/>
            <w:r w:rsidRPr="00907957">
              <w:rPr>
                <w:rFonts w:ascii="Arial" w:hAnsi="Arial" w:cs="Arial"/>
                <w:color w:val="203864"/>
              </w:rPr>
              <w:t>  That sentence should be re-written. Also, expand on how lessons from Africa/Asia were incorporated into the design of this solar PV project.</w:t>
            </w:r>
          </w:p>
        </w:tc>
        <w:tc>
          <w:tcPr>
            <w:tcW w:w="2367" w:type="dxa"/>
          </w:tcPr>
          <w:p w:rsidR="00824EAB" w:rsidRDefault="00A76FAB" w:rsidP="00E46075">
            <w:pPr>
              <w:spacing w:after="0" w:line="240" w:lineRule="auto"/>
              <w:rPr>
                <w:rFonts w:asciiTheme="majorHAnsi" w:hAnsiTheme="majorHAnsi"/>
              </w:rPr>
            </w:pPr>
            <w:r>
              <w:rPr>
                <w:rFonts w:asciiTheme="majorHAnsi" w:hAnsiTheme="majorHAnsi"/>
              </w:rPr>
              <w:t>Changed</w:t>
            </w:r>
            <w:r w:rsidR="005556D9">
              <w:rPr>
                <w:rFonts w:asciiTheme="majorHAnsi" w:hAnsiTheme="majorHAnsi"/>
              </w:rPr>
              <w:t>.</w:t>
            </w:r>
          </w:p>
          <w:p w:rsidR="005556D9" w:rsidRDefault="005556D9" w:rsidP="00E46075">
            <w:pPr>
              <w:spacing w:after="0" w:line="240" w:lineRule="auto"/>
              <w:rPr>
                <w:rFonts w:asciiTheme="majorHAnsi" w:hAnsiTheme="majorHAnsi"/>
              </w:rPr>
            </w:pPr>
            <w:r>
              <w:rPr>
                <w:rFonts w:asciiTheme="majorHAnsi" w:hAnsiTheme="majorHAnsi"/>
              </w:rPr>
              <w:t>Sentence rewritten.</w:t>
            </w:r>
          </w:p>
          <w:p w:rsidR="00A76FAB" w:rsidRPr="00E46075" w:rsidRDefault="005556D9" w:rsidP="005556D9">
            <w:pPr>
              <w:spacing w:after="0" w:line="240" w:lineRule="auto"/>
              <w:rPr>
                <w:rFonts w:asciiTheme="majorHAnsi" w:hAnsiTheme="majorHAnsi"/>
              </w:rPr>
            </w:pPr>
            <w:r>
              <w:rPr>
                <w:rFonts w:ascii="Arial" w:hAnsi="Arial" w:cs="Arial"/>
                <w:sz w:val="20"/>
                <w:szCs w:val="20"/>
              </w:rPr>
              <w:t>Unfortunately, there were no indications that lessons from previous Africa/Asia projects were incorporated into the design of this solar PV project.</w:t>
            </w:r>
          </w:p>
        </w:tc>
      </w:tr>
      <w:tr w:rsidR="00824EAB" w:rsidRPr="00CF5F54" w:rsidTr="00E65F8C">
        <w:trPr>
          <w:trHeight w:val="261"/>
        </w:trPr>
        <w:tc>
          <w:tcPr>
            <w:tcW w:w="1269"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lastRenderedPageBreak/>
              <w:t>UNDP IEO</w:t>
            </w:r>
          </w:p>
        </w:tc>
        <w:tc>
          <w:tcPr>
            <w:tcW w:w="608"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7</w:t>
            </w:r>
          </w:p>
        </w:tc>
        <w:tc>
          <w:tcPr>
            <w:tcW w:w="1808"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15 – Linkages between project and other interventions within the sector</w:t>
            </w:r>
          </w:p>
        </w:tc>
        <w:tc>
          <w:tcPr>
            <w:tcW w:w="3488" w:type="dxa"/>
            <w:shd w:val="clear" w:color="auto" w:fill="auto"/>
          </w:tcPr>
          <w:p w:rsidR="00824EAB" w:rsidRPr="00ED1C86" w:rsidRDefault="00E46075" w:rsidP="002D14A4">
            <w:pPr>
              <w:pStyle w:val="CommentText"/>
              <w:spacing w:after="0"/>
              <w:rPr>
                <w:rFonts w:ascii="Arial" w:hAnsi="Arial" w:cs="Arial"/>
                <w:color w:val="203864"/>
              </w:rPr>
            </w:pPr>
            <w:r w:rsidRPr="004B451A">
              <w:rPr>
                <w:rFonts w:ascii="Arial" w:hAnsi="Arial" w:cs="Arial"/>
                <w:color w:val="203864"/>
              </w:rPr>
              <w:t>This section refers to the ‘Lessons from other relevant projects…’ section. However, it would be good to expand the text in this section as well. Describe the linkages made regarding project design/formulation between this project and other ongoing initiatives.</w:t>
            </w:r>
          </w:p>
        </w:tc>
        <w:tc>
          <w:tcPr>
            <w:tcW w:w="2367" w:type="dxa"/>
          </w:tcPr>
          <w:p w:rsidR="00824EAB" w:rsidRPr="00E46075" w:rsidRDefault="004B451A" w:rsidP="004B451A">
            <w:pPr>
              <w:spacing w:after="0" w:line="240" w:lineRule="auto"/>
              <w:rPr>
                <w:rFonts w:asciiTheme="majorHAnsi" w:hAnsiTheme="majorHAnsi"/>
              </w:rPr>
            </w:pPr>
            <w:r>
              <w:rPr>
                <w:rFonts w:asciiTheme="majorHAnsi" w:hAnsiTheme="majorHAnsi"/>
              </w:rPr>
              <w:t xml:space="preserve">Planned synergies between the GEF EE </w:t>
            </w:r>
            <w:proofErr w:type="gramStart"/>
            <w:r>
              <w:rPr>
                <w:rFonts w:asciiTheme="majorHAnsi" w:hAnsiTheme="majorHAnsi"/>
              </w:rPr>
              <w:t xml:space="preserve">project </w:t>
            </w:r>
            <w:r w:rsidR="00B87B51">
              <w:rPr>
                <w:rFonts w:asciiTheme="majorHAnsi" w:hAnsiTheme="majorHAnsi"/>
              </w:rPr>
              <w:t xml:space="preserve"> </w:t>
            </w:r>
            <w:r>
              <w:rPr>
                <w:rFonts w:asciiTheme="majorHAnsi" w:hAnsiTheme="majorHAnsi"/>
              </w:rPr>
              <w:t>and</w:t>
            </w:r>
            <w:proofErr w:type="gramEnd"/>
            <w:r>
              <w:rPr>
                <w:rFonts w:asciiTheme="majorHAnsi" w:hAnsiTheme="majorHAnsi"/>
              </w:rPr>
              <w:t xml:space="preserve"> the Solar PV project have been added.</w:t>
            </w:r>
          </w:p>
        </w:tc>
      </w:tr>
      <w:tr w:rsidR="00824EAB" w:rsidRPr="00CF5F54" w:rsidTr="00E65F8C">
        <w:trPr>
          <w:trHeight w:val="248"/>
        </w:trPr>
        <w:tc>
          <w:tcPr>
            <w:tcW w:w="1269"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8</w:t>
            </w:r>
          </w:p>
        </w:tc>
        <w:tc>
          <w:tcPr>
            <w:tcW w:w="1808"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16 – Adaptive Management</w:t>
            </w:r>
          </w:p>
        </w:tc>
        <w:tc>
          <w:tcPr>
            <w:tcW w:w="3488" w:type="dxa"/>
          </w:tcPr>
          <w:p w:rsidR="00824EAB" w:rsidRPr="00ED1C86" w:rsidRDefault="00E46075" w:rsidP="002D14A4">
            <w:pPr>
              <w:pStyle w:val="CommentText"/>
              <w:spacing w:after="0"/>
              <w:rPr>
                <w:rFonts w:ascii="Arial" w:hAnsi="Arial" w:cs="Arial"/>
                <w:color w:val="203864"/>
              </w:rPr>
            </w:pPr>
            <w:r w:rsidRPr="004B451A">
              <w:rPr>
                <w:rFonts w:ascii="Arial" w:hAnsi="Arial" w:cs="Arial"/>
                <w:color w:val="203864"/>
              </w:rPr>
              <w:t>I assume that the changes described in this section were approved by the project steering committee.  Be sure to state in this section that the PSC approved the changes.  It would also be useful to state that despite the cancellation of some outputs, the project still achieved/exceeded its targets.</w:t>
            </w:r>
          </w:p>
        </w:tc>
        <w:tc>
          <w:tcPr>
            <w:tcW w:w="2367" w:type="dxa"/>
          </w:tcPr>
          <w:p w:rsidR="00824EAB" w:rsidRPr="00E46075" w:rsidRDefault="00C027A4" w:rsidP="00E46075">
            <w:pPr>
              <w:spacing w:after="0" w:line="240" w:lineRule="auto"/>
              <w:rPr>
                <w:rFonts w:asciiTheme="majorHAnsi" w:hAnsiTheme="majorHAnsi"/>
              </w:rPr>
            </w:pPr>
            <w:r>
              <w:rPr>
                <w:rFonts w:asciiTheme="majorHAnsi" w:hAnsiTheme="majorHAnsi"/>
              </w:rPr>
              <w:t>Statements regarding PSC approvals and achievement of targets despite cancellation of some outputs have been added</w:t>
            </w:r>
          </w:p>
        </w:tc>
      </w:tr>
      <w:tr w:rsidR="00E46075" w:rsidRPr="00CF5F54" w:rsidTr="00E65F8C">
        <w:trPr>
          <w:trHeight w:val="248"/>
        </w:trPr>
        <w:tc>
          <w:tcPr>
            <w:tcW w:w="1269"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9</w:t>
            </w:r>
          </w:p>
        </w:tc>
        <w:tc>
          <w:tcPr>
            <w:tcW w:w="1808"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17 – Feedback from M&amp;E activities used for adaptive management</w:t>
            </w:r>
          </w:p>
        </w:tc>
        <w:tc>
          <w:tcPr>
            <w:tcW w:w="3488" w:type="dxa"/>
            <w:shd w:val="clear" w:color="auto" w:fill="auto"/>
          </w:tcPr>
          <w:p w:rsidR="00E46075" w:rsidRPr="00ED1C86" w:rsidRDefault="00E46075" w:rsidP="002D14A4">
            <w:pPr>
              <w:pStyle w:val="CommentText"/>
              <w:spacing w:after="0"/>
              <w:rPr>
                <w:rFonts w:ascii="Arial" w:hAnsi="Arial" w:cs="Arial"/>
                <w:color w:val="203864"/>
              </w:rPr>
            </w:pPr>
            <w:r w:rsidRPr="00840B94">
              <w:rPr>
                <w:rFonts w:ascii="Arial" w:hAnsi="Arial" w:cs="Arial"/>
                <w:color w:val="203864"/>
              </w:rPr>
              <w:t>Was there no significant feedback from any other M&amp;E activity, such as the annual PIRs?</w:t>
            </w:r>
          </w:p>
          <w:p w:rsidR="00E46075" w:rsidRPr="00ED1C86" w:rsidRDefault="00E46075" w:rsidP="002D14A4">
            <w:pPr>
              <w:pStyle w:val="CommentText"/>
              <w:spacing w:after="0"/>
              <w:rPr>
                <w:rFonts w:ascii="Arial" w:hAnsi="Arial" w:cs="Arial"/>
                <w:color w:val="203864"/>
              </w:rPr>
            </w:pPr>
          </w:p>
        </w:tc>
        <w:tc>
          <w:tcPr>
            <w:tcW w:w="2367" w:type="dxa"/>
          </w:tcPr>
          <w:p w:rsidR="00E46075" w:rsidRPr="00E46075" w:rsidRDefault="00C027A4" w:rsidP="00E46075">
            <w:pPr>
              <w:spacing w:after="0" w:line="240" w:lineRule="auto"/>
              <w:rPr>
                <w:rFonts w:asciiTheme="majorHAnsi" w:hAnsiTheme="majorHAnsi"/>
              </w:rPr>
            </w:pPr>
            <w:r>
              <w:rPr>
                <w:rFonts w:asciiTheme="majorHAnsi" w:hAnsiTheme="majorHAnsi"/>
              </w:rPr>
              <w:t>Reference to annual PIRs have been added</w:t>
            </w:r>
          </w:p>
        </w:tc>
      </w:tr>
      <w:tr w:rsidR="00E46075" w:rsidRPr="00CF5F54" w:rsidTr="00E65F8C">
        <w:trPr>
          <w:trHeight w:val="248"/>
        </w:trPr>
        <w:tc>
          <w:tcPr>
            <w:tcW w:w="1269"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10</w:t>
            </w:r>
          </w:p>
        </w:tc>
        <w:tc>
          <w:tcPr>
            <w:tcW w:w="1808"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Pages 17-19 – Project Finance</w:t>
            </w:r>
          </w:p>
        </w:tc>
        <w:tc>
          <w:tcPr>
            <w:tcW w:w="3488" w:type="dxa"/>
          </w:tcPr>
          <w:p w:rsidR="00E46075" w:rsidRPr="00ED1C86" w:rsidRDefault="00E46075" w:rsidP="002D14A4">
            <w:pPr>
              <w:pStyle w:val="CommentText"/>
              <w:spacing w:after="0"/>
              <w:rPr>
                <w:rFonts w:ascii="Arial" w:hAnsi="Arial" w:cs="Arial"/>
                <w:color w:val="203864"/>
              </w:rPr>
            </w:pPr>
            <w:r w:rsidRPr="00AA73AE">
              <w:rPr>
                <w:rFonts w:ascii="Arial" w:hAnsi="Arial" w:cs="Arial"/>
                <w:color w:val="203864"/>
              </w:rPr>
              <w:t>Project Finance: Include a discussion on the additional co-financing leveraged for this project and how these resources were integrated into the overall project and contributed to the project’s objective. Did the significantly higher co-financing have an effect on project outcomes or sustainability?</w:t>
            </w:r>
          </w:p>
        </w:tc>
        <w:tc>
          <w:tcPr>
            <w:tcW w:w="2367" w:type="dxa"/>
          </w:tcPr>
          <w:p w:rsidR="00E46075" w:rsidRPr="00AA73AE" w:rsidRDefault="004B1589" w:rsidP="00AA73AE">
            <w:pPr>
              <w:spacing w:after="0" w:line="240" w:lineRule="auto"/>
              <w:rPr>
                <w:rFonts w:ascii="Arial" w:hAnsi="Arial" w:cs="Arial"/>
                <w:sz w:val="20"/>
                <w:szCs w:val="20"/>
              </w:rPr>
            </w:pPr>
            <w:r>
              <w:rPr>
                <w:rFonts w:ascii="Arial" w:hAnsi="Arial" w:cs="Arial"/>
                <w:sz w:val="20"/>
                <w:szCs w:val="20"/>
              </w:rPr>
              <w:t>Investment from the private sector was some 40 million USD which is over double the original target. The private sector interest and uptake of the technology is further evident in the over</w:t>
            </w:r>
            <w:r w:rsidR="00AA73AE">
              <w:rPr>
                <w:rFonts w:ascii="Arial" w:hAnsi="Arial" w:cs="Arial"/>
                <w:sz w:val="20"/>
                <w:szCs w:val="20"/>
              </w:rPr>
              <w:t>-</w:t>
            </w:r>
            <w:r>
              <w:rPr>
                <w:rFonts w:ascii="Arial" w:hAnsi="Arial" w:cs="Arial"/>
                <w:sz w:val="20"/>
                <w:szCs w:val="20"/>
              </w:rPr>
              <w:t xml:space="preserve">whelming response to the </w:t>
            </w:r>
            <w:proofErr w:type="spellStart"/>
            <w:r>
              <w:rPr>
                <w:rFonts w:ascii="Arial" w:hAnsi="Arial" w:cs="Arial"/>
                <w:sz w:val="20"/>
                <w:szCs w:val="20"/>
              </w:rPr>
              <w:t>programmes</w:t>
            </w:r>
            <w:proofErr w:type="spellEnd"/>
            <w:r>
              <w:rPr>
                <w:rFonts w:ascii="Arial" w:hAnsi="Arial" w:cs="Arial"/>
                <w:sz w:val="20"/>
                <w:szCs w:val="20"/>
              </w:rPr>
              <w:t xml:space="preserve"> and calls issued by CEB.  CEB expects that at least a further 100MW of PV will be installed by 2025. Government </w:t>
            </w:r>
            <w:proofErr w:type="spellStart"/>
            <w:r>
              <w:rPr>
                <w:rFonts w:ascii="Arial" w:hAnsi="Arial" w:cs="Arial"/>
                <w:sz w:val="20"/>
                <w:szCs w:val="20"/>
              </w:rPr>
              <w:t>cofinancing</w:t>
            </w:r>
            <w:proofErr w:type="spellEnd"/>
            <w:r>
              <w:rPr>
                <w:rFonts w:ascii="Arial" w:hAnsi="Arial" w:cs="Arial"/>
                <w:sz w:val="20"/>
                <w:szCs w:val="20"/>
              </w:rPr>
              <w:t xml:space="preserve"> in the form of in-kind support, feed-in-tariffs (32 million USD) and tax </w:t>
            </w:r>
            <w:proofErr w:type="spellStart"/>
            <w:r>
              <w:rPr>
                <w:rFonts w:ascii="Arial" w:hAnsi="Arial" w:cs="Arial"/>
                <w:sz w:val="20"/>
                <w:szCs w:val="20"/>
              </w:rPr>
              <w:t>exemp</w:t>
            </w:r>
            <w:r w:rsidR="00E521E9">
              <w:rPr>
                <w:rFonts w:ascii="Arial" w:hAnsi="Arial" w:cs="Arial"/>
                <w:sz w:val="20"/>
                <w:szCs w:val="20"/>
              </w:rPr>
              <w:t>-</w:t>
            </w:r>
            <w:r>
              <w:rPr>
                <w:rFonts w:ascii="Arial" w:hAnsi="Arial" w:cs="Arial"/>
                <w:sz w:val="20"/>
                <w:szCs w:val="20"/>
              </w:rPr>
              <w:t>tions</w:t>
            </w:r>
            <w:proofErr w:type="spellEnd"/>
            <w:r>
              <w:rPr>
                <w:rFonts w:ascii="Arial" w:hAnsi="Arial" w:cs="Arial"/>
                <w:sz w:val="20"/>
                <w:szCs w:val="20"/>
              </w:rPr>
              <w:t xml:space="preserve"> for PV equipment (estimated 43 million USD) has als</w:t>
            </w:r>
            <w:r w:rsidR="00AA73AE">
              <w:rPr>
                <w:rFonts w:ascii="Arial" w:hAnsi="Arial" w:cs="Arial"/>
                <w:sz w:val="20"/>
                <w:szCs w:val="20"/>
              </w:rPr>
              <w:t xml:space="preserve">o contributed to the impact and </w:t>
            </w:r>
            <w:r>
              <w:rPr>
                <w:rFonts w:ascii="Arial" w:hAnsi="Arial" w:cs="Arial"/>
                <w:sz w:val="20"/>
                <w:szCs w:val="20"/>
              </w:rPr>
              <w:t>sustain</w:t>
            </w:r>
            <w:r w:rsidR="00AA73AE">
              <w:rPr>
                <w:rFonts w:ascii="Arial" w:hAnsi="Arial" w:cs="Arial"/>
                <w:sz w:val="20"/>
                <w:szCs w:val="20"/>
              </w:rPr>
              <w:t>-</w:t>
            </w:r>
            <w:r>
              <w:rPr>
                <w:rFonts w:ascii="Arial" w:hAnsi="Arial" w:cs="Arial"/>
                <w:sz w:val="20"/>
                <w:szCs w:val="20"/>
              </w:rPr>
              <w:t xml:space="preserve">ability of the project. </w:t>
            </w:r>
          </w:p>
        </w:tc>
      </w:tr>
      <w:tr w:rsidR="00E46075" w:rsidRPr="00CF5F54" w:rsidTr="00E65F8C">
        <w:trPr>
          <w:trHeight w:val="248"/>
        </w:trPr>
        <w:tc>
          <w:tcPr>
            <w:tcW w:w="1269"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11</w:t>
            </w:r>
          </w:p>
        </w:tc>
        <w:tc>
          <w:tcPr>
            <w:tcW w:w="1808"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30 – Effectiveness &amp; Efficiency</w:t>
            </w:r>
          </w:p>
        </w:tc>
        <w:tc>
          <w:tcPr>
            <w:tcW w:w="3488" w:type="dxa"/>
          </w:tcPr>
          <w:p w:rsidR="00E46075" w:rsidRPr="00ED1C86" w:rsidRDefault="00E46075" w:rsidP="002D14A4">
            <w:pPr>
              <w:pStyle w:val="CommentText"/>
              <w:spacing w:after="0"/>
              <w:rPr>
                <w:rFonts w:ascii="Arial" w:hAnsi="Arial" w:cs="Arial"/>
                <w:color w:val="203864"/>
              </w:rPr>
            </w:pPr>
            <w:proofErr w:type="gramStart"/>
            <w:r w:rsidRPr="00AA4796">
              <w:rPr>
                <w:rFonts w:ascii="Arial" w:hAnsi="Arial" w:cs="Arial"/>
                <w:color w:val="203864"/>
              </w:rPr>
              <w:t>this</w:t>
            </w:r>
            <w:proofErr w:type="gramEnd"/>
            <w:r w:rsidRPr="00AA4796">
              <w:rPr>
                <w:rFonts w:ascii="Arial" w:hAnsi="Arial" w:cs="Arial"/>
                <w:color w:val="203864"/>
              </w:rPr>
              <w:t xml:space="preserve"> section could benefit from more discussion. In the TE guidance, ‘effectiveness’ is the extent to which the expected outcomes and objectives of the project have been achieved.  Therefore, include a brief discussion connecting the evidence listed in this section to the achieved outcomes and objectives of the project. Under efficiency, include more details on how projects results were able to be achieved in </w:t>
            </w:r>
            <w:proofErr w:type="gramStart"/>
            <w:r w:rsidRPr="00AA4796">
              <w:rPr>
                <w:rFonts w:ascii="Arial" w:hAnsi="Arial" w:cs="Arial"/>
                <w:color w:val="203864"/>
              </w:rPr>
              <w:t>under</w:t>
            </w:r>
            <w:proofErr w:type="gramEnd"/>
            <w:r w:rsidRPr="00AA4796">
              <w:rPr>
                <w:rFonts w:ascii="Arial" w:hAnsi="Arial" w:cs="Arial"/>
                <w:color w:val="203864"/>
              </w:rPr>
              <w:t xml:space="preserve"> 3 years. How was this done even with a 30-month delay in project start up?</w:t>
            </w:r>
          </w:p>
        </w:tc>
        <w:tc>
          <w:tcPr>
            <w:tcW w:w="2367" w:type="dxa"/>
          </w:tcPr>
          <w:p w:rsidR="00E46075" w:rsidRPr="00E46075" w:rsidRDefault="00CB75FD" w:rsidP="00E46075">
            <w:pPr>
              <w:spacing w:after="0" w:line="240" w:lineRule="auto"/>
              <w:rPr>
                <w:rFonts w:asciiTheme="majorHAnsi" w:hAnsiTheme="majorHAnsi"/>
              </w:rPr>
            </w:pPr>
            <w:r>
              <w:rPr>
                <w:rFonts w:asciiTheme="majorHAnsi" w:hAnsiTheme="majorHAnsi"/>
              </w:rPr>
              <w:t>Discussions have been added</w:t>
            </w:r>
            <w:r w:rsidR="00AA4796">
              <w:rPr>
                <w:rFonts w:asciiTheme="majorHAnsi" w:hAnsiTheme="majorHAnsi"/>
              </w:rPr>
              <w:t>.</w:t>
            </w:r>
          </w:p>
        </w:tc>
      </w:tr>
      <w:tr w:rsidR="00E46075" w:rsidRPr="00CF5F54" w:rsidTr="00E65F8C">
        <w:trPr>
          <w:trHeight w:val="248"/>
        </w:trPr>
        <w:tc>
          <w:tcPr>
            <w:tcW w:w="1269"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12</w:t>
            </w:r>
          </w:p>
        </w:tc>
        <w:tc>
          <w:tcPr>
            <w:tcW w:w="1808" w:type="dxa"/>
          </w:tcPr>
          <w:p w:rsidR="00E46075" w:rsidRPr="002D14A4" w:rsidRDefault="00E46075" w:rsidP="00D95988">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31 – Mainstreaming</w:t>
            </w:r>
          </w:p>
        </w:tc>
        <w:tc>
          <w:tcPr>
            <w:tcW w:w="3488" w:type="dxa"/>
          </w:tcPr>
          <w:p w:rsidR="00E46075" w:rsidRPr="00ED1C86" w:rsidRDefault="00E46075" w:rsidP="002D14A4">
            <w:pPr>
              <w:pStyle w:val="CommentText"/>
              <w:spacing w:after="0"/>
              <w:rPr>
                <w:rFonts w:ascii="Arial" w:hAnsi="Arial" w:cs="Arial"/>
                <w:color w:val="203864"/>
              </w:rPr>
            </w:pPr>
            <w:r w:rsidRPr="00AA4796">
              <w:rPr>
                <w:rFonts w:ascii="Arial" w:hAnsi="Arial" w:cs="Arial"/>
                <w:color w:val="203864"/>
              </w:rPr>
              <w:t>The TOR for this TE states that the evaluation will assess the extent to which the project was successfully mainstreamed with other UNDP priorities, including poverty alleviation, improved governance, the prevention and recovery from natural disasters, and gender.  Gender is discussed in the report.  Did the project address any other UNDP mainstreaming priorities?</w:t>
            </w:r>
          </w:p>
        </w:tc>
        <w:tc>
          <w:tcPr>
            <w:tcW w:w="2367" w:type="dxa"/>
          </w:tcPr>
          <w:p w:rsidR="00E46075" w:rsidRPr="00E46075" w:rsidRDefault="00AA4796" w:rsidP="006631AD">
            <w:pPr>
              <w:pStyle w:val="CommentText"/>
              <w:spacing w:after="0"/>
              <w:rPr>
                <w:rFonts w:asciiTheme="majorHAnsi" w:hAnsiTheme="majorHAnsi"/>
              </w:rPr>
            </w:pPr>
            <w:r w:rsidRPr="006631AD">
              <w:rPr>
                <w:rFonts w:ascii="Arial" w:hAnsi="Arial" w:cs="Arial"/>
                <w:color w:val="203864"/>
              </w:rPr>
              <w:t>The project addresses the UNDP priorities of clean and affordable energy, responsible consumption and pro-</w:t>
            </w:r>
            <w:proofErr w:type="spellStart"/>
            <w:r w:rsidRPr="006631AD">
              <w:rPr>
                <w:rFonts w:ascii="Arial" w:hAnsi="Arial" w:cs="Arial"/>
                <w:color w:val="203864"/>
              </w:rPr>
              <w:t>duction</w:t>
            </w:r>
            <w:proofErr w:type="spellEnd"/>
            <w:r w:rsidRPr="006631AD">
              <w:rPr>
                <w:rFonts w:ascii="Arial" w:hAnsi="Arial" w:cs="Arial"/>
                <w:color w:val="203864"/>
              </w:rPr>
              <w:t xml:space="preserve">, climate action and sustainable cities and communities.  Further, industry, </w:t>
            </w:r>
            <w:proofErr w:type="spellStart"/>
            <w:r w:rsidRPr="006631AD">
              <w:rPr>
                <w:rFonts w:ascii="Arial" w:hAnsi="Arial" w:cs="Arial"/>
                <w:color w:val="203864"/>
              </w:rPr>
              <w:t>inno-vation</w:t>
            </w:r>
            <w:proofErr w:type="spellEnd"/>
            <w:r w:rsidRPr="006631AD">
              <w:rPr>
                <w:rFonts w:ascii="Arial" w:hAnsi="Arial" w:cs="Arial"/>
                <w:color w:val="203864"/>
              </w:rPr>
              <w:t xml:space="preserve"> and infrastructure were supported as were decent work and economic growth</w:t>
            </w:r>
          </w:p>
        </w:tc>
      </w:tr>
      <w:tr w:rsidR="00824EAB" w:rsidRPr="00CF5F54" w:rsidTr="00E65F8C">
        <w:trPr>
          <w:trHeight w:val="248"/>
        </w:trPr>
        <w:tc>
          <w:tcPr>
            <w:tcW w:w="1269"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13</w:t>
            </w:r>
          </w:p>
        </w:tc>
        <w:tc>
          <w:tcPr>
            <w:tcW w:w="1808"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31 – Sustainability</w:t>
            </w:r>
          </w:p>
        </w:tc>
        <w:tc>
          <w:tcPr>
            <w:tcW w:w="3488" w:type="dxa"/>
          </w:tcPr>
          <w:p w:rsidR="00824EAB" w:rsidRPr="00ED1C86" w:rsidRDefault="00E46075" w:rsidP="002D14A4">
            <w:pPr>
              <w:pStyle w:val="CommentText"/>
              <w:spacing w:after="0"/>
              <w:rPr>
                <w:rFonts w:ascii="Arial" w:hAnsi="Arial" w:cs="Arial"/>
                <w:color w:val="203864"/>
              </w:rPr>
            </w:pPr>
            <w:r w:rsidRPr="006C71F9">
              <w:rPr>
                <w:rFonts w:ascii="Arial" w:hAnsi="Arial" w:cs="Arial"/>
                <w:color w:val="203864"/>
              </w:rPr>
              <w:t>Please refer to the TE Guidance document, which states that sustainability should be assessed by looking at four types of risks: financial risks, socio-economic risks, institutional framework and governance risks, and environmental risks.  Each of these four types of risks should be discussed in the report and given a rating of Likely (L), Moderately Likely (ML), Moderately Unlikely (MU), or Unlikely (U).</w:t>
            </w:r>
          </w:p>
        </w:tc>
        <w:tc>
          <w:tcPr>
            <w:tcW w:w="2367" w:type="dxa"/>
          </w:tcPr>
          <w:p w:rsidR="00824EAB" w:rsidRPr="00E46075" w:rsidRDefault="00186B0D" w:rsidP="00AA7857">
            <w:pPr>
              <w:pStyle w:val="CommentText"/>
              <w:spacing w:after="0"/>
              <w:rPr>
                <w:rFonts w:asciiTheme="majorHAnsi" w:hAnsiTheme="majorHAnsi"/>
              </w:rPr>
            </w:pPr>
            <w:r w:rsidRPr="00AA7857">
              <w:rPr>
                <w:rFonts w:ascii="Arial" w:hAnsi="Arial" w:cs="Arial"/>
                <w:color w:val="203864"/>
              </w:rPr>
              <w:t>Discussion and ratings of 4 types of risk have been added.</w:t>
            </w:r>
          </w:p>
        </w:tc>
      </w:tr>
      <w:tr w:rsidR="00824EAB" w:rsidRPr="00CF5F54" w:rsidTr="00E65F8C">
        <w:trPr>
          <w:trHeight w:val="261"/>
        </w:trPr>
        <w:tc>
          <w:tcPr>
            <w:tcW w:w="1269"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14</w:t>
            </w:r>
          </w:p>
        </w:tc>
        <w:tc>
          <w:tcPr>
            <w:tcW w:w="1808" w:type="dxa"/>
          </w:tcPr>
          <w:p w:rsidR="00824EAB"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31 – Impact</w:t>
            </w:r>
          </w:p>
        </w:tc>
        <w:tc>
          <w:tcPr>
            <w:tcW w:w="3488" w:type="dxa"/>
          </w:tcPr>
          <w:p w:rsidR="00824EAB" w:rsidRPr="00ED1C86" w:rsidRDefault="00E46075" w:rsidP="002D14A4">
            <w:pPr>
              <w:pStyle w:val="CommentText"/>
              <w:spacing w:after="0"/>
              <w:rPr>
                <w:rFonts w:ascii="Arial" w:hAnsi="Arial" w:cs="Arial"/>
                <w:color w:val="203864"/>
              </w:rPr>
            </w:pPr>
            <w:r w:rsidRPr="00720CCD">
              <w:rPr>
                <w:rFonts w:ascii="Arial" w:hAnsi="Arial" w:cs="Arial"/>
                <w:color w:val="203864"/>
              </w:rPr>
              <w:t>Were there any unintended impacts?</w:t>
            </w:r>
          </w:p>
        </w:tc>
        <w:tc>
          <w:tcPr>
            <w:tcW w:w="2367" w:type="dxa"/>
          </w:tcPr>
          <w:p w:rsidR="00824EAB" w:rsidRPr="00344673" w:rsidRDefault="00720CCD" w:rsidP="00E46075">
            <w:pPr>
              <w:spacing w:after="0" w:line="240" w:lineRule="auto"/>
              <w:rPr>
                <w:rFonts w:ascii="Arial" w:hAnsi="Arial" w:cs="Arial"/>
                <w:sz w:val="20"/>
                <w:szCs w:val="20"/>
              </w:rPr>
            </w:pPr>
            <w:r w:rsidRPr="00344673">
              <w:rPr>
                <w:rFonts w:ascii="Arial" w:hAnsi="Arial" w:cs="Arial"/>
                <w:sz w:val="20"/>
                <w:szCs w:val="20"/>
              </w:rPr>
              <w:t>No</w:t>
            </w:r>
          </w:p>
        </w:tc>
      </w:tr>
      <w:tr w:rsidR="00E46075" w:rsidRPr="00CF5F54" w:rsidTr="00E65F8C">
        <w:trPr>
          <w:trHeight w:val="261"/>
        </w:trPr>
        <w:tc>
          <w:tcPr>
            <w:tcW w:w="1269"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15</w:t>
            </w:r>
          </w:p>
        </w:tc>
        <w:tc>
          <w:tcPr>
            <w:tcW w:w="1808" w:type="dxa"/>
          </w:tcPr>
          <w:p w:rsidR="00E46075" w:rsidRPr="002D14A4" w:rsidRDefault="00E46075"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Annex</w:t>
            </w:r>
          </w:p>
        </w:tc>
        <w:tc>
          <w:tcPr>
            <w:tcW w:w="3488" w:type="dxa"/>
          </w:tcPr>
          <w:p w:rsidR="00E46075" w:rsidRPr="00ED1C86" w:rsidRDefault="00E46075" w:rsidP="002D14A4">
            <w:pPr>
              <w:pStyle w:val="CommentText"/>
              <w:spacing w:after="0"/>
              <w:rPr>
                <w:rFonts w:ascii="Arial" w:hAnsi="Arial" w:cs="Arial"/>
                <w:color w:val="203864"/>
              </w:rPr>
            </w:pPr>
            <w:r w:rsidRPr="00ED1C86">
              <w:rPr>
                <w:rFonts w:ascii="Arial" w:hAnsi="Arial" w:cs="Arial"/>
                <w:color w:val="203864"/>
              </w:rPr>
              <w:t>Be sure to attach the ‘Audit Trail’ as an Annex in the final TE report. Attached is a draft Audit Trail template.  It should capture all comments to the report plus responses to those comments by the evaluation team.  In the ‘Author’ column, enter the name of the commenter’s organization (rather than the name of the commenter)</w:t>
            </w:r>
          </w:p>
        </w:tc>
        <w:tc>
          <w:tcPr>
            <w:tcW w:w="2367" w:type="dxa"/>
          </w:tcPr>
          <w:p w:rsidR="00E46075" w:rsidRPr="00E46075" w:rsidRDefault="00ED1C86" w:rsidP="00AA7857">
            <w:pPr>
              <w:pStyle w:val="CommentText"/>
              <w:spacing w:after="0"/>
              <w:rPr>
                <w:rFonts w:asciiTheme="majorHAnsi" w:hAnsiTheme="majorHAnsi"/>
              </w:rPr>
            </w:pPr>
            <w:r w:rsidRPr="00AA7857">
              <w:rPr>
                <w:rFonts w:ascii="Arial" w:hAnsi="Arial" w:cs="Arial"/>
                <w:color w:val="203864"/>
              </w:rPr>
              <w:t xml:space="preserve">Audit Trail </w:t>
            </w:r>
            <w:r w:rsidR="00AA7857">
              <w:rPr>
                <w:rFonts w:ascii="Arial" w:hAnsi="Arial" w:cs="Arial"/>
                <w:color w:val="203864"/>
              </w:rPr>
              <w:t xml:space="preserve">has been completed and attached as Annex </w:t>
            </w:r>
          </w:p>
        </w:tc>
      </w:tr>
      <w:tr w:rsidR="00E46075" w:rsidRPr="00CF5F54" w:rsidTr="00E65F8C">
        <w:trPr>
          <w:trHeight w:val="261"/>
        </w:trPr>
        <w:tc>
          <w:tcPr>
            <w:tcW w:w="1269"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16</w:t>
            </w:r>
          </w:p>
        </w:tc>
        <w:tc>
          <w:tcPr>
            <w:tcW w:w="18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7 - Project Results</w:t>
            </w:r>
          </w:p>
        </w:tc>
        <w:tc>
          <w:tcPr>
            <w:tcW w:w="3488" w:type="dxa"/>
          </w:tcPr>
          <w:p w:rsidR="00E46075" w:rsidRPr="00ED1C86" w:rsidRDefault="002D14A4" w:rsidP="002D14A4">
            <w:pPr>
              <w:pStyle w:val="CommentText"/>
              <w:spacing w:after="0"/>
              <w:rPr>
                <w:rFonts w:ascii="Arial" w:hAnsi="Arial" w:cs="Arial"/>
                <w:color w:val="203864"/>
              </w:rPr>
            </w:pPr>
            <w:r w:rsidRPr="00ED1C86">
              <w:rPr>
                <w:rFonts w:ascii="Arial" w:hAnsi="Arial" w:cs="Arial"/>
                <w:color w:val="203864"/>
              </w:rPr>
              <w:t>In the first sentence, remove the “d” in “achieved” so that the sentence will read, “…., the project has been able to achieve most of the planned activities and targets.”</w:t>
            </w:r>
          </w:p>
        </w:tc>
        <w:tc>
          <w:tcPr>
            <w:tcW w:w="2367" w:type="dxa"/>
          </w:tcPr>
          <w:p w:rsidR="00E46075" w:rsidRPr="00E46075" w:rsidRDefault="00DF4868" w:rsidP="00E46075">
            <w:pPr>
              <w:spacing w:after="0" w:line="240" w:lineRule="auto"/>
              <w:rPr>
                <w:rFonts w:asciiTheme="majorHAnsi" w:hAnsiTheme="majorHAnsi"/>
              </w:rPr>
            </w:pPr>
            <w:r>
              <w:rPr>
                <w:rFonts w:asciiTheme="majorHAnsi" w:hAnsiTheme="majorHAnsi"/>
              </w:rPr>
              <w:t>removed</w:t>
            </w:r>
          </w:p>
        </w:tc>
      </w:tr>
      <w:tr w:rsidR="00E46075" w:rsidRPr="00CF5F54" w:rsidTr="00E65F8C">
        <w:trPr>
          <w:trHeight w:val="261"/>
        </w:trPr>
        <w:tc>
          <w:tcPr>
            <w:tcW w:w="1269"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17</w:t>
            </w:r>
          </w:p>
        </w:tc>
        <w:tc>
          <w:tcPr>
            <w:tcW w:w="18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9 – Recommendation 6</w:t>
            </w:r>
          </w:p>
        </w:tc>
        <w:tc>
          <w:tcPr>
            <w:tcW w:w="3488" w:type="dxa"/>
          </w:tcPr>
          <w:p w:rsidR="00E46075" w:rsidRPr="00ED1C86" w:rsidRDefault="002D14A4" w:rsidP="002D14A4">
            <w:pPr>
              <w:pStyle w:val="CommentText"/>
              <w:spacing w:after="0"/>
              <w:rPr>
                <w:rFonts w:ascii="Arial" w:hAnsi="Arial" w:cs="Arial"/>
                <w:color w:val="203864"/>
              </w:rPr>
            </w:pPr>
            <w:r w:rsidRPr="00ED1C86">
              <w:rPr>
                <w:rFonts w:ascii="Arial" w:hAnsi="Arial" w:cs="Arial"/>
                <w:color w:val="203864"/>
              </w:rPr>
              <w:t>Change “It is recommendation that…” to “It is recommended that…”</w:t>
            </w:r>
          </w:p>
        </w:tc>
        <w:tc>
          <w:tcPr>
            <w:tcW w:w="2367" w:type="dxa"/>
          </w:tcPr>
          <w:p w:rsidR="00E46075" w:rsidRPr="00E46075" w:rsidRDefault="00DF4868" w:rsidP="00E46075">
            <w:pPr>
              <w:spacing w:after="0" w:line="240" w:lineRule="auto"/>
              <w:rPr>
                <w:rFonts w:asciiTheme="majorHAnsi" w:hAnsiTheme="majorHAnsi"/>
              </w:rPr>
            </w:pPr>
            <w:r>
              <w:rPr>
                <w:rFonts w:asciiTheme="majorHAnsi" w:hAnsiTheme="majorHAnsi"/>
              </w:rPr>
              <w:t>changed</w:t>
            </w:r>
          </w:p>
        </w:tc>
      </w:tr>
      <w:tr w:rsidR="00E46075" w:rsidRPr="00CF5F54" w:rsidTr="00E65F8C">
        <w:trPr>
          <w:trHeight w:val="261"/>
        </w:trPr>
        <w:tc>
          <w:tcPr>
            <w:tcW w:w="1269"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18</w:t>
            </w:r>
          </w:p>
        </w:tc>
        <w:tc>
          <w:tcPr>
            <w:tcW w:w="18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10 – Introduction</w:t>
            </w:r>
          </w:p>
        </w:tc>
        <w:tc>
          <w:tcPr>
            <w:tcW w:w="3488" w:type="dxa"/>
          </w:tcPr>
          <w:p w:rsidR="00E46075" w:rsidRPr="00ED1C86" w:rsidRDefault="002D14A4" w:rsidP="002D14A4">
            <w:pPr>
              <w:pStyle w:val="CommentText"/>
              <w:spacing w:after="0"/>
              <w:rPr>
                <w:rFonts w:ascii="Arial" w:hAnsi="Arial" w:cs="Arial"/>
                <w:color w:val="203864"/>
              </w:rPr>
            </w:pPr>
            <w:r w:rsidRPr="00ED1C86">
              <w:rPr>
                <w:rFonts w:ascii="Arial" w:hAnsi="Arial" w:cs="Arial"/>
                <w:color w:val="203864"/>
              </w:rPr>
              <w:t>Change “…was carried in two parts:” to “…was carried out in two parts:”</w:t>
            </w:r>
          </w:p>
        </w:tc>
        <w:tc>
          <w:tcPr>
            <w:tcW w:w="2367" w:type="dxa"/>
          </w:tcPr>
          <w:p w:rsidR="00E46075" w:rsidRPr="00E46075" w:rsidRDefault="00DF4868" w:rsidP="00E46075">
            <w:pPr>
              <w:spacing w:after="0" w:line="240" w:lineRule="auto"/>
              <w:rPr>
                <w:rFonts w:asciiTheme="majorHAnsi" w:hAnsiTheme="majorHAnsi"/>
              </w:rPr>
            </w:pPr>
            <w:r>
              <w:rPr>
                <w:rFonts w:asciiTheme="majorHAnsi" w:hAnsiTheme="majorHAnsi"/>
              </w:rPr>
              <w:t>changed</w:t>
            </w:r>
          </w:p>
        </w:tc>
      </w:tr>
      <w:tr w:rsidR="00E46075" w:rsidRPr="00CF5F54" w:rsidTr="00E65F8C">
        <w:trPr>
          <w:trHeight w:val="261"/>
        </w:trPr>
        <w:tc>
          <w:tcPr>
            <w:tcW w:w="1269"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19</w:t>
            </w:r>
          </w:p>
        </w:tc>
        <w:tc>
          <w:tcPr>
            <w:tcW w:w="18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10</w:t>
            </w:r>
          </w:p>
        </w:tc>
        <w:tc>
          <w:tcPr>
            <w:tcW w:w="3488" w:type="dxa"/>
          </w:tcPr>
          <w:p w:rsidR="00E46075" w:rsidRPr="00ED1C86" w:rsidRDefault="002D14A4" w:rsidP="002D14A4">
            <w:pPr>
              <w:pStyle w:val="CommentText"/>
              <w:spacing w:after="0"/>
              <w:rPr>
                <w:rFonts w:ascii="Arial" w:hAnsi="Arial" w:cs="Arial"/>
                <w:color w:val="203864"/>
              </w:rPr>
            </w:pPr>
            <w:r w:rsidRPr="00ED1C86">
              <w:rPr>
                <w:rFonts w:ascii="Arial" w:hAnsi="Arial" w:cs="Arial"/>
                <w:color w:val="203864"/>
              </w:rPr>
              <w:t>Change “…, the local consultant team had extensive working sessions were held  with the project management team and…” to “…, the local consultant team held extensive working sessions with the project management team and…”</w:t>
            </w:r>
          </w:p>
        </w:tc>
        <w:tc>
          <w:tcPr>
            <w:tcW w:w="2367" w:type="dxa"/>
          </w:tcPr>
          <w:p w:rsidR="00E46075" w:rsidRPr="00E46075" w:rsidRDefault="00DF4868" w:rsidP="00E46075">
            <w:pPr>
              <w:spacing w:after="0" w:line="240" w:lineRule="auto"/>
              <w:rPr>
                <w:rFonts w:asciiTheme="majorHAnsi" w:hAnsiTheme="majorHAnsi"/>
              </w:rPr>
            </w:pPr>
            <w:r>
              <w:rPr>
                <w:rFonts w:asciiTheme="majorHAnsi" w:hAnsiTheme="majorHAnsi"/>
              </w:rPr>
              <w:t>changed</w:t>
            </w:r>
          </w:p>
        </w:tc>
      </w:tr>
      <w:tr w:rsidR="00E46075" w:rsidRPr="00CF5F54" w:rsidTr="00E65F8C">
        <w:trPr>
          <w:trHeight w:val="261"/>
        </w:trPr>
        <w:tc>
          <w:tcPr>
            <w:tcW w:w="1269"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20</w:t>
            </w:r>
          </w:p>
        </w:tc>
        <w:tc>
          <w:tcPr>
            <w:tcW w:w="18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13 – 2.6 Expected Results</w:t>
            </w:r>
          </w:p>
        </w:tc>
        <w:tc>
          <w:tcPr>
            <w:tcW w:w="3488" w:type="dxa"/>
          </w:tcPr>
          <w:p w:rsidR="002D14A4" w:rsidRPr="00ED1C86" w:rsidRDefault="002D14A4" w:rsidP="002D14A4">
            <w:pPr>
              <w:pStyle w:val="CommentText"/>
              <w:spacing w:after="0"/>
              <w:rPr>
                <w:rFonts w:ascii="Arial" w:hAnsi="Arial" w:cs="Arial"/>
                <w:color w:val="203864"/>
              </w:rPr>
            </w:pPr>
            <w:r w:rsidRPr="00ED1C86">
              <w:rPr>
                <w:rFonts w:ascii="Arial" w:hAnsi="Arial" w:cs="Arial"/>
                <w:color w:val="203864"/>
              </w:rPr>
              <w:t>Remove “was” in the sentence, “The project was intended to…”</w:t>
            </w:r>
          </w:p>
          <w:p w:rsidR="00E46075" w:rsidRPr="00ED1C86" w:rsidRDefault="00E46075" w:rsidP="002D14A4">
            <w:pPr>
              <w:pStyle w:val="CommentText"/>
              <w:spacing w:after="0"/>
              <w:rPr>
                <w:rFonts w:ascii="Arial" w:hAnsi="Arial" w:cs="Arial"/>
                <w:color w:val="203864"/>
              </w:rPr>
            </w:pPr>
          </w:p>
        </w:tc>
        <w:tc>
          <w:tcPr>
            <w:tcW w:w="2367" w:type="dxa"/>
          </w:tcPr>
          <w:p w:rsidR="00E46075" w:rsidRPr="00E46075" w:rsidRDefault="00DF4868" w:rsidP="00E46075">
            <w:pPr>
              <w:spacing w:after="0" w:line="240" w:lineRule="auto"/>
              <w:rPr>
                <w:rFonts w:asciiTheme="majorHAnsi" w:hAnsiTheme="majorHAnsi"/>
              </w:rPr>
            </w:pPr>
            <w:r>
              <w:rPr>
                <w:rFonts w:asciiTheme="majorHAnsi" w:hAnsiTheme="majorHAnsi"/>
              </w:rPr>
              <w:t>removed</w:t>
            </w:r>
          </w:p>
        </w:tc>
      </w:tr>
      <w:tr w:rsidR="00E46075" w:rsidRPr="00CF5F54" w:rsidTr="00E65F8C">
        <w:trPr>
          <w:trHeight w:val="261"/>
        </w:trPr>
        <w:tc>
          <w:tcPr>
            <w:tcW w:w="1269"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21</w:t>
            </w:r>
          </w:p>
        </w:tc>
        <w:tc>
          <w:tcPr>
            <w:tcW w:w="18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14 – Lessons from other relevant projects…</w:t>
            </w:r>
          </w:p>
        </w:tc>
        <w:tc>
          <w:tcPr>
            <w:tcW w:w="3488" w:type="dxa"/>
          </w:tcPr>
          <w:p w:rsidR="00E46075" w:rsidRPr="00ED1C86" w:rsidRDefault="002D14A4" w:rsidP="002D14A4">
            <w:pPr>
              <w:pStyle w:val="CommentText"/>
              <w:spacing w:after="0"/>
              <w:rPr>
                <w:rFonts w:ascii="Arial" w:hAnsi="Arial" w:cs="Arial"/>
                <w:color w:val="203864"/>
              </w:rPr>
            </w:pPr>
            <w:r w:rsidRPr="00ED1C86">
              <w:rPr>
                <w:rFonts w:ascii="Arial" w:hAnsi="Arial" w:cs="Arial"/>
                <w:color w:val="203864"/>
              </w:rPr>
              <w:t>In the second line, change “…including UNDP GEF project Removal of Barriers…” to “…including the UNDP-supported GEF-financed project Removal of Barriers…”</w:t>
            </w:r>
          </w:p>
        </w:tc>
        <w:tc>
          <w:tcPr>
            <w:tcW w:w="2367" w:type="dxa"/>
          </w:tcPr>
          <w:p w:rsidR="00E46075" w:rsidRPr="00E46075" w:rsidRDefault="00DF4868" w:rsidP="00E46075">
            <w:pPr>
              <w:spacing w:after="0" w:line="240" w:lineRule="auto"/>
              <w:rPr>
                <w:rFonts w:asciiTheme="majorHAnsi" w:hAnsiTheme="majorHAnsi"/>
              </w:rPr>
            </w:pPr>
            <w:r>
              <w:rPr>
                <w:rFonts w:asciiTheme="majorHAnsi" w:hAnsiTheme="majorHAnsi"/>
              </w:rPr>
              <w:t>changed</w:t>
            </w:r>
          </w:p>
        </w:tc>
      </w:tr>
      <w:tr w:rsidR="00E46075" w:rsidRPr="00CF5F54" w:rsidTr="00E65F8C">
        <w:trPr>
          <w:trHeight w:val="261"/>
        </w:trPr>
        <w:tc>
          <w:tcPr>
            <w:tcW w:w="1269"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22</w:t>
            </w:r>
          </w:p>
        </w:tc>
        <w:tc>
          <w:tcPr>
            <w:tcW w:w="1808" w:type="dxa"/>
          </w:tcPr>
          <w:p w:rsidR="00E46075"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15 – UNDP comparative advantage</w:t>
            </w:r>
          </w:p>
        </w:tc>
        <w:tc>
          <w:tcPr>
            <w:tcW w:w="3488" w:type="dxa"/>
          </w:tcPr>
          <w:p w:rsidR="00E46075" w:rsidRPr="00ED1C86" w:rsidRDefault="002D14A4" w:rsidP="002D14A4">
            <w:pPr>
              <w:pStyle w:val="CommentText"/>
              <w:spacing w:after="0"/>
              <w:rPr>
                <w:rFonts w:ascii="Arial" w:hAnsi="Arial" w:cs="Arial"/>
                <w:color w:val="203864"/>
              </w:rPr>
            </w:pPr>
            <w:r w:rsidRPr="00ED1C86">
              <w:rPr>
                <w:rFonts w:ascii="Arial" w:hAnsi="Arial" w:cs="Arial"/>
                <w:color w:val="203864"/>
              </w:rPr>
              <w:t>Remove “has” in the first sentence</w:t>
            </w:r>
          </w:p>
        </w:tc>
        <w:tc>
          <w:tcPr>
            <w:tcW w:w="2367" w:type="dxa"/>
          </w:tcPr>
          <w:p w:rsidR="00E46075" w:rsidRPr="00E46075" w:rsidRDefault="00DF4868" w:rsidP="00E46075">
            <w:pPr>
              <w:spacing w:after="0" w:line="240" w:lineRule="auto"/>
              <w:rPr>
                <w:rFonts w:asciiTheme="majorHAnsi" w:hAnsiTheme="majorHAnsi"/>
              </w:rPr>
            </w:pPr>
            <w:r>
              <w:rPr>
                <w:rFonts w:asciiTheme="majorHAnsi" w:hAnsiTheme="majorHAnsi"/>
              </w:rPr>
              <w:t>removed</w:t>
            </w:r>
          </w:p>
        </w:tc>
      </w:tr>
      <w:tr w:rsidR="002D14A4" w:rsidRPr="00CF5F54" w:rsidTr="00E65F8C">
        <w:trPr>
          <w:trHeight w:val="261"/>
        </w:trPr>
        <w:tc>
          <w:tcPr>
            <w:tcW w:w="1269" w:type="dxa"/>
          </w:tcPr>
          <w:p w:rsidR="002D14A4"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UNDP IEO</w:t>
            </w:r>
          </w:p>
        </w:tc>
        <w:tc>
          <w:tcPr>
            <w:tcW w:w="608" w:type="dxa"/>
          </w:tcPr>
          <w:p w:rsidR="002D14A4"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23</w:t>
            </w:r>
          </w:p>
        </w:tc>
        <w:tc>
          <w:tcPr>
            <w:tcW w:w="1808" w:type="dxa"/>
          </w:tcPr>
          <w:p w:rsidR="002D14A4" w:rsidRPr="002D14A4" w:rsidRDefault="002D14A4" w:rsidP="002D14A4">
            <w:pPr>
              <w:pStyle w:val="CommentText"/>
              <w:spacing w:after="0"/>
              <w:rPr>
                <w:rFonts w:asciiTheme="majorHAnsi" w:hAnsiTheme="majorHAnsi"/>
                <w:color w:val="203864"/>
                <w:sz w:val="22"/>
                <w:szCs w:val="22"/>
              </w:rPr>
            </w:pPr>
            <w:r w:rsidRPr="002D14A4">
              <w:rPr>
                <w:rFonts w:asciiTheme="majorHAnsi" w:hAnsiTheme="majorHAnsi"/>
                <w:color w:val="203864"/>
                <w:sz w:val="22"/>
                <w:szCs w:val="22"/>
              </w:rPr>
              <w:t>Page 19 – UNDP and Implementation Partner…</w:t>
            </w:r>
          </w:p>
        </w:tc>
        <w:tc>
          <w:tcPr>
            <w:tcW w:w="3488" w:type="dxa"/>
          </w:tcPr>
          <w:p w:rsidR="002D14A4" w:rsidRPr="00ED1C86" w:rsidRDefault="002D14A4" w:rsidP="002D14A4">
            <w:pPr>
              <w:pStyle w:val="CommentText"/>
              <w:spacing w:after="0"/>
              <w:rPr>
                <w:rFonts w:ascii="Arial" w:hAnsi="Arial" w:cs="Arial"/>
                <w:color w:val="203864"/>
              </w:rPr>
            </w:pPr>
            <w:r w:rsidRPr="00ED1C86">
              <w:rPr>
                <w:rFonts w:ascii="Arial" w:hAnsi="Arial" w:cs="Arial"/>
                <w:color w:val="203864"/>
              </w:rPr>
              <w:t>In the second paragraph, change “20216” to “2016”</w:t>
            </w:r>
          </w:p>
        </w:tc>
        <w:tc>
          <w:tcPr>
            <w:tcW w:w="2367" w:type="dxa"/>
          </w:tcPr>
          <w:p w:rsidR="002D14A4" w:rsidRPr="00E46075" w:rsidRDefault="00DF4868" w:rsidP="00E46075">
            <w:pPr>
              <w:spacing w:after="0" w:line="240" w:lineRule="auto"/>
              <w:rPr>
                <w:rFonts w:asciiTheme="majorHAnsi" w:hAnsiTheme="majorHAnsi"/>
              </w:rPr>
            </w:pPr>
            <w:r>
              <w:rPr>
                <w:rFonts w:asciiTheme="majorHAnsi" w:hAnsiTheme="majorHAnsi"/>
              </w:rPr>
              <w:t>changed</w:t>
            </w:r>
          </w:p>
        </w:tc>
      </w:tr>
      <w:tr w:rsidR="00E65F8C" w:rsidRPr="00CF5F54" w:rsidTr="00E65F8C">
        <w:trPr>
          <w:trHeight w:val="261"/>
        </w:trPr>
        <w:tc>
          <w:tcPr>
            <w:tcW w:w="1269" w:type="dxa"/>
          </w:tcPr>
          <w:p w:rsidR="00E65F8C" w:rsidRDefault="00E65F8C" w:rsidP="002D14A4">
            <w:pPr>
              <w:pStyle w:val="CommentText"/>
              <w:spacing w:after="0"/>
              <w:rPr>
                <w:rFonts w:asciiTheme="majorHAnsi" w:hAnsiTheme="majorHAnsi"/>
                <w:color w:val="203864"/>
                <w:sz w:val="22"/>
                <w:szCs w:val="22"/>
              </w:rPr>
            </w:pPr>
            <w:r>
              <w:rPr>
                <w:rFonts w:asciiTheme="majorHAnsi" w:hAnsiTheme="majorHAnsi"/>
                <w:color w:val="203864"/>
                <w:sz w:val="22"/>
                <w:szCs w:val="22"/>
              </w:rPr>
              <w:t>UNDP CO</w:t>
            </w:r>
          </w:p>
          <w:p w:rsidR="00E65F8C" w:rsidRDefault="00E65F8C" w:rsidP="00F3783E">
            <w:pPr>
              <w:pStyle w:val="CommentText"/>
              <w:spacing w:after="0"/>
              <w:rPr>
                <w:rFonts w:asciiTheme="majorHAnsi" w:hAnsiTheme="majorHAnsi"/>
                <w:color w:val="203864"/>
                <w:sz w:val="22"/>
                <w:szCs w:val="22"/>
              </w:rPr>
            </w:pPr>
            <w:proofErr w:type="spellStart"/>
            <w:r>
              <w:rPr>
                <w:rFonts w:asciiTheme="majorHAnsi" w:hAnsiTheme="majorHAnsi"/>
                <w:color w:val="203864"/>
                <w:sz w:val="22"/>
                <w:szCs w:val="22"/>
              </w:rPr>
              <w:t>Programme</w:t>
            </w:r>
            <w:proofErr w:type="spellEnd"/>
          </w:p>
          <w:p w:rsidR="00E65F8C" w:rsidRPr="002D14A4" w:rsidRDefault="00E65F8C" w:rsidP="00F3783E">
            <w:pPr>
              <w:pStyle w:val="CommentText"/>
              <w:spacing w:after="0"/>
              <w:rPr>
                <w:rFonts w:asciiTheme="majorHAnsi" w:hAnsiTheme="majorHAnsi"/>
                <w:color w:val="203864"/>
                <w:sz w:val="22"/>
                <w:szCs w:val="22"/>
              </w:rPr>
            </w:pPr>
            <w:r>
              <w:rPr>
                <w:rFonts w:asciiTheme="majorHAnsi" w:hAnsiTheme="majorHAnsi"/>
                <w:color w:val="203864"/>
                <w:sz w:val="22"/>
                <w:szCs w:val="22"/>
              </w:rPr>
              <w:t>Officer</w:t>
            </w:r>
          </w:p>
        </w:tc>
        <w:tc>
          <w:tcPr>
            <w:tcW w:w="608" w:type="dxa"/>
          </w:tcPr>
          <w:p w:rsidR="00E65F8C" w:rsidRPr="002D14A4" w:rsidRDefault="00E65F8C" w:rsidP="002D14A4">
            <w:pPr>
              <w:pStyle w:val="CommentText"/>
              <w:spacing w:after="0"/>
              <w:rPr>
                <w:rFonts w:asciiTheme="majorHAnsi" w:hAnsiTheme="majorHAnsi"/>
                <w:color w:val="203864"/>
                <w:sz w:val="22"/>
                <w:szCs w:val="22"/>
              </w:rPr>
            </w:pPr>
            <w:r>
              <w:rPr>
                <w:rFonts w:asciiTheme="majorHAnsi" w:hAnsiTheme="majorHAnsi"/>
                <w:color w:val="203864"/>
                <w:sz w:val="22"/>
                <w:szCs w:val="22"/>
              </w:rPr>
              <w:t>24</w:t>
            </w:r>
          </w:p>
        </w:tc>
        <w:tc>
          <w:tcPr>
            <w:tcW w:w="1808" w:type="dxa"/>
          </w:tcPr>
          <w:p w:rsidR="00E65F8C" w:rsidRPr="002D14A4" w:rsidRDefault="00E65F8C" w:rsidP="002D14A4">
            <w:pPr>
              <w:pStyle w:val="CommentText"/>
              <w:spacing w:after="0"/>
              <w:rPr>
                <w:rFonts w:asciiTheme="majorHAnsi" w:hAnsiTheme="majorHAnsi"/>
                <w:color w:val="203864"/>
                <w:sz w:val="22"/>
                <w:szCs w:val="22"/>
              </w:rPr>
            </w:pPr>
            <w:r>
              <w:rPr>
                <w:rFonts w:asciiTheme="majorHAnsi" w:hAnsiTheme="majorHAnsi"/>
                <w:color w:val="203864"/>
                <w:sz w:val="22"/>
                <w:szCs w:val="22"/>
              </w:rPr>
              <w:t>Tracking tool</w:t>
            </w:r>
          </w:p>
        </w:tc>
        <w:tc>
          <w:tcPr>
            <w:tcW w:w="3488" w:type="dxa"/>
          </w:tcPr>
          <w:p w:rsidR="00E65F8C" w:rsidRPr="00DF4868" w:rsidRDefault="00E65F8C" w:rsidP="002D14A4">
            <w:pPr>
              <w:pStyle w:val="CommentText"/>
              <w:spacing w:after="0"/>
              <w:rPr>
                <w:rFonts w:ascii="Arial" w:hAnsi="Arial" w:cs="Arial"/>
                <w:color w:val="203864"/>
                <w:highlight w:val="yellow"/>
              </w:rPr>
            </w:pPr>
            <w:proofErr w:type="gramStart"/>
            <w:r w:rsidRPr="004D4E99">
              <w:rPr>
                <w:rFonts w:ascii="Arial" w:hAnsi="Arial" w:cs="Arial"/>
                <w:color w:val="203864"/>
              </w:rPr>
              <w:t>the</w:t>
            </w:r>
            <w:proofErr w:type="gramEnd"/>
            <w:r w:rsidRPr="004D4E99">
              <w:rPr>
                <w:rFonts w:ascii="Arial" w:hAnsi="Arial" w:cs="Arial"/>
                <w:color w:val="203864"/>
              </w:rPr>
              <w:t xml:space="preserve"> tracking tool has to capture all emission reductions  - I note from the tracking tool that the Lifetime direct post-project GHG emissions avoided wasn’t filled.</w:t>
            </w:r>
          </w:p>
        </w:tc>
        <w:tc>
          <w:tcPr>
            <w:tcW w:w="2367" w:type="dxa"/>
          </w:tcPr>
          <w:p w:rsidR="00E65F8C" w:rsidRPr="00E65F8C" w:rsidRDefault="00E65F8C" w:rsidP="00C021B3">
            <w:pPr>
              <w:pStyle w:val="Default"/>
              <w:rPr>
                <w:rFonts w:ascii="Arial" w:hAnsi="Arial" w:cs="Arial"/>
                <w:sz w:val="20"/>
                <w:szCs w:val="20"/>
              </w:rPr>
            </w:pPr>
            <w:r>
              <w:rPr>
                <w:rFonts w:ascii="Arial" w:hAnsi="Arial" w:cs="Arial"/>
                <w:sz w:val="20"/>
                <w:szCs w:val="20"/>
              </w:rPr>
              <w:t>The calculation of GHG ER in the Project Document (p.15), differentiates between ER from PV generation realized by the end of project (</w:t>
            </w:r>
            <w:r w:rsidRPr="002C5967">
              <w:rPr>
                <w:rFonts w:ascii="Arial" w:hAnsi="Arial" w:cs="Arial"/>
                <w:b/>
                <w:sz w:val="20"/>
                <w:szCs w:val="20"/>
              </w:rPr>
              <w:t>13295 tCO2</w:t>
            </w:r>
            <w:r>
              <w:rPr>
                <w:rFonts w:ascii="Arial" w:hAnsi="Arial" w:cs="Arial"/>
                <w:sz w:val="20"/>
                <w:szCs w:val="20"/>
              </w:rPr>
              <w:t>), and the cumulative ER of PV generation over the 20 year lifecycle of the equipment installed under the project (</w:t>
            </w:r>
            <w:r w:rsidRPr="00FE52D3">
              <w:rPr>
                <w:rFonts w:ascii="Arial" w:hAnsi="Arial" w:cs="Arial"/>
                <w:b/>
                <w:sz w:val="20"/>
                <w:szCs w:val="20"/>
              </w:rPr>
              <w:t>98400 tCO2</w:t>
            </w:r>
            <w:r>
              <w:rPr>
                <w:rFonts w:ascii="Arial" w:hAnsi="Arial" w:cs="Arial"/>
                <w:sz w:val="20"/>
                <w:szCs w:val="20"/>
              </w:rPr>
              <w:t xml:space="preserve"> labeled ‘Direct post-project without replication</w:t>
            </w:r>
            <w:r w:rsidR="00C021B3" w:rsidRPr="007157B4">
              <w:rPr>
                <w:rFonts w:ascii="Arial" w:hAnsi="Arial" w:cs="Arial"/>
                <w:sz w:val="20"/>
                <w:szCs w:val="20"/>
              </w:rPr>
              <w:t xml:space="preserve"> (20-year equipment projected life)</w:t>
            </w:r>
            <w:r>
              <w:rPr>
                <w:rFonts w:ascii="Arial" w:hAnsi="Arial" w:cs="Arial"/>
                <w:sz w:val="20"/>
                <w:szCs w:val="20"/>
              </w:rPr>
              <w:t>’ in Table 3</w:t>
            </w:r>
            <w:r w:rsidR="00C021B3">
              <w:rPr>
                <w:rFonts w:ascii="Arial" w:hAnsi="Arial" w:cs="Arial"/>
                <w:sz w:val="20"/>
                <w:szCs w:val="20"/>
              </w:rPr>
              <w:t xml:space="preserve"> of the </w:t>
            </w:r>
            <w:proofErr w:type="spellStart"/>
            <w:r w:rsidR="00C021B3">
              <w:rPr>
                <w:rFonts w:ascii="Arial" w:hAnsi="Arial" w:cs="Arial"/>
                <w:sz w:val="20"/>
                <w:szCs w:val="20"/>
              </w:rPr>
              <w:t>Prodoc</w:t>
            </w:r>
            <w:proofErr w:type="spellEnd"/>
            <w:r>
              <w:rPr>
                <w:rFonts w:ascii="Arial" w:hAnsi="Arial" w:cs="Arial"/>
                <w:sz w:val="20"/>
                <w:szCs w:val="20"/>
              </w:rPr>
              <w:t xml:space="preserve">). These figures have been entered in the Tracking Tool under ‘CEO Endorsement Target’ respectively as ‘Lifetime direct GHG emissions avoided’ and ‘Lifetime direct post-project GHG emissions avoided.’  However according to the </w:t>
            </w:r>
            <w:r w:rsidRPr="002C5967">
              <w:rPr>
                <w:rFonts w:ascii="Arial" w:hAnsi="Arial" w:cs="Arial"/>
                <w:i/>
                <w:sz w:val="20"/>
                <w:szCs w:val="20"/>
              </w:rPr>
              <w:t>Manual for Calculating GHG Benefits of GEF Projects: Energy Efficiency and Renewable Energy Pro</w:t>
            </w:r>
            <w:r w:rsidR="00B323B9">
              <w:rPr>
                <w:rFonts w:ascii="Arial" w:hAnsi="Arial" w:cs="Arial"/>
                <w:i/>
                <w:sz w:val="20"/>
                <w:szCs w:val="20"/>
              </w:rPr>
              <w:t>-</w:t>
            </w:r>
            <w:proofErr w:type="spellStart"/>
            <w:r w:rsidRPr="002C5967">
              <w:rPr>
                <w:rFonts w:ascii="Arial" w:hAnsi="Arial" w:cs="Arial"/>
                <w:i/>
                <w:sz w:val="20"/>
                <w:szCs w:val="20"/>
              </w:rPr>
              <w:t>jects</w:t>
            </w:r>
            <w:proofErr w:type="spellEnd"/>
            <w:r>
              <w:rPr>
                <w:rFonts w:ascii="Arial" w:hAnsi="Arial" w:cs="Arial"/>
                <w:i/>
                <w:sz w:val="20"/>
                <w:szCs w:val="20"/>
              </w:rPr>
              <w:t xml:space="preserve"> 2008</w:t>
            </w:r>
            <w:r w:rsidRPr="00AD4210">
              <w:rPr>
                <w:rFonts w:ascii="Arial" w:hAnsi="Arial" w:cs="Arial"/>
                <w:sz w:val="20"/>
                <w:szCs w:val="20"/>
              </w:rPr>
              <w:t>,</w:t>
            </w:r>
            <w:r>
              <w:rPr>
                <w:rFonts w:ascii="Arial" w:hAnsi="Arial" w:cs="Arial"/>
                <w:sz w:val="20"/>
                <w:szCs w:val="20"/>
              </w:rPr>
              <w:t xml:space="preserve"> </w:t>
            </w:r>
            <w:r w:rsidRPr="00AD4210">
              <w:rPr>
                <w:rFonts w:ascii="Arial" w:hAnsi="Arial" w:cs="Arial"/>
                <w:sz w:val="20"/>
                <w:szCs w:val="20"/>
              </w:rPr>
              <w:t>Direct ER are</w:t>
            </w:r>
            <w:r>
              <w:rPr>
                <w:rFonts w:ascii="Arial" w:hAnsi="Arial" w:cs="Arial"/>
                <w:i/>
                <w:sz w:val="20"/>
                <w:szCs w:val="20"/>
              </w:rPr>
              <w:t xml:space="preserve"> </w:t>
            </w:r>
            <w:r>
              <w:rPr>
                <w:rFonts w:ascii="Arial" w:hAnsi="Arial" w:cs="Arial"/>
                <w:sz w:val="20"/>
                <w:szCs w:val="20"/>
              </w:rPr>
              <w:t xml:space="preserve">the cumulative ER over the lifecycle of the equipment installed under the project </w:t>
            </w:r>
            <w:r w:rsidR="006631AD">
              <w:rPr>
                <w:rFonts w:ascii="Arial" w:hAnsi="Arial" w:cs="Arial"/>
                <w:sz w:val="20"/>
                <w:szCs w:val="20"/>
              </w:rPr>
              <w:t>(</w:t>
            </w:r>
            <w:r w:rsidR="00B323B9">
              <w:rPr>
                <w:rFonts w:ascii="Arial" w:hAnsi="Arial" w:cs="Arial"/>
                <w:sz w:val="20"/>
                <w:szCs w:val="20"/>
              </w:rPr>
              <w:t xml:space="preserve">in this case </w:t>
            </w:r>
            <w:r w:rsidR="006631AD">
              <w:rPr>
                <w:rFonts w:ascii="Arial" w:hAnsi="Arial" w:cs="Arial"/>
                <w:sz w:val="20"/>
                <w:szCs w:val="20"/>
              </w:rPr>
              <w:t>98400</w:t>
            </w:r>
            <w:r w:rsidR="00B323B9">
              <w:rPr>
                <w:rFonts w:ascii="Arial" w:hAnsi="Arial" w:cs="Arial"/>
                <w:sz w:val="20"/>
                <w:szCs w:val="20"/>
              </w:rPr>
              <w:t>tCO</w:t>
            </w:r>
            <w:r w:rsidR="00B323B9" w:rsidRPr="00B323B9">
              <w:rPr>
                <w:rFonts w:ascii="Arial" w:hAnsi="Arial" w:cs="Arial"/>
                <w:sz w:val="20"/>
                <w:szCs w:val="20"/>
                <w:vertAlign w:val="subscript"/>
              </w:rPr>
              <w:t>2</w:t>
            </w:r>
            <w:r w:rsidR="006631AD">
              <w:rPr>
                <w:rFonts w:ascii="Arial" w:hAnsi="Arial" w:cs="Arial"/>
                <w:sz w:val="20"/>
                <w:szCs w:val="20"/>
              </w:rPr>
              <w:t xml:space="preserve"> target in </w:t>
            </w:r>
            <w:proofErr w:type="spellStart"/>
            <w:r w:rsidR="006631AD">
              <w:rPr>
                <w:rFonts w:ascii="Arial" w:hAnsi="Arial" w:cs="Arial"/>
                <w:sz w:val="20"/>
                <w:szCs w:val="20"/>
              </w:rPr>
              <w:t>Prodoc</w:t>
            </w:r>
            <w:proofErr w:type="spellEnd"/>
            <w:r w:rsidR="006631AD">
              <w:rPr>
                <w:rFonts w:ascii="Arial" w:hAnsi="Arial" w:cs="Arial"/>
                <w:sz w:val="20"/>
                <w:szCs w:val="20"/>
              </w:rPr>
              <w:t xml:space="preserve">) </w:t>
            </w:r>
            <w:r>
              <w:rPr>
                <w:rFonts w:ascii="Arial" w:hAnsi="Arial" w:cs="Arial"/>
                <w:sz w:val="20"/>
                <w:szCs w:val="20"/>
              </w:rPr>
              <w:t xml:space="preserve">and Direct Post-Project ER result </w:t>
            </w:r>
            <w:r w:rsidR="004772A9">
              <w:rPr>
                <w:rFonts w:ascii="Arial" w:hAnsi="Arial" w:cs="Arial"/>
                <w:sz w:val="20"/>
                <w:szCs w:val="20"/>
              </w:rPr>
              <w:t xml:space="preserve">only </w:t>
            </w:r>
            <w:r>
              <w:rPr>
                <w:rFonts w:ascii="Arial" w:hAnsi="Arial" w:cs="Arial"/>
                <w:sz w:val="20"/>
                <w:szCs w:val="20"/>
              </w:rPr>
              <w:t>from i</w:t>
            </w:r>
            <w:r w:rsidRPr="002C5967">
              <w:rPr>
                <w:rFonts w:ascii="Arial" w:hAnsi="Arial" w:cs="Arial"/>
                <w:sz w:val="20"/>
                <w:szCs w:val="20"/>
              </w:rPr>
              <w:t xml:space="preserve">nvestments supported by </w:t>
            </w:r>
            <w:r>
              <w:rPr>
                <w:rFonts w:ascii="Arial" w:hAnsi="Arial" w:cs="Arial"/>
                <w:sz w:val="20"/>
                <w:szCs w:val="20"/>
              </w:rPr>
              <w:t>financial</w:t>
            </w:r>
            <w:r w:rsidRPr="002C5967">
              <w:rPr>
                <w:rFonts w:ascii="Arial" w:hAnsi="Arial" w:cs="Arial"/>
                <w:sz w:val="20"/>
                <w:szCs w:val="20"/>
              </w:rPr>
              <w:t xml:space="preserve"> mechanisms (e.g., revolving funds) </w:t>
            </w:r>
            <w:r>
              <w:rPr>
                <w:rFonts w:ascii="Arial" w:hAnsi="Arial" w:cs="Arial"/>
                <w:sz w:val="20"/>
                <w:szCs w:val="20"/>
              </w:rPr>
              <w:t xml:space="preserve">put in place by the project </w:t>
            </w:r>
            <w:r w:rsidRPr="002C5967">
              <w:rPr>
                <w:rFonts w:ascii="Arial" w:hAnsi="Arial" w:cs="Arial"/>
                <w:sz w:val="20"/>
                <w:szCs w:val="20"/>
              </w:rPr>
              <w:t>that continue operating after the end of the project</w:t>
            </w:r>
            <w:r>
              <w:rPr>
                <w:rFonts w:ascii="Arial" w:hAnsi="Arial" w:cs="Arial"/>
                <w:sz w:val="20"/>
                <w:szCs w:val="20"/>
              </w:rPr>
              <w:t xml:space="preserve">. As this PV project did not </w:t>
            </w:r>
            <w:r w:rsidR="00C021B3">
              <w:rPr>
                <w:rFonts w:ascii="Arial" w:hAnsi="Arial" w:cs="Arial"/>
                <w:sz w:val="20"/>
                <w:szCs w:val="20"/>
              </w:rPr>
              <w:t xml:space="preserve">plan or implement </w:t>
            </w:r>
            <w:r>
              <w:rPr>
                <w:rFonts w:ascii="Arial" w:hAnsi="Arial" w:cs="Arial"/>
                <w:sz w:val="20"/>
                <w:szCs w:val="20"/>
              </w:rPr>
              <w:t xml:space="preserve">such a mechanism, the </w:t>
            </w:r>
            <w:r w:rsidR="00B323B9">
              <w:rPr>
                <w:rFonts w:ascii="Arial" w:hAnsi="Arial" w:cs="Arial"/>
                <w:sz w:val="20"/>
                <w:szCs w:val="20"/>
              </w:rPr>
              <w:t>D</w:t>
            </w:r>
            <w:r>
              <w:rPr>
                <w:rFonts w:ascii="Arial" w:hAnsi="Arial" w:cs="Arial"/>
                <w:sz w:val="20"/>
                <w:szCs w:val="20"/>
              </w:rPr>
              <w:t xml:space="preserve">irect post-project ER </w:t>
            </w:r>
            <w:r w:rsidR="00B323B9">
              <w:rPr>
                <w:rFonts w:ascii="Arial" w:hAnsi="Arial" w:cs="Arial"/>
                <w:sz w:val="20"/>
                <w:szCs w:val="20"/>
              </w:rPr>
              <w:t>(targeted and achieved) should be</w:t>
            </w:r>
            <w:r>
              <w:rPr>
                <w:rFonts w:ascii="Arial" w:hAnsi="Arial" w:cs="Arial"/>
                <w:sz w:val="20"/>
                <w:szCs w:val="20"/>
              </w:rPr>
              <w:t xml:space="preserve"> considered as zero.</w:t>
            </w:r>
          </w:p>
        </w:tc>
      </w:tr>
      <w:tr w:rsidR="00E65F8C" w:rsidRPr="00CF5F54" w:rsidTr="00E65F8C">
        <w:trPr>
          <w:trHeight w:val="261"/>
        </w:trPr>
        <w:tc>
          <w:tcPr>
            <w:tcW w:w="1269" w:type="dxa"/>
          </w:tcPr>
          <w:p w:rsidR="00E65F8C" w:rsidRDefault="00E65F8C" w:rsidP="00A920F8">
            <w:pPr>
              <w:pStyle w:val="CommentText"/>
              <w:spacing w:after="0"/>
              <w:rPr>
                <w:rFonts w:asciiTheme="majorHAnsi" w:hAnsiTheme="majorHAnsi"/>
                <w:color w:val="203864"/>
                <w:sz w:val="22"/>
                <w:szCs w:val="22"/>
              </w:rPr>
            </w:pPr>
            <w:r>
              <w:rPr>
                <w:rFonts w:asciiTheme="majorHAnsi" w:hAnsiTheme="majorHAnsi"/>
                <w:color w:val="203864"/>
                <w:sz w:val="22"/>
                <w:szCs w:val="22"/>
              </w:rPr>
              <w:t xml:space="preserve">UNDP CO </w:t>
            </w:r>
            <w:proofErr w:type="spellStart"/>
            <w:r>
              <w:rPr>
                <w:rFonts w:asciiTheme="majorHAnsi" w:hAnsiTheme="majorHAnsi"/>
                <w:color w:val="203864"/>
                <w:sz w:val="22"/>
                <w:szCs w:val="22"/>
              </w:rPr>
              <w:t>Programme</w:t>
            </w:r>
            <w:proofErr w:type="spellEnd"/>
          </w:p>
          <w:p w:rsidR="00E65F8C" w:rsidRPr="00F3783E" w:rsidRDefault="00E65F8C" w:rsidP="00A920F8">
            <w:pPr>
              <w:pStyle w:val="CommentText"/>
              <w:spacing w:after="0"/>
              <w:rPr>
                <w:rFonts w:asciiTheme="majorHAnsi" w:hAnsiTheme="majorHAnsi"/>
                <w:color w:val="203864"/>
                <w:szCs w:val="22"/>
              </w:rPr>
            </w:pPr>
            <w:r>
              <w:rPr>
                <w:rFonts w:asciiTheme="majorHAnsi" w:hAnsiTheme="majorHAnsi"/>
                <w:color w:val="203864"/>
                <w:sz w:val="22"/>
                <w:szCs w:val="22"/>
              </w:rPr>
              <w:t>Officer</w:t>
            </w:r>
          </w:p>
        </w:tc>
        <w:tc>
          <w:tcPr>
            <w:tcW w:w="608" w:type="dxa"/>
          </w:tcPr>
          <w:p w:rsidR="00E65F8C" w:rsidRPr="002D14A4" w:rsidRDefault="00E65F8C" w:rsidP="002D14A4">
            <w:pPr>
              <w:pStyle w:val="CommentText"/>
              <w:spacing w:after="0"/>
              <w:rPr>
                <w:rFonts w:asciiTheme="majorHAnsi" w:hAnsiTheme="majorHAnsi"/>
                <w:color w:val="203864"/>
                <w:sz w:val="22"/>
                <w:szCs w:val="22"/>
              </w:rPr>
            </w:pPr>
            <w:r>
              <w:rPr>
                <w:rFonts w:asciiTheme="majorHAnsi" w:hAnsiTheme="majorHAnsi"/>
                <w:color w:val="203864"/>
                <w:sz w:val="22"/>
                <w:szCs w:val="22"/>
              </w:rPr>
              <w:t>25</w:t>
            </w:r>
          </w:p>
        </w:tc>
        <w:tc>
          <w:tcPr>
            <w:tcW w:w="1808" w:type="dxa"/>
          </w:tcPr>
          <w:p w:rsidR="00E65F8C" w:rsidRPr="002D14A4" w:rsidRDefault="00FF03ED" w:rsidP="002D14A4">
            <w:pPr>
              <w:pStyle w:val="CommentText"/>
              <w:spacing w:after="0"/>
              <w:rPr>
                <w:rFonts w:asciiTheme="majorHAnsi" w:hAnsiTheme="majorHAnsi"/>
                <w:color w:val="203864"/>
                <w:sz w:val="22"/>
                <w:szCs w:val="22"/>
              </w:rPr>
            </w:pPr>
            <w:r>
              <w:rPr>
                <w:rFonts w:asciiTheme="majorHAnsi" w:hAnsiTheme="majorHAnsi"/>
                <w:color w:val="203864"/>
                <w:sz w:val="22"/>
                <w:szCs w:val="22"/>
              </w:rPr>
              <w:t>Table 7</w:t>
            </w:r>
          </w:p>
        </w:tc>
        <w:tc>
          <w:tcPr>
            <w:tcW w:w="3488" w:type="dxa"/>
          </w:tcPr>
          <w:p w:rsidR="00E65F8C" w:rsidRPr="004D4E99" w:rsidRDefault="00E65F8C" w:rsidP="002D14A4">
            <w:pPr>
              <w:pStyle w:val="CommentText"/>
              <w:spacing w:after="0"/>
              <w:rPr>
                <w:rFonts w:ascii="Arial" w:hAnsi="Arial" w:cs="Arial"/>
                <w:color w:val="203864"/>
              </w:rPr>
            </w:pPr>
            <w:r w:rsidRPr="004D4E99">
              <w:rPr>
                <w:rFonts w:ascii="Arial" w:hAnsi="Arial" w:cs="Arial"/>
                <w:color w:val="203864"/>
              </w:rPr>
              <w:t xml:space="preserve">Also in the log frame, only direct emission reductions are mentioned whereas the log frame approved at CEO endorsement mentioned indirect emission reductions as well namely: </w:t>
            </w:r>
          </w:p>
          <w:p w:rsidR="00E65F8C" w:rsidRPr="004D4E99" w:rsidRDefault="00E65F8C" w:rsidP="002D14A4">
            <w:pPr>
              <w:pStyle w:val="CommentText"/>
              <w:spacing w:after="0"/>
              <w:rPr>
                <w:rFonts w:asciiTheme="majorHAnsi" w:hAnsiTheme="majorHAnsi"/>
                <w:i/>
                <w:color w:val="203864"/>
              </w:rPr>
            </w:pPr>
            <w:r w:rsidRPr="004D4E99">
              <w:rPr>
                <w:rFonts w:asciiTheme="majorHAnsi" w:hAnsiTheme="majorHAnsi"/>
                <w:b/>
                <w:i/>
                <w:color w:val="203864"/>
              </w:rPr>
              <w:t>Direct reduction</w:t>
            </w:r>
            <w:r w:rsidRPr="004D4E99">
              <w:rPr>
                <w:rFonts w:asciiTheme="majorHAnsi" w:hAnsiTheme="majorHAnsi"/>
                <w:i/>
                <w:color w:val="203864"/>
              </w:rPr>
              <w:t xml:space="preserve"> of </w:t>
            </w:r>
            <w:r w:rsidRPr="004D4E99">
              <w:rPr>
                <w:rFonts w:asciiTheme="majorHAnsi" w:hAnsiTheme="majorHAnsi"/>
                <w:b/>
                <w:i/>
                <w:color w:val="203864"/>
              </w:rPr>
              <w:t>13,295 tons of CO2</w:t>
            </w:r>
            <w:r w:rsidRPr="004D4E99">
              <w:rPr>
                <w:rFonts w:asciiTheme="majorHAnsi" w:hAnsiTheme="majorHAnsi"/>
                <w:i/>
                <w:color w:val="203864"/>
              </w:rPr>
              <w:t xml:space="preserve"> over the 4-year FSP project life cycle and </w:t>
            </w:r>
            <w:r w:rsidRPr="004D4E99">
              <w:rPr>
                <w:rFonts w:asciiTheme="majorHAnsi" w:hAnsiTheme="majorHAnsi"/>
                <w:b/>
                <w:i/>
                <w:color w:val="203864"/>
              </w:rPr>
              <w:t>98,400</w:t>
            </w:r>
            <w:r w:rsidRPr="004D4E99">
              <w:rPr>
                <w:rFonts w:asciiTheme="majorHAnsi" w:hAnsiTheme="majorHAnsi"/>
                <w:i/>
                <w:color w:val="203864"/>
              </w:rPr>
              <w:t xml:space="preserve"> over the full lifetime of the plants. Estimated cumulative </w:t>
            </w:r>
            <w:r w:rsidRPr="004D4E99">
              <w:rPr>
                <w:rFonts w:asciiTheme="majorHAnsi" w:hAnsiTheme="majorHAnsi"/>
                <w:b/>
                <w:i/>
                <w:color w:val="203864"/>
              </w:rPr>
              <w:t>indirect GHG emission reduction</w:t>
            </w:r>
            <w:r w:rsidRPr="004D4E99">
              <w:rPr>
                <w:rFonts w:asciiTheme="majorHAnsi" w:hAnsiTheme="majorHAnsi"/>
                <w:i/>
                <w:color w:val="203864"/>
              </w:rPr>
              <w:t xml:space="preserve"> of at least </w:t>
            </w:r>
            <w:r w:rsidRPr="004D4E99">
              <w:rPr>
                <w:rFonts w:asciiTheme="majorHAnsi" w:hAnsiTheme="majorHAnsi"/>
                <w:b/>
                <w:i/>
                <w:color w:val="203864"/>
              </w:rPr>
              <w:t>350,000 tons of CO</w:t>
            </w:r>
            <w:r w:rsidRPr="004D4E99">
              <w:rPr>
                <w:rFonts w:asciiTheme="majorHAnsi" w:hAnsiTheme="majorHAnsi"/>
                <w:b/>
                <w:i/>
                <w:color w:val="203864"/>
                <w:sz w:val="16"/>
              </w:rPr>
              <w:t>2eq</w:t>
            </w:r>
            <w:r w:rsidRPr="004D4E99">
              <w:rPr>
                <w:rFonts w:asciiTheme="majorHAnsi" w:hAnsiTheme="majorHAnsi"/>
                <w:i/>
                <w:color w:val="203864"/>
              </w:rPr>
              <w:t xml:space="preserve"> by 2025 on the basis of a conservative policy scenario and a GEF causality factor of 80%. </w:t>
            </w:r>
          </w:p>
          <w:p w:rsidR="00E65F8C" w:rsidRPr="002F5847" w:rsidRDefault="00E65F8C" w:rsidP="002D14A4">
            <w:pPr>
              <w:pStyle w:val="CommentText"/>
              <w:spacing w:after="0"/>
              <w:rPr>
                <w:rFonts w:ascii="Arial" w:hAnsi="Arial" w:cs="Arial"/>
                <w:color w:val="203864"/>
                <w:highlight w:val="yellow"/>
              </w:rPr>
            </w:pPr>
            <w:r w:rsidRPr="004D4E99">
              <w:rPr>
                <w:rFonts w:ascii="Arial" w:hAnsi="Arial" w:cs="Arial"/>
                <w:color w:val="203864"/>
              </w:rPr>
              <w:t xml:space="preserve">Hence, please ensure that the different categories of emission reductions are well captured in the report. </w:t>
            </w:r>
          </w:p>
        </w:tc>
        <w:tc>
          <w:tcPr>
            <w:tcW w:w="2367" w:type="dxa"/>
          </w:tcPr>
          <w:p w:rsidR="00E65F8C" w:rsidRDefault="004D4E99" w:rsidP="009E4D6F">
            <w:pPr>
              <w:spacing w:after="0" w:line="240" w:lineRule="auto"/>
              <w:rPr>
                <w:rFonts w:ascii="Arial" w:hAnsi="Arial" w:cs="Arial"/>
                <w:color w:val="000000"/>
                <w:sz w:val="20"/>
                <w:szCs w:val="20"/>
              </w:rPr>
            </w:pPr>
            <w:r>
              <w:rPr>
                <w:rFonts w:ascii="Arial" w:hAnsi="Arial" w:cs="Arial"/>
                <w:color w:val="000000"/>
                <w:sz w:val="20"/>
                <w:szCs w:val="20"/>
              </w:rPr>
              <w:t xml:space="preserve">Based on </w:t>
            </w:r>
            <w:r w:rsidR="009E4D6F">
              <w:rPr>
                <w:rFonts w:ascii="Arial" w:hAnsi="Arial" w:cs="Arial"/>
                <w:color w:val="000000"/>
                <w:sz w:val="20"/>
                <w:szCs w:val="20"/>
              </w:rPr>
              <w:t xml:space="preserve">data from CEB about ongoing </w:t>
            </w:r>
            <w:proofErr w:type="spellStart"/>
            <w:r w:rsidR="009E4D6F">
              <w:rPr>
                <w:rFonts w:ascii="Arial" w:hAnsi="Arial" w:cs="Arial"/>
                <w:color w:val="000000"/>
                <w:sz w:val="20"/>
                <w:szCs w:val="20"/>
              </w:rPr>
              <w:t>programmes</w:t>
            </w:r>
            <w:proofErr w:type="spellEnd"/>
            <w:r w:rsidR="009E4D6F">
              <w:rPr>
                <w:rFonts w:ascii="Arial" w:hAnsi="Arial" w:cs="Arial"/>
                <w:color w:val="000000"/>
                <w:sz w:val="20"/>
                <w:szCs w:val="20"/>
              </w:rPr>
              <w:t xml:space="preserve"> and </w:t>
            </w:r>
            <w:r>
              <w:rPr>
                <w:rFonts w:ascii="Arial" w:hAnsi="Arial" w:cs="Arial"/>
                <w:color w:val="000000"/>
                <w:sz w:val="20"/>
                <w:szCs w:val="20"/>
              </w:rPr>
              <w:t xml:space="preserve">expected installations </w:t>
            </w:r>
            <w:r w:rsidR="009E4D6F">
              <w:rPr>
                <w:rFonts w:ascii="Arial" w:hAnsi="Arial" w:cs="Arial"/>
                <w:color w:val="000000"/>
                <w:sz w:val="20"/>
                <w:szCs w:val="20"/>
              </w:rPr>
              <w:t>after the project close, (</w:t>
            </w:r>
            <w:r w:rsidR="009E4D6F" w:rsidRPr="009E4D6F">
              <w:rPr>
                <w:rFonts w:ascii="Arial" w:hAnsi="Arial" w:cs="Arial"/>
                <w:color w:val="000000"/>
                <w:sz w:val="20"/>
                <w:szCs w:val="20"/>
              </w:rPr>
              <w:t xml:space="preserve">over 100MW additional PV capacity by 2025) </w:t>
            </w:r>
            <w:r w:rsidR="009E4D6F">
              <w:rPr>
                <w:rFonts w:ascii="Arial" w:hAnsi="Arial" w:cs="Arial"/>
                <w:color w:val="000000"/>
                <w:sz w:val="20"/>
                <w:szCs w:val="20"/>
              </w:rPr>
              <w:t>i</w:t>
            </w:r>
            <w:r w:rsidRPr="004D4E99">
              <w:rPr>
                <w:rFonts w:ascii="Arial" w:hAnsi="Arial" w:cs="Arial"/>
                <w:color w:val="000000"/>
                <w:sz w:val="20"/>
                <w:szCs w:val="20"/>
              </w:rPr>
              <w:t>ndirect E</w:t>
            </w:r>
            <w:r>
              <w:rPr>
                <w:rFonts w:ascii="Arial" w:hAnsi="Arial" w:cs="Arial"/>
                <w:color w:val="000000"/>
                <w:sz w:val="20"/>
                <w:szCs w:val="20"/>
              </w:rPr>
              <w:t xml:space="preserve">R </w:t>
            </w:r>
            <w:r w:rsidR="009E4D6F">
              <w:rPr>
                <w:rFonts w:ascii="Arial" w:hAnsi="Arial" w:cs="Arial"/>
                <w:color w:val="000000"/>
                <w:sz w:val="20"/>
                <w:szCs w:val="20"/>
              </w:rPr>
              <w:t xml:space="preserve">(bottom up) </w:t>
            </w:r>
            <w:r>
              <w:rPr>
                <w:rFonts w:ascii="Arial" w:hAnsi="Arial" w:cs="Arial"/>
                <w:color w:val="000000"/>
                <w:sz w:val="20"/>
                <w:szCs w:val="20"/>
              </w:rPr>
              <w:t xml:space="preserve">is </w:t>
            </w:r>
            <w:r w:rsidRPr="004D4E99">
              <w:rPr>
                <w:rFonts w:ascii="Arial" w:hAnsi="Arial" w:cs="Arial"/>
                <w:color w:val="000000"/>
                <w:sz w:val="20"/>
                <w:szCs w:val="20"/>
              </w:rPr>
              <w:t xml:space="preserve">estimated </w:t>
            </w:r>
            <w:r w:rsidR="009E4D6F">
              <w:rPr>
                <w:rFonts w:ascii="Arial" w:hAnsi="Arial" w:cs="Arial"/>
                <w:color w:val="000000"/>
                <w:sz w:val="20"/>
                <w:szCs w:val="20"/>
              </w:rPr>
              <w:t>at</w:t>
            </w:r>
            <w:r w:rsidRPr="004D4E99">
              <w:rPr>
                <w:rFonts w:ascii="Arial" w:hAnsi="Arial" w:cs="Arial"/>
                <w:color w:val="000000"/>
                <w:sz w:val="20"/>
                <w:szCs w:val="20"/>
              </w:rPr>
              <w:t xml:space="preserve"> 1058 ktCO2</w:t>
            </w:r>
            <w:r>
              <w:rPr>
                <w:rFonts w:ascii="Arial" w:hAnsi="Arial" w:cs="Arial"/>
                <w:color w:val="000000"/>
                <w:sz w:val="20"/>
                <w:szCs w:val="20"/>
              </w:rPr>
              <w:t xml:space="preserve"> which is 3 </w:t>
            </w:r>
            <w:r w:rsidR="009E4D6F">
              <w:rPr>
                <w:rFonts w:ascii="Arial" w:hAnsi="Arial" w:cs="Arial"/>
                <w:color w:val="000000"/>
                <w:sz w:val="20"/>
                <w:szCs w:val="20"/>
              </w:rPr>
              <w:t>times the original target</w:t>
            </w:r>
            <w:r>
              <w:rPr>
                <w:rFonts w:ascii="Arial" w:hAnsi="Arial" w:cs="Arial"/>
                <w:color w:val="000000"/>
                <w:sz w:val="20"/>
                <w:szCs w:val="20"/>
              </w:rPr>
              <w:t>.</w:t>
            </w:r>
          </w:p>
          <w:p w:rsidR="00B323B9" w:rsidRPr="004D4E99" w:rsidRDefault="00B323B9" w:rsidP="009E4D6F">
            <w:pPr>
              <w:spacing w:after="0" w:line="240" w:lineRule="auto"/>
              <w:rPr>
                <w:rFonts w:ascii="Arial" w:hAnsi="Arial" w:cs="Arial"/>
                <w:sz w:val="20"/>
                <w:szCs w:val="20"/>
              </w:rPr>
            </w:pPr>
            <w:r>
              <w:rPr>
                <w:rFonts w:ascii="Arial" w:hAnsi="Arial" w:cs="Arial"/>
                <w:color w:val="000000"/>
                <w:sz w:val="20"/>
                <w:szCs w:val="20"/>
              </w:rPr>
              <w:t>Conservative top down indirect ER is estimated at 2562 ktCO</w:t>
            </w:r>
            <w:r w:rsidRPr="00B323B9">
              <w:rPr>
                <w:rFonts w:ascii="Arial" w:hAnsi="Arial" w:cs="Arial"/>
                <w:color w:val="000000"/>
                <w:sz w:val="20"/>
                <w:szCs w:val="20"/>
                <w:vertAlign w:val="subscript"/>
              </w:rPr>
              <w:t>2</w:t>
            </w:r>
          </w:p>
        </w:tc>
      </w:tr>
    </w:tbl>
    <w:p w:rsidR="009A58D3" w:rsidRPr="00CF5F54" w:rsidRDefault="009A58D3" w:rsidP="00824EAB">
      <w:pPr>
        <w:pStyle w:val="Heading2"/>
        <w:rPr>
          <w:rFonts w:ascii="Calibri" w:hAnsi="Calibri"/>
        </w:rPr>
      </w:pPr>
    </w:p>
    <w:sectPr w:rsidR="009A58D3" w:rsidRPr="00CF5F54" w:rsidSect="00F3783E">
      <w:footerReference w:type="even" r:id="rId7"/>
      <w:footerReference w:type="default" r:id="rId8"/>
      <w:pgSz w:w="12240" w:h="15840"/>
      <w:pgMar w:top="1440" w:right="1440"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1B3" w:rsidRDefault="00C021B3" w:rsidP="00824EAB">
      <w:pPr>
        <w:spacing w:after="0" w:line="240" w:lineRule="auto"/>
      </w:pPr>
      <w:r>
        <w:separator/>
      </w:r>
    </w:p>
  </w:endnote>
  <w:endnote w:type="continuationSeparator" w:id="1">
    <w:p w:rsidR="00C021B3" w:rsidRDefault="00C021B3" w:rsidP="00824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219"/>
      <w:docPartObj>
        <w:docPartGallery w:val="Page Numbers (Bottom of Page)"/>
        <w:docPartUnique/>
      </w:docPartObj>
    </w:sdtPr>
    <w:sdtEndPr>
      <w:rPr>
        <w:noProof/>
      </w:rPr>
    </w:sdtEndPr>
    <w:sdtContent>
      <w:p w:rsidR="00C021B3" w:rsidRDefault="00C021B3">
        <w:pPr>
          <w:pStyle w:val="Footer"/>
        </w:pPr>
      </w:p>
      <w:p w:rsidR="00C021B3" w:rsidRDefault="00C021B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58</w:t>
        </w:r>
        <w:r w:rsidRPr="00A66833">
          <w:rPr>
            <w:rFonts w:ascii="Garamond" w:hAnsi="Garamond"/>
            <w:noProof/>
          </w:rPr>
          <w:fldChar w:fldCharType="end"/>
        </w:r>
        <w:r w:rsidRPr="004655A6">
          <w:rPr>
            <w:rFonts w:ascii="Garamond" w:hAnsi="Garamond"/>
          </w:rPr>
          <w:t xml:space="preserve"> </w:t>
        </w:r>
        <w:r>
          <w:rPr>
            <w:rFonts w:ascii="Garamond" w:hAnsi="Garamond"/>
          </w:rPr>
          <w:tab/>
        </w:r>
        <w:r>
          <w:rPr>
            <w:rFonts w:ascii="Garamond" w:hAnsi="Garamond"/>
          </w:rPr>
          <w:tab/>
          <w:t xml:space="preserve">ANNEX </w:t>
        </w:r>
        <w:proofErr w:type="gramStart"/>
        <w:r>
          <w:rPr>
            <w:rFonts w:ascii="Garamond" w:hAnsi="Garamond"/>
          </w:rPr>
          <w:t>12  Report</w:t>
        </w:r>
        <w:proofErr w:type="gramEnd"/>
        <w:r>
          <w:rPr>
            <w:rFonts w:ascii="Garamond" w:hAnsi="Garamond"/>
          </w:rPr>
          <w:t xml:space="preserve"> Content Review Checklist</w:t>
        </w:r>
      </w:p>
    </w:sdtContent>
  </w:sdt>
  <w:p w:rsidR="00C021B3" w:rsidRDefault="00C021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220"/>
      <w:docPartObj>
        <w:docPartGallery w:val="Page Numbers (Bottom of Page)"/>
        <w:docPartUnique/>
      </w:docPartObj>
    </w:sdtPr>
    <w:sdtEndPr>
      <w:rPr>
        <w:rFonts w:ascii="Garamond" w:hAnsi="Garamond"/>
        <w:noProof/>
      </w:rPr>
    </w:sdtEndPr>
    <w:sdtContent>
      <w:p w:rsidR="00C021B3" w:rsidRPr="001F635D" w:rsidRDefault="00C021B3" w:rsidP="003D0DB0">
        <w:pPr>
          <w:pStyle w:val="Footer"/>
        </w:pPr>
        <w:r w:rsidRPr="00CF5F54">
          <w:rPr>
            <w:rFonts w:ascii="Calibri" w:hAnsi="Calibri"/>
          </w:rPr>
          <w:t>TE Report Audit Trail</w:t>
        </w:r>
        <w:r>
          <w:rPr>
            <w:rFonts w:ascii="Garamond" w:hAnsi="Garamond"/>
          </w:rPr>
          <w:tab/>
        </w:r>
        <w:r>
          <w:rPr>
            <w:rFonts w:ascii="Garamond" w:hAnsi="Garamond"/>
          </w:rPr>
          <w:tab/>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7157B4">
          <w:rPr>
            <w:rFonts w:ascii="Garamond" w:hAnsi="Garamond"/>
            <w:noProof/>
          </w:rPr>
          <w:t>5</w:t>
        </w:r>
        <w:r w:rsidRPr="00D2633E">
          <w:rPr>
            <w:rFonts w:ascii="Garamond" w:hAnsi="Garamond"/>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1B3" w:rsidRDefault="00C021B3" w:rsidP="00824EAB">
      <w:pPr>
        <w:spacing w:after="0" w:line="240" w:lineRule="auto"/>
      </w:pPr>
      <w:r>
        <w:separator/>
      </w:r>
    </w:p>
  </w:footnote>
  <w:footnote w:type="continuationSeparator" w:id="1">
    <w:p w:rsidR="00C021B3" w:rsidRDefault="00C021B3" w:rsidP="00824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24409"/>
    <w:multiLevelType w:val="hybridMultilevel"/>
    <w:tmpl w:val="9C8A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3F7C0B"/>
    <w:multiLevelType w:val="hybridMultilevel"/>
    <w:tmpl w:val="15D4C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savePreviewPicture/>
  <w:footnotePr>
    <w:footnote w:id="0"/>
    <w:footnote w:id="1"/>
  </w:footnotePr>
  <w:endnotePr>
    <w:endnote w:id="0"/>
    <w:endnote w:id="1"/>
  </w:endnotePr>
  <w:compat>
    <w:useFELayout/>
  </w:compat>
  <w:rsids>
    <w:rsidRoot w:val="00824EAB"/>
    <w:rsid w:val="00170105"/>
    <w:rsid w:val="00186B0D"/>
    <w:rsid w:val="002D14A4"/>
    <w:rsid w:val="002F5847"/>
    <w:rsid w:val="00306BE9"/>
    <w:rsid w:val="003230C7"/>
    <w:rsid w:val="00336ABC"/>
    <w:rsid w:val="00344673"/>
    <w:rsid w:val="003765C5"/>
    <w:rsid w:val="00385D1C"/>
    <w:rsid w:val="0039485B"/>
    <w:rsid w:val="003D0DB0"/>
    <w:rsid w:val="004772A9"/>
    <w:rsid w:val="004B1589"/>
    <w:rsid w:val="004B451A"/>
    <w:rsid w:val="004D4E99"/>
    <w:rsid w:val="005048FA"/>
    <w:rsid w:val="00543A48"/>
    <w:rsid w:val="005556D9"/>
    <w:rsid w:val="00581D5B"/>
    <w:rsid w:val="0063315D"/>
    <w:rsid w:val="006631AD"/>
    <w:rsid w:val="00674137"/>
    <w:rsid w:val="006C71F9"/>
    <w:rsid w:val="007157B4"/>
    <w:rsid w:val="00720CCD"/>
    <w:rsid w:val="00723721"/>
    <w:rsid w:val="00824EAB"/>
    <w:rsid w:val="00840B94"/>
    <w:rsid w:val="008B5A43"/>
    <w:rsid w:val="00907957"/>
    <w:rsid w:val="009A58D3"/>
    <w:rsid w:val="009D0B3E"/>
    <w:rsid w:val="009E4D6F"/>
    <w:rsid w:val="00A16E56"/>
    <w:rsid w:val="00A76FAB"/>
    <w:rsid w:val="00A920F8"/>
    <w:rsid w:val="00AA2BB3"/>
    <w:rsid w:val="00AA4796"/>
    <w:rsid w:val="00AA73AE"/>
    <w:rsid w:val="00AA7857"/>
    <w:rsid w:val="00B323B9"/>
    <w:rsid w:val="00B63417"/>
    <w:rsid w:val="00B84112"/>
    <w:rsid w:val="00B87B51"/>
    <w:rsid w:val="00BA6C56"/>
    <w:rsid w:val="00BC2992"/>
    <w:rsid w:val="00C021B3"/>
    <w:rsid w:val="00C027A4"/>
    <w:rsid w:val="00C04DAA"/>
    <w:rsid w:val="00C40F90"/>
    <w:rsid w:val="00CB75FD"/>
    <w:rsid w:val="00CF5F54"/>
    <w:rsid w:val="00D95988"/>
    <w:rsid w:val="00DB2350"/>
    <w:rsid w:val="00DB27A5"/>
    <w:rsid w:val="00DF4868"/>
    <w:rsid w:val="00E30950"/>
    <w:rsid w:val="00E46075"/>
    <w:rsid w:val="00E521E9"/>
    <w:rsid w:val="00E65F8C"/>
    <w:rsid w:val="00E85557"/>
    <w:rsid w:val="00ED1C86"/>
    <w:rsid w:val="00F3783E"/>
    <w:rsid w:val="00FF03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AB"/>
    <w:pPr>
      <w:spacing w:after="200" w:line="276" w:lineRule="auto"/>
    </w:pPr>
    <w:rPr>
      <w:rFonts w:eastAsiaTheme="minorHAnsi"/>
      <w:sz w:val="22"/>
      <w:szCs w:val="22"/>
    </w:rPr>
  </w:style>
  <w:style w:type="paragraph" w:styleId="Heading2">
    <w:name w:val="heading 2"/>
    <w:basedOn w:val="Normal"/>
    <w:next w:val="Normal"/>
    <w:link w:val="Heading2Char"/>
    <w:rsid w:val="00824EAB"/>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4EAB"/>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
    <w:uiPriority w:val="99"/>
    <w:rsid w:val="00824EAB"/>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824EAB"/>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824E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4E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824EAB"/>
    <w:rPr>
      <w:rFonts w:cs="Times New Roman"/>
      <w:sz w:val="22"/>
      <w:szCs w:val="22"/>
    </w:rPr>
  </w:style>
  <w:style w:type="paragraph" w:styleId="BodyText3">
    <w:name w:val="Body Text 3"/>
    <w:basedOn w:val="Normal"/>
    <w:link w:val="BodyText3Char"/>
    <w:uiPriority w:val="99"/>
    <w:rsid w:val="00824EAB"/>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24EAB"/>
    <w:rPr>
      <w:rFonts w:ascii="Times New Roman" w:eastAsia="Times New Roman" w:hAnsi="Times New Roman" w:cs="Times New Roman"/>
      <w:sz w:val="16"/>
      <w:szCs w:val="16"/>
    </w:rPr>
  </w:style>
  <w:style w:type="character" w:styleId="Hyperlink">
    <w:name w:val="Hyperlink"/>
    <w:uiPriority w:val="99"/>
    <w:rsid w:val="00824EAB"/>
    <w:rPr>
      <w:color w:val="0000FF"/>
      <w:u w:val="single"/>
    </w:rPr>
  </w:style>
  <w:style w:type="table" w:styleId="TableGrid">
    <w:name w:val="Table Grid"/>
    <w:basedOn w:val="TableNormal"/>
    <w:rsid w:val="00824EA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824EAB"/>
    <w:pPr>
      <w:spacing w:line="240" w:lineRule="auto"/>
    </w:pPr>
    <w:rPr>
      <w:sz w:val="20"/>
      <w:szCs w:val="20"/>
    </w:rPr>
  </w:style>
  <w:style w:type="character" w:customStyle="1" w:styleId="CommentTextChar">
    <w:name w:val="Comment Text Char"/>
    <w:basedOn w:val="DefaultParagraphFont"/>
    <w:link w:val="CommentText"/>
    <w:rsid w:val="00824EAB"/>
    <w:rPr>
      <w:rFonts w:eastAsiaTheme="minorHAnsi"/>
      <w:sz w:val="20"/>
      <w:szCs w:val="20"/>
    </w:rPr>
  </w:style>
  <w:style w:type="paragraph" w:customStyle="1" w:styleId="HCh">
    <w:name w:val="_ H _Ch"/>
    <w:basedOn w:val="Normal"/>
    <w:next w:val="Normal"/>
    <w:rsid w:val="00824EAB"/>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824EA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Header">
    <w:name w:val="header"/>
    <w:basedOn w:val="Normal"/>
    <w:link w:val="HeaderChar"/>
    <w:uiPriority w:val="99"/>
    <w:unhideWhenUsed/>
    <w:rsid w:val="00824E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4EAB"/>
    <w:rPr>
      <w:rFonts w:eastAsiaTheme="minorHAnsi"/>
      <w:sz w:val="22"/>
      <w:szCs w:val="22"/>
    </w:rPr>
  </w:style>
  <w:style w:type="paragraph" w:styleId="ListParagraph">
    <w:name w:val="List Paragraph"/>
    <w:basedOn w:val="Normal"/>
    <w:uiPriority w:val="34"/>
    <w:qFormat/>
    <w:rsid w:val="009D0B3E"/>
    <w:pPr>
      <w:spacing w:after="0" w:line="240" w:lineRule="auto"/>
      <w:ind w:left="720"/>
    </w:pPr>
    <w:rPr>
      <w:rFonts w:ascii="Calibri" w:hAnsi="Calibri" w:cs="Times New Roman"/>
    </w:rPr>
  </w:style>
  <w:style w:type="paragraph" w:customStyle="1" w:styleId="Default">
    <w:name w:val="Default"/>
    <w:rsid w:val="00E65F8C"/>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C02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B3"/>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AB"/>
    <w:pPr>
      <w:spacing w:after="200" w:line="276" w:lineRule="auto"/>
    </w:pPr>
    <w:rPr>
      <w:rFonts w:eastAsiaTheme="minorHAnsi"/>
      <w:sz w:val="22"/>
      <w:szCs w:val="22"/>
    </w:rPr>
  </w:style>
  <w:style w:type="paragraph" w:styleId="Heading2">
    <w:name w:val="heading 2"/>
    <w:basedOn w:val="Normal"/>
    <w:next w:val="Normal"/>
    <w:link w:val="Heading2Char"/>
    <w:rsid w:val="00824EAB"/>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4EAB"/>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
    <w:uiPriority w:val="99"/>
    <w:rsid w:val="00824EAB"/>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824EAB"/>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824E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4E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824EAB"/>
    <w:rPr>
      <w:rFonts w:cs="Times New Roman"/>
      <w:sz w:val="22"/>
      <w:szCs w:val="22"/>
    </w:rPr>
  </w:style>
  <w:style w:type="paragraph" w:styleId="BodyText3">
    <w:name w:val="Body Text 3"/>
    <w:basedOn w:val="Normal"/>
    <w:link w:val="BodyText3Char"/>
    <w:uiPriority w:val="99"/>
    <w:rsid w:val="00824EAB"/>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24EAB"/>
    <w:rPr>
      <w:rFonts w:ascii="Times New Roman" w:eastAsia="Times New Roman" w:hAnsi="Times New Roman" w:cs="Times New Roman"/>
      <w:sz w:val="16"/>
      <w:szCs w:val="16"/>
    </w:rPr>
  </w:style>
  <w:style w:type="character" w:styleId="Hyperlink">
    <w:name w:val="Hyperlink"/>
    <w:uiPriority w:val="99"/>
    <w:rsid w:val="00824EAB"/>
    <w:rPr>
      <w:color w:val="0000FF"/>
      <w:u w:val="single"/>
    </w:rPr>
  </w:style>
  <w:style w:type="table" w:styleId="TableGrid">
    <w:name w:val="Table Grid"/>
    <w:basedOn w:val="TableNormal"/>
    <w:rsid w:val="00824EA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824EAB"/>
    <w:pPr>
      <w:spacing w:line="240" w:lineRule="auto"/>
    </w:pPr>
    <w:rPr>
      <w:sz w:val="20"/>
      <w:szCs w:val="20"/>
    </w:rPr>
  </w:style>
  <w:style w:type="character" w:customStyle="1" w:styleId="CommentTextChar">
    <w:name w:val="Comment Text Char"/>
    <w:basedOn w:val="DefaultParagraphFont"/>
    <w:link w:val="CommentText"/>
    <w:rsid w:val="00824EAB"/>
    <w:rPr>
      <w:rFonts w:eastAsiaTheme="minorHAnsi"/>
      <w:sz w:val="20"/>
      <w:szCs w:val="20"/>
    </w:rPr>
  </w:style>
  <w:style w:type="paragraph" w:customStyle="1" w:styleId="HCh">
    <w:name w:val="_ H _Ch"/>
    <w:basedOn w:val="Normal"/>
    <w:next w:val="Normal"/>
    <w:rsid w:val="00824EAB"/>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824EA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Header">
    <w:name w:val="header"/>
    <w:basedOn w:val="Normal"/>
    <w:link w:val="HeaderChar"/>
    <w:uiPriority w:val="99"/>
    <w:unhideWhenUsed/>
    <w:rsid w:val="00824E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4EAB"/>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552736756">
      <w:bodyDiv w:val="1"/>
      <w:marLeft w:val="0"/>
      <w:marRight w:val="0"/>
      <w:marTop w:val="0"/>
      <w:marBottom w:val="0"/>
      <w:divBdr>
        <w:top w:val="none" w:sz="0" w:space="0" w:color="auto"/>
        <w:left w:val="none" w:sz="0" w:space="0" w:color="auto"/>
        <w:bottom w:val="none" w:sz="0" w:space="0" w:color="auto"/>
        <w:right w:val="none" w:sz="0" w:space="0" w:color="auto"/>
      </w:divBdr>
    </w:div>
    <w:div w:id="993950686">
      <w:bodyDiv w:val="1"/>
      <w:marLeft w:val="0"/>
      <w:marRight w:val="0"/>
      <w:marTop w:val="0"/>
      <w:marBottom w:val="0"/>
      <w:divBdr>
        <w:top w:val="none" w:sz="0" w:space="0" w:color="auto"/>
        <w:left w:val="none" w:sz="0" w:space="0" w:color="auto"/>
        <w:bottom w:val="none" w:sz="0" w:space="0" w:color="auto"/>
        <w:right w:val="none" w:sz="0" w:space="0" w:color="auto"/>
      </w:divBdr>
    </w:div>
    <w:div w:id="1697271047">
      <w:bodyDiv w:val="1"/>
      <w:marLeft w:val="0"/>
      <w:marRight w:val="0"/>
      <w:marTop w:val="0"/>
      <w:marBottom w:val="0"/>
      <w:divBdr>
        <w:top w:val="none" w:sz="0" w:space="0" w:color="auto"/>
        <w:left w:val="none" w:sz="0" w:space="0" w:color="auto"/>
        <w:bottom w:val="none" w:sz="0" w:space="0" w:color="auto"/>
        <w:right w:val="none" w:sz="0" w:space="0" w:color="auto"/>
      </w:divBdr>
    </w:div>
    <w:div w:id="1744526151">
      <w:bodyDiv w:val="1"/>
      <w:marLeft w:val="0"/>
      <w:marRight w:val="0"/>
      <w:marTop w:val="0"/>
      <w:marBottom w:val="0"/>
      <w:divBdr>
        <w:top w:val="none" w:sz="0" w:space="0" w:color="auto"/>
        <w:left w:val="none" w:sz="0" w:space="0" w:color="auto"/>
        <w:bottom w:val="none" w:sz="0" w:space="0" w:color="auto"/>
        <w:right w:val="none" w:sz="0" w:space="0" w:color="auto"/>
      </w:divBdr>
    </w:div>
    <w:div w:id="1938173645">
      <w:bodyDiv w:val="1"/>
      <w:marLeft w:val="0"/>
      <w:marRight w:val="0"/>
      <w:marTop w:val="0"/>
      <w:marBottom w:val="0"/>
      <w:divBdr>
        <w:top w:val="none" w:sz="0" w:space="0" w:color="auto"/>
        <w:left w:val="none" w:sz="0" w:space="0" w:color="auto"/>
        <w:bottom w:val="none" w:sz="0" w:space="0" w:color="auto"/>
        <w:right w:val="none" w:sz="0" w:space="0" w:color="auto"/>
      </w:divBdr>
    </w:div>
    <w:div w:id="2111778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1478</Words>
  <Characters>8429</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UNDP-GEF TE Report Audit Trail </vt:lpstr>
      <vt:lpstr>    </vt:lpstr>
    </vt:vector>
  </TitlesOfParts>
  <Company>UNDP-GEF</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Ullrich</dc:creator>
  <cp:keywords/>
  <dc:description/>
  <cp:lastModifiedBy>ACE</cp:lastModifiedBy>
  <cp:revision>2</cp:revision>
  <dcterms:created xsi:type="dcterms:W3CDTF">2017-09-15T09:58:00Z</dcterms:created>
  <dcterms:modified xsi:type="dcterms:W3CDTF">2017-09-15T09:58:00Z</dcterms:modified>
</cp:coreProperties>
</file>