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381B" w14:textId="77777777" w:rsidR="00D6638C" w:rsidRPr="006656B5" w:rsidRDefault="00D6638C" w:rsidP="006656B5">
      <w:pPr>
        <w:pBdr>
          <w:top w:val="single" w:sz="24" w:space="0" w:color="DBE5F1"/>
          <w:left w:val="single" w:sz="24" w:space="0" w:color="DBE5F1"/>
          <w:bottom w:val="single" w:sz="24" w:space="0" w:color="DBE5F1"/>
          <w:right w:val="single" w:sz="24" w:space="0" w:color="DBE5F1"/>
        </w:pBdr>
        <w:spacing w:before="200" w:after="0"/>
        <w:outlineLvl w:val="1"/>
        <w:rPr>
          <w:rFonts w:ascii="Calibri" w:eastAsia="Times New Roman" w:hAnsi="Calibri" w:cs="Times New Roman"/>
          <w:caps/>
          <w:spacing w:val="15"/>
          <w:lang w:val="fr-FR"/>
        </w:rPr>
      </w:pPr>
      <w:bookmarkStart w:id="0" w:name="_Toc321341546"/>
      <w:bookmarkStart w:id="1" w:name="_Toc323119582"/>
      <w:r w:rsidRPr="006656B5">
        <w:rPr>
          <w:rFonts w:ascii="Calibri" w:hAnsi="Calibri"/>
          <w:caps/>
          <w:spacing w:val="15"/>
          <w:lang w:val="fr-FR"/>
        </w:rPr>
        <w:t>Termes de référence de l’évaluation finale</w:t>
      </w:r>
      <w:bookmarkEnd w:id="0"/>
      <w:bookmarkEnd w:id="1"/>
    </w:p>
    <w:p w14:paraId="76B71A81" w14:textId="77777777" w:rsidR="006C1964" w:rsidRPr="006656B5" w:rsidRDefault="00B913F1" w:rsidP="006656B5">
      <w:pPr>
        <w:pStyle w:val="Heading51"/>
        <w:rPr>
          <w:lang w:val="fr-FR"/>
        </w:rPr>
      </w:pPr>
      <w:bookmarkStart w:id="2" w:name="_Toc299126613"/>
      <w:r w:rsidRPr="006656B5">
        <w:rPr>
          <w:lang w:val="fr-FR"/>
        </w:rPr>
        <w:t>INTRODUCTION</w:t>
      </w:r>
    </w:p>
    <w:p w14:paraId="6980B7A1"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r w:rsidR="00A41899" w:rsidRPr="006656B5">
        <w:rPr>
          <w:rFonts w:ascii="Calibri" w:hAnsi="Calibri"/>
          <w:i/>
          <w:sz w:val="20"/>
          <w:lang w:val="fr-FR"/>
        </w:rPr>
        <w:t>Projet Network of Managed Resources Protected Areas</w:t>
      </w:r>
      <w:r w:rsidR="00A41899" w:rsidRPr="006656B5">
        <w:rPr>
          <w:rFonts w:ascii="Calibri" w:hAnsi="Calibri"/>
          <w:sz w:val="20"/>
          <w:lang w:val="fr-FR"/>
        </w:rPr>
        <w:t xml:space="preserve"> </w:t>
      </w:r>
      <w:r w:rsidR="00A41899" w:rsidRPr="006656B5">
        <w:rPr>
          <w:rFonts w:ascii="Calibri" w:hAnsi="Calibri"/>
          <w:i/>
          <w:sz w:val="20"/>
          <w:lang w:val="fr-FR"/>
        </w:rPr>
        <w:t>(MRPA)</w:t>
      </w:r>
      <w:r w:rsidR="00A41899" w:rsidRPr="006656B5">
        <w:rPr>
          <w:rFonts w:ascii="Calibri" w:hAnsi="Calibri"/>
          <w:sz w:val="20"/>
          <w:lang w:val="fr-FR"/>
        </w:rPr>
        <w:t xml:space="preserve"> </w:t>
      </w:r>
      <w:r w:rsidRPr="006656B5">
        <w:rPr>
          <w:rFonts w:ascii="Calibri" w:hAnsi="Calibri"/>
          <w:sz w:val="20"/>
          <w:lang w:val="fr-FR"/>
        </w:rPr>
        <w:t xml:space="preserve"> (Nº SGIP)</w:t>
      </w:r>
    </w:p>
    <w:p w14:paraId="0A118391"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Les éléments essentiels du projet à évaluer sont les suivants : </w:t>
      </w:r>
      <w:r w:rsidRPr="006656B5">
        <w:rPr>
          <w:rFonts w:ascii="Calibri" w:hAnsi="Calibri"/>
          <w:i/>
          <w:sz w:val="20"/>
          <w:lang w:val="fr-FR"/>
        </w:rPr>
        <w:t>(remplir entièrement le tableau ci-dessous).</w:t>
      </w:r>
      <w:r w:rsidRPr="006656B5">
        <w:rPr>
          <w:rFonts w:ascii="Calibri" w:hAnsi="Calibri"/>
          <w:sz w:val="20"/>
          <w:lang w:val="fr-FR"/>
        </w:rPr>
        <w:t xml:space="preserve">   </w:t>
      </w:r>
    </w:p>
    <w:p w14:paraId="5CF1109D" w14:textId="77777777" w:rsidR="00D6638C" w:rsidRPr="006656B5" w:rsidRDefault="00D6638C" w:rsidP="006656B5">
      <w:pPr>
        <w:pStyle w:val="Heading51"/>
      </w:pPr>
      <w:bookmarkStart w:id="3" w:name="_Toc321341548"/>
      <w:r w:rsidRPr="006656B5">
        <w:t>Tableau de résumé du projet</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6656B5" w:rsidRPr="006656B5" w14:paraId="7EA9BC62" w14:textId="77777777" w:rsidTr="00224F9C">
        <w:trPr>
          <w:trHeight w:val="359"/>
        </w:trPr>
        <w:tc>
          <w:tcPr>
            <w:tcW w:w="455" w:type="pct"/>
            <w:shd w:val="clear" w:color="auto" w:fill="7F7F7F"/>
            <w:vAlign w:val="center"/>
          </w:tcPr>
          <w:p w14:paraId="2717470E" w14:textId="77777777" w:rsidR="00D6638C" w:rsidRPr="006656B5" w:rsidRDefault="00D6638C" w:rsidP="006656B5">
            <w:pPr>
              <w:spacing w:after="0"/>
              <w:contextualSpacing/>
              <w:rPr>
                <w:rFonts w:ascii="Calibri" w:eastAsia="Times New Roman" w:hAnsi="Calibri" w:cs="Calibri"/>
                <w:bCs/>
                <w:sz w:val="20"/>
                <w:szCs w:val="20"/>
              </w:rPr>
            </w:pPr>
            <w:r w:rsidRPr="006656B5">
              <w:rPr>
                <w:rFonts w:ascii="Calibri" w:hAnsi="Calibri"/>
                <w:sz w:val="20"/>
              </w:rPr>
              <w:t xml:space="preserve">Titre du projet : </w:t>
            </w:r>
          </w:p>
        </w:tc>
        <w:tc>
          <w:tcPr>
            <w:tcW w:w="4545" w:type="pct"/>
            <w:gridSpan w:val="6"/>
            <w:shd w:val="clear" w:color="auto" w:fill="FFFFFF"/>
            <w:vAlign w:val="center"/>
          </w:tcPr>
          <w:p w14:paraId="430DACC4" w14:textId="6372DED7" w:rsidR="00D6638C" w:rsidRPr="006656B5" w:rsidRDefault="00E70FBE" w:rsidP="006656B5">
            <w:pPr>
              <w:spacing w:after="0"/>
              <w:contextualSpacing/>
              <w:rPr>
                <w:rFonts w:ascii="Calibri" w:eastAsia="Times New Roman" w:hAnsi="Calibri" w:cs="Calibri"/>
                <w:bCs/>
                <w:sz w:val="20"/>
                <w:szCs w:val="20"/>
              </w:rPr>
            </w:pPr>
            <w:r w:rsidRPr="006656B5">
              <w:rPr>
                <w:rFonts w:ascii="Calibri" w:eastAsia="Times New Roman" w:hAnsi="Calibri" w:cs="Calibri"/>
                <w:bCs/>
                <w:sz w:val="20"/>
                <w:szCs w:val="20"/>
                <w:lang w:bidi="fr-FR"/>
              </w:rPr>
              <w:object w:dxaOrig="225" w:dyaOrig="225" w14:anchorId="1D063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6656B5" w:rsidRPr="006656B5" w14:paraId="5E273574" w14:textId="77777777" w:rsidTr="00224F9C">
        <w:tblPrEx>
          <w:shd w:val="clear" w:color="auto" w:fill="auto"/>
        </w:tblPrEx>
        <w:trPr>
          <w:trHeight w:val="553"/>
        </w:trPr>
        <w:tc>
          <w:tcPr>
            <w:tcW w:w="799" w:type="pct"/>
            <w:gridSpan w:val="2"/>
          </w:tcPr>
          <w:p w14:paraId="50ACEBFE" w14:textId="77777777" w:rsidR="00D6638C" w:rsidRPr="006656B5" w:rsidRDefault="00D6638C" w:rsidP="006656B5">
            <w:pPr>
              <w:spacing w:after="0"/>
              <w:jc w:val="right"/>
              <w:rPr>
                <w:rFonts w:ascii="Calibri" w:eastAsia="Arial Unicode MS" w:hAnsi="Calibri" w:cs="Times New Roman"/>
                <w:sz w:val="20"/>
                <w:szCs w:val="20"/>
                <w:lang w:val="fr-FR"/>
              </w:rPr>
            </w:pPr>
            <w:r w:rsidRPr="006656B5">
              <w:rPr>
                <w:rFonts w:ascii="Calibri" w:hAnsi="Calibri"/>
                <w:sz w:val="20"/>
                <w:lang w:val="fr-FR"/>
              </w:rPr>
              <w:t>ID de projet du FEM :</w:t>
            </w:r>
          </w:p>
        </w:tc>
        <w:tc>
          <w:tcPr>
            <w:tcW w:w="743" w:type="pct"/>
            <w:vAlign w:val="center"/>
          </w:tcPr>
          <w:p w14:paraId="14E65ACC"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3687</w:t>
            </w:r>
          </w:p>
        </w:tc>
        <w:tc>
          <w:tcPr>
            <w:tcW w:w="1403" w:type="pct"/>
          </w:tcPr>
          <w:p w14:paraId="643610AF"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 </w:t>
            </w:r>
          </w:p>
        </w:tc>
        <w:tc>
          <w:tcPr>
            <w:tcW w:w="1074" w:type="pct"/>
            <w:gridSpan w:val="2"/>
          </w:tcPr>
          <w:p w14:paraId="092AFBD8" w14:textId="77777777" w:rsidR="00D6638C" w:rsidRPr="006656B5" w:rsidRDefault="00D6638C" w:rsidP="006656B5">
            <w:pPr>
              <w:spacing w:after="0"/>
              <w:jc w:val="center"/>
              <w:rPr>
                <w:rFonts w:ascii="Calibri" w:eastAsia="Arial Unicode MS" w:hAnsi="Calibri" w:cs="Times New Roman"/>
                <w:i/>
                <w:sz w:val="20"/>
                <w:szCs w:val="20"/>
                <w:u w:val="single"/>
                <w:lang w:val="fr-FR"/>
              </w:rPr>
            </w:pPr>
            <w:r w:rsidRPr="006656B5">
              <w:rPr>
                <w:rFonts w:ascii="Calibri" w:hAnsi="Calibri"/>
                <w:i/>
                <w:sz w:val="20"/>
                <w:u w:val="single"/>
                <w:lang w:val="fr-FR"/>
              </w:rPr>
              <w:t>à l’approbation (en millions USD)</w:t>
            </w:r>
          </w:p>
        </w:tc>
        <w:tc>
          <w:tcPr>
            <w:tcW w:w="981" w:type="pct"/>
          </w:tcPr>
          <w:p w14:paraId="510C4105" w14:textId="77777777" w:rsidR="00D6638C" w:rsidRPr="006656B5" w:rsidRDefault="00D6638C" w:rsidP="006656B5">
            <w:pPr>
              <w:spacing w:after="0"/>
              <w:jc w:val="center"/>
              <w:rPr>
                <w:rFonts w:ascii="Calibri" w:eastAsia="Arial Unicode MS" w:hAnsi="Calibri" w:cs="Times New Roman"/>
                <w:i/>
                <w:sz w:val="20"/>
                <w:szCs w:val="20"/>
                <w:u w:val="single"/>
                <w:lang w:val="fr-FR"/>
              </w:rPr>
            </w:pPr>
            <w:r w:rsidRPr="006656B5">
              <w:rPr>
                <w:rFonts w:ascii="Calibri" w:hAnsi="Calibri"/>
                <w:i/>
                <w:sz w:val="20"/>
                <w:u w:val="single"/>
                <w:lang w:val="fr-FR"/>
              </w:rPr>
              <w:t>à l’achèvement (en millions USD)</w:t>
            </w:r>
          </w:p>
        </w:tc>
      </w:tr>
      <w:tr w:rsidR="006656B5" w:rsidRPr="006656B5" w14:paraId="4E0BDC2E" w14:textId="77777777" w:rsidTr="00867A65">
        <w:tblPrEx>
          <w:shd w:val="clear" w:color="auto" w:fill="auto"/>
        </w:tblPrEx>
        <w:trPr>
          <w:trHeight w:val="278"/>
        </w:trPr>
        <w:tc>
          <w:tcPr>
            <w:tcW w:w="799" w:type="pct"/>
            <w:gridSpan w:val="2"/>
          </w:tcPr>
          <w:p w14:paraId="213A9EC6" w14:textId="77777777" w:rsidR="00D6638C" w:rsidRPr="006656B5" w:rsidRDefault="00D6638C" w:rsidP="006656B5">
            <w:pPr>
              <w:spacing w:after="0"/>
              <w:jc w:val="right"/>
              <w:rPr>
                <w:rFonts w:ascii="Calibri" w:eastAsia="Arial Unicode MS" w:hAnsi="Calibri" w:cs="Times New Roman"/>
                <w:sz w:val="20"/>
                <w:szCs w:val="20"/>
                <w:lang w:val="fr-FR"/>
              </w:rPr>
            </w:pPr>
            <w:r w:rsidRPr="006656B5">
              <w:rPr>
                <w:rFonts w:ascii="Calibri" w:hAnsi="Calibri"/>
                <w:sz w:val="20"/>
                <w:lang w:val="fr-FR"/>
              </w:rPr>
              <w:t>ID de projet du PNUD :</w:t>
            </w:r>
          </w:p>
        </w:tc>
        <w:tc>
          <w:tcPr>
            <w:tcW w:w="743" w:type="pct"/>
            <w:vAlign w:val="center"/>
          </w:tcPr>
          <w:p w14:paraId="60E9E087" w14:textId="77777777" w:rsidR="00D6638C" w:rsidRPr="006656B5" w:rsidRDefault="00DC7D54" w:rsidP="006656B5">
            <w:pPr>
              <w:tabs>
                <w:tab w:val="right" w:pos="0"/>
              </w:tabs>
              <w:spacing w:after="0"/>
              <w:rPr>
                <w:rFonts w:ascii="Calibri" w:eastAsia="Times New Roman" w:hAnsi="Calibri" w:cs="Times New Roman"/>
                <w:bCs/>
                <w:sz w:val="20"/>
                <w:szCs w:val="20"/>
              </w:rPr>
            </w:pPr>
            <w:r w:rsidRPr="006656B5">
              <w:rPr>
                <w:rFonts w:ascii="Calibri" w:eastAsia="Times New Roman" w:hAnsi="Calibri" w:cs="Times New Roman"/>
                <w:sz w:val="20"/>
                <w:szCs w:val="20"/>
              </w:rPr>
              <w:t>4172</w:t>
            </w:r>
          </w:p>
        </w:tc>
        <w:tc>
          <w:tcPr>
            <w:tcW w:w="1403" w:type="pct"/>
          </w:tcPr>
          <w:p w14:paraId="075789A4"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 xml:space="preserve">Financement du FEM : </w:t>
            </w:r>
          </w:p>
        </w:tc>
        <w:tc>
          <w:tcPr>
            <w:tcW w:w="1074" w:type="pct"/>
            <w:gridSpan w:val="2"/>
            <w:vAlign w:val="center"/>
          </w:tcPr>
          <w:p w14:paraId="44480FF3" w14:textId="77777777" w:rsidR="00D6638C" w:rsidRPr="006656B5" w:rsidRDefault="00DC7D54" w:rsidP="006656B5">
            <w:pPr>
              <w:spacing w:after="0"/>
              <w:rPr>
                <w:rFonts w:ascii="Calibri" w:eastAsia="Arial Unicode MS" w:hAnsi="Calibri" w:cs="Times New Roman"/>
                <w:sz w:val="20"/>
                <w:szCs w:val="20"/>
              </w:rPr>
            </w:pPr>
            <w:r w:rsidRPr="006656B5">
              <w:rPr>
                <w:rFonts w:ascii="Calibri" w:eastAsia="Times New Roman" w:hAnsi="Calibri" w:cs="Times New Roman"/>
                <w:sz w:val="20"/>
                <w:szCs w:val="20"/>
              </w:rPr>
              <w:t>5</w:t>
            </w:r>
            <w:r w:rsidR="00C63616" w:rsidRPr="006656B5">
              <w:rPr>
                <w:rFonts w:ascii="Calibri" w:eastAsia="Times New Roman" w:hAnsi="Calibri" w:cs="Times New Roman"/>
                <w:sz w:val="20"/>
                <w:szCs w:val="20"/>
              </w:rPr>
              <w:t> </w:t>
            </w:r>
            <w:r w:rsidRPr="006656B5">
              <w:rPr>
                <w:rFonts w:ascii="Calibri" w:eastAsia="Times New Roman" w:hAnsi="Calibri" w:cs="Times New Roman"/>
                <w:sz w:val="20"/>
                <w:szCs w:val="20"/>
              </w:rPr>
              <w:t>999</w:t>
            </w:r>
            <w:r w:rsidR="00C63616" w:rsidRPr="006656B5">
              <w:rPr>
                <w:rFonts w:ascii="Calibri" w:eastAsia="Times New Roman" w:hAnsi="Calibri" w:cs="Times New Roman"/>
                <w:sz w:val="20"/>
                <w:szCs w:val="20"/>
              </w:rPr>
              <w:t xml:space="preserve"> </w:t>
            </w:r>
            <w:r w:rsidRPr="006656B5">
              <w:rPr>
                <w:rFonts w:ascii="Calibri" w:eastAsia="Times New Roman" w:hAnsi="Calibri" w:cs="Times New Roman"/>
                <w:sz w:val="20"/>
                <w:szCs w:val="20"/>
              </w:rPr>
              <w:t>610</w:t>
            </w:r>
          </w:p>
        </w:tc>
        <w:tc>
          <w:tcPr>
            <w:tcW w:w="981" w:type="pct"/>
            <w:vAlign w:val="center"/>
          </w:tcPr>
          <w:p w14:paraId="1B98C009" w14:textId="77777777" w:rsidR="00D6638C" w:rsidRPr="006656B5" w:rsidRDefault="00867A65" w:rsidP="006656B5">
            <w:pPr>
              <w:spacing w:after="0"/>
              <w:rPr>
                <w:lang w:eastAsia="fr-FR"/>
              </w:rPr>
            </w:pPr>
            <w:r w:rsidRPr="006656B5">
              <w:rPr>
                <w:rFonts w:ascii="Calibri" w:eastAsia="Times New Roman" w:hAnsi="Calibri" w:cs="Times New Roman"/>
                <w:sz w:val="20"/>
                <w:szCs w:val="20"/>
              </w:rPr>
              <w:t>5 996 159</w:t>
            </w:r>
            <w:r w:rsidRPr="006656B5">
              <w:t xml:space="preserve"> </w:t>
            </w:r>
          </w:p>
        </w:tc>
      </w:tr>
      <w:tr w:rsidR="006656B5" w:rsidRPr="006656B5" w14:paraId="7F45B695" w14:textId="77777777" w:rsidTr="00867A65">
        <w:tblPrEx>
          <w:shd w:val="clear" w:color="auto" w:fill="auto"/>
        </w:tblPrEx>
        <w:trPr>
          <w:trHeight w:val="269"/>
        </w:trPr>
        <w:tc>
          <w:tcPr>
            <w:tcW w:w="799" w:type="pct"/>
            <w:gridSpan w:val="2"/>
          </w:tcPr>
          <w:p w14:paraId="380AB26B"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Pays :</w:t>
            </w:r>
          </w:p>
        </w:tc>
        <w:tc>
          <w:tcPr>
            <w:tcW w:w="743" w:type="pct"/>
            <w:vAlign w:val="center"/>
          </w:tcPr>
          <w:p w14:paraId="0D6B8752"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Madagascar</w:t>
            </w:r>
          </w:p>
        </w:tc>
        <w:tc>
          <w:tcPr>
            <w:tcW w:w="1403" w:type="pct"/>
          </w:tcPr>
          <w:p w14:paraId="7132FD19" w14:textId="77777777" w:rsidR="00D6638C" w:rsidRPr="006656B5" w:rsidRDefault="00D6638C" w:rsidP="006656B5">
            <w:pPr>
              <w:spacing w:after="0"/>
              <w:jc w:val="right"/>
              <w:rPr>
                <w:rFonts w:ascii="Calibri" w:eastAsia="Times New Roman" w:hAnsi="Calibri" w:cs="Times New Roman"/>
                <w:sz w:val="20"/>
                <w:szCs w:val="20"/>
                <w:lang w:val="fr-FR"/>
              </w:rPr>
            </w:pPr>
            <w:r w:rsidRPr="006656B5">
              <w:rPr>
                <w:rFonts w:ascii="Calibri" w:hAnsi="Calibri"/>
                <w:sz w:val="20"/>
                <w:lang w:val="fr-FR"/>
              </w:rPr>
              <w:t>Financement de l’agence d’exécution/agence de réalisation :</w:t>
            </w:r>
          </w:p>
        </w:tc>
        <w:tc>
          <w:tcPr>
            <w:tcW w:w="1074" w:type="pct"/>
            <w:gridSpan w:val="2"/>
            <w:vAlign w:val="center"/>
          </w:tcPr>
          <w:p w14:paraId="4C249DA5" w14:textId="77777777" w:rsidR="00D6638C" w:rsidRPr="006656B5" w:rsidRDefault="00DC7D54" w:rsidP="006656B5">
            <w:pPr>
              <w:spacing w:after="0"/>
              <w:rPr>
                <w:rFonts w:ascii="Calibri" w:eastAsia="Arial Unicode MS" w:hAnsi="Calibri" w:cs="Times New Roman"/>
                <w:sz w:val="20"/>
                <w:szCs w:val="20"/>
              </w:rPr>
            </w:pPr>
            <w:r w:rsidRPr="006656B5">
              <w:rPr>
                <w:rFonts w:ascii="Calibri" w:eastAsia="Times New Roman" w:hAnsi="Calibri" w:cs="Times New Roman"/>
                <w:sz w:val="20"/>
                <w:szCs w:val="20"/>
              </w:rPr>
              <w:t>2</w:t>
            </w:r>
            <w:r w:rsidR="00C63616" w:rsidRPr="006656B5">
              <w:rPr>
                <w:rFonts w:ascii="Calibri" w:eastAsia="Times New Roman" w:hAnsi="Calibri" w:cs="Times New Roman"/>
                <w:sz w:val="20"/>
                <w:szCs w:val="20"/>
              </w:rPr>
              <w:t> </w:t>
            </w:r>
            <w:r w:rsidRPr="006656B5">
              <w:rPr>
                <w:rFonts w:ascii="Calibri" w:eastAsia="Times New Roman" w:hAnsi="Calibri" w:cs="Times New Roman"/>
                <w:sz w:val="20"/>
                <w:szCs w:val="20"/>
              </w:rPr>
              <w:t>500</w:t>
            </w:r>
            <w:r w:rsidR="00C63616" w:rsidRPr="006656B5">
              <w:rPr>
                <w:rFonts w:ascii="Calibri" w:eastAsia="Times New Roman" w:hAnsi="Calibri" w:cs="Times New Roman"/>
                <w:sz w:val="20"/>
                <w:szCs w:val="20"/>
              </w:rPr>
              <w:t xml:space="preserve"> </w:t>
            </w:r>
            <w:r w:rsidRPr="006656B5">
              <w:rPr>
                <w:rFonts w:ascii="Calibri" w:eastAsia="Times New Roman" w:hAnsi="Calibri" w:cs="Times New Roman"/>
                <w:sz w:val="20"/>
                <w:szCs w:val="20"/>
              </w:rPr>
              <w:t>000</w:t>
            </w:r>
          </w:p>
        </w:tc>
        <w:tc>
          <w:tcPr>
            <w:tcW w:w="981" w:type="pct"/>
            <w:vAlign w:val="center"/>
          </w:tcPr>
          <w:p w14:paraId="33C09CA2" w14:textId="77777777" w:rsidR="00D6638C" w:rsidRPr="006656B5" w:rsidRDefault="00867A65" w:rsidP="006656B5">
            <w:pPr>
              <w:spacing w:after="0"/>
              <w:rPr>
                <w:rFonts w:ascii="Calibri" w:eastAsia="Arial Unicode MS" w:hAnsi="Calibri" w:cs="Times New Roman"/>
                <w:sz w:val="20"/>
                <w:szCs w:val="20"/>
              </w:rPr>
            </w:pPr>
            <w:r w:rsidRPr="006656B5">
              <w:rPr>
                <w:rFonts w:ascii="Calibri" w:eastAsia="Times New Roman" w:hAnsi="Calibri" w:cs="Times New Roman"/>
                <w:sz w:val="20"/>
                <w:szCs w:val="20"/>
              </w:rPr>
              <w:t>1 952 959</w:t>
            </w:r>
          </w:p>
        </w:tc>
      </w:tr>
      <w:tr w:rsidR="006656B5" w:rsidRPr="006656B5" w14:paraId="65A03F55" w14:textId="77777777" w:rsidTr="00224F9C">
        <w:tblPrEx>
          <w:shd w:val="clear" w:color="auto" w:fill="auto"/>
        </w:tblPrEx>
        <w:trPr>
          <w:trHeight w:val="296"/>
        </w:trPr>
        <w:tc>
          <w:tcPr>
            <w:tcW w:w="799" w:type="pct"/>
            <w:gridSpan w:val="2"/>
          </w:tcPr>
          <w:p w14:paraId="307A7A20"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Région :</w:t>
            </w:r>
          </w:p>
        </w:tc>
        <w:tc>
          <w:tcPr>
            <w:tcW w:w="743" w:type="pct"/>
            <w:vAlign w:val="center"/>
          </w:tcPr>
          <w:p w14:paraId="65ABEB2C"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Afrique</w:t>
            </w:r>
          </w:p>
        </w:tc>
        <w:tc>
          <w:tcPr>
            <w:tcW w:w="1403" w:type="pct"/>
          </w:tcPr>
          <w:p w14:paraId="0F69F71D"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Gouvernement :</w:t>
            </w:r>
          </w:p>
        </w:tc>
        <w:tc>
          <w:tcPr>
            <w:tcW w:w="1074" w:type="pct"/>
            <w:gridSpan w:val="2"/>
            <w:vAlign w:val="center"/>
          </w:tcPr>
          <w:p w14:paraId="6F39DE3C" w14:textId="77777777" w:rsidR="00D6638C" w:rsidRPr="006656B5" w:rsidRDefault="00C63616" w:rsidP="006656B5">
            <w:pPr>
              <w:spacing w:after="0"/>
              <w:rPr>
                <w:rFonts w:ascii="Calibri" w:eastAsia="Arial Unicode MS" w:hAnsi="Calibri" w:cs="Times New Roman"/>
                <w:sz w:val="20"/>
                <w:szCs w:val="20"/>
                <w:lang w:val="fr-FR"/>
              </w:rPr>
            </w:pPr>
            <w:r w:rsidRPr="006656B5">
              <w:rPr>
                <w:rFonts w:ascii="Calibri" w:eastAsia="Times New Roman" w:hAnsi="Calibri" w:cs="Times New Roman"/>
                <w:sz w:val="20"/>
                <w:szCs w:val="20"/>
                <w:lang w:val="fr-FR"/>
              </w:rPr>
              <w:t>Contribution en nature, non financière</w:t>
            </w:r>
          </w:p>
        </w:tc>
        <w:tc>
          <w:tcPr>
            <w:tcW w:w="981" w:type="pct"/>
          </w:tcPr>
          <w:p w14:paraId="1A0FA7AC" w14:textId="77777777" w:rsidR="00D6638C" w:rsidRPr="006656B5" w:rsidRDefault="006571A1" w:rsidP="006656B5">
            <w:pPr>
              <w:spacing w:after="0"/>
              <w:jc w:val="both"/>
              <w:rPr>
                <w:rFonts w:ascii="Calibri" w:eastAsia="Times New Roman" w:hAnsi="Calibri" w:cs="Times New Roman"/>
                <w:sz w:val="20"/>
                <w:szCs w:val="20"/>
                <w:lang w:val="fr-FR"/>
              </w:rPr>
            </w:pPr>
            <w:r w:rsidRPr="006656B5">
              <w:rPr>
                <w:rFonts w:ascii="Calibri" w:eastAsia="Times New Roman" w:hAnsi="Calibri" w:cs="Times New Roman"/>
                <w:sz w:val="20"/>
                <w:szCs w:val="20"/>
                <w:lang w:val="fr-FR"/>
              </w:rPr>
              <w:t>Contribution en nature, non financière</w:t>
            </w:r>
          </w:p>
        </w:tc>
      </w:tr>
      <w:tr w:rsidR="006656B5" w:rsidRPr="006656B5" w14:paraId="2ED79A83" w14:textId="77777777" w:rsidTr="006571A1">
        <w:tblPrEx>
          <w:shd w:val="clear" w:color="auto" w:fill="auto"/>
        </w:tblPrEx>
        <w:trPr>
          <w:trHeight w:val="314"/>
        </w:trPr>
        <w:tc>
          <w:tcPr>
            <w:tcW w:w="799" w:type="pct"/>
            <w:gridSpan w:val="2"/>
          </w:tcPr>
          <w:p w14:paraId="4FAA9584"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Domaine focal :</w:t>
            </w:r>
          </w:p>
        </w:tc>
        <w:tc>
          <w:tcPr>
            <w:tcW w:w="743" w:type="pct"/>
            <w:vAlign w:val="center"/>
          </w:tcPr>
          <w:p w14:paraId="5E36C989"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Biodiversité SO-1 Catalyzing sustainability of Protected Area systems</w:t>
            </w:r>
          </w:p>
        </w:tc>
        <w:tc>
          <w:tcPr>
            <w:tcW w:w="1403" w:type="pct"/>
          </w:tcPr>
          <w:p w14:paraId="76DE6BC7"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Autre :</w:t>
            </w:r>
          </w:p>
        </w:tc>
        <w:tc>
          <w:tcPr>
            <w:tcW w:w="1074" w:type="pct"/>
            <w:gridSpan w:val="2"/>
          </w:tcPr>
          <w:p w14:paraId="4DD9976B" w14:textId="77777777" w:rsidR="00D6638C" w:rsidRPr="006656B5" w:rsidRDefault="00C63616"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t>5 653 400</w:t>
            </w:r>
          </w:p>
        </w:tc>
        <w:tc>
          <w:tcPr>
            <w:tcW w:w="981" w:type="pct"/>
          </w:tcPr>
          <w:p w14:paraId="2F92D3E4" w14:textId="77777777" w:rsidR="00D6638C" w:rsidRPr="006656B5" w:rsidRDefault="006571A1" w:rsidP="006656B5">
            <w:pPr>
              <w:spacing w:after="0"/>
              <w:rPr>
                <w:rFonts w:ascii="Calibri" w:eastAsia="Times New Roman" w:hAnsi="Calibri" w:cs="Times New Roman"/>
                <w:sz w:val="20"/>
                <w:szCs w:val="20"/>
                <w:lang w:val="fr-FR"/>
              </w:rPr>
            </w:pPr>
            <w:r w:rsidRPr="006656B5">
              <w:rPr>
                <w:rFonts w:ascii="Calibri" w:eastAsia="Times New Roman" w:hAnsi="Calibri" w:cs="Times New Roman"/>
                <w:sz w:val="20"/>
                <w:szCs w:val="20"/>
                <w:lang w:val="fr-FR"/>
              </w:rPr>
              <w:t>6 484 264</w:t>
            </w:r>
            <w:r w:rsidR="003B080D" w:rsidRPr="006656B5">
              <w:rPr>
                <w:rFonts w:ascii="Calibri" w:eastAsia="Times New Roman" w:hAnsi="Calibri" w:cs="Times New Roman"/>
                <w:sz w:val="20"/>
                <w:szCs w:val="20"/>
                <w:lang w:val="fr-FR"/>
              </w:rPr>
              <w:t xml:space="preserve"> (Situation au 31.10.15)</w:t>
            </w:r>
          </w:p>
        </w:tc>
      </w:tr>
      <w:tr w:rsidR="006656B5" w:rsidRPr="006656B5" w14:paraId="54A4D893" w14:textId="77777777" w:rsidTr="006571A1">
        <w:tblPrEx>
          <w:shd w:val="clear" w:color="auto" w:fill="auto"/>
        </w:tblPrEx>
        <w:trPr>
          <w:trHeight w:val="553"/>
        </w:trPr>
        <w:tc>
          <w:tcPr>
            <w:tcW w:w="799" w:type="pct"/>
            <w:gridSpan w:val="2"/>
          </w:tcPr>
          <w:p w14:paraId="204F4E69"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Objectifs FA, (OP/SP) :</w:t>
            </w:r>
          </w:p>
        </w:tc>
        <w:tc>
          <w:tcPr>
            <w:tcW w:w="743" w:type="pct"/>
            <w:vAlign w:val="center"/>
          </w:tcPr>
          <w:p w14:paraId="1D7FDC2D"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 xml:space="preserve">BD-SP3 Strengthening Terrestrial Protected Area Networks </w:t>
            </w:r>
          </w:p>
        </w:tc>
        <w:tc>
          <w:tcPr>
            <w:tcW w:w="1403" w:type="pct"/>
          </w:tcPr>
          <w:p w14:paraId="4D2E6F82" w14:textId="77777777" w:rsidR="00D6638C" w:rsidRPr="006656B5" w:rsidRDefault="00D6638C" w:rsidP="006656B5">
            <w:pPr>
              <w:spacing w:after="0"/>
              <w:jc w:val="right"/>
              <w:rPr>
                <w:rFonts w:ascii="Calibri" w:eastAsia="Times New Roman" w:hAnsi="Calibri" w:cs="Times New Roman"/>
                <w:sz w:val="20"/>
                <w:szCs w:val="20"/>
              </w:rPr>
            </w:pPr>
            <w:r w:rsidRPr="006656B5">
              <w:rPr>
                <w:rFonts w:ascii="Calibri" w:hAnsi="Calibri"/>
                <w:sz w:val="20"/>
              </w:rPr>
              <w:t>Cofinancement total :</w:t>
            </w:r>
          </w:p>
        </w:tc>
        <w:tc>
          <w:tcPr>
            <w:tcW w:w="1074" w:type="pct"/>
            <w:gridSpan w:val="2"/>
          </w:tcPr>
          <w:p w14:paraId="09789ACF" w14:textId="77777777" w:rsidR="00D6638C" w:rsidRPr="006656B5" w:rsidRDefault="00C63616" w:rsidP="006656B5">
            <w:pPr>
              <w:spacing w:after="0"/>
              <w:rPr>
                <w:rFonts w:ascii="Calibri" w:eastAsia="Arial Unicode MS" w:hAnsi="Calibri" w:cs="Times New Roman"/>
                <w:sz w:val="20"/>
                <w:szCs w:val="20"/>
              </w:rPr>
            </w:pPr>
            <w:r w:rsidRPr="006656B5">
              <w:rPr>
                <w:rFonts w:ascii="Calibri" w:eastAsia="Times New Roman" w:hAnsi="Calibri" w:cs="Times New Roman"/>
                <w:sz w:val="20"/>
                <w:szCs w:val="20"/>
              </w:rPr>
              <w:t>5 718 400</w:t>
            </w:r>
          </w:p>
        </w:tc>
        <w:tc>
          <w:tcPr>
            <w:tcW w:w="981" w:type="pct"/>
          </w:tcPr>
          <w:p w14:paraId="72D79CBC" w14:textId="77777777" w:rsidR="00D6638C" w:rsidRPr="006656B5" w:rsidRDefault="006571A1" w:rsidP="006656B5">
            <w:pPr>
              <w:spacing w:after="0"/>
              <w:jc w:val="both"/>
              <w:rPr>
                <w:rFonts w:ascii="Calibri" w:eastAsia="Times New Roman" w:hAnsi="Calibri" w:cs="Times New Roman"/>
                <w:sz w:val="20"/>
                <w:szCs w:val="20"/>
              </w:rPr>
            </w:pPr>
            <w:r w:rsidRPr="006656B5">
              <w:rPr>
                <w:rFonts w:ascii="Calibri" w:eastAsia="Times New Roman" w:hAnsi="Calibri" w:cs="Times New Roman"/>
                <w:sz w:val="20"/>
                <w:szCs w:val="20"/>
              </w:rPr>
              <w:t>6 484 264</w:t>
            </w:r>
          </w:p>
        </w:tc>
      </w:tr>
      <w:tr w:rsidR="006656B5" w:rsidRPr="006656B5" w14:paraId="43AF56CA" w14:textId="77777777" w:rsidTr="00224F9C">
        <w:tblPrEx>
          <w:shd w:val="clear" w:color="auto" w:fill="auto"/>
        </w:tblPrEx>
        <w:trPr>
          <w:trHeight w:val="341"/>
        </w:trPr>
        <w:tc>
          <w:tcPr>
            <w:tcW w:w="799" w:type="pct"/>
            <w:gridSpan w:val="2"/>
          </w:tcPr>
          <w:p w14:paraId="5315580B"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Agent d’exécution :</w:t>
            </w:r>
          </w:p>
        </w:tc>
        <w:tc>
          <w:tcPr>
            <w:tcW w:w="743" w:type="pct"/>
            <w:vAlign w:val="center"/>
          </w:tcPr>
          <w:p w14:paraId="74DF7343" w14:textId="77777777" w:rsidR="00D6638C" w:rsidRPr="006656B5" w:rsidRDefault="00DC7D54"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PNUD</w:t>
            </w:r>
          </w:p>
        </w:tc>
        <w:tc>
          <w:tcPr>
            <w:tcW w:w="1403" w:type="pct"/>
          </w:tcPr>
          <w:p w14:paraId="3B55C64E"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Coût total du projet :</w:t>
            </w:r>
          </w:p>
        </w:tc>
        <w:tc>
          <w:tcPr>
            <w:tcW w:w="1074" w:type="pct"/>
            <w:gridSpan w:val="2"/>
            <w:vAlign w:val="center"/>
          </w:tcPr>
          <w:p w14:paraId="64A566A4" w14:textId="77777777" w:rsidR="00D6638C" w:rsidRPr="006656B5" w:rsidRDefault="00C63616" w:rsidP="006656B5">
            <w:pPr>
              <w:spacing w:after="0"/>
              <w:rPr>
                <w:rFonts w:ascii="Calibri" w:eastAsia="Arial Unicode MS" w:hAnsi="Calibri" w:cs="Times New Roman"/>
                <w:sz w:val="20"/>
                <w:szCs w:val="20"/>
              </w:rPr>
            </w:pPr>
            <w:r w:rsidRPr="006656B5">
              <w:rPr>
                <w:rFonts w:ascii="Calibri" w:eastAsia="Times New Roman" w:hAnsi="Calibri" w:cs="Times New Roman"/>
                <w:sz w:val="20"/>
                <w:szCs w:val="20"/>
              </w:rPr>
              <w:t>14 218 011</w:t>
            </w:r>
          </w:p>
        </w:tc>
        <w:tc>
          <w:tcPr>
            <w:tcW w:w="981" w:type="pct"/>
          </w:tcPr>
          <w:p w14:paraId="385F8648" w14:textId="057F08E4" w:rsidR="00D6638C" w:rsidRPr="006656B5" w:rsidRDefault="0095229C" w:rsidP="006656B5">
            <w:pPr>
              <w:spacing w:after="0"/>
              <w:jc w:val="both"/>
              <w:rPr>
                <w:rFonts w:ascii="Calibri" w:eastAsia="Arial Unicode MS" w:hAnsi="Calibri" w:cs="Times New Roman"/>
                <w:sz w:val="20"/>
                <w:szCs w:val="20"/>
              </w:rPr>
            </w:pPr>
            <w:r w:rsidRPr="006656B5">
              <w:rPr>
                <w:rFonts w:ascii="Calibri" w:eastAsia="Times New Roman" w:hAnsi="Calibri" w:cs="Times New Roman"/>
                <w:sz w:val="20"/>
                <w:szCs w:val="20"/>
              </w:rPr>
              <w:t>11 482 820</w:t>
            </w:r>
          </w:p>
        </w:tc>
      </w:tr>
      <w:tr w:rsidR="006656B5" w:rsidRPr="006656B5" w14:paraId="5AC4DC2A" w14:textId="77777777" w:rsidTr="00224F9C">
        <w:tblPrEx>
          <w:shd w:val="clear" w:color="auto" w:fill="auto"/>
        </w:tblPrEx>
        <w:trPr>
          <w:trHeight w:val="368"/>
        </w:trPr>
        <w:tc>
          <w:tcPr>
            <w:tcW w:w="799" w:type="pct"/>
            <w:gridSpan w:val="2"/>
            <w:vMerge w:val="restart"/>
          </w:tcPr>
          <w:p w14:paraId="38A16D08" w14:textId="77777777" w:rsidR="00D6638C" w:rsidRPr="006656B5" w:rsidRDefault="00D6638C" w:rsidP="006656B5">
            <w:pPr>
              <w:spacing w:after="0"/>
              <w:jc w:val="right"/>
              <w:rPr>
                <w:rFonts w:ascii="Calibri" w:eastAsia="Arial Unicode MS" w:hAnsi="Calibri" w:cs="Times New Roman"/>
                <w:sz w:val="20"/>
                <w:szCs w:val="20"/>
                <w:lang w:val="fr-FR"/>
              </w:rPr>
            </w:pPr>
            <w:r w:rsidRPr="006656B5">
              <w:rPr>
                <w:rFonts w:ascii="Calibri" w:hAnsi="Calibri"/>
                <w:sz w:val="20"/>
                <w:lang w:val="fr-FR"/>
              </w:rPr>
              <w:t>Autres partenaires participant au projet :</w:t>
            </w:r>
          </w:p>
        </w:tc>
        <w:tc>
          <w:tcPr>
            <w:tcW w:w="743" w:type="pct"/>
            <w:vMerge w:val="restart"/>
            <w:vAlign w:val="center"/>
          </w:tcPr>
          <w:p w14:paraId="23E0AA18" w14:textId="77777777" w:rsidR="00D6638C" w:rsidRPr="006656B5" w:rsidRDefault="00C63616"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 xml:space="preserve">MEEF avec les ONG Asity, Fanamby, Missouri Botanical </w:t>
            </w:r>
            <w:r w:rsidRPr="006656B5">
              <w:rPr>
                <w:rFonts w:ascii="Calibri" w:eastAsia="Times New Roman" w:hAnsi="Calibri" w:cs="Times New Roman"/>
                <w:sz w:val="20"/>
                <w:szCs w:val="20"/>
              </w:rPr>
              <w:lastRenderedPageBreak/>
              <w:t>Garden et World Wide Fund assisté par Madagascar National Parks et The Peregrine Fund</w:t>
            </w:r>
          </w:p>
        </w:tc>
        <w:tc>
          <w:tcPr>
            <w:tcW w:w="2477" w:type="pct"/>
            <w:gridSpan w:val="3"/>
          </w:tcPr>
          <w:p w14:paraId="7CEA1A8E" w14:textId="77777777" w:rsidR="00D6638C" w:rsidRPr="006656B5" w:rsidRDefault="00D6638C" w:rsidP="006656B5">
            <w:pPr>
              <w:tabs>
                <w:tab w:val="right" w:pos="0"/>
              </w:tabs>
              <w:spacing w:after="0"/>
              <w:jc w:val="right"/>
              <w:rPr>
                <w:rFonts w:ascii="Calibri" w:eastAsia="Times New Roman" w:hAnsi="Calibri" w:cs="Times New Roman"/>
                <w:sz w:val="20"/>
                <w:szCs w:val="20"/>
                <w:lang w:val="fr-FR"/>
              </w:rPr>
            </w:pPr>
            <w:r w:rsidRPr="006656B5">
              <w:rPr>
                <w:rFonts w:ascii="Calibri" w:hAnsi="Calibri"/>
                <w:sz w:val="20"/>
                <w:lang w:val="fr-FR"/>
              </w:rPr>
              <w:lastRenderedPageBreak/>
              <w:t xml:space="preserve">Signature du DP (Date de début du projet) : </w:t>
            </w:r>
          </w:p>
        </w:tc>
        <w:tc>
          <w:tcPr>
            <w:tcW w:w="981" w:type="pct"/>
            <w:vAlign w:val="center"/>
          </w:tcPr>
          <w:p w14:paraId="3C09B07F" w14:textId="77777777" w:rsidR="00D6638C" w:rsidRPr="006656B5" w:rsidRDefault="00C63616"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21/12/12</w:t>
            </w:r>
          </w:p>
        </w:tc>
      </w:tr>
      <w:tr w:rsidR="006656B5" w:rsidRPr="006656B5" w14:paraId="14E7EC7B" w14:textId="77777777" w:rsidTr="00224F9C">
        <w:tblPrEx>
          <w:shd w:val="clear" w:color="auto" w:fill="auto"/>
        </w:tblPrEx>
        <w:trPr>
          <w:trHeight w:val="144"/>
        </w:trPr>
        <w:tc>
          <w:tcPr>
            <w:tcW w:w="799" w:type="pct"/>
            <w:gridSpan w:val="2"/>
            <w:vMerge/>
            <w:vAlign w:val="center"/>
          </w:tcPr>
          <w:p w14:paraId="4D3F23E7" w14:textId="77777777" w:rsidR="00D6638C" w:rsidRPr="006656B5" w:rsidRDefault="00D6638C" w:rsidP="006656B5">
            <w:pPr>
              <w:spacing w:after="0"/>
              <w:rPr>
                <w:rFonts w:ascii="Calibri" w:eastAsia="Arial Unicode MS" w:hAnsi="Calibri" w:cs="Times New Roman"/>
                <w:sz w:val="20"/>
                <w:szCs w:val="20"/>
              </w:rPr>
            </w:pPr>
          </w:p>
        </w:tc>
        <w:tc>
          <w:tcPr>
            <w:tcW w:w="743" w:type="pct"/>
            <w:vMerge/>
          </w:tcPr>
          <w:p w14:paraId="0A513D4C" w14:textId="77777777" w:rsidR="00D6638C" w:rsidRPr="006656B5" w:rsidRDefault="00D6638C" w:rsidP="006656B5">
            <w:pPr>
              <w:tabs>
                <w:tab w:val="right" w:pos="0"/>
              </w:tabs>
              <w:spacing w:after="0"/>
              <w:jc w:val="center"/>
              <w:rPr>
                <w:rFonts w:ascii="Calibri" w:eastAsia="Times New Roman" w:hAnsi="Calibri" w:cs="Times New Roman"/>
                <w:sz w:val="20"/>
                <w:szCs w:val="20"/>
              </w:rPr>
            </w:pPr>
          </w:p>
        </w:tc>
        <w:tc>
          <w:tcPr>
            <w:tcW w:w="1594" w:type="pct"/>
            <w:gridSpan w:val="2"/>
          </w:tcPr>
          <w:p w14:paraId="69A9410F" w14:textId="77777777" w:rsidR="00D6638C" w:rsidRPr="006656B5" w:rsidRDefault="00D6638C" w:rsidP="006656B5">
            <w:pPr>
              <w:spacing w:after="0"/>
              <w:jc w:val="right"/>
              <w:rPr>
                <w:rFonts w:ascii="Calibri" w:eastAsia="Arial Unicode MS" w:hAnsi="Calibri" w:cs="Times New Roman"/>
                <w:sz w:val="20"/>
                <w:szCs w:val="20"/>
              </w:rPr>
            </w:pPr>
            <w:r w:rsidRPr="006656B5">
              <w:rPr>
                <w:rFonts w:ascii="Calibri" w:hAnsi="Calibri"/>
                <w:sz w:val="20"/>
              </w:rPr>
              <w:t>Date de clôture (opérationnelle) :</w:t>
            </w:r>
          </w:p>
        </w:tc>
        <w:tc>
          <w:tcPr>
            <w:tcW w:w="883" w:type="pct"/>
          </w:tcPr>
          <w:p w14:paraId="1D31BBFC" w14:textId="77777777" w:rsidR="00D6638C" w:rsidRPr="006656B5" w:rsidRDefault="00D6638C" w:rsidP="006656B5">
            <w:pPr>
              <w:tabs>
                <w:tab w:val="right" w:pos="0"/>
              </w:tabs>
              <w:spacing w:after="0"/>
              <w:rPr>
                <w:rFonts w:ascii="Calibri" w:eastAsia="Times New Roman" w:hAnsi="Calibri" w:cs="Times New Roman"/>
                <w:sz w:val="20"/>
                <w:szCs w:val="20"/>
                <w:lang w:val="fr-FR"/>
              </w:rPr>
            </w:pPr>
            <w:r w:rsidRPr="006656B5">
              <w:rPr>
                <w:rFonts w:ascii="Calibri" w:hAnsi="Calibri"/>
                <w:sz w:val="20"/>
                <w:lang w:val="fr-FR"/>
              </w:rPr>
              <w:t>Proposé :</w:t>
            </w:r>
          </w:p>
          <w:p w14:paraId="18057CBB" w14:textId="77777777" w:rsidR="00D6638C" w:rsidRPr="006656B5" w:rsidRDefault="008308E6" w:rsidP="006656B5">
            <w:pPr>
              <w:tabs>
                <w:tab w:val="right" w:pos="0"/>
              </w:tabs>
              <w:spacing w:after="0"/>
              <w:rPr>
                <w:rFonts w:ascii="Calibri" w:eastAsia="Times New Roman" w:hAnsi="Calibri" w:cs="Times New Roman"/>
                <w:sz w:val="20"/>
                <w:szCs w:val="20"/>
                <w:lang w:val="fr-FR"/>
              </w:rPr>
            </w:pPr>
            <w:r w:rsidRPr="006656B5">
              <w:rPr>
                <w:rFonts w:ascii="Calibri" w:eastAsia="Times New Roman" w:hAnsi="Calibri" w:cs="Times New Roman"/>
                <w:sz w:val="20"/>
                <w:szCs w:val="20"/>
                <w:lang w:val="fr-FR"/>
              </w:rPr>
              <w:t>Initialement Décembre 2017</w:t>
            </w:r>
          </w:p>
          <w:p w14:paraId="258EBEAB" w14:textId="77777777" w:rsidR="008308E6" w:rsidRPr="006656B5" w:rsidRDefault="008308E6" w:rsidP="006656B5">
            <w:pPr>
              <w:tabs>
                <w:tab w:val="right" w:pos="0"/>
              </w:tabs>
              <w:spacing w:after="0"/>
              <w:rPr>
                <w:rFonts w:ascii="Calibri" w:eastAsia="Times New Roman" w:hAnsi="Calibri" w:cs="Times New Roman"/>
                <w:sz w:val="20"/>
                <w:szCs w:val="20"/>
                <w:lang w:val="fr-FR"/>
              </w:rPr>
            </w:pPr>
            <w:r w:rsidRPr="006656B5">
              <w:rPr>
                <w:rFonts w:ascii="Calibri" w:eastAsia="Times New Roman" w:hAnsi="Calibri" w:cs="Times New Roman"/>
                <w:sz w:val="20"/>
                <w:szCs w:val="20"/>
                <w:lang w:val="fr-FR"/>
              </w:rPr>
              <w:t>Révisé Août 2018</w:t>
            </w:r>
          </w:p>
        </w:tc>
        <w:tc>
          <w:tcPr>
            <w:tcW w:w="981" w:type="pct"/>
          </w:tcPr>
          <w:p w14:paraId="70356A74" w14:textId="77777777" w:rsidR="00D6638C" w:rsidRPr="006656B5" w:rsidRDefault="00D6638C" w:rsidP="006656B5">
            <w:pPr>
              <w:tabs>
                <w:tab w:val="right" w:pos="0"/>
              </w:tabs>
              <w:spacing w:after="0"/>
              <w:rPr>
                <w:rFonts w:ascii="Calibri" w:eastAsia="Times New Roman" w:hAnsi="Calibri" w:cs="Times New Roman"/>
                <w:sz w:val="20"/>
                <w:szCs w:val="20"/>
              </w:rPr>
            </w:pPr>
            <w:r w:rsidRPr="006656B5">
              <w:rPr>
                <w:rFonts w:ascii="Calibri" w:hAnsi="Calibri"/>
                <w:sz w:val="20"/>
              </w:rPr>
              <w:t>Réel :</w:t>
            </w:r>
          </w:p>
          <w:p w14:paraId="4C41D728" w14:textId="77777777" w:rsidR="00D6638C" w:rsidRPr="006656B5" w:rsidRDefault="008308E6" w:rsidP="006656B5">
            <w:pPr>
              <w:tabs>
                <w:tab w:val="right" w:pos="0"/>
              </w:tabs>
              <w:spacing w:after="0"/>
              <w:rPr>
                <w:rFonts w:ascii="Calibri" w:eastAsia="Times New Roman" w:hAnsi="Calibri" w:cs="Times New Roman"/>
                <w:sz w:val="20"/>
                <w:szCs w:val="20"/>
              </w:rPr>
            </w:pPr>
            <w:r w:rsidRPr="006656B5">
              <w:rPr>
                <w:rFonts w:ascii="Calibri" w:eastAsia="Times New Roman" w:hAnsi="Calibri" w:cs="Times New Roman"/>
                <w:sz w:val="20"/>
                <w:szCs w:val="20"/>
              </w:rPr>
              <w:t>Décembre 2017</w:t>
            </w:r>
          </w:p>
        </w:tc>
      </w:tr>
    </w:tbl>
    <w:p w14:paraId="2067E115" w14:textId="77777777" w:rsidR="00D6638C" w:rsidRPr="006656B5" w:rsidRDefault="00D6638C" w:rsidP="006656B5">
      <w:pPr>
        <w:pStyle w:val="Heading51"/>
      </w:pPr>
      <w:bookmarkStart w:id="4" w:name="_Toc321341549"/>
      <w:r w:rsidRPr="006656B5">
        <w:t>Objectif et portée</w:t>
      </w:r>
      <w:bookmarkEnd w:id="4"/>
    </w:p>
    <w:p w14:paraId="4C32B786" w14:textId="77777777" w:rsidR="00D6638C" w:rsidRPr="006656B5" w:rsidRDefault="00D6638C" w:rsidP="006656B5">
      <w:pPr>
        <w:spacing w:before="200"/>
        <w:rPr>
          <w:rFonts w:ascii="Calibri" w:hAnsi="Calibri"/>
          <w:i/>
          <w:sz w:val="20"/>
          <w:lang w:val="fr-FR"/>
        </w:rPr>
      </w:pPr>
      <w:r w:rsidRPr="006656B5">
        <w:rPr>
          <w:rFonts w:ascii="Calibri" w:hAnsi="Calibri"/>
          <w:sz w:val="20"/>
          <w:lang w:val="fr-FR"/>
        </w:rPr>
        <w:t xml:space="preserve">Le projet a été conçu pour : </w:t>
      </w:r>
      <w:r w:rsidRPr="006656B5">
        <w:rPr>
          <w:rFonts w:ascii="Calibri" w:hAnsi="Calibri"/>
          <w:i/>
          <w:sz w:val="20"/>
          <w:lang w:val="fr-FR"/>
        </w:rPr>
        <w:t>(Fournir un résumé du projet, y compris l'objectif et les résultats du projet. Par ailleurs, si le projet financé par le FEM fait partie d’un programme plus vaste, indiquez si l’évaluation finale doit couvrir le programme dans son ensemble ou seulement l’élément du FEM).</w:t>
      </w:r>
    </w:p>
    <w:p w14:paraId="50B761CD" w14:textId="7584BF68" w:rsidR="00863D8E" w:rsidRPr="006656B5" w:rsidRDefault="00CA4A04" w:rsidP="006656B5">
      <w:pPr>
        <w:jc w:val="both"/>
        <w:rPr>
          <w:sz w:val="20"/>
          <w:szCs w:val="20"/>
          <w:lang w:val="fr-FR"/>
        </w:rPr>
      </w:pPr>
      <w:r w:rsidRPr="006656B5">
        <w:rPr>
          <w:rFonts w:cstheme="minorHAnsi"/>
          <w:sz w:val="20"/>
          <w:szCs w:val="20"/>
          <w:lang w:val="fr-FR"/>
        </w:rPr>
        <w:t xml:space="preserve">Le Projet MRPA </w:t>
      </w:r>
      <w:r w:rsidRPr="006656B5">
        <w:rPr>
          <w:sz w:val="20"/>
          <w:szCs w:val="20"/>
          <w:lang w:val="fr-FR"/>
        </w:rPr>
        <w:t>(Network of Managed Resources Protected Areas) est une initiative du Ministère de l’Environnement, de l’Ecologie et des Forêts (MEEF), financé</w:t>
      </w:r>
      <w:r w:rsidR="00890EC4" w:rsidRPr="006656B5">
        <w:rPr>
          <w:sz w:val="20"/>
          <w:szCs w:val="20"/>
          <w:lang w:val="fr-FR"/>
        </w:rPr>
        <w:t>e</w:t>
      </w:r>
      <w:r w:rsidRPr="006656B5">
        <w:rPr>
          <w:sz w:val="20"/>
          <w:szCs w:val="20"/>
          <w:lang w:val="fr-FR"/>
        </w:rPr>
        <w:t xml:space="preserve"> par le Fonds pour l’Environnement Mondial (</w:t>
      </w:r>
      <w:r w:rsidR="00A41899" w:rsidRPr="006656B5">
        <w:rPr>
          <w:sz w:val="20"/>
          <w:szCs w:val="20"/>
          <w:lang w:val="fr-FR"/>
        </w:rPr>
        <w:t>FEM</w:t>
      </w:r>
      <w:r w:rsidRPr="006656B5">
        <w:rPr>
          <w:sz w:val="20"/>
          <w:szCs w:val="20"/>
          <w:lang w:val="fr-FR"/>
        </w:rPr>
        <w:t>) et le Programme des Nations Unies pour le Développement (PNUD), et mis</w:t>
      </w:r>
      <w:r w:rsidR="00890EC4" w:rsidRPr="006656B5">
        <w:rPr>
          <w:sz w:val="20"/>
          <w:szCs w:val="20"/>
          <w:lang w:val="fr-FR"/>
        </w:rPr>
        <w:t>e</w:t>
      </w:r>
      <w:r w:rsidRPr="006656B5">
        <w:rPr>
          <w:sz w:val="20"/>
          <w:szCs w:val="20"/>
          <w:lang w:val="fr-FR"/>
        </w:rPr>
        <w:t xml:space="preserve"> en œuvre par l’Unité de Coordination des Projets Environnementaux (UCPE) et six O</w:t>
      </w:r>
      <w:r w:rsidR="00890EC4" w:rsidRPr="006656B5">
        <w:rPr>
          <w:sz w:val="20"/>
          <w:szCs w:val="20"/>
          <w:lang w:val="fr-FR"/>
        </w:rPr>
        <w:t>rganisations</w:t>
      </w:r>
      <w:r w:rsidRPr="006656B5">
        <w:rPr>
          <w:sz w:val="20"/>
          <w:szCs w:val="20"/>
          <w:lang w:val="fr-FR"/>
        </w:rPr>
        <w:t xml:space="preserve"> Non Gouvernemental</w:t>
      </w:r>
      <w:r w:rsidR="00890EC4" w:rsidRPr="006656B5">
        <w:rPr>
          <w:sz w:val="20"/>
          <w:szCs w:val="20"/>
          <w:lang w:val="fr-FR"/>
        </w:rPr>
        <w:t>es</w:t>
      </w:r>
      <w:r w:rsidRPr="006656B5">
        <w:rPr>
          <w:sz w:val="20"/>
          <w:szCs w:val="20"/>
          <w:lang w:val="fr-FR"/>
        </w:rPr>
        <w:t xml:space="preserve"> Partenaires (ONGP). </w:t>
      </w:r>
    </w:p>
    <w:p w14:paraId="262FD250" w14:textId="7044D6C7" w:rsidR="00863D8E" w:rsidRPr="006656B5" w:rsidRDefault="00863D8E" w:rsidP="006656B5">
      <w:pPr>
        <w:jc w:val="both"/>
        <w:rPr>
          <w:rFonts w:cstheme="minorHAnsi"/>
          <w:sz w:val="20"/>
          <w:szCs w:val="20"/>
          <w:lang w:val="fr-FR"/>
        </w:rPr>
      </w:pPr>
      <w:r w:rsidRPr="006656B5">
        <w:rPr>
          <w:rFonts w:cstheme="minorHAnsi"/>
          <w:sz w:val="20"/>
          <w:szCs w:val="20"/>
          <w:lang w:val="fr-FR"/>
        </w:rPr>
        <w:t>Pour Madagascar, la combinaison d’un niveau élevé de diversité biologique générale et d’une exceptionnelle endémicité est unique dans le monde.  Sur la base de récentes réussites, le projet proposé a</w:t>
      </w:r>
      <w:r w:rsidR="0055487F" w:rsidRPr="006656B5">
        <w:rPr>
          <w:rFonts w:cstheme="minorHAnsi"/>
          <w:sz w:val="20"/>
          <w:szCs w:val="20"/>
          <w:lang w:val="fr-FR"/>
        </w:rPr>
        <w:t xml:space="preserve"> eu</w:t>
      </w:r>
      <w:r w:rsidRPr="006656B5">
        <w:rPr>
          <w:rFonts w:cstheme="minorHAnsi"/>
          <w:sz w:val="20"/>
          <w:szCs w:val="20"/>
          <w:lang w:val="fr-FR"/>
        </w:rPr>
        <w:t xml:space="preserve"> pour but de créer des Aires Protégées de Ressources Naturelles Gérées (MRPA) qui s’adaptent bien aux conditions culturelles, sociales et économiques du pays.  Ce projet </w:t>
      </w:r>
      <w:r w:rsidR="0055487F" w:rsidRPr="006656B5">
        <w:rPr>
          <w:rFonts w:cstheme="minorHAnsi"/>
          <w:sz w:val="20"/>
          <w:szCs w:val="20"/>
          <w:lang w:val="fr-FR"/>
        </w:rPr>
        <w:t xml:space="preserve">a aidé </w:t>
      </w:r>
      <w:r w:rsidRPr="006656B5">
        <w:rPr>
          <w:rFonts w:cstheme="minorHAnsi"/>
          <w:sz w:val="20"/>
          <w:szCs w:val="20"/>
          <w:lang w:val="fr-FR"/>
        </w:rPr>
        <w:t xml:space="preserve">à établir un réseau de MRPA venant en appui au Système des Aires Protégées de Madagascar et qui englobe toutes les parties prenantes des MRPA.  Le nouveau réseau contribue </w:t>
      </w:r>
      <w:r w:rsidR="00C56308" w:rsidRPr="006656B5">
        <w:rPr>
          <w:rFonts w:cstheme="minorHAnsi"/>
          <w:sz w:val="20"/>
          <w:szCs w:val="20"/>
          <w:lang w:val="fr-FR"/>
        </w:rPr>
        <w:t xml:space="preserve">ainsi </w:t>
      </w:r>
      <w:r w:rsidRPr="006656B5">
        <w:rPr>
          <w:rFonts w:cstheme="minorHAnsi"/>
          <w:sz w:val="20"/>
          <w:szCs w:val="20"/>
          <w:lang w:val="fr-FR"/>
        </w:rPr>
        <w:t>à une mise à jour du Plan National de Gestion du Système des Aires Protégées</w:t>
      </w:r>
      <w:r w:rsidR="00C56308" w:rsidRPr="006656B5">
        <w:rPr>
          <w:rFonts w:cstheme="minorHAnsi"/>
          <w:sz w:val="20"/>
          <w:szCs w:val="20"/>
          <w:lang w:val="fr-FR"/>
        </w:rPr>
        <w:t>,</w:t>
      </w:r>
      <w:r w:rsidRPr="006656B5">
        <w:rPr>
          <w:rFonts w:cstheme="minorHAnsi"/>
          <w:sz w:val="20"/>
          <w:szCs w:val="20"/>
          <w:lang w:val="fr-FR"/>
        </w:rPr>
        <w:t xml:space="preserve"> qui contient les MRPA.  Comme dans de nombreux pays en développement, les Aires Protégées (AP) de Catégorie V Malagasy, dénommées Paysage Harmonieux Protégé, ne sont pas exactement conformes aux directives de l’UICN, et le GOM a négocié avec cet organisme mondial de conservation pour créer une nouvelle sous- catégorie.  Le projet </w:t>
      </w:r>
      <w:r w:rsidR="0055487F" w:rsidRPr="006656B5">
        <w:rPr>
          <w:rFonts w:cstheme="minorHAnsi"/>
          <w:sz w:val="20"/>
          <w:szCs w:val="20"/>
          <w:lang w:val="fr-FR"/>
        </w:rPr>
        <w:t>avait le but d’</w:t>
      </w:r>
      <w:r w:rsidRPr="006656B5">
        <w:rPr>
          <w:rFonts w:cstheme="minorHAnsi"/>
          <w:sz w:val="20"/>
          <w:szCs w:val="20"/>
          <w:lang w:val="fr-FR"/>
        </w:rPr>
        <w:t xml:space="preserve">ajouter des MRPA couvrant 1 527 151 ha au registre national des AP et en </w:t>
      </w:r>
      <w:r w:rsidR="0055487F" w:rsidRPr="006656B5">
        <w:rPr>
          <w:rFonts w:cstheme="minorHAnsi"/>
          <w:sz w:val="20"/>
          <w:szCs w:val="20"/>
          <w:lang w:val="fr-FR"/>
        </w:rPr>
        <w:t xml:space="preserve">assurer </w:t>
      </w:r>
      <w:r w:rsidRPr="006656B5">
        <w:rPr>
          <w:rFonts w:cstheme="minorHAnsi"/>
          <w:sz w:val="20"/>
          <w:szCs w:val="20"/>
          <w:lang w:val="fr-FR"/>
        </w:rPr>
        <w:t>la facilitation pour une autre superficie de 1 286 816 au moyen d’interventions de partenaires.  Ces surfaces représentent 4,9% du territoire national ou presque la moitié de l’engagement du pays à établir 10% du territoire en AP.  Les MRPA ciblées sont estimées être parmi les plus sensibles pour assurer une représentation adéquate de la biodiversité Malagasy et ont d’excellentes perspectives de viabilité à long terme vu leur potentiel de résilience aux impacts du changement climatique et à d’autres pressions.  Le projet s</w:t>
      </w:r>
      <w:r w:rsidR="0055487F" w:rsidRPr="006656B5">
        <w:rPr>
          <w:rFonts w:cstheme="minorHAnsi"/>
          <w:sz w:val="20"/>
          <w:szCs w:val="20"/>
          <w:lang w:val="fr-FR"/>
        </w:rPr>
        <w:t xml:space="preserve">’est concentré </w:t>
      </w:r>
      <w:r w:rsidRPr="006656B5">
        <w:rPr>
          <w:rFonts w:cstheme="minorHAnsi"/>
          <w:sz w:val="20"/>
          <w:szCs w:val="20"/>
          <w:lang w:val="fr-FR"/>
        </w:rPr>
        <w:t xml:space="preserve">sur le renforcement de capacité aux niveaux national, régional et local avec un accent fort sur ce dernier niveau.  La mise en place des systèmes de gouvernance et de gestion efficace pour les parties prenantes locales </w:t>
      </w:r>
      <w:r w:rsidR="00C56308" w:rsidRPr="006656B5">
        <w:rPr>
          <w:rFonts w:cstheme="minorHAnsi"/>
          <w:sz w:val="20"/>
          <w:szCs w:val="20"/>
          <w:lang w:val="fr-FR"/>
        </w:rPr>
        <w:t>a</w:t>
      </w:r>
      <w:r w:rsidR="0055487F" w:rsidRPr="006656B5">
        <w:rPr>
          <w:rFonts w:cstheme="minorHAnsi"/>
          <w:sz w:val="20"/>
          <w:szCs w:val="20"/>
          <w:lang w:val="fr-FR"/>
        </w:rPr>
        <w:t xml:space="preserve"> été considéré</w:t>
      </w:r>
      <w:r w:rsidR="00C56308" w:rsidRPr="006656B5">
        <w:rPr>
          <w:rFonts w:cstheme="minorHAnsi"/>
          <w:sz w:val="20"/>
          <w:szCs w:val="20"/>
          <w:lang w:val="fr-FR"/>
        </w:rPr>
        <w:t>e</w:t>
      </w:r>
      <w:r w:rsidR="0055487F" w:rsidRPr="006656B5">
        <w:rPr>
          <w:rFonts w:cstheme="minorHAnsi"/>
          <w:sz w:val="20"/>
          <w:szCs w:val="20"/>
          <w:lang w:val="fr-FR"/>
        </w:rPr>
        <w:t xml:space="preserve"> comme</w:t>
      </w:r>
      <w:r w:rsidRPr="006656B5">
        <w:rPr>
          <w:rFonts w:cstheme="minorHAnsi"/>
          <w:sz w:val="20"/>
          <w:szCs w:val="20"/>
          <w:lang w:val="fr-FR"/>
        </w:rPr>
        <w:t xml:space="preserve"> un facteur majeur à la réussite et à la pérennité des MRPA.  Les MRPA ont le double rôle d’assurer une conservation efficace de la biodiversité et de stimuler la croissance économique.  De ce fait, le projet  </w:t>
      </w:r>
      <w:r w:rsidR="0055487F" w:rsidRPr="006656B5">
        <w:rPr>
          <w:rFonts w:cstheme="minorHAnsi"/>
          <w:sz w:val="20"/>
          <w:szCs w:val="20"/>
          <w:lang w:val="fr-FR"/>
        </w:rPr>
        <w:t xml:space="preserve">a mis </w:t>
      </w:r>
      <w:r w:rsidRPr="006656B5">
        <w:rPr>
          <w:rFonts w:cstheme="minorHAnsi"/>
          <w:sz w:val="20"/>
          <w:szCs w:val="20"/>
          <w:lang w:val="fr-FR"/>
        </w:rPr>
        <w:t xml:space="preserve">un effort considérable dans l’élaboration de mécanismes novateurs qui stimulent la croissance économique au niveau des parties prenantes locales par le biais de partenariats avec le secteur privé afin de développer des marchés à valeur ajoutée pour les produits et services </w:t>
      </w:r>
      <w:r w:rsidR="00813D4B" w:rsidRPr="006656B5">
        <w:rPr>
          <w:rFonts w:cstheme="minorHAnsi"/>
          <w:sz w:val="20"/>
          <w:szCs w:val="20"/>
          <w:lang w:val="fr-FR"/>
        </w:rPr>
        <w:t>labellisés</w:t>
      </w:r>
      <w:r w:rsidRPr="006656B5">
        <w:rPr>
          <w:rFonts w:cstheme="minorHAnsi"/>
          <w:sz w:val="20"/>
          <w:szCs w:val="20"/>
          <w:lang w:val="fr-FR"/>
        </w:rPr>
        <w:t xml:space="preserve">.  Ces mesures </w:t>
      </w:r>
      <w:r w:rsidR="00813D4B" w:rsidRPr="006656B5">
        <w:rPr>
          <w:rFonts w:cstheme="minorHAnsi"/>
          <w:sz w:val="20"/>
          <w:szCs w:val="20"/>
          <w:lang w:val="fr-FR"/>
        </w:rPr>
        <w:t xml:space="preserve">aident </w:t>
      </w:r>
      <w:r w:rsidRPr="006656B5">
        <w:rPr>
          <w:rFonts w:cstheme="minorHAnsi"/>
          <w:sz w:val="20"/>
          <w:szCs w:val="20"/>
          <w:lang w:val="fr-FR"/>
        </w:rPr>
        <w:t>à briser les cycles perpétuels de subsistance qui entretiennent la pauvreté rurale, et génèrent des recettes directes pour la gestion durable des MRPA.  Ces recettes, à travers un effort vers une indépendance financière, sont prévues pour éviter la persistance d’une dépendance par rapport aux bailleurs de fonds.</w:t>
      </w:r>
    </w:p>
    <w:p w14:paraId="13A3FC90" w14:textId="425D0225" w:rsidR="00CA4A04" w:rsidRPr="006656B5" w:rsidRDefault="00CA4A04" w:rsidP="006656B5">
      <w:pPr>
        <w:jc w:val="both"/>
        <w:rPr>
          <w:rFonts w:eastAsiaTheme="minorEastAsia" w:cs="Times New Roman"/>
          <w:bCs/>
          <w:sz w:val="23"/>
          <w:szCs w:val="23"/>
          <w:lang w:val="fr-FR"/>
        </w:rPr>
      </w:pPr>
      <w:r w:rsidRPr="006656B5">
        <w:rPr>
          <w:rFonts w:cstheme="minorHAnsi"/>
          <w:sz w:val="20"/>
          <w:szCs w:val="20"/>
          <w:lang w:val="fr-FR"/>
        </w:rPr>
        <w:lastRenderedPageBreak/>
        <w:t xml:space="preserve">Le but du projet </w:t>
      </w:r>
      <w:r w:rsidR="00C56308" w:rsidRPr="006656B5">
        <w:rPr>
          <w:rFonts w:cstheme="minorHAnsi"/>
          <w:sz w:val="20"/>
          <w:szCs w:val="20"/>
          <w:lang w:val="fr-FR"/>
        </w:rPr>
        <w:t>a</w:t>
      </w:r>
      <w:r w:rsidR="00813D4B" w:rsidRPr="006656B5">
        <w:rPr>
          <w:rFonts w:cstheme="minorHAnsi"/>
          <w:sz w:val="20"/>
          <w:szCs w:val="20"/>
          <w:lang w:val="fr-FR"/>
        </w:rPr>
        <w:t xml:space="preserve"> été </w:t>
      </w:r>
      <w:r w:rsidRPr="006656B5">
        <w:rPr>
          <w:rFonts w:cstheme="minorHAnsi"/>
          <w:sz w:val="20"/>
          <w:szCs w:val="20"/>
          <w:lang w:val="fr-FR"/>
        </w:rPr>
        <w:t>de contribuer à l’efficacité et la durabilité du système national d’AP par l’établissement de nouvelles aires protégées de ressources gérées (</w:t>
      </w:r>
      <w:r w:rsidR="00936482" w:rsidRPr="006656B5">
        <w:rPr>
          <w:rFonts w:cstheme="minorHAnsi"/>
          <w:sz w:val="20"/>
          <w:szCs w:val="20"/>
          <w:lang w:val="fr-FR"/>
        </w:rPr>
        <w:t>MRPA</w:t>
      </w:r>
      <w:r w:rsidRPr="006656B5">
        <w:rPr>
          <w:rFonts w:cstheme="minorHAnsi"/>
          <w:sz w:val="20"/>
          <w:szCs w:val="20"/>
          <w:lang w:val="fr-FR"/>
        </w:rPr>
        <w:t>) qui assurent la représentation et la conservation de la biodiversité exceptionnelle mondialement reconnue de Madagascar tout en assurant la croissance économique pour les défavorisés</w:t>
      </w:r>
      <w:r w:rsidRPr="006656B5">
        <w:rPr>
          <w:lang w:val="fr-FR" w:eastAsia="en-GB"/>
        </w:rPr>
        <w:t>.</w:t>
      </w:r>
    </w:p>
    <w:p w14:paraId="151CEE51" w14:textId="77777777" w:rsidR="00CA4A04" w:rsidRPr="006656B5" w:rsidRDefault="00CA4A04" w:rsidP="006656B5">
      <w:pPr>
        <w:widowControl w:val="0"/>
        <w:autoSpaceDE w:val="0"/>
        <w:autoSpaceDN w:val="0"/>
        <w:adjustRightInd w:val="0"/>
        <w:spacing w:after="0"/>
        <w:jc w:val="both"/>
        <w:rPr>
          <w:lang w:val="fr-FR" w:eastAsia="en-GB"/>
        </w:rPr>
      </w:pPr>
    </w:p>
    <w:p w14:paraId="11EF5047" w14:textId="714767AD" w:rsidR="00CA4A04" w:rsidRPr="006656B5" w:rsidRDefault="00CA4A04" w:rsidP="006656B5">
      <w:pPr>
        <w:pStyle w:val="Paragraphedeliste"/>
        <w:spacing w:before="0" w:after="0" w:line="240" w:lineRule="auto"/>
        <w:ind w:left="0"/>
        <w:jc w:val="both"/>
        <w:rPr>
          <w:lang w:val="fr-FR" w:eastAsia="en-GB"/>
        </w:rPr>
      </w:pPr>
      <w:r w:rsidRPr="006656B5">
        <w:rPr>
          <w:lang w:val="fr-FR" w:eastAsia="en-GB"/>
        </w:rPr>
        <w:t>L’objectif du projet consiste à étendre le système</w:t>
      </w:r>
      <w:r w:rsidR="00890EC4" w:rsidRPr="006656B5">
        <w:rPr>
          <w:lang w:val="fr-FR" w:eastAsia="en-GB"/>
        </w:rPr>
        <w:t xml:space="preserve"> des AP de Madagascar en </w:t>
      </w:r>
      <w:r w:rsidR="0055487F" w:rsidRPr="006656B5">
        <w:rPr>
          <w:lang w:val="fr-FR" w:eastAsia="en-GB"/>
        </w:rPr>
        <w:t>développant</w:t>
      </w:r>
      <w:r w:rsidRPr="006656B5">
        <w:rPr>
          <w:lang w:val="fr-FR" w:eastAsia="en-GB"/>
        </w:rPr>
        <w:t xml:space="preserve"> un sous réseau d’aires protégées </w:t>
      </w:r>
      <w:r w:rsidR="00863D8E" w:rsidRPr="006656B5">
        <w:rPr>
          <w:lang w:val="fr-FR" w:eastAsia="en-GB"/>
        </w:rPr>
        <w:t>de ressources gérées</w:t>
      </w:r>
      <w:r w:rsidRPr="006656B5">
        <w:rPr>
          <w:rFonts w:eastAsiaTheme="minorEastAsia" w:cs="Times New Roman"/>
          <w:b/>
          <w:bCs/>
          <w:sz w:val="23"/>
          <w:szCs w:val="23"/>
          <w:lang w:val="fr-FR"/>
        </w:rPr>
        <w:t xml:space="preserve"> </w:t>
      </w:r>
      <w:r w:rsidRPr="006656B5">
        <w:rPr>
          <w:lang w:val="fr-FR" w:eastAsia="en-GB"/>
        </w:rPr>
        <w:t>dans les paysages écologiques sous représentés, dans le cadre de la gestion conjointe du gouvernement local et des communautés, et intégrés dans les cadres régionaux de développement.</w:t>
      </w:r>
    </w:p>
    <w:p w14:paraId="24E765C6" w14:textId="77777777" w:rsidR="00CA4A04" w:rsidRPr="006656B5" w:rsidRDefault="00CA4A04" w:rsidP="006656B5">
      <w:pPr>
        <w:pStyle w:val="Paragraphedeliste"/>
        <w:rPr>
          <w:lang w:val="fr-FR" w:eastAsia="en-GB"/>
        </w:rPr>
      </w:pPr>
    </w:p>
    <w:p w14:paraId="5C381653" w14:textId="6A226787" w:rsidR="00CA4A04" w:rsidRPr="006656B5" w:rsidRDefault="00CA4A04" w:rsidP="006656B5">
      <w:pPr>
        <w:pStyle w:val="Paragraphedeliste"/>
        <w:spacing w:before="0" w:after="0" w:line="240" w:lineRule="auto"/>
        <w:ind w:left="0"/>
        <w:jc w:val="both"/>
        <w:rPr>
          <w:lang w:val="fr-FR" w:eastAsia="en-GB"/>
        </w:rPr>
      </w:pPr>
      <w:r w:rsidRPr="006656B5">
        <w:rPr>
          <w:lang w:val="fr-FR"/>
        </w:rPr>
        <w:t>Pour atteindre cet objectif, le projet PNUD</w:t>
      </w:r>
      <w:r w:rsidR="0041016B" w:rsidRPr="006656B5">
        <w:rPr>
          <w:lang w:val="fr-FR"/>
        </w:rPr>
        <w:t>/</w:t>
      </w:r>
      <w:r w:rsidRPr="006656B5">
        <w:rPr>
          <w:lang w:val="fr-FR"/>
        </w:rPr>
        <w:t xml:space="preserve">FEM MRPA a </w:t>
      </w:r>
      <w:r w:rsidRPr="006656B5">
        <w:rPr>
          <w:b/>
          <w:lang w:val="fr-FR"/>
        </w:rPr>
        <w:t xml:space="preserve">3 </w:t>
      </w:r>
      <w:r w:rsidR="0041016B" w:rsidRPr="006656B5">
        <w:rPr>
          <w:b/>
          <w:lang w:val="fr-FR"/>
        </w:rPr>
        <w:t>composantes</w:t>
      </w:r>
      <w:r w:rsidR="00936482" w:rsidRPr="006656B5">
        <w:rPr>
          <w:lang w:val="fr-FR"/>
        </w:rPr>
        <w:t xml:space="preserve"> </w:t>
      </w:r>
      <w:r w:rsidRPr="006656B5">
        <w:rPr>
          <w:lang w:val="fr-FR"/>
        </w:rPr>
        <w:t>avec, pour chacune d’elle, un effet attendu par la mise en œuvre du projet :</w:t>
      </w:r>
    </w:p>
    <w:p w14:paraId="6EBD4D3C" w14:textId="77777777" w:rsidR="00CA4A04" w:rsidRPr="006656B5" w:rsidRDefault="00CA4A04" w:rsidP="006656B5">
      <w:pPr>
        <w:spacing w:after="0"/>
        <w:jc w:val="both"/>
        <w:rPr>
          <w:lang w:val="fr-FR"/>
        </w:rPr>
      </w:pPr>
    </w:p>
    <w:p w14:paraId="6F48E3E4" w14:textId="27A7DE98" w:rsidR="00CA4A04" w:rsidRPr="006656B5" w:rsidRDefault="00CA4A04" w:rsidP="006656B5">
      <w:pPr>
        <w:pStyle w:val="Paragraphedeliste"/>
        <w:numPr>
          <w:ilvl w:val="0"/>
          <w:numId w:val="33"/>
        </w:numPr>
        <w:spacing w:before="0" w:line="240" w:lineRule="auto"/>
        <w:jc w:val="both"/>
        <w:rPr>
          <w:rFonts w:cs="Times New Roman"/>
          <w:lang w:val="fr-FR"/>
        </w:rPr>
      </w:pPr>
      <w:r w:rsidRPr="006656B5">
        <w:rPr>
          <w:rFonts w:cs="Times New Roman"/>
          <w:lang w:val="fr-FR"/>
        </w:rPr>
        <w:t>De nouvelles AP sont créées dans le cadre des catégories V et VI de l’UICN comme fondation d’un sous réseau fonctionnel et efficace d’</w:t>
      </w:r>
      <w:r w:rsidR="0041016B" w:rsidRPr="006656B5">
        <w:rPr>
          <w:rFonts w:cs="Times New Roman"/>
          <w:lang w:val="fr-FR"/>
        </w:rPr>
        <w:t>a</w:t>
      </w:r>
      <w:r w:rsidRPr="006656B5">
        <w:rPr>
          <w:rFonts w:cs="Times New Roman"/>
          <w:lang w:val="fr-FR"/>
        </w:rPr>
        <w:t xml:space="preserve">ires </w:t>
      </w:r>
      <w:r w:rsidR="0041016B" w:rsidRPr="006656B5">
        <w:rPr>
          <w:rFonts w:cs="Times New Roman"/>
          <w:lang w:val="fr-FR"/>
        </w:rPr>
        <w:t>p</w:t>
      </w:r>
      <w:r w:rsidRPr="006656B5">
        <w:rPr>
          <w:rFonts w:cs="Times New Roman"/>
          <w:lang w:val="fr-FR"/>
        </w:rPr>
        <w:t xml:space="preserve">rotégées de </w:t>
      </w:r>
      <w:r w:rsidR="0041016B" w:rsidRPr="006656B5">
        <w:rPr>
          <w:rFonts w:cs="Times New Roman"/>
          <w:lang w:val="fr-FR"/>
        </w:rPr>
        <w:t>r</w:t>
      </w:r>
      <w:r w:rsidRPr="006656B5">
        <w:rPr>
          <w:rFonts w:cs="Times New Roman"/>
          <w:lang w:val="fr-FR"/>
        </w:rPr>
        <w:t xml:space="preserve">essources </w:t>
      </w:r>
      <w:r w:rsidR="0041016B" w:rsidRPr="006656B5">
        <w:rPr>
          <w:rFonts w:cs="Times New Roman"/>
          <w:lang w:val="fr-FR"/>
        </w:rPr>
        <w:t>g</w:t>
      </w:r>
      <w:r w:rsidRPr="006656B5">
        <w:rPr>
          <w:rFonts w:cs="Times New Roman"/>
          <w:lang w:val="fr-FR"/>
        </w:rPr>
        <w:t xml:space="preserve">érées, sur la base d’une vision et de principes de gestion communs. </w:t>
      </w:r>
    </w:p>
    <w:p w14:paraId="5A5B8DA6" w14:textId="77777777" w:rsidR="00863D8E" w:rsidRPr="006656B5" w:rsidRDefault="00863D8E" w:rsidP="006656B5">
      <w:pPr>
        <w:pStyle w:val="Paragraphedeliste"/>
        <w:spacing w:before="0" w:line="240" w:lineRule="auto"/>
        <w:jc w:val="both"/>
        <w:rPr>
          <w:rFonts w:cs="Times New Roman"/>
          <w:lang w:val="fr-FR"/>
        </w:rPr>
      </w:pPr>
    </w:p>
    <w:p w14:paraId="055601D5" w14:textId="77777777" w:rsidR="00CA4A04" w:rsidRPr="006656B5" w:rsidRDefault="00CA4A04" w:rsidP="006656B5">
      <w:pPr>
        <w:pStyle w:val="Paragraphedeliste"/>
        <w:numPr>
          <w:ilvl w:val="0"/>
          <w:numId w:val="33"/>
        </w:numPr>
        <w:spacing w:before="0" w:line="240" w:lineRule="auto"/>
        <w:jc w:val="both"/>
        <w:rPr>
          <w:rFonts w:cs="Times New Roman"/>
          <w:lang w:val="fr-FR"/>
        </w:rPr>
      </w:pPr>
      <w:r w:rsidRPr="006656B5">
        <w:rPr>
          <w:rFonts w:cs="Times New Roman"/>
          <w:lang w:val="fr-FR"/>
        </w:rPr>
        <w:t xml:space="preserve">La capacité institutionnelle des groupes de parties prenantes fournit un cadre favorable de gouvernance décentralisée des MRPA assurant la conservation de la biodiversité et la croissance économique durable basée sur les ressources naturelles. </w:t>
      </w:r>
    </w:p>
    <w:p w14:paraId="4F910AC4" w14:textId="77777777" w:rsidR="00863D8E" w:rsidRPr="006656B5" w:rsidRDefault="00863D8E" w:rsidP="006656B5">
      <w:pPr>
        <w:pStyle w:val="Paragraphedeliste"/>
        <w:rPr>
          <w:rFonts w:cs="Times New Roman"/>
          <w:lang w:val="fr-FR"/>
        </w:rPr>
      </w:pPr>
    </w:p>
    <w:p w14:paraId="0A56D880" w14:textId="77777777" w:rsidR="00CA4A04" w:rsidRPr="006656B5" w:rsidRDefault="00CA4A04" w:rsidP="006656B5">
      <w:pPr>
        <w:pStyle w:val="Paragraphedeliste"/>
        <w:numPr>
          <w:ilvl w:val="0"/>
          <w:numId w:val="33"/>
        </w:numPr>
        <w:spacing w:before="0" w:line="240" w:lineRule="auto"/>
        <w:jc w:val="both"/>
        <w:rPr>
          <w:rFonts w:cs="Times New Roman"/>
          <w:lang w:val="fr-FR"/>
        </w:rPr>
      </w:pPr>
      <w:r w:rsidRPr="006656B5">
        <w:rPr>
          <w:rFonts w:cs="Times New Roman"/>
          <w:lang w:val="fr-FR"/>
        </w:rPr>
        <w:t xml:space="preserve">La pérennité financière des MRPA est renforcée au moyen de partenariats innovants et de mobilisation du financement public. </w:t>
      </w:r>
    </w:p>
    <w:p w14:paraId="40BC4B11" w14:textId="77777777" w:rsidR="00D6638C" w:rsidRPr="006656B5" w:rsidRDefault="00D6638C" w:rsidP="006656B5">
      <w:pPr>
        <w:spacing w:before="200"/>
        <w:rPr>
          <w:rFonts w:ascii="Calibri" w:eastAsia="Times New Roman" w:hAnsi="Calibri" w:cs="Times New Roman"/>
          <w:i/>
          <w:sz w:val="20"/>
          <w:szCs w:val="20"/>
          <w:lang w:val="fr-FR"/>
        </w:rPr>
      </w:pPr>
      <w:r w:rsidRPr="006656B5">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p>
    <w:p w14:paraId="1298973B" w14:textId="77777777" w:rsidR="00C45338" w:rsidRPr="006656B5" w:rsidRDefault="00D6638C" w:rsidP="006656B5">
      <w:pPr>
        <w:spacing w:after="120"/>
        <w:rPr>
          <w:rFonts w:ascii="Calibri" w:hAnsi="Calibri"/>
          <w:sz w:val="20"/>
          <w:lang w:val="fr-FR"/>
        </w:rPr>
      </w:pPr>
      <w:r w:rsidRPr="006656B5">
        <w:rPr>
          <w:rFonts w:ascii="Calibri" w:hAnsi="Calibri"/>
          <w:sz w:val="20"/>
          <w:lang w:val="fr-FR"/>
        </w:rPr>
        <w:t xml:space="preserve">Les objectifs de l’évaluation consistent à </w:t>
      </w:r>
    </w:p>
    <w:p w14:paraId="02EE73ED" w14:textId="77777777" w:rsidR="00C45338" w:rsidRPr="006656B5" w:rsidRDefault="00C45338" w:rsidP="006656B5">
      <w:pPr>
        <w:spacing w:after="120"/>
        <w:rPr>
          <w:rFonts w:ascii="Calibri" w:hAnsi="Calibri"/>
          <w:sz w:val="20"/>
          <w:lang w:val="fr-FR"/>
        </w:rPr>
      </w:pPr>
      <w:r w:rsidRPr="006656B5">
        <w:rPr>
          <w:rFonts w:ascii="Calibri" w:hAnsi="Calibri"/>
          <w:sz w:val="20"/>
          <w:lang w:val="fr-FR"/>
        </w:rPr>
        <w:t>Evaluer les réalisations et les stratégies mises en œuvre par le projet aussi bien sur le terrain qu’au niveau national ;</w:t>
      </w:r>
    </w:p>
    <w:p w14:paraId="10E1F523" w14:textId="77777777" w:rsidR="00C45338" w:rsidRPr="006656B5" w:rsidRDefault="00C45338" w:rsidP="006656B5">
      <w:pPr>
        <w:spacing w:after="120"/>
        <w:rPr>
          <w:rFonts w:ascii="Calibri" w:hAnsi="Calibri"/>
          <w:sz w:val="20"/>
          <w:lang w:val="fr-FR"/>
        </w:rPr>
      </w:pPr>
      <w:r w:rsidRPr="006656B5">
        <w:rPr>
          <w:rFonts w:ascii="Calibri" w:hAnsi="Calibri"/>
          <w:sz w:val="20"/>
          <w:lang w:val="fr-FR"/>
        </w:rPr>
        <w:t>Apprécier de manière objective la pertinence, l’efficacité, l’efficience, les impacts (ou signes précoces d’impacts) et la durabilité des résultats du Projet ;</w:t>
      </w:r>
    </w:p>
    <w:p w14:paraId="4785EF5F" w14:textId="77777777" w:rsidR="00C45338" w:rsidRPr="006656B5" w:rsidRDefault="00C45338" w:rsidP="006656B5">
      <w:pPr>
        <w:spacing w:after="120"/>
        <w:rPr>
          <w:rFonts w:ascii="Calibri" w:hAnsi="Calibri"/>
          <w:sz w:val="20"/>
          <w:lang w:val="fr-FR"/>
        </w:rPr>
      </w:pPr>
      <w:r w:rsidRPr="006656B5">
        <w:rPr>
          <w:rFonts w:ascii="Calibri" w:hAnsi="Calibri"/>
          <w:sz w:val="20"/>
          <w:lang w:val="fr-FR"/>
        </w:rPr>
        <w:t>Analyser les atouts et les contraintes ayant jalonné la mise en œuvre du projet, et présenter les points forts et les points à améliorer ;</w:t>
      </w:r>
    </w:p>
    <w:p w14:paraId="783CEE11" w14:textId="77777777" w:rsidR="00C45338" w:rsidRPr="006656B5" w:rsidRDefault="00C45338" w:rsidP="006656B5">
      <w:pPr>
        <w:spacing w:after="120"/>
        <w:rPr>
          <w:rFonts w:ascii="Calibri" w:hAnsi="Calibri"/>
          <w:sz w:val="20"/>
          <w:lang w:val="fr-FR"/>
        </w:rPr>
      </w:pPr>
      <w:r w:rsidRPr="006656B5">
        <w:rPr>
          <w:rFonts w:ascii="Calibri" w:hAnsi="Calibri"/>
          <w:sz w:val="20"/>
          <w:lang w:val="fr-FR"/>
        </w:rPr>
        <w:t>Faire ressortir les bonnes pratiques à capitaliser pour renforcer les acquis, ainsi que les leçons à tirer ;</w:t>
      </w:r>
    </w:p>
    <w:p w14:paraId="54860B38" w14:textId="77777777" w:rsidR="00C45338" w:rsidRPr="006656B5" w:rsidRDefault="00C45338" w:rsidP="006656B5">
      <w:pPr>
        <w:spacing w:after="120"/>
        <w:rPr>
          <w:rFonts w:ascii="Calibri" w:hAnsi="Calibri"/>
          <w:sz w:val="20"/>
          <w:lang w:val="fr-FR"/>
        </w:rPr>
      </w:pPr>
      <w:r w:rsidRPr="006656B5">
        <w:rPr>
          <w:rFonts w:ascii="Calibri" w:hAnsi="Calibri"/>
          <w:sz w:val="20"/>
          <w:lang w:val="fr-FR"/>
        </w:rPr>
        <w:t>Faire des recommandations et proposer des orientations claires, pertinentes et réalistes pour favoriser l’amélioration globale des programmes du PNUD.</w:t>
      </w:r>
    </w:p>
    <w:p w14:paraId="356945BA" w14:textId="6E1333CC" w:rsidR="00D6638C" w:rsidRPr="006656B5" w:rsidRDefault="0041016B" w:rsidP="006656B5">
      <w:pPr>
        <w:spacing w:after="120"/>
        <w:rPr>
          <w:rFonts w:ascii="Calibri" w:eastAsia="Times New Roman" w:hAnsi="Calibri" w:cs="Times New Roman"/>
          <w:sz w:val="20"/>
          <w:szCs w:val="20"/>
          <w:lang w:val="fr-FR"/>
        </w:rPr>
      </w:pPr>
      <w:r w:rsidRPr="006656B5">
        <w:rPr>
          <w:rFonts w:ascii="Calibri" w:hAnsi="Calibri"/>
          <w:sz w:val="20"/>
          <w:lang w:val="fr-FR"/>
        </w:rPr>
        <w:t>A</w:t>
      </w:r>
      <w:r w:rsidR="00D6638C" w:rsidRPr="006656B5">
        <w:rPr>
          <w:rFonts w:ascii="Calibri" w:hAnsi="Calibri"/>
          <w:sz w:val="20"/>
          <w:lang w:val="fr-FR"/>
        </w:rPr>
        <w:t xml:space="preserve">pprécier la réalisation des objectifs du projet et à tirer des enseignements qui peuvent améliorer la durabilité des avantages de ce projet et favoriser l’amélioration globale des programmes du PNUD.   </w:t>
      </w:r>
    </w:p>
    <w:p w14:paraId="22A4B701" w14:textId="77777777" w:rsidR="00D6638C" w:rsidRPr="006656B5" w:rsidRDefault="00D6638C" w:rsidP="006656B5">
      <w:pPr>
        <w:pStyle w:val="Heading51"/>
        <w:rPr>
          <w:lang w:val="fr-FR"/>
        </w:rPr>
      </w:pPr>
      <w:bookmarkStart w:id="5" w:name="_Toc299133043"/>
      <w:bookmarkStart w:id="6" w:name="_Toc321341550"/>
      <w:r w:rsidRPr="006656B5">
        <w:rPr>
          <w:lang w:val="fr-FR"/>
        </w:rPr>
        <w:t>Approche et méthode d'évaluation</w:t>
      </w:r>
      <w:bookmarkEnd w:id="5"/>
      <w:bookmarkEnd w:id="6"/>
    </w:p>
    <w:p w14:paraId="240D7150" w14:textId="5E7B93E9"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szCs w:val="20"/>
          <w:lang w:val="fr-FR"/>
        </w:rPr>
        <w:t>Une approche et une méthode globales</w:t>
      </w:r>
      <w:r w:rsidRPr="006656B5">
        <w:rPr>
          <w:rFonts w:ascii="Calibri" w:hAnsi="Calibri"/>
          <w:sz w:val="20"/>
          <w:szCs w:val="20"/>
          <w:vertAlign w:val="superscript"/>
        </w:rPr>
        <w:footnoteReference w:id="1"/>
      </w:r>
      <w:r w:rsidRPr="006656B5">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w:t>
      </w:r>
      <w:r w:rsidRPr="006656B5">
        <w:rPr>
          <w:rFonts w:ascii="Calibri" w:hAnsi="Calibri"/>
          <w:sz w:val="20"/>
          <w:szCs w:val="20"/>
          <w:lang w:val="fr-FR"/>
        </w:rPr>
        <w:lastRenderedPageBreak/>
        <w:t>des critères de</w:t>
      </w:r>
      <w:r w:rsidRPr="006656B5">
        <w:rPr>
          <w:rFonts w:ascii="Calibri" w:hAnsi="Calibri"/>
          <w:b/>
          <w:sz w:val="20"/>
          <w:szCs w:val="20"/>
          <w:lang w:val="fr-FR"/>
        </w:rPr>
        <w:t xml:space="preserve"> pertinence, d’efficacité, d’efficience, de durabilité et d’impact</w:t>
      </w:r>
      <w:r w:rsidRPr="006656B5">
        <w:rPr>
          <w:rFonts w:ascii="Calibri" w:hAnsi="Calibri"/>
          <w:sz w:val="20"/>
          <w:szCs w:val="20"/>
          <w:lang w:val="fr-FR"/>
        </w:rPr>
        <w:t xml:space="preserve">, comme défini et expliqué dans les </w:t>
      </w:r>
      <w:r w:rsidRPr="006656B5">
        <w:rPr>
          <w:rFonts w:ascii="Calibri" w:hAnsi="Calibri"/>
          <w:sz w:val="20"/>
          <w:szCs w:val="20"/>
          <w:u w:val="single"/>
          <w:lang w:val="fr-FR"/>
        </w:rPr>
        <w:t>directives du PNUD pour la réalisation des évaluations finales des projets soutenus par le PNUD et financés par le FEM.</w:t>
      </w:r>
      <w:r w:rsidRPr="006656B5">
        <w:rPr>
          <w:rFonts w:ascii="Calibri" w:hAnsi="Calibri"/>
          <w:sz w:val="20"/>
          <w:szCs w:val="20"/>
          <w:lang w:val="fr-FR"/>
        </w:rPr>
        <w:t xml:space="preserve">    </w:t>
      </w:r>
      <w:r w:rsidRPr="006656B5">
        <w:rPr>
          <w:sz w:val="20"/>
          <w:szCs w:val="20"/>
          <w:lang w:val="fr-FR"/>
        </w:rPr>
        <w:t xml:space="preserve">Une série de questions couvrant chacun de ces critères ont été rédigées et sont incluses dans ces termes de référence </w:t>
      </w:r>
      <w:r w:rsidRPr="006656B5">
        <w:rPr>
          <w:rFonts w:ascii="Calibri" w:hAnsi="Calibri"/>
          <w:sz w:val="20"/>
          <w:szCs w:val="20"/>
          <w:shd w:val="clear" w:color="auto" w:fill="BFBFBF"/>
          <w:lang w:val="fr-FR"/>
        </w:rPr>
        <w:t>(remplir</w:t>
      </w:r>
      <w:r w:rsidRPr="006656B5">
        <w:rPr>
          <w:rFonts w:ascii="Calibri" w:hAnsi="Calibri"/>
          <w:i/>
          <w:sz w:val="20"/>
          <w:szCs w:val="20"/>
          <w:shd w:val="clear" w:color="auto" w:fill="BFBFBF"/>
          <w:lang w:val="fr-FR"/>
        </w:rPr>
        <w:t xml:space="preserve"> l'</w:t>
      </w:r>
      <w:hyperlink w:anchor="_TOR_Annex_C:" w:history="1">
        <w:r w:rsidRPr="006656B5">
          <w:rPr>
            <w:rFonts w:ascii="Calibri" w:hAnsi="Calibri"/>
            <w:i/>
            <w:sz w:val="20"/>
            <w:szCs w:val="20"/>
            <w:u w:val="single"/>
            <w:shd w:val="clear" w:color="auto" w:fill="BFBFBF"/>
            <w:lang w:val="fr-FR"/>
          </w:rPr>
          <w:t>Annexe C</w:t>
        </w:r>
      </w:hyperlink>
      <w:r w:rsidRPr="006656B5">
        <w:rPr>
          <w:rFonts w:ascii="Calibri" w:hAnsi="Calibri"/>
          <w:sz w:val="20"/>
          <w:szCs w:val="20"/>
          <w:shd w:val="clear" w:color="auto" w:fill="D9D9D9"/>
          <w:lang w:val="fr-FR"/>
        </w:rPr>
        <w:t>)</w:t>
      </w:r>
      <w:r w:rsidRPr="006656B5">
        <w:rPr>
          <w:sz w:val="20"/>
          <w:szCs w:val="20"/>
          <w:lang w:val="fr-FR"/>
        </w:rPr>
        <w:t>. L’évaluateur doit modifier, remplir et soumettre ce tableau dans le cadre d’un rapport initial d’évaluation et le joindre au rapport final en annexe.</w:t>
      </w:r>
      <w:r w:rsidRPr="006656B5">
        <w:rPr>
          <w:rFonts w:ascii="Calibri" w:hAnsi="Calibri"/>
          <w:sz w:val="20"/>
          <w:szCs w:val="20"/>
          <w:lang w:val="fr-FR"/>
        </w:rPr>
        <w:t xml:space="preserve">  </w:t>
      </w:r>
    </w:p>
    <w:p w14:paraId="32C0DCA2" w14:textId="77777777" w:rsidR="00F90056" w:rsidRPr="006656B5" w:rsidRDefault="00D6638C" w:rsidP="006656B5">
      <w:pPr>
        <w:spacing w:after="120"/>
        <w:rPr>
          <w:rFonts w:ascii="Calibri" w:hAnsi="Calibri"/>
          <w:sz w:val="20"/>
          <w:lang w:val="fr-FR"/>
        </w:rPr>
      </w:pPr>
      <w:r w:rsidRPr="006656B5">
        <w:rPr>
          <w:rFonts w:ascii="Calibri" w:hAnsi="Calibri"/>
          <w:sz w:val="20"/>
          <w:lang w:val="fr-FR"/>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à </w:t>
      </w:r>
      <w:r w:rsidR="00890EC4" w:rsidRPr="006656B5">
        <w:t>Madagascar,</w:t>
      </w:r>
      <w:r w:rsidR="003B080D" w:rsidRPr="006656B5">
        <w:t xml:space="preserve"> et visiter un échantillon des sites d’intervention</w:t>
      </w:r>
      <w:r w:rsidR="002D57C5" w:rsidRPr="006656B5">
        <w:t xml:space="preserve"> </w:t>
      </w:r>
      <w:r w:rsidR="00890EC4" w:rsidRPr="006656B5">
        <w:t>dans</w:t>
      </w:r>
      <w:r w:rsidR="00466C4A" w:rsidRPr="006656B5">
        <w:t xml:space="preserve"> les cinq régions </w:t>
      </w:r>
      <w:r w:rsidR="00863D8E" w:rsidRPr="006656B5">
        <w:t>concernées par</w:t>
      </w:r>
      <w:r w:rsidR="00466C4A" w:rsidRPr="006656B5">
        <w:t xml:space="preserve"> les aires protégées</w:t>
      </w:r>
      <w:r w:rsidR="00890EC4" w:rsidRPr="006656B5">
        <w:t>, DIA</w:t>
      </w:r>
      <w:r w:rsidR="00F90056" w:rsidRPr="006656B5">
        <w:t>NA, SAVA, Sofia, Boeny et Menabe</w:t>
      </w:r>
      <w:r w:rsidRPr="006656B5">
        <w:t xml:space="preserve"> y compris la </w:t>
      </w:r>
      <w:bookmarkStart w:id="7" w:name="_GoBack"/>
      <w:bookmarkEnd w:id="7"/>
      <w:r w:rsidRPr="006656B5">
        <w:t xml:space="preserve">liste suivante des sites </w:t>
      </w:r>
      <w:r w:rsidR="00F90056" w:rsidRPr="006656B5">
        <w:t xml:space="preserve">des projets </w:t>
      </w:r>
      <w:r w:rsidR="00A4555F" w:rsidRPr="006656B5">
        <w:t xml:space="preserve">Complexe Mahavavy Kinkony, </w:t>
      </w:r>
      <w:r w:rsidR="00F90056" w:rsidRPr="006656B5">
        <w:t>Ampasindava, Galoko</w:t>
      </w:r>
      <w:r w:rsidR="00A4555F" w:rsidRPr="006656B5">
        <w:t xml:space="preserve"> Kalobinôno</w:t>
      </w:r>
      <w:r w:rsidR="00F90056" w:rsidRPr="006656B5">
        <w:t>, Tsaratanana, COMATSA</w:t>
      </w:r>
      <w:r w:rsidR="00A4555F" w:rsidRPr="006656B5">
        <w:t xml:space="preserve"> Nord, COMATSA Sud</w:t>
      </w:r>
      <w:r w:rsidR="00F90056" w:rsidRPr="006656B5">
        <w:t>, Bemanevika, Mahimborondro, Loky Manambato, Menabe Antimena</w:t>
      </w:r>
      <w:r w:rsidRPr="006656B5">
        <w:t>.</w:t>
      </w:r>
      <w:r w:rsidRPr="006656B5">
        <w:rPr>
          <w:rFonts w:ascii="Calibri" w:hAnsi="Calibri"/>
          <w:sz w:val="20"/>
          <w:lang w:val="fr-FR"/>
        </w:rPr>
        <w:t xml:space="preserve"> Les entretiens auront lieu au minimum avec les organisations et les particuliers suivants : </w:t>
      </w:r>
    </w:p>
    <w:p w14:paraId="2BDD1323" w14:textId="77777777" w:rsidR="00A4555F" w:rsidRPr="006656B5" w:rsidRDefault="00A4555F" w:rsidP="006656B5">
      <w:pPr>
        <w:pStyle w:val="Paragraphedeliste"/>
        <w:numPr>
          <w:ilvl w:val="0"/>
          <w:numId w:val="34"/>
        </w:numPr>
        <w:spacing w:after="120"/>
        <w:rPr>
          <w:rFonts w:ascii="Calibri" w:hAnsi="Calibri" w:cs="Times New Roman"/>
          <w:lang w:val="fr-FR"/>
        </w:rPr>
      </w:pPr>
      <w:r w:rsidRPr="006656B5">
        <w:rPr>
          <w:rFonts w:ascii="Calibri" w:hAnsi="Calibri"/>
          <w:shd w:val="clear" w:color="auto" w:fill="DDD9C3"/>
          <w:lang w:val="fr-FR"/>
        </w:rPr>
        <w:t>MEEF : Ministère de l’Environnement, de l’Ecologie et des Forêts</w:t>
      </w:r>
    </w:p>
    <w:p w14:paraId="5B33E8D9" w14:textId="77777777" w:rsidR="00A4555F" w:rsidRPr="006656B5" w:rsidRDefault="00F90056" w:rsidP="006656B5">
      <w:pPr>
        <w:pStyle w:val="Paragraphedeliste"/>
        <w:numPr>
          <w:ilvl w:val="0"/>
          <w:numId w:val="36"/>
        </w:numPr>
        <w:spacing w:after="120"/>
        <w:ind w:left="1418" w:hanging="284"/>
        <w:rPr>
          <w:rFonts w:ascii="Calibri" w:hAnsi="Calibri"/>
          <w:shd w:val="clear" w:color="auto" w:fill="DDD9C3"/>
          <w:lang w:val="fr-FR"/>
        </w:rPr>
      </w:pPr>
      <w:r w:rsidRPr="006656B5">
        <w:rPr>
          <w:rFonts w:ascii="Calibri" w:hAnsi="Calibri"/>
          <w:shd w:val="clear" w:color="auto" w:fill="DDD9C3"/>
          <w:lang w:val="fr-FR"/>
        </w:rPr>
        <w:t>S</w:t>
      </w:r>
      <w:r w:rsidR="00A4555F" w:rsidRPr="006656B5">
        <w:rPr>
          <w:rFonts w:ascii="Calibri" w:hAnsi="Calibri"/>
          <w:shd w:val="clear" w:color="auto" w:fill="DDD9C3"/>
          <w:lang w:val="fr-FR"/>
        </w:rPr>
        <w:t xml:space="preserve">ecrétaire </w:t>
      </w:r>
      <w:r w:rsidRPr="006656B5">
        <w:rPr>
          <w:rFonts w:ascii="Calibri" w:hAnsi="Calibri"/>
          <w:shd w:val="clear" w:color="auto" w:fill="DDD9C3"/>
          <w:lang w:val="fr-FR"/>
        </w:rPr>
        <w:t>G</w:t>
      </w:r>
      <w:r w:rsidR="00A4555F" w:rsidRPr="006656B5">
        <w:rPr>
          <w:rFonts w:ascii="Calibri" w:hAnsi="Calibri"/>
          <w:shd w:val="clear" w:color="auto" w:fill="DDD9C3"/>
          <w:lang w:val="fr-FR"/>
        </w:rPr>
        <w:t>énéral</w:t>
      </w:r>
      <w:r w:rsidRPr="006656B5">
        <w:rPr>
          <w:rFonts w:ascii="Calibri" w:hAnsi="Calibri"/>
          <w:shd w:val="clear" w:color="auto" w:fill="DDD9C3"/>
          <w:lang w:val="fr-FR"/>
        </w:rPr>
        <w:t>,</w:t>
      </w:r>
      <w:r w:rsidR="00A4555F" w:rsidRPr="006656B5">
        <w:rPr>
          <w:rFonts w:ascii="Calibri" w:hAnsi="Calibri"/>
          <w:shd w:val="clear" w:color="auto" w:fill="DDD9C3"/>
          <w:lang w:val="fr-FR"/>
        </w:rPr>
        <w:t xml:space="preserve"> co-président du Comité de pilotage du projet</w:t>
      </w:r>
    </w:p>
    <w:p w14:paraId="7178C371" w14:textId="77777777" w:rsidR="00A4555F" w:rsidRPr="006656B5" w:rsidRDefault="00A4555F" w:rsidP="006656B5">
      <w:pPr>
        <w:pStyle w:val="Paragraphedeliste"/>
        <w:numPr>
          <w:ilvl w:val="0"/>
          <w:numId w:val="38"/>
        </w:numPr>
        <w:spacing w:after="120"/>
        <w:rPr>
          <w:rFonts w:ascii="Calibri" w:hAnsi="Calibri"/>
          <w:shd w:val="clear" w:color="auto" w:fill="DDD9C3"/>
          <w:lang w:val="fr-FR"/>
        </w:rPr>
      </w:pPr>
      <w:r w:rsidRPr="006656B5">
        <w:rPr>
          <w:rFonts w:ascii="Calibri" w:hAnsi="Calibri"/>
          <w:shd w:val="clear" w:color="auto" w:fill="DDD9C3"/>
          <w:lang w:val="fr-FR"/>
        </w:rPr>
        <w:t>Point Focal du projet, chef de service suivi-évaluation du MEEF</w:t>
      </w:r>
    </w:p>
    <w:p w14:paraId="40EEB47F" w14:textId="77777777" w:rsidR="00A4555F" w:rsidRPr="006656B5" w:rsidRDefault="00A4555F" w:rsidP="006656B5">
      <w:pPr>
        <w:pStyle w:val="Paragraphedeliste"/>
        <w:numPr>
          <w:ilvl w:val="0"/>
          <w:numId w:val="38"/>
        </w:numPr>
        <w:spacing w:after="120"/>
        <w:rPr>
          <w:rFonts w:ascii="Calibri" w:hAnsi="Calibri"/>
          <w:shd w:val="clear" w:color="auto" w:fill="DDD9C3"/>
          <w:lang w:val="fr-FR"/>
        </w:rPr>
      </w:pPr>
      <w:r w:rsidRPr="006656B5">
        <w:rPr>
          <w:rFonts w:ascii="Calibri" w:hAnsi="Calibri"/>
          <w:shd w:val="clear" w:color="auto" w:fill="DDD9C3"/>
          <w:lang w:val="fr-FR"/>
        </w:rPr>
        <w:t xml:space="preserve">Direction du Système des Aires Protégées </w:t>
      </w:r>
      <w:r w:rsidR="00F90056" w:rsidRPr="006656B5">
        <w:rPr>
          <w:rFonts w:ascii="Calibri" w:hAnsi="Calibri"/>
          <w:shd w:val="clear" w:color="auto" w:fill="DDD9C3"/>
          <w:lang w:val="fr-FR"/>
        </w:rPr>
        <w:t xml:space="preserve"> </w:t>
      </w:r>
    </w:p>
    <w:p w14:paraId="208F3C16" w14:textId="77777777" w:rsidR="00A4555F" w:rsidRPr="006656B5" w:rsidRDefault="00F90056" w:rsidP="006656B5">
      <w:pPr>
        <w:pStyle w:val="Paragraphedeliste"/>
        <w:numPr>
          <w:ilvl w:val="0"/>
          <w:numId w:val="38"/>
        </w:numPr>
        <w:spacing w:after="120"/>
        <w:rPr>
          <w:rFonts w:ascii="Calibri" w:hAnsi="Calibri"/>
          <w:shd w:val="clear" w:color="auto" w:fill="DDD9C3"/>
          <w:lang w:val="fr-FR"/>
        </w:rPr>
      </w:pPr>
      <w:r w:rsidRPr="006656B5">
        <w:rPr>
          <w:rFonts w:ascii="Calibri" w:hAnsi="Calibri"/>
          <w:shd w:val="clear" w:color="auto" w:fill="DDD9C3"/>
          <w:lang w:val="fr-FR"/>
        </w:rPr>
        <w:t>D</w:t>
      </w:r>
      <w:r w:rsidR="00A4555F" w:rsidRPr="006656B5">
        <w:rPr>
          <w:rFonts w:ascii="Calibri" w:hAnsi="Calibri"/>
          <w:shd w:val="clear" w:color="auto" w:fill="DDD9C3"/>
          <w:lang w:val="fr-FR"/>
        </w:rPr>
        <w:t xml:space="preserve">irection de la </w:t>
      </w:r>
      <w:r w:rsidRPr="006656B5">
        <w:rPr>
          <w:rFonts w:ascii="Calibri" w:hAnsi="Calibri"/>
          <w:shd w:val="clear" w:color="auto" w:fill="DDD9C3"/>
          <w:lang w:val="fr-FR"/>
        </w:rPr>
        <w:t>P</w:t>
      </w:r>
      <w:r w:rsidR="00A4555F" w:rsidRPr="006656B5">
        <w:rPr>
          <w:rFonts w:ascii="Calibri" w:hAnsi="Calibri"/>
          <w:shd w:val="clear" w:color="auto" w:fill="DDD9C3"/>
          <w:lang w:val="fr-FR"/>
        </w:rPr>
        <w:t xml:space="preserve">lanification, </w:t>
      </w:r>
      <w:r w:rsidRPr="006656B5">
        <w:rPr>
          <w:rFonts w:ascii="Calibri" w:hAnsi="Calibri"/>
          <w:shd w:val="clear" w:color="auto" w:fill="DDD9C3"/>
          <w:lang w:val="fr-FR"/>
        </w:rPr>
        <w:t>P</w:t>
      </w:r>
      <w:r w:rsidR="00A4555F" w:rsidRPr="006656B5">
        <w:rPr>
          <w:rFonts w:ascii="Calibri" w:hAnsi="Calibri"/>
          <w:shd w:val="clear" w:color="auto" w:fill="DDD9C3"/>
          <w:lang w:val="fr-FR"/>
        </w:rPr>
        <w:t xml:space="preserve">rogrammation et Suivi-Evaluation </w:t>
      </w:r>
      <w:r w:rsidRPr="006656B5">
        <w:rPr>
          <w:rFonts w:ascii="Calibri" w:hAnsi="Calibri"/>
          <w:shd w:val="clear" w:color="auto" w:fill="DDD9C3"/>
          <w:lang w:val="fr-FR"/>
        </w:rPr>
        <w:t xml:space="preserve"> </w:t>
      </w:r>
    </w:p>
    <w:p w14:paraId="3200EA90" w14:textId="77777777" w:rsidR="00D6638C" w:rsidRPr="006656B5" w:rsidRDefault="00A4555F" w:rsidP="006656B5">
      <w:pPr>
        <w:pStyle w:val="Paragraphedeliste"/>
        <w:numPr>
          <w:ilvl w:val="0"/>
          <w:numId w:val="38"/>
        </w:numPr>
        <w:spacing w:after="120"/>
        <w:rPr>
          <w:rFonts w:ascii="Calibri" w:hAnsi="Calibri" w:cs="Times New Roman"/>
          <w:lang w:val="fr-FR"/>
        </w:rPr>
      </w:pPr>
      <w:r w:rsidRPr="006656B5">
        <w:rPr>
          <w:rFonts w:ascii="Calibri" w:hAnsi="Calibri"/>
          <w:shd w:val="clear" w:color="auto" w:fill="DDD9C3"/>
          <w:lang w:val="fr-FR"/>
        </w:rPr>
        <w:t>les 5 Directeurs Régionaux : Boeny, DIANA, SAVA, Sofia et Menabe</w:t>
      </w:r>
    </w:p>
    <w:p w14:paraId="68337698" w14:textId="77777777" w:rsidR="00A4555F" w:rsidRPr="006656B5" w:rsidRDefault="00F90056" w:rsidP="006656B5">
      <w:pPr>
        <w:pStyle w:val="Paragraphedeliste"/>
        <w:numPr>
          <w:ilvl w:val="0"/>
          <w:numId w:val="34"/>
        </w:numPr>
        <w:spacing w:after="120"/>
        <w:rPr>
          <w:rFonts w:ascii="Calibri" w:hAnsi="Calibri" w:cs="Times New Roman"/>
          <w:lang w:val="fr-FR"/>
        </w:rPr>
      </w:pPr>
      <w:r w:rsidRPr="006656B5">
        <w:rPr>
          <w:rFonts w:ascii="Calibri" w:hAnsi="Calibri"/>
          <w:shd w:val="clear" w:color="auto" w:fill="DDD9C3"/>
          <w:lang w:val="fr-FR"/>
        </w:rPr>
        <w:t xml:space="preserve">UCPE : </w:t>
      </w:r>
      <w:r w:rsidR="00A4555F" w:rsidRPr="006656B5">
        <w:rPr>
          <w:rFonts w:ascii="Calibri" w:hAnsi="Calibri"/>
          <w:shd w:val="clear" w:color="auto" w:fill="DDD9C3"/>
          <w:lang w:val="fr-FR"/>
        </w:rPr>
        <w:t>Unité de Coordination des Projets Environnementaux</w:t>
      </w:r>
    </w:p>
    <w:p w14:paraId="19598EB8" w14:textId="77777777" w:rsidR="00A4555F" w:rsidRPr="006656B5" w:rsidRDefault="00F90056" w:rsidP="006656B5">
      <w:pPr>
        <w:pStyle w:val="Paragraphedeliste"/>
        <w:numPr>
          <w:ilvl w:val="0"/>
          <w:numId w:val="39"/>
        </w:numPr>
        <w:spacing w:after="120"/>
        <w:rPr>
          <w:rFonts w:ascii="Calibri" w:hAnsi="Calibri" w:cs="Times New Roman"/>
          <w:lang w:val="fr-FR"/>
        </w:rPr>
      </w:pPr>
      <w:r w:rsidRPr="006656B5">
        <w:rPr>
          <w:rFonts w:ascii="Calibri" w:hAnsi="Calibri"/>
          <w:shd w:val="clear" w:color="auto" w:fill="DDD9C3"/>
          <w:lang w:val="fr-FR"/>
        </w:rPr>
        <w:t>D</w:t>
      </w:r>
      <w:r w:rsidR="00A4555F" w:rsidRPr="006656B5">
        <w:rPr>
          <w:rFonts w:ascii="Calibri" w:hAnsi="Calibri"/>
          <w:shd w:val="clear" w:color="auto" w:fill="DDD9C3"/>
          <w:lang w:val="fr-FR"/>
        </w:rPr>
        <w:t>irecteur National du Projet MRPA</w:t>
      </w:r>
    </w:p>
    <w:p w14:paraId="1BC4F918" w14:textId="77777777" w:rsidR="00A4555F" w:rsidRPr="006656B5" w:rsidRDefault="00A4555F" w:rsidP="006656B5">
      <w:pPr>
        <w:pStyle w:val="Paragraphedeliste"/>
        <w:numPr>
          <w:ilvl w:val="0"/>
          <w:numId w:val="39"/>
        </w:numPr>
        <w:spacing w:after="120"/>
        <w:rPr>
          <w:rFonts w:ascii="Calibri" w:hAnsi="Calibri" w:cs="Times New Roman"/>
          <w:lang w:val="fr-FR"/>
        </w:rPr>
      </w:pPr>
      <w:r w:rsidRPr="006656B5">
        <w:rPr>
          <w:rFonts w:ascii="Calibri" w:hAnsi="Calibri"/>
          <w:shd w:val="clear" w:color="auto" w:fill="DDD9C3"/>
          <w:lang w:val="fr-FR"/>
        </w:rPr>
        <w:t>Coordonnateur National du Projet</w:t>
      </w:r>
      <w:r w:rsidR="00F90056" w:rsidRPr="006656B5">
        <w:rPr>
          <w:rFonts w:ascii="Calibri" w:hAnsi="Calibri"/>
          <w:shd w:val="clear" w:color="auto" w:fill="DDD9C3"/>
          <w:lang w:val="fr-FR"/>
        </w:rPr>
        <w:t xml:space="preserve"> </w:t>
      </w:r>
      <w:r w:rsidRPr="006656B5">
        <w:rPr>
          <w:rFonts w:ascii="Calibri" w:hAnsi="Calibri"/>
          <w:shd w:val="clear" w:color="auto" w:fill="DDD9C3"/>
          <w:lang w:val="fr-FR"/>
        </w:rPr>
        <w:t>MRPA</w:t>
      </w:r>
    </w:p>
    <w:p w14:paraId="6E94D5CC" w14:textId="77777777" w:rsidR="00F90056" w:rsidRPr="006656B5" w:rsidRDefault="00A4555F" w:rsidP="006656B5">
      <w:pPr>
        <w:pStyle w:val="Paragraphedeliste"/>
        <w:numPr>
          <w:ilvl w:val="0"/>
          <w:numId w:val="39"/>
        </w:numPr>
        <w:spacing w:after="120"/>
        <w:rPr>
          <w:rFonts w:ascii="Calibri" w:hAnsi="Calibri" w:cs="Times New Roman"/>
          <w:lang w:val="fr-FR"/>
        </w:rPr>
      </w:pPr>
      <w:r w:rsidRPr="006656B5">
        <w:rPr>
          <w:rFonts w:ascii="Calibri" w:hAnsi="Calibri"/>
          <w:shd w:val="clear" w:color="auto" w:fill="DDD9C3"/>
          <w:lang w:val="fr-FR"/>
        </w:rPr>
        <w:t>Equipe de l’</w:t>
      </w:r>
      <w:r w:rsidR="00F90056" w:rsidRPr="006656B5">
        <w:rPr>
          <w:rFonts w:ascii="Calibri" w:hAnsi="Calibri"/>
          <w:shd w:val="clear" w:color="auto" w:fill="DDD9C3"/>
          <w:lang w:val="fr-FR"/>
        </w:rPr>
        <w:t>U</w:t>
      </w:r>
      <w:r w:rsidRPr="006656B5">
        <w:rPr>
          <w:rFonts w:ascii="Calibri" w:hAnsi="Calibri"/>
          <w:shd w:val="clear" w:color="auto" w:fill="DDD9C3"/>
          <w:lang w:val="fr-FR"/>
        </w:rPr>
        <w:t>nité de gestion du projet MRPA</w:t>
      </w:r>
    </w:p>
    <w:p w14:paraId="5EDAE945" w14:textId="77777777" w:rsidR="00A4555F" w:rsidRPr="006656B5" w:rsidRDefault="00F90056" w:rsidP="006656B5">
      <w:pPr>
        <w:pStyle w:val="Paragraphedeliste"/>
        <w:numPr>
          <w:ilvl w:val="0"/>
          <w:numId w:val="34"/>
        </w:numPr>
        <w:spacing w:after="120"/>
        <w:rPr>
          <w:rFonts w:ascii="Calibri" w:hAnsi="Calibri" w:cs="Times New Roman"/>
          <w:lang w:val="fr-FR"/>
        </w:rPr>
      </w:pPr>
      <w:r w:rsidRPr="006656B5">
        <w:rPr>
          <w:rFonts w:ascii="Calibri" w:hAnsi="Calibri"/>
          <w:shd w:val="clear" w:color="auto" w:fill="DDD9C3"/>
          <w:lang w:val="fr-FR"/>
        </w:rPr>
        <w:t xml:space="preserve">ONGP : </w:t>
      </w:r>
      <w:r w:rsidR="00A4555F" w:rsidRPr="006656B5">
        <w:rPr>
          <w:rFonts w:ascii="Calibri" w:hAnsi="Calibri"/>
          <w:shd w:val="clear" w:color="auto" w:fill="DDD9C3"/>
          <w:lang w:val="fr-FR"/>
        </w:rPr>
        <w:t>Organisations non gouvernementales</w:t>
      </w:r>
      <w:r w:rsidR="00F07166" w:rsidRPr="006656B5">
        <w:rPr>
          <w:rFonts w:ascii="Calibri" w:hAnsi="Calibri"/>
          <w:shd w:val="clear" w:color="auto" w:fill="DDD9C3"/>
          <w:lang w:val="fr-FR"/>
        </w:rPr>
        <w:t xml:space="preserve"> partenaires gestionnaires des aires protégées</w:t>
      </w:r>
    </w:p>
    <w:p w14:paraId="0F33E724" w14:textId="77777777" w:rsidR="00A4555F" w:rsidRPr="006656B5" w:rsidRDefault="00A4555F" w:rsidP="006656B5">
      <w:pPr>
        <w:pStyle w:val="Paragraphedeliste"/>
        <w:numPr>
          <w:ilvl w:val="0"/>
          <w:numId w:val="40"/>
        </w:numPr>
        <w:spacing w:after="120"/>
        <w:rPr>
          <w:rFonts w:ascii="Calibri" w:hAnsi="Calibri"/>
          <w:shd w:val="clear" w:color="auto" w:fill="DDD9C3"/>
          <w:lang w:val="fr-FR"/>
        </w:rPr>
      </w:pPr>
      <w:r w:rsidRPr="006656B5">
        <w:rPr>
          <w:rFonts w:ascii="Calibri" w:hAnsi="Calibri"/>
          <w:shd w:val="clear" w:color="auto" w:fill="DDD9C3"/>
          <w:lang w:val="fr-FR"/>
        </w:rPr>
        <w:t>Asi</w:t>
      </w:r>
      <w:r w:rsidR="00F07166" w:rsidRPr="006656B5">
        <w:rPr>
          <w:rFonts w:ascii="Calibri" w:hAnsi="Calibri"/>
          <w:shd w:val="clear" w:color="auto" w:fill="DDD9C3"/>
          <w:lang w:val="fr-FR"/>
        </w:rPr>
        <w:t xml:space="preserve">ty: Coordinatrice Nationale </w:t>
      </w:r>
      <w:r w:rsidRPr="006656B5">
        <w:rPr>
          <w:rFonts w:ascii="Calibri" w:hAnsi="Calibri"/>
          <w:shd w:val="clear" w:color="auto" w:fill="DDD9C3"/>
          <w:lang w:val="fr-FR"/>
        </w:rPr>
        <w:t>et Chef de site CMK</w:t>
      </w:r>
    </w:p>
    <w:p w14:paraId="55371935" w14:textId="77777777" w:rsidR="00A4555F" w:rsidRPr="006656B5" w:rsidRDefault="00A4555F" w:rsidP="006656B5">
      <w:pPr>
        <w:pStyle w:val="Paragraphedeliste"/>
        <w:numPr>
          <w:ilvl w:val="0"/>
          <w:numId w:val="40"/>
        </w:numPr>
        <w:spacing w:after="120"/>
        <w:rPr>
          <w:rFonts w:ascii="Calibri" w:hAnsi="Calibri"/>
          <w:shd w:val="clear" w:color="auto" w:fill="DDD9C3"/>
          <w:lang w:val="fr-FR"/>
        </w:rPr>
      </w:pPr>
      <w:r w:rsidRPr="006656B5">
        <w:rPr>
          <w:rFonts w:ascii="Calibri" w:hAnsi="Calibri"/>
          <w:shd w:val="clear" w:color="auto" w:fill="DDD9C3"/>
          <w:lang w:val="fr-FR"/>
        </w:rPr>
        <w:t>Fa</w:t>
      </w:r>
      <w:r w:rsidR="00F07166" w:rsidRPr="006656B5">
        <w:rPr>
          <w:rFonts w:ascii="Calibri" w:hAnsi="Calibri"/>
          <w:shd w:val="clear" w:color="auto" w:fill="DDD9C3"/>
          <w:lang w:val="fr-FR"/>
        </w:rPr>
        <w:t xml:space="preserve">namby : Secrétaire Exécutif </w:t>
      </w:r>
      <w:r w:rsidRPr="006656B5">
        <w:rPr>
          <w:rFonts w:ascii="Calibri" w:hAnsi="Calibri"/>
          <w:shd w:val="clear" w:color="auto" w:fill="DDD9C3"/>
          <w:lang w:val="fr-FR"/>
        </w:rPr>
        <w:t>et Chef</w:t>
      </w:r>
      <w:r w:rsidR="00F07166" w:rsidRPr="006656B5">
        <w:rPr>
          <w:rFonts w:ascii="Calibri" w:hAnsi="Calibri"/>
          <w:shd w:val="clear" w:color="auto" w:fill="DDD9C3"/>
          <w:lang w:val="fr-FR"/>
        </w:rPr>
        <w:t>s</w:t>
      </w:r>
      <w:r w:rsidRPr="006656B5">
        <w:rPr>
          <w:rFonts w:ascii="Calibri" w:hAnsi="Calibri"/>
          <w:shd w:val="clear" w:color="auto" w:fill="DDD9C3"/>
          <w:lang w:val="fr-FR"/>
        </w:rPr>
        <w:t xml:space="preserve"> de</w:t>
      </w:r>
      <w:r w:rsidR="00F07166" w:rsidRPr="006656B5">
        <w:rPr>
          <w:rFonts w:ascii="Calibri" w:hAnsi="Calibri"/>
          <w:shd w:val="clear" w:color="auto" w:fill="DDD9C3"/>
          <w:lang w:val="fr-FR"/>
        </w:rPr>
        <w:t>s</w:t>
      </w:r>
      <w:r w:rsidRPr="006656B5">
        <w:rPr>
          <w:rFonts w:ascii="Calibri" w:hAnsi="Calibri"/>
          <w:shd w:val="clear" w:color="auto" w:fill="DDD9C3"/>
          <w:lang w:val="fr-FR"/>
        </w:rPr>
        <w:t xml:space="preserve"> site</w:t>
      </w:r>
      <w:r w:rsidR="00F07166" w:rsidRPr="006656B5">
        <w:rPr>
          <w:rFonts w:ascii="Calibri" w:hAnsi="Calibri"/>
          <w:shd w:val="clear" w:color="auto" w:fill="DDD9C3"/>
          <w:lang w:val="fr-FR"/>
        </w:rPr>
        <w:t>s</w:t>
      </w:r>
      <w:r w:rsidRPr="006656B5">
        <w:rPr>
          <w:rFonts w:ascii="Calibri" w:hAnsi="Calibri"/>
          <w:shd w:val="clear" w:color="auto" w:fill="DDD9C3"/>
          <w:lang w:val="fr-FR"/>
        </w:rPr>
        <w:t xml:space="preserve"> Menabe Antimena et Loky Manambato</w:t>
      </w:r>
    </w:p>
    <w:p w14:paraId="3DCEEAE2" w14:textId="77777777" w:rsidR="00A4555F" w:rsidRPr="006656B5" w:rsidRDefault="00F07166" w:rsidP="006656B5">
      <w:pPr>
        <w:pStyle w:val="Paragraphedeliste"/>
        <w:numPr>
          <w:ilvl w:val="0"/>
          <w:numId w:val="40"/>
        </w:numPr>
        <w:spacing w:after="120"/>
        <w:rPr>
          <w:rFonts w:ascii="Calibri" w:hAnsi="Calibri"/>
          <w:shd w:val="clear" w:color="auto" w:fill="DDD9C3"/>
          <w:lang w:val="fr-FR"/>
        </w:rPr>
      </w:pPr>
      <w:r w:rsidRPr="006656B5">
        <w:rPr>
          <w:rFonts w:ascii="Calibri" w:hAnsi="Calibri"/>
          <w:shd w:val="clear" w:color="auto" w:fill="DDD9C3"/>
          <w:lang w:val="fr-FR"/>
        </w:rPr>
        <w:t>Missouri Botanical Garden: Représentant resident et chefs de sites Ampasindava et Galoko</w:t>
      </w:r>
    </w:p>
    <w:p w14:paraId="4615B7C5" w14:textId="45E63B38" w:rsidR="00F07166" w:rsidRPr="006656B5" w:rsidRDefault="00F07166" w:rsidP="006656B5">
      <w:pPr>
        <w:pStyle w:val="Paragraphedeliste"/>
        <w:numPr>
          <w:ilvl w:val="0"/>
          <w:numId w:val="40"/>
        </w:numPr>
        <w:spacing w:after="120"/>
        <w:rPr>
          <w:rFonts w:ascii="Calibri" w:hAnsi="Calibri" w:cs="Times New Roman"/>
          <w:lang w:val="fr-FR"/>
        </w:rPr>
      </w:pPr>
      <w:r w:rsidRPr="006656B5">
        <w:rPr>
          <w:rFonts w:ascii="Calibri" w:hAnsi="Calibri"/>
          <w:shd w:val="clear" w:color="auto" w:fill="DDD9C3"/>
          <w:lang w:val="fr-FR"/>
        </w:rPr>
        <w:t>World Wide Fund: Directeur Pays et Chef de site COMATSA Nord et COMATSA Sud</w:t>
      </w:r>
    </w:p>
    <w:p w14:paraId="4A37C7F9" w14:textId="77777777" w:rsidR="00A4555F" w:rsidRPr="006656B5" w:rsidRDefault="00F07166" w:rsidP="006656B5">
      <w:pPr>
        <w:pStyle w:val="Paragraphedeliste"/>
        <w:numPr>
          <w:ilvl w:val="0"/>
          <w:numId w:val="40"/>
        </w:numPr>
        <w:spacing w:after="120"/>
        <w:rPr>
          <w:rFonts w:ascii="Calibri" w:hAnsi="Calibri"/>
          <w:shd w:val="clear" w:color="auto" w:fill="DDD9C3"/>
          <w:lang w:val="fr-FR"/>
        </w:rPr>
      </w:pPr>
      <w:r w:rsidRPr="006656B5">
        <w:rPr>
          <w:rFonts w:ascii="Calibri" w:hAnsi="Calibri"/>
          <w:shd w:val="clear" w:color="auto" w:fill="DDD9C3"/>
          <w:lang w:val="fr-FR"/>
        </w:rPr>
        <w:t>Madagascar National Parks: Directeur Général et Directeur RNI Tsaratanana</w:t>
      </w:r>
    </w:p>
    <w:p w14:paraId="58FF7944" w14:textId="77777777" w:rsidR="00A4555F" w:rsidRPr="006656B5" w:rsidRDefault="00F07166" w:rsidP="006656B5">
      <w:pPr>
        <w:pStyle w:val="Paragraphedeliste"/>
        <w:numPr>
          <w:ilvl w:val="0"/>
          <w:numId w:val="40"/>
        </w:numPr>
        <w:spacing w:after="120"/>
        <w:rPr>
          <w:rFonts w:ascii="Calibri" w:hAnsi="Calibri"/>
          <w:shd w:val="clear" w:color="auto" w:fill="DDD9C3"/>
          <w:lang w:val="fr-FR"/>
        </w:rPr>
      </w:pPr>
      <w:r w:rsidRPr="006656B5">
        <w:rPr>
          <w:rFonts w:ascii="Calibri" w:hAnsi="Calibri"/>
          <w:shd w:val="clear" w:color="auto" w:fill="DDD9C3"/>
          <w:lang w:val="fr-FR"/>
        </w:rPr>
        <w:t>The Peregrine Fund: Directeur National et Chef des sites Bemanevika et Mahimborondro</w:t>
      </w:r>
    </w:p>
    <w:p w14:paraId="5BDC0F6D" w14:textId="77777777" w:rsidR="00F07166" w:rsidRPr="006656B5" w:rsidRDefault="00F90056" w:rsidP="006656B5">
      <w:pPr>
        <w:pStyle w:val="Paragraphedeliste"/>
        <w:numPr>
          <w:ilvl w:val="0"/>
          <w:numId w:val="34"/>
        </w:numPr>
        <w:spacing w:after="120"/>
        <w:rPr>
          <w:rFonts w:ascii="Calibri" w:hAnsi="Calibri" w:cs="Times New Roman"/>
          <w:lang w:val="fr-FR"/>
        </w:rPr>
      </w:pPr>
      <w:r w:rsidRPr="006656B5">
        <w:rPr>
          <w:rFonts w:ascii="Calibri" w:hAnsi="Calibri"/>
          <w:shd w:val="clear" w:color="auto" w:fill="DDD9C3"/>
          <w:lang w:val="fr-FR"/>
        </w:rPr>
        <w:t xml:space="preserve">PNUD Madagascar : </w:t>
      </w:r>
    </w:p>
    <w:p w14:paraId="2448ADC1" w14:textId="77777777" w:rsidR="00F07166" w:rsidRPr="006656B5" w:rsidRDefault="00F07166" w:rsidP="006656B5">
      <w:pPr>
        <w:pStyle w:val="Paragraphedeliste"/>
        <w:numPr>
          <w:ilvl w:val="0"/>
          <w:numId w:val="40"/>
        </w:numPr>
        <w:spacing w:after="120"/>
        <w:rPr>
          <w:rFonts w:ascii="Calibri" w:hAnsi="Calibri" w:cs="Times New Roman"/>
          <w:lang w:val="fr-FR"/>
        </w:rPr>
      </w:pPr>
      <w:r w:rsidRPr="006656B5">
        <w:rPr>
          <w:rFonts w:ascii="Calibri" w:hAnsi="Calibri"/>
          <w:shd w:val="clear" w:color="auto" w:fill="DDD9C3"/>
          <w:lang w:val="fr-FR"/>
        </w:rPr>
        <w:t>Représentant Résident Adjoint/Programmes</w:t>
      </w:r>
    </w:p>
    <w:p w14:paraId="133E80D6" w14:textId="77777777" w:rsidR="00F07166" w:rsidRPr="006656B5" w:rsidRDefault="00F07166" w:rsidP="006656B5">
      <w:pPr>
        <w:pStyle w:val="Paragraphedeliste"/>
        <w:numPr>
          <w:ilvl w:val="0"/>
          <w:numId w:val="40"/>
        </w:numPr>
        <w:spacing w:after="120"/>
        <w:rPr>
          <w:rFonts w:ascii="Calibri" w:hAnsi="Calibri" w:cs="Times New Roman"/>
          <w:lang w:val="fr-FR"/>
        </w:rPr>
      </w:pPr>
      <w:r w:rsidRPr="006656B5">
        <w:rPr>
          <w:rFonts w:ascii="Calibri" w:hAnsi="Calibri"/>
          <w:shd w:val="clear" w:color="auto" w:fill="DDD9C3"/>
          <w:lang w:val="fr-FR"/>
        </w:rPr>
        <w:t>Chargé</w:t>
      </w:r>
      <w:r w:rsidR="00F90056" w:rsidRPr="006656B5">
        <w:rPr>
          <w:rFonts w:ascii="Calibri" w:hAnsi="Calibri"/>
          <w:shd w:val="clear" w:color="auto" w:fill="DDD9C3"/>
          <w:lang w:val="fr-FR"/>
        </w:rPr>
        <w:t xml:space="preserve"> de Programme</w:t>
      </w:r>
      <w:r w:rsidRPr="006656B5">
        <w:rPr>
          <w:rFonts w:ascii="Calibri" w:hAnsi="Calibri"/>
          <w:shd w:val="clear" w:color="auto" w:fill="DDD9C3"/>
          <w:lang w:val="fr-FR"/>
        </w:rPr>
        <w:t xml:space="preserve"> Environnement</w:t>
      </w:r>
      <w:r w:rsidR="00F90056" w:rsidRPr="006656B5">
        <w:rPr>
          <w:rFonts w:ascii="Calibri" w:hAnsi="Calibri"/>
          <w:shd w:val="clear" w:color="auto" w:fill="DDD9C3"/>
          <w:lang w:val="fr-FR"/>
        </w:rPr>
        <w:t xml:space="preserve"> </w:t>
      </w:r>
    </w:p>
    <w:p w14:paraId="5FE13C4D" w14:textId="77777777" w:rsidR="00F90056" w:rsidRPr="006656B5" w:rsidRDefault="00F90056" w:rsidP="006656B5">
      <w:pPr>
        <w:pStyle w:val="Paragraphedeliste"/>
        <w:numPr>
          <w:ilvl w:val="0"/>
          <w:numId w:val="40"/>
        </w:numPr>
        <w:spacing w:after="120"/>
        <w:rPr>
          <w:rFonts w:ascii="Calibri" w:hAnsi="Calibri" w:cs="Times New Roman"/>
          <w:lang w:val="fr-FR"/>
        </w:rPr>
      </w:pPr>
      <w:r w:rsidRPr="006656B5">
        <w:rPr>
          <w:rFonts w:ascii="Calibri" w:hAnsi="Calibri"/>
          <w:shd w:val="clear" w:color="auto" w:fill="DDD9C3"/>
          <w:lang w:val="fr-FR"/>
        </w:rPr>
        <w:t>U</w:t>
      </w:r>
      <w:r w:rsidR="00F07166" w:rsidRPr="006656B5">
        <w:rPr>
          <w:rFonts w:ascii="Calibri" w:hAnsi="Calibri"/>
          <w:shd w:val="clear" w:color="auto" w:fill="DDD9C3"/>
          <w:lang w:val="fr-FR"/>
        </w:rPr>
        <w:t xml:space="preserve">nité de Suivi-Evaluation </w:t>
      </w:r>
    </w:p>
    <w:p w14:paraId="5ED33667" w14:textId="77777777"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rsidRPr="006656B5">
        <w:rPr>
          <w:lang w:val="fr-FR"/>
        </w:rPr>
        <w:t>Une liste des documents que l’équipe chargée du projet fournira à l’évaluateur aux fins d’examen est jointe à l’</w:t>
      </w:r>
      <w:hyperlink w:anchor="_TOR_Annex_B:" w:history="1">
        <w:r w:rsidRPr="006656B5">
          <w:rPr>
            <w:rFonts w:ascii="Calibri" w:hAnsi="Calibri"/>
            <w:sz w:val="20"/>
            <w:u w:val="single"/>
            <w:shd w:val="clear" w:color="auto" w:fill="FFFFFF"/>
            <w:lang w:val="fr-FR"/>
          </w:rPr>
          <w:t>annexe B</w:t>
        </w:r>
      </w:hyperlink>
      <w:r w:rsidRPr="006656B5">
        <w:rPr>
          <w:rFonts w:ascii="Calibri" w:hAnsi="Calibri"/>
          <w:sz w:val="20"/>
          <w:u w:val="single"/>
          <w:shd w:val="clear" w:color="auto" w:fill="FFFFFF"/>
          <w:lang w:val="fr-FR"/>
        </w:rPr>
        <w:t xml:space="preserve"> </w:t>
      </w:r>
      <w:r w:rsidRPr="006656B5">
        <w:rPr>
          <w:lang w:val="fr-FR"/>
        </w:rPr>
        <w:t xml:space="preserve"> des présents termes de référence.</w:t>
      </w:r>
    </w:p>
    <w:p w14:paraId="67DB04DA" w14:textId="77777777" w:rsidR="00D6638C" w:rsidRPr="006656B5" w:rsidRDefault="00D6638C" w:rsidP="006656B5">
      <w:pPr>
        <w:pStyle w:val="Heading51"/>
        <w:rPr>
          <w:lang w:val="fr-FR"/>
        </w:rPr>
      </w:pPr>
      <w:bookmarkStart w:id="8" w:name="_Toc321341551"/>
      <w:r w:rsidRPr="006656B5">
        <w:rPr>
          <w:lang w:val="fr-FR"/>
        </w:rPr>
        <w:t>Critères d'évaluation et notations</w:t>
      </w:r>
      <w:bookmarkEnd w:id="8"/>
    </w:p>
    <w:p w14:paraId="58560D90" w14:textId="2C7AAA90" w:rsidR="00D6638C" w:rsidRPr="006656B5" w:rsidRDefault="00D6638C" w:rsidP="006656B5">
      <w:pPr>
        <w:autoSpaceDE w:val="0"/>
        <w:autoSpaceDN w:val="0"/>
        <w:adjustRightInd w:val="0"/>
        <w:spacing w:after="0"/>
        <w:rPr>
          <w:rFonts w:ascii="Calibri" w:eastAsia="Times New Roman" w:hAnsi="Calibri" w:cs="Times New Roman"/>
          <w:sz w:val="20"/>
          <w:szCs w:val="20"/>
          <w:lang w:val="fr-FR"/>
        </w:rPr>
      </w:pPr>
      <w:r w:rsidRPr="006656B5">
        <w:rPr>
          <w:lang w:val="fr-FR"/>
        </w:rPr>
        <w:lastRenderedPageBreak/>
        <w:t xml:space="preserve">Une évaluation de la performance du projet, basée sur les attentes énoncées dans le cadre logique/cadre de résultats du projet </w:t>
      </w:r>
      <w:r w:rsidRPr="006656B5">
        <w:rPr>
          <w:rFonts w:ascii="Calibri" w:hAnsi="Calibri"/>
          <w:sz w:val="20"/>
          <w:lang w:val="fr-FR"/>
        </w:rPr>
        <w:t xml:space="preserve">(voir </w:t>
      </w:r>
      <w:hyperlink w:anchor="_TOR_Annex_A:" w:history="1">
        <w:r w:rsidRPr="006656B5">
          <w:rPr>
            <w:rFonts w:ascii="Calibri" w:hAnsi="Calibri"/>
            <w:sz w:val="20"/>
            <w:lang w:val="fr-FR"/>
          </w:rPr>
          <w:t xml:space="preserve"> </w:t>
        </w:r>
        <w:r w:rsidRPr="006656B5">
          <w:rPr>
            <w:rFonts w:ascii="Calibri" w:hAnsi="Calibri"/>
            <w:sz w:val="20"/>
            <w:u w:val="single"/>
            <w:lang w:val="fr-FR"/>
          </w:rPr>
          <w:t>annexe A</w:t>
        </w:r>
      </w:hyperlink>
      <w:r w:rsidRPr="006656B5">
        <w:rPr>
          <w:rFonts w:ascii="Calibri" w:hAnsi="Calibri"/>
          <w:sz w:val="20"/>
          <w:lang w:val="fr-FR"/>
        </w:rPr>
        <w:t>)</w:t>
      </w:r>
      <w:r w:rsidRPr="006656B5">
        <w:rPr>
          <w:lang w:val="fr-FR"/>
        </w:rPr>
        <w:t xml:space="preserve"> qui offre des indicateurs de performance et d’impact dans le cadre de la mise en œuvre du projet ainsi que les moyens de vérification correspondants, sera réalisée.</w:t>
      </w:r>
      <w:r w:rsidRPr="006656B5">
        <w:rPr>
          <w:rFonts w:ascii="Calibri" w:hAnsi="Calibri"/>
          <w:sz w:val="23"/>
          <w:lang w:val="fr-FR"/>
        </w:rPr>
        <w:t xml:space="preserve"> </w:t>
      </w:r>
      <w:r w:rsidRPr="006656B5">
        <w:rPr>
          <w:rFonts w:ascii="Calibri" w:hAnsi="Calibri"/>
          <w:sz w:val="20"/>
          <w:lang w:val="fr-FR"/>
        </w:rPr>
        <w:t xml:space="preserve">L’évaluation portera au moins sur les critères de </w:t>
      </w:r>
      <w:r w:rsidRPr="006656B5">
        <w:rPr>
          <w:rFonts w:ascii="Calibri" w:hAnsi="Calibri"/>
          <w:b/>
          <w:sz w:val="20"/>
          <w:lang w:val="fr-FR"/>
        </w:rPr>
        <w:t xml:space="preserve">pertinence, efficacité, efficience et durabilité. </w:t>
      </w:r>
      <w:r w:rsidRPr="006656B5">
        <w:rPr>
          <w:rFonts w:ascii="Calibri" w:hAnsi="Calibri"/>
          <w:sz w:val="20"/>
          <w:lang w:val="fr-FR"/>
        </w:rPr>
        <w:t xml:space="preserve">Des notations doivent être fournies par rapport aux critères de performance suivants. Le tableau rempli doit être joint au résumé d’évaluation.   Les échelles de notation obligatoires sont </w:t>
      </w:r>
      <w:r w:rsidR="00C45338" w:rsidRPr="006656B5">
        <w:rPr>
          <w:rFonts w:ascii="Calibri" w:hAnsi="Calibri"/>
          <w:sz w:val="20"/>
          <w:lang w:val="fr-FR"/>
        </w:rPr>
        <w:t>inclues</w:t>
      </w:r>
      <w:r w:rsidRPr="006656B5">
        <w:rPr>
          <w:rFonts w:ascii="Calibri" w:hAnsi="Calibri"/>
          <w:sz w:val="20"/>
          <w:lang w:val="fr-FR"/>
        </w:rPr>
        <w:t xml:space="preserve"> dans l'</w:t>
      </w:r>
      <w:hyperlink w:anchor="_TOR_Annex_D:" w:history="1">
        <w:r w:rsidRPr="006656B5">
          <w:rPr>
            <w:rFonts w:ascii="Calibri" w:hAnsi="Calibri"/>
            <w:sz w:val="20"/>
            <w:u w:val="single"/>
            <w:lang w:val="fr-FR"/>
          </w:rPr>
          <w:t>annex</w:t>
        </w:r>
        <w:r w:rsidR="002068AA" w:rsidRPr="006656B5">
          <w:rPr>
            <w:rFonts w:ascii="Calibri" w:hAnsi="Calibri"/>
            <w:sz w:val="20"/>
            <w:u w:val="single"/>
            <w:lang w:val="fr-FR"/>
          </w:rPr>
          <w:t>e D</w:t>
        </w:r>
        <w:r w:rsidRPr="006656B5">
          <w:rPr>
            <w:rFonts w:ascii="Calibri" w:hAnsi="Calibri"/>
            <w:sz w:val="20"/>
            <w:lang w:val="fr-FR"/>
          </w:rPr>
          <w:t>.</w:t>
        </w:r>
      </w:hyperlink>
    </w:p>
    <w:p w14:paraId="78533C81" w14:textId="77777777" w:rsidR="00D6638C" w:rsidRPr="006656B5" w:rsidRDefault="00D6638C" w:rsidP="006656B5">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65"/>
        <w:gridCol w:w="3635"/>
        <w:gridCol w:w="1865"/>
      </w:tblGrid>
      <w:tr w:rsidR="006656B5" w:rsidRPr="006656B5" w14:paraId="7082F868" w14:textId="77777777" w:rsidTr="006C1964">
        <w:trPr>
          <w:trHeight w:val="206"/>
        </w:trPr>
        <w:tc>
          <w:tcPr>
            <w:tcW w:w="5000" w:type="pct"/>
            <w:gridSpan w:val="4"/>
            <w:vAlign w:val="center"/>
          </w:tcPr>
          <w:p w14:paraId="2C450FFC" w14:textId="77777777" w:rsidR="00D6638C" w:rsidRPr="006656B5" w:rsidRDefault="00D6638C" w:rsidP="006656B5">
            <w:pPr>
              <w:tabs>
                <w:tab w:val="right" w:pos="0"/>
              </w:tabs>
              <w:spacing w:after="0"/>
              <w:rPr>
                <w:rFonts w:ascii="Calibri" w:eastAsia="Times New Roman" w:hAnsi="Calibri" w:cs="Times New Roman"/>
                <w:b/>
                <w:sz w:val="20"/>
                <w:szCs w:val="20"/>
              </w:rPr>
            </w:pPr>
            <w:r w:rsidRPr="006656B5">
              <w:rPr>
                <w:rFonts w:ascii="Calibri" w:hAnsi="Calibri"/>
                <w:b/>
                <w:sz w:val="20"/>
              </w:rPr>
              <w:t>Notes d'évaluation :</w:t>
            </w:r>
          </w:p>
        </w:tc>
      </w:tr>
      <w:tr w:rsidR="006656B5" w:rsidRPr="006656B5" w14:paraId="02103D0C" w14:textId="77777777" w:rsidTr="006C1964">
        <w:tblPrEx>
          <w:shd w:val="clear" w:color="auto" w:fill="4F81BD"/>
        </w:tblPrEx>
        <w:tc>
          <w:tcPr>
            <w:tcW w:w="1652" w:type="pct"/>
            <w:shd w:val="clear" w:color="auto" w:fill="7F7F7F"/>
          </w:tcPr>
          <w:p w14:paraId="6B80A105" w14:textId="77777777" w:rsidR="00D6638C" w:rsidRPr="006656B5" w:rsidRDefault="00D6638C" w:rsidP="006656B5">
            <w:pPr>
              <w:spacing w:after="0"/>
              <w:rPr>
                <w:rFonts w:ascii="Calibri" w:eastAsia="Times New Roman" w:hAnsi="Calibri" w:cs="Times New Roman"/>
                <w:b/>
                <w:bCs/>
                <w:sz w:val="20"/>
                <w:szCs w:val="20"/>
              </w:rPr>
            </w:pPr>
            <w:bookmarkStart w:id="9" w:name="_Toc299133036"/>
            <w:r w:rsidRPr="006656B5">
              <w:rPr>
                <w:rFonts w:ascii="Calibri" w:hAnsi="Calibri"/>
                <w:b/>
                <w:sz w:val="20"/>
              </w:rPr>
              <w:t>1 Suivi et évaluation</w:t>
            </w:r>
          </w:p>
        </w:tc>
        <w:tc>
          <w:tcPr>
            <w:tcW w:w="375" w:type="pct"/>
            <w:shd w:val="clear" w:color="auto" w:fill="7F7F7F"/>
          </w:tcPr>
          <w:p w14:paraId="40AE24BE" w14:textId="77777777" w:rsidR="00D6638C" w:rsidRPr="006656B5" w:rsidRDefault="00D6638C" w:rsidP="006656B5">
            <w:pPr>
              <w:spacing w:after="0"/>
              <w:jc w:val="center"/>
              <w:rPr>
                <w:rFonts w:ascii="Calibri" w:eastAsia="Times New Roman" w:hAnsi="Calibri" w:cs="Times New Roman"/>
                <w:b/>
                <w:bCs/>
                <w:sz w:val="20"/>
                <w:szCs w:val="20"/>
              </w:rPr>
            </w:pPr>
            <w:r w:rsidRPr="006656B5">
              <w:rPr>
                <w:rFonts w:ascii="Calibri" w:hAnsi="Calibri"/>
                <w:b/>
                <w:i/>
                <w:sz w:val="20"/>
              </w:rPr>
              <w:t>Notation</w:t>
            </w:r>
          </w:p>
        </w:tc>
        <w:tc>
          <w:tcPr>
            <w:tcW w:w="2598" w:type="pct"/>
            <w:shd w:val="clear" w:color="auto" w:fill="7F7F7F"/>
          </w:tcPr>
          <w:p w14:paraId="73C46476" w14:textId="77777777" w:rsidR="00D6638C" w:rsidRPr="006656B5" w:rsidRDefault="00D6638C" w:rsidP="006656B5">
            <w:pPr>
              <w:spacing w:after="0"/>
              <w:rPr>
                <w:rFonts w:ascii="Calibri" w:eastAsia="Times New Roman" w:hAnsi="Calibri" w:cs="Times New Roman"/>
                <w:b/>
                <w:i/>
                <w:sz w:val="20"/>
                <w:szCs w:val="20"/>
                <w:lang w:val="fr-FR"/>
              </w:rPr>
            </w:pPr>
            <w:r w:rsidRPr="006656B5">
              <w:rPr>
                <w:rFonts w:ascii="Calibri" w:hAnsi="Calibri"/>
                <w:b/>
                <w:sz w:val="20"/>
                <w:lang w:val="fr-FR"/>
              </w:rPr>
              <w:t xml:space="preserve">2 </w:t>
            </w:r>
            <w:r w:rsidR="00A77F42" w:rsidRPr="006656B5">
              <w:rPr>
                <w:rFonts w:ascii="Calibri" w:hAnsi="Calibri"/>
                <w:b/>
                <w:sz w:val="20"/>
                <w:lang w:val="fr-FR"/>
              </w:rPr>
              <w:t xml:space="preserve"> A</w:t>
            </w:r>
            <w:r w:rsidR="00A77F42" w:rsidRPr="006656B5">
              <w:rPr>
                <w:rFonts w:ascii="Calibri" w:hAnsi="Calibri"/>
                <w:b/>
                <w:i/>
                <w:sz w:val="20"/>
                <w:lang w:val="fr-FR"/>
              </w:rPr>
              <w:t>gence d’exécution/agence de réalisation </w:t>
            </w:r>
            <w:r w:rsidRPr="006656B5">
              <w:rPr>
                <w:rFonts w:ascii="Calibri" w:hAnsi="Calibri"/>
                <w:b/>
                <w:sz w:val="20"/>
                <w:lang w:val="fr-FR"/>
              </w:rPr>
              <w:t xml:space="preserve"> </w:t>
            </w:r>
          </w:p>
        </w:tc>
        <w:tc>
          <w:tcPr>
            <w:tcW w:w="375" w:type="pct"/>
            <w:shd w:val="clear" w:color="auto" w:fill="7F7F7F"/>
          </w:tcPr>
          <w:p w14:paraId="504F0218" w14:textId="77777777" w:rsidR="00D6638C" w:rsidRPr="006656B5" w:rsidRDefault="00A77F42" w:rsidP="006656B5">
            <w:pPr>
              <w:spacing w:after="0"/>
              <w:jc w:val="center"/>
              <w:rPr>
                <w:rFonts w:ascii="Calibri" w:eastAsia="Times New Roman" w:hAnsi="Calibri" w:cs="Times New Roman"/>
                <w:b/>
                <w:i/>
                <w:sz w:val="20"/>
                <w:szCs w:val="20"/>
              </w:rPr>
            </w:pPr>
            <w:r w:rsidRPr="006656B5">
              <w:rPr>
                <w:rFonts w:ascii="Calibri" w:hAnsi="Calibri"/>
                <w:b/>
                <w:i/>
                <w:sz w:val="20"/>
              </w:rPr>
              <w:t>Notation</w:t>
            </w:r>
          </w:p>
        </w:tc>
      </w:tr>
      <w:tr w:rsidR="006656B5" w:rsidRPr="006656B5" w14:paraId="3592B53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029F2B"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Conception du suivi et de l’évaluation à l’entrée</w:t>
            </w:r>
          </w:p>
        </w:tc>
        <w:tc>
          <w:tcPr>
            <w:tcW w:w="375" w:type="pct"/>
            <w:tcBorders>
              <w:bottom w:val="single" w:sz="4" w:space="0" w:color="auto"/>
            </w:tcBorders>
          </w:tcPr>
          <w:p w14:paraId="33A11C1A"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Borders>
              <w:bottom w:val="single" w:sz="4" w:space="0" w:color="auto"/>
            </w:tcBorders>
          </w:tcPr>
          <w:p w14:paraId="46BFD601"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Qualité de la mise en œuvre par le PNUD</w:t>
            </w:r>
          </w:p>
        </w:tc>
        <w:tc>
          <w:tcPr>
            <w:tcW w:w="375" w:type="pct"/>
            <w:tcBorders>
              <w:bottom w:val="single" w:sz="4" w:space="0" w:color="auto"/>
            </w:tcBorders>
          </w:tcPr>
          <w:p w14:paraId="4881C5EB"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71662B4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83FE270"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Mise en œuvre du plan de suivi et d’évaluation</w:t>
            </w:r>
          </w:p>
        </w:tc>
        <w:tc>
          <w:tcPr>
            <w:tcW w:w="375" w:type="pct"/>
            <w:tcBorders>
              <w:bottom w:val="single" w:sz="4" w:space="0" w:color="auto"/>
            </w:tcBorders>
          </w:tcPr>
          <w:p w14:paraId="25DED781"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Borders>
              <w:bottom w:val="single" w:sz="4" w:space="0" w:color="auto"/>
            </w:tcBorders>
          </w:tcPr>
          <w:p w14:paraId="70FE2A28"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Qualité de l’exécution : agence d’exécution </w:t>
            </w:r>
          </w:p>
        </w:tc>
        <w:tc>
          <w:tcPr>
            <w:tcW w:w="375" w:type="pct"/>
            <w:tcBorders>
              <w:bottom w:val="single" w:sz="4" w:space="0" w:color="auto"/>
            </w:tcBorders>
          </w:tcPr>
          <w:p w14:paraId="61A42682"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0B70117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98469E"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Qualité globale du suivi et de l’évaluation</w:t>
            </w:r>
          </w:p>
        </w:tc>
        <w:tc>
          <w:tcPr>
            <w:tcW w:w="375" w:type="pct"/>
            <w:tcBorders>
              <w:bottom w:val="single" w:sz="4" w:space="0" w:color="auto"/>
            </w:tcBorders>
          </w:tcPr>
          <w:p w14:paraId="27DA2232"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Borders>
              <w:bottom w:val="single" w:sz="4" w:space="0" w:color="auto"/>
            </w:tcBorders>
          </w:tcPr>
          <w:p w14:paraId="765EA94F"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Qualité globale de la mise en œuvre et de l’exécution</w:t>
            </w:r>
          </w:p>
        </w:tc>
        <w:tc>
          <w:tcPr>
            <w:tcW w:w="375" w:type="pct"/>
            <w:tcBorders>
              <w:bottom w:val="single" w:sz="4" w:space="0" w:color="auto"/>
            </w:tcBorders>
          </w:tcPr>
          <w:p w14:paraId="2892310A"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7FD5414B" w14:textId="77777777" w:rsidTr="006C1964">
        <w:tblPrEx>
          <w:shd w:val="clear" w:color="auto" w:fill="4F81BD"/>
        </w:tblPrEx>
        <w:tc>
          <w:tcPr>
            <w:tcW w:w="1652" w:type="pct"/>
            <w:shd w:val="clear" w:color="auto" w:fill="7F7F7F"/>
          </w:tcPr>
          <w:p w14:paraId="655BE5D7" w14:textId="77777777" w:rsidR="00D6638C" w:rsidRPr="006656B5" w:rsidRDefault="00D6638C" w:rsidP="006656B5">
            <w:pPr>
              <w:spacing w:after="0" w:line="240" w:lineRule="auto"/>
              <w:contextualSpacing/>
              <w:rPr>
                <w:rFonts w:ascii="Calibri" w:eastAsia="Times New Roman" w:hAnsi="Calibri" w:cs="Calibri"/>
                <w:b/>
                <w:bCs/>
                <w:sz w:val="20"/>
                <w:szCs w:val="20"/>
              </w:rPr>
            </w:pPr>
            <w:r w:rsidRPr="006656B5">
              <w:rPr>
                <w:rFonts w:ascii="Calibri" w:hAnsi="Calibri"/>
                <w:b/>
                <w:sz w:val="20"/>
              </w:rPr>
              <w:t xml:space="preserve">3 Évaluation des résultats </w:t>
            </w:r>
          </w:p>
        </w:tc>
        <w:tc>
          <w:tcPr>
            <w:tcW w:w="375" w:type="pct"/>
            <w:shd w:val="clear" w:color="auto" w:fill="7F7F7F"/>
          </w:tcPr>
          <w:p w14:paraId="118D457F" w14:textId="77777777" w:rsidR="00D6638C" w:rsidRPr="006656B5" w:rsidRDefault="00D6638C" w:rsidP="006656B5">
            <w:pPr>
              <w:spacing w:after="0" w:line="240" w:lineRule="auto"/>
              <w:contextualSpacing/>
              <w:jc w:val="center"/>
              <w:rPr>
                <w:rFonts w:ascii="Calibri" w:eastAsia="Times New Roman" w:hAnsi="Calibri" w:cs="Calibri"/>
                <w:b/>
                <w:bCs/>
                <w:sz w:val="20"/>
                <w:szCs w:val="20"/>
                <w:lang w:val="fr-FR"/>
              </w:rPr>
            </w:pPr>
            <w:r w:rsidRPr="006656B5">
              <w:rPr>
                <w:rFonts w:ascii="Calibri" w:hAnsi="Calibri"/>
                <w:b/>
                <w:sz w:val="20"/>
                <w:lang w:val="fr-FR"/>
              </w:rPr>
              <w:t>de l’agence d’exécution/agence de réalisation :</w:t>
            </w:r>
          </w:p>
        </w:tc>
        <w:tc>
          <w:tcPr>
            <w:tcW w:w="2598" w:type="pct"/>
            <w:shd w:val="clear" w:color="auto" w:fill="7F7F7F"/>
          </w:tcPr>
          <w:p w14:paraId="73AFCB30" w14:textId="77777777" w:rsidR="00D6638C" w:rsidRPr="006656B5" w:rsidRDefault="00D6638C" w:rsidP="006656B5">
            <w:pPr>
              <w:spacing w:after="0" w:line="240" w:lineRule="auto"/>
              <w:contextualSpacing/>
              <w:rPr>
                <w:rFonts w:ascii="Calibri" w:eastAsia="Times New Roman" w:hAnsi="Calibri" w:cs="Calibri"/>
                <w:b/>
                <w:bCs/>
                <w:sz w:val="20"/>
                <w:szCs w:val="20"/>
              </w:rPr>
            </w:pPr>
            <w:r w:rsidRPr="006656B5">
              <w:rPr>
                <w:rFonts w:ascii="Calibri" w:hAnsi="Calibri"/>
                <w:b/>
                <w:sz w:val="20"/>
              </w:rPr>
              <w:t>4 Durabilité</w:t>
            </w:r>
          </w:p>
        </w:tc>
        <w:tc>
          <w:tcPr>
            <w:tcW w:w="375" w:type="pct"/>
            <w:shd w:val="clear" w:color="auto" w:fill="7F7F7F"/>
          </w:tcPr>
          <w:p w14:paraId="3A12D72A" w14:textId="77777777" w:rsidR="00D6638C" w:rsidRPr="006656B5" w:rsidRDefault="00D6638C" w:rsidP="006656B5">
            <w:pPr>
              <w:spacing w:after="0" w:line="240" w:lineRule="auto"/>
              <w:contextualSpacing/>
              <w:jc w:val="center"/>
              <w:rPr>
                <w:rFonts w:ascii="Calibri" w:eastAsia="Times New Roman" w:hAnsi="Calibri" w:cs="Calibri"/>
                <w:b/>
                <w:bCs/>
                <w:sz w:val="20"/>
                <w:szCs w:val="20"/>
                <w:lang w:val="fr-FR"/>
              </w:rPr>
            </w:pPr>
            <w:r w:rsidRPr="006656B5">
              <w:rPr>
                <w:rFonts w:ascii="Calibri" w:hAnsi="Calibri"/>
                <w:b/>
                <w:sz w:val="20"/>
                <w:lang w:val="fr-FR"/>
              </w:rPr>
              <w:t>de l’agence d’exécution/agence de réalisation :</w:t>
            </w:r>
          </w:p>
        </w:tc>
      </w:tr>
      <w:tr w:rsidR="006656B5" w:rsidRPr="006656B5" w14:paraId="47D5770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6CEB0"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Pertinence </w:t>
            </w:r>
          </w:p>
        </w:tc>
        <w:tc>
          <w:tcPr>
            <w:tcW w:w="375" w:type="pct"/>
          </w:tcPr>
          <w:p w14:paraId="58A3F3E7"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Pr>
          <w:p w14:paraId="24D0C713"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Ressources financières :</w:t>
            </w:r>
          </w:p>
        </w:tc>
        <w:tc>
          <w:tcPr>
            <w:tcW w:w="375" w:type="pct"/>
          </w:tcPr>
          <w:p w14:paraId="7871FBCA"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48BC8B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3454BE5"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Efficacité</w:t>
            </w:r>
          </w:p>
        </w:tc>
        <w:tc>
          <w:tcPr>
            <w:tcW w:w="375" w:type="pct"/>
          </w:tcPr>
          <w:p w14:paraId="747D7B09"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Pr>
          <w:p w14:paraId="0CE60939"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Sociopolitique :</w:t>
            </w:r>
          </w:p>
        </w:tc>
        <w:tc>
          <w:tcPr>
            <w:tcW w:w="375" w:type="pct"/>
          </w:tcPr>
          <w:p w14:paraId="6FFC9A68"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6C9DB7B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44679E3"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Efficience </w:t>
            </w:r>
          </w:p>
        </w:tc>
        <w:tc>
          <w:tcPr>
            <w:tcW w:w="375" w:type="pct"/>
          </w:tcPr>
          <w:p w14:paraId="1EBEA261"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Pr>
          <w:p w14:paraId="12681D76"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Cadre institutionnel et gouvernance :</w:t>
            </w:r>
          </w:p>
        </w:tc>
        <w:tc>
          <w:tcPr>
            <w:tcW w:w="375" w:type="pct"/>
          </w:tcPr>
          <w:p w14:paraId="3F3EF083"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7E5E58C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9DD76C"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Note globale de la réalisation du projet</w:t>
            </w:r>
          </w:p>
        </w:tc>
        <w:tc>
          <w:tcPr>
            <w:tcW w:w="375" w:type="pct"/>
          </w:tcPr>
          <w:p w14:paraId="375E3276"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c>
          <w:tcPr>
            <w:tcW w:w="2598" w:type="pct"/>
          </w:tcPr>
          <w:p w14:paraId="33C2A5D2"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Environnemental :</w:t>
            </w:r>
          </w:p>
        </w:tc>
        <w:tc>
          <w:tcPr>
            <w:tcW w:w="375" w:type="pct"/>
          </w:tcPr>
          <w:p w14:paraId="4D6031AB"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r w:rsidR="006656B5" w:rsidRPr="006656B5" w14:paraId="170C423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4813E43" w14:textId="77777777" w:rsidR="00D6638C" w:rsidRPr="006656B5" w:rsidRDefault="00D6638C" w:rsidP="006656B5">
            <w:pPr>
              <w:spacing w:after="0"/>
              <w:rPr>
                <w:rFonts w:ascii="Calibri" w:eastAsia="Times New Roman" w:hAnsi="Calibri" w:cs="Times New Roman"/>
                <w:sz w:val="20"/>
                <w:szCs w:val="20"/>
              </w:rPr>
            </w:pPr>
          </w:p>
        </w:tc>
        <w:tc>
          <w:tcPr>
            <w:tcW w:w="375" w:type="pct"/>
          </w:tcPr>
          <w:p w14:paraId="6D3E53FF" w14:textId="77777777" w:rsidR="00D6638C" w:rsidRPr="006656B5" w:rsidRDefault="00D6638C" w:rsidP="006656B5">
            <w:pPr>
              <w:spacing w:after="0"/>
              <w:rPr>
                <w:rFonts w:ascii="Calibri" w:eastAsia="Times New Roman" w:hAnsi="Calibri" w:cs="Times New Roman"/>
                <w:sz w:val="20"/>
                <w:szCs w:val="20"/>
              </w:rPr>
            </w:pPr>
          </w:p>
        </w:tc>
        <w:tc>
          <w:tcPr>
            <w:tcW w:w="2598" w:type="pct"/>
          </w:tcPr>
          <w:p w14:paraId="0B295EAB"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Probabilité globale de la durabilité :</w:t>
            </w:r>
          </w:p>
        </w:tc>
        <w:tc>
          <w:tcPr>
            <w:tcW w:w="375" w:type="pct"/>
          </w:tcPr>
          <w:p w14:paraId="4D217181" w14:textId="77777777" w:rsidR="00D6638C" w:rsidRPr="006656B5" w:rsidRDefault="00E70FBE" w:rsidP="006656B5">
            <w:pPr>
              <w:spacing w:after="0"/>
              <w:rPr>
                <w:rFonts w:ascii="Calibri" w:eastAsia="Times New Roman" w:hAnsi="Calibri" w:cs="Times New Roman"/>
                <w:sz w:val="20"/>
                <w:szCs w:val="20"/>
              </w:rPr>
            </w:pPr>
            <w:r w:rsidRPr="006656B5">
              <w:rPr>
                <w:rFonts w:ascii="Calibri" w:eastAsia="Times New Roman" w:hAnsi="Calibri" w:cs="Times New Roman"/>
                <w:sz w:val="20"/>
                <w:szCs w:val="20"/>
              </w:rPr>
              <w:fldChar w:fldCharType="begin">
                <w:ffData>
                  <w:name w:val="Text1"/>
                  <w:enabled/>
                  <w:calcOnExit w:val="0"/>
                  <w:textInput/>
                </w:ffData>
              </w:fldChar>
            </w:r>
            <w:r w:rsidR="00D6638C" w:rsidRPr="006656B5">
              <w:rPr>
                <w:rFonts w:ascii="Calibri" w:eastAsia="Times New Roman" w:hAnsi="Calibri" w:cs="Times New Roman"/>
                <w:sz w:val="20"/>
                <w:szCs w:val="20"/>
              </w:rPr>
              <w:instrText xml:space="preserve"> FORMTEXT </w:instrText>
            </w:r>
            <w:r w:rsidRPr="006656B5">
              <w:rPr>
                <w:rFonts w:ascii="Calibri" w:eastAsia="Times New Roman" w:hAnsi="Calibri" w:cs="Times New Roman"/>
                <w:sz w:val="20"/>
                <w:szCs w:val="20"/>
              </w:rPr>
            </w:r>
            <w:r w:rsidRPr="006656B5">
              <w:rPr>
                <w:rFonts w:ascii="Calibri" w:eastAsia="Times New Roman" w:hAnsi="Calibri" w:cs="Times New Roman"/>
                <w:sz w:val="20"/>
                <w:szCs w:val="20"/>
              </w:rPr>
              <w:fldChar w:fldCharType="separate"/>
            </w:r>
            <w:r w:rsidR="00D6638C" w:rsidRPr="006656B5">
              <w:rPr>
                <w:rFonts w:ascii="Calibri" w:hAnsi="Calibri"/>
                <w:noProof/>
                <w:sz w:val="20"/>
              </w:rPr>
              <w:t>     </w:t>
            </w:r>
            <w:r w:rsidRPr="006656B5">
              <w:fldChar w:fldCharType="end"/>
            </w:r>
          </w:p>
        </w:tc>
      </w:tr>
    </w:tbl>
    <w:p w14:paraId="4C554ED0" w14:textId="77777777" w:rsidR="00D6638C" w:rsidRPr="006656B5" w:rsidRDefault="00D6638C" w:rsidP="006656B5">
      <w:pPr>
        <w:pStyle w:val="Heading51"/>
        <w:rPr>
          <w:lang w:val="fr-FR"/>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6656B5">
        <w:rPr>
          <w:lang w:val="fr-FR"/>
        </w:rPr>
        <w:t>Financement/cofinancement du projet</w:t>
      </w:r>
      <w:bookmarkEnd w:id="10"/>
    </w:p>
    <w:p w14:paraId="7FBD4DB0"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6656B5" w:rsidRPr="006656B5" w14:paraId="77E0D2C1" w14:textId="77777777" w:rsidTr="006C1964">
        <w:tc>
          <w:tcPr>
            <w:tcW w:w="2088" w:type="dxa"/>
            <w:vMerge w:val="restart"/>
          </w:tcPr>
          <w:p w14:paraId="1C5A47C2"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Cofinancement</w:t>
            </w:r>
          </w:p>
          <w:p w14:paraId="4E7FA9D4"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(type/source)</w:t>
            </w:r>
          </w:p>
        </w:tc>
        <w:tc>
          <w:tcPr>
            <w:tcW w:w="1980" w:type="dxa"/>
            <w:gridSpan w:val="2"/>
          </w:tcPr>
          <w:p w14:paraId="12A30761"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Propre financement du PNUD (en millions </w:t>
            </w:r>
            <w:r w:rsidR="002068AA" w:rsidRPr="006656B5">
              <w:rPr>
                <w:rFonts w:ascii="Calibri" w:hAnsi="Calibri"/>
                <w:sz w:val="20"/>
                <w:lang w:val="fr-FR"/>
              </w:rPr>
              <w:t>USD</w:t>
            </w:r>
            <w:r w:rsidRPr="006656B5">
              <w:rPr>
                <w:rFonts w:ascii="Calibri" w:hAnsi="Calibri"/>
                <w:sz w:val="20"/>
                <w:lang w:val="fr-FR"/>
              </w:rPr>
              <w:t>)</w:t>
            </w:r>
          </w:p>
        </w:tc>
        <w:tc>
          <w:tcPr>
            <w:tcW w:w="2160" w:type="dxa"/>
            <w:gridSpan w:val="2"/>
          </w:tcPr>
          <w:p w14:paraId="135ED428"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Gouvernement</w:t>
            </w:r>
          </w:p>
          <w:p w14:paraId="37FDB3AF"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(en millions </w:t>
            </w:r>
            <w:r w:rsidR="002068AA" w:rsidRPr="006656B5">
              <w:rPr>
                <w:rFonts w:ascii="Calibri" w:hAnsi="Calibri"/>
                <w:sz w:val="20"/>
              </w:rPr>
              <w:t>USD</w:t>
            </w:r>
            <w:r w:rsidRPr="006656B5">
              <w:rPr>
                <w:rFonts w:ascii="Calibri" w:hAnsi="Calibri"/>
                <w:sz w:val="20"/>
              </w:rPr>
              <w:t>)</w:t>
            </w:r>
          </w:p>
        </w:tc>
        <w:tc>
          <w:tcPr>
            <w:tcW w:w="2070" w:type="dxa"/>
            <w:gridSpan w:val="2"/>
          </w:tcPr>
          <w:p w14:paraId="1AE32069"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Organisme partenaire</w:t>
            </w:r>
          </w:p>
          <w:p w14:paraId="165F1BD6"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(en millions </w:t>
            </w:r>
            <w:r w:rsidR="002068AA" w:rsidRPr="006656B5">
              <w:rPr>
                <w:rFonts w:ascii="Calibri" w:hAnsi="Calibri"/>
                <w:sz w:val="20"/>
                <w:lang w:val="fr-FR"/>
              </w:rPr>
              <w:t>USD</w:t>
            </w:r>
            <w:r w:rsidRPr="006656B5">
              <w:rPr>
                <w:rFonts w:ascii="Calibri" w:hAnsi="Calibri"/>
                <w:sz w:val="20"/>
                <w:lang w:val="fr-FR"/>
              </w:rPr>
              <w:t>)</w:t>
            </w:r>
          </w:p>
        </w:tc>
        <w:tc>
          <w:tcPr>
            <w:tcW w:w="2250" w:type="dxa"/>
            <w:gridSpan w:val="2"/>
          </w:tcPr>
          <w:p w14:paraId="59BBA35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Total</w:t>
            </w:r>
          </w:p>
          <w:p w14:paraId="0E769FE5"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(en millions </w:t>
            </w:r>
            <w:r w:rsidR="002068AA" w:rsidRPr="006656B5">
              <w:rPr>
                <w:rFonts w:ascii="Calibri" w:hAnsi="Calibri"/>
                <w:sz w:val="20"/>
              </w:rPr>
              <w:t>USD</w:t>
            </w:r>
            <w:r w:rsidRPr="006656B5">
              <w:rPr>
                <w:rFonts w:ascii="Calibri" w:hAnsi="Calibri"/>
                <w:sz w:val="20"/>
              </w:rPr>
              <w:t>)</w:t>
            </w:r>
          </w:p>
        </w:tc>
      </w:tr>
      <w:tr w:rsidR="006656B5" w:rsidRPr="006656B5" w14:paraId="110540BB" w14:textId="77777777" w:rsidTr="006C1964">
        <w:trPr>
          <w:trHeight w:val="143"/>
        </w:trPr>
        <w:tc>
          <w:tcPr>
            <w:tcW w:w="2088" w:type="dxa"/>
            <w:vMerge/>
          </w:tcPr>
          <w:p w14:paraId="070229A8" w14:textId="77777777" w:rsidR="00D6638C" w:rsidRPr="006656B5" w:rsidRDefault="00D6638C" w:rsidP="006656B5">
            <w:pPr>
              <w:spacing w:after="0"/>
              <w:rPr>
                <w:rFonts w:ascii="Calibri" w:eastAsia="Times New Roman" w:hAnsi="Calibri" w:cs="Times New Roman"/>
                <w:sz w:val="20"/>
                <w:szCs w:val="20"/>
              </w:rPr>
            </w:pPr>
          </w:p>
        </w:tc>
        <w:tc>
          <w:tcPr>
            <w:tcW w:w="900" w:type="dxa"/>
          </w:tcPr>
          <w:p w14:paraId="7904C91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Prévu</w:t>
            </w:r>
          </w:p>
        </w:tc>
        <w:tc>
          <w:tcPr>
            <w:tcW w:w="1080" w:type="dxa"/>
          </w:tcPr>
          <w:p w14:paraId="47A3D7B1"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Réel </w:t>
            </w:r>
          </w:p>
        </w:tc>
        <w:tc>
          <w:tcPr>
            <w:tcW w:w="1080" w:type="dxa"/>
          </w:tcPr>
          <w:p w14:paraId="739674D8"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Prévu</w:t>
            </w:r>
          </w:p>
        </w:tc>
        <w:tc>
          <w:tcPr>
            <w:tcW w:w="1080" w:type="dxa"/>
          </w:tcPr>
          <w:p w14:paraId="6E0D709C"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Réel</w:t>
            </w:r>
          </w:p>
        </w:tc>
        <w:tc>
          <w:tcPr>
            <w:tcW w:w="1080" w:type="dxa"/>
          </w:tcPr>
          <w:p w14:paraId="14A6117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Prévu</w:t>
            </w:r>
          </w:p>
        </w:tc>
        <w:tc>
          <w:tcPr>
            <w:tcW w:w="990" w:type="dxa"/>
          </w:tcPr>
          <w:p w14:paraId="41F93216"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Réel</w:t>
            </w:r>
          </w:p>
        </w:tc>
        <w:tc>
          <w:tcPr>
            <w:tcW w:w="1170" w:type="dxa"/>
          </w:tcPr>
          <w:p w14:paraId="10035BC0"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Réel</w:t>
            </w:r>
          </w:p>
        </w:tc>
        <w:tc>
          <w:tcPr>
            <w:tcW w:w="1080" w:type="dxa"/>
          </w:tcPr>
          <w:p w14:paraId="6BE37B7C"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Réel</w:t>
            </w:r>
          </w:p>
        </w:tc>
      </w:tr>
      <w:tr w:rsidR="006656B5" w:rsidRPr="006656B5" w14:paraId="74769ADF" w14:textId="77777777" w:rsidTr="006C1964">
        <w:tc>
          <w:tcPr>
            <w:tcW w:w="2088" w:type="dxa"/>
          </w:tcPr>
          <w:p w14:paraId="11910301"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Subventions </w:t>
            </w:r>
          </w:p>
        </w:tc>
        <w:tc>
          <w:tcPr>
            <w:tcW w:w="900" w:type="dxa"/>
          </w:tcPr>
          <w:p w14:paraId="032CF244"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6E56D751"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148F3C9C"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5614F2BB"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7CB0C366" w14:textId="77777777" w:rsidR="00D6638C" w:rsidRPr="006656B5" w:rsidRDefault="00D6638C" w:rsidP="006656B5">
            <w:pPr>
              <w:spacing w:after="0"/>
              <w:rPr>
                <w:rFonts w:ascii="Calibri" w:eastAsia="Times New Roman" w:hAnsi="Calibri" w:cs="Times New Roman"/>
                <w:sz w:val="20"/>
                <w:szCs w:val="20"/>
              </w:rPr>
            </w:pPr>
          </w:p>
        </w:tc>
        <w:tc>
          <w:tcPr>
            <w:tcW w:w="990" w:type="dxa"/>
          </w:tcPr>
          <w:p w14:paraId="24452D99" w14:textId="77777777" w:rsidR="00D6638C" w:rsidRPr="006656B5" w:rsidRDefault="00D6638C" w:rsidP="006656B5">
            <w:pPr>
              <w:spacing w:after="0"/>
              <w:rPr>
                <w:rFonts w:ascii="Calibri" w:eastAsia="Times New Roman" w:hAnsi="Calibri" w:cs="Times New Roman"/>
                <w:sz w:val="20"/>
                <w:szCs w:val="20"/>
              </w:rPr>
            </w:pPr>
          </w:p>
        </w:tc>
        <w:tc>
          <w:tcPr>
            <w:tcW w:w="1170" w:type="dxa"/>
          </w:tcPr>
          <w:p w14:paraId="0CF2FEB5"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61221B1A" w14:textId="77777777" w:rsidR="00D6638C" w:rsidRPr="006656B5" w:rsidRDefault="00D6638C" w:rsidP="006656B5">
            <w:pPr>
              <w:spacing w:after="0"/>
              <w:rPr>
                <w:rFonts w:ascii="Calibri" w:eastAsia="Times New Roman" w:hAnsi="Calibri" w:cs="Times New Roman"/>
                <w:sz w:val="20"/>
                <w:szCs w:val="20"/>
              </w:rPr>
            </w:pPr>
          </w:p>
        </w:tc>
      </w:tr>
      <w:tr w:rsidR="006656B5" w:rsidRPr="006656B5" w14:paraId="3F172668" w14:textId="77777777" w:rsidTr="006C1964">
        <w:trPr>
          <w:trHeight w:val="332"/>
        </w:trPr>
        <w:tc>
          <w:tcPr>
            <w:tcW w:w="2088" w:type="dxa"/>
          </w:tcPr>
          <w:p w14:paraId="05204278"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Prêts/concessions </w:t>
            </w:r>
          </w:p>
        </w:tc>
        <w:tc>
          <w:tcPr>
            <w:tcW w:w="900" w:type="dxa"/>
          </w:tcPr>
          <w:p w14:paraId="41A2A6F9"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17EC6CD6"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64180111"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07EDD347"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49CF0610" w14:textId="77777777" w:rsidR="00D6638C" w:rsidRPr="006656B5" w:rsidRDefault="00D6638C" w:rsidP="006656B5">
            <w:pPr>
              <w:spacing w:after="0"/>
              <w:rPr>
                <w:rFonts w:ascii="Calibri" w:eastAsia="Times New Roman" w:hAnsi="Calibri" w:cs="Times New Roman"/>
                <w:sz w:val="20"/>
                <w:szCs w:val="20"/>
              </w:rPr>
            </w:pPr>
          </w:p>
        </w:tc>
        <w:tc>
          <w:tcPr>
            <w:tcW w:w="990" w:type="dxa"/>
          </w:tcPr>
          <w:p w14:paraId="2628614A" w14:textId="77777777" w:rsidR="00D6638C" w:rsidRPr="006656B5" w:rsidRDefault="00D6638C" w:rsidP="006656B5">
            <w:pPr>
              <w:spacing w:after="0"/>
              <w:rPr>
                <w:rFonts w:ascii="Calibri" w:eastAsia="Times New Roman" w:hAnsi="Calibri" w:cs="Times New Roman"/>
                <w:sz w:val="20"/>
                <w:szCs w:val="20"/>
              </w:rPr>
            </w:pPr>
          </w:p>
        </w:tc>
        <w:tc>
          <w:tcPr>
            <w:tcW w:w="1170" w:type="dxa"/>
          </w:tcPr>
          <w:p w14:paraId="762926AD"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23BDB00A" w14:textId="77777777" w:rsidR="00D6638C" w:rsidRPr="006656B5" w:rsidRDefault="00D6638C" w:rsidP="006656B5">
            <w:pPr>
              <w:spacing w:after="0"/>
              <w:rPr>
                <w:rFonts w:ascii="Calibri" w:eastAsia="Times New Roman" w:hAnsi="Calibri" w:cs="Times New Roman"/>
                <w:sz w:val="20"/>
                <w:szCs w:val="20"/>
              </w:rPr>
            </w:pPr>
          </w:p>
        </w:tc>
      </w:tr>
      <w:tr w:rsidR="006656B5" w:rsidRPr="006656B5" w14:paraId="17F73E84" w14:textId="77777777" w:rsidTr="006C1964">
        <w:tc>
          <w:tcPr>
            <w:tcW w:w="2088" w:type="dxa"/>
          </w:tcPr>
          <w:p w14:paraId="76293527" w14:textId="77777777" w:rsidR="00D6638C" w:rsidRPr="006656B5" w:rsidRDefault="00D6638C" w:rsidP="006656B5">
            <w:pPr>
              <w:numPr>
                <w:ilvl w:val="0"/>
                <w:numId w:val="17"/>
              </w:numPr>
              <w:spacing w:before="60" w:after="60" w:line="240" w:lineRule="auto"/>
              <w:rPr>
                <w:rFonts w:ascii="Calibri" w:eastAsia="Times New Roman" w:hAnsi="Calibri" w:cs="Times New Roman"/>
                <w:sz w:val="20"/>
                <w:szCs w:val="20"/>
              </w:rPr>
            </w:pPr>
            <w:r w:rsidRPr="006656B5">
              <w:rPr>
                <w:rFonts w:ascii="Calibri" w:hAnsi="Calibri"/>
                <w:sz w:val="20"/>
              </w:rPr>
              <w:t>Soutien en nature</w:t>
            </w:r>
          </w:p>
        </w:tc>
        <w:tc>
          <w:tcPr>
            <w:tcW w:w="900" w:type="dxa"/>
          </w:tcPr>
          <w:p w14:paraId="25E8FD0D"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76409424"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268020AA"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1C71EFB4"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5A058CFA" w14:textId="77777777" w:rsidR="00D6638C" w:rsidRPr="006656B5" w:rsidRDefault="00D6638C" w:rsidP="006656B5">
            <w:pPr>
              <w:spacing w:after="0"/>
              <w:rPr>
                <w:rFonts w:ascii="Calibri" w:eastAsia="Times New Roman" w:hAnsi="Calibri" w:cs="Times New Roman"/>
                <w:sz w:val="20"/>
                <w:szCs w:val="20"/>
              </w:rPr>
            </w:pPr>
          </w:p>
        </w:tc>
        <w:tc>
          <w:tcPr>
            <w:tcW w:w="990" w:type="dxa"/>
          </w:tcPr>
          <w:p w14:paraId="21FE42B1" w14:textId="77777777" w:rsidR="00D6638C" w:rsidRPr="006656B5" w:rsidRDefault="00D6638C" w:rsidP="006656B5">
            <w:pPr>
              <w:spacing w:after="0"/>
              <w:rPr>
                <w:rFonts w:ascii="Calibri" w:eastAsia="Times New Roman" w:hAnsi="Calibri" w:cs="Times New Roman"/>
                <w:sz w:val="20"/>
                <w:szCs w:val="20"/>
              </w:rPr>
            </w:pPr>
          </w:p>
        </w:tc>
        <w:tc>
          <w:tcPr>
            <w:tcW w:w="1170" w:type="dxa"/>
          </w:tcPr>
          <w:p w14:paraId="32513B0C"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7152FE6B" w14:textId="77777777" w:rsidR="00D6638C" w:rsidRPr="006656B5" w:rsidRDefault="00D6638C" w:rsidP="006656B5">
            <w:pPr>
              <w:spacing w:after="0"/>
              <w:rPr>
                <w:rFonts w:ascii="Calibri" w:eastAsia="Times New Roman" w:hAnsi="Calibri" w:cs="Times New Roman"/>
                <w:sz w:val="20"/>
                <w:szCs w:val="20"/>
              </w:rPr>
            </w:pPr>
          </w:p>
        </w:tc>
      </w:tr>
      <w:tr w:rsidR="006656B5" w:rsidRPr="006656B5" w14:paraId="03AFF4CC" w14:textId="77777777" w:rsidTr="006C1964">
        <w:tc>
          <w:tcPr>
            <w:tcW w:w="2088" w:type="dxa"/>
          </w:tcPr>
          <w:p w14:paraId="03261A4F" w14:textId="77777777" w:rsidR="00D6638C" w:rsidRPr="006656B5" w:rsidRDefault="00D6638C" w:rsidP="006656B5">
            <w:pPr>
              <w:numPr>
                <w:ilvl w:val="0"/>
                <w:numId w:val="17"/>
              </w:numPr>
              <w:spacing w:before="60" w:after="60" w:line="240" w:lineRule="auto"/>
              <w:rPr>
                <w:rFonts w:ascii="Calibri" w:eastAsia="Times New Roman" w:hAnsi="Calibri" w:cs="Times New Roman"/>
                <w:sz w:val="20"/>
                <w:szCs w:val="20"/>
              </w:rPr>
            </w:pPr>
            <w:r w:rsidRPr="006656B5">
              <w:rPr>
                <w:rFonts w:ascii="Calibri" w:hAnsi="Calibri"/>
                <w:sz w:val="20"/>
              </w:rPr>
              <w:t>Autre</w:t>
            </w:r>
          </w:p>
        </w:tc>
        <w:tc>
          <w:tcPr>
            <w:tcW w:w="900" w:type="dxa"/>
          </w:tcPr>
          <w:p w14:paraId="67CBFFB2"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181D35F2"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33AB4D12"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4DB8824E"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3A6BD137" w14:textId="77777777" w:rsidR="00D6638C" w:rsidRPr="006656B5" w:rsidRDefault="00D6638C" w:rsidP="006656B5">
            <w:pPr>
              <w:spacing w:after="0"/>
              <w:rPr>
                <w:rFonts w:ascii="Calibri" w:eastAsia="Times New Roman" w:hAnsi="Calibri" w:cs="Times New Roman"/>
                <w:sz w:val="20"/>
                <w:szCs w:val="20"/>
              </w:rPr>
            </w:pPr>
          </w:p>
        </w:tc>
        <w:tc>
          <w:tcPr>
            <w:tcW w:w="990" w:type="dxa"/>
          </w:tcPr>
          <w:p w14:paraId="5545ED84" w14:textId="77777777" w:rsidR="00D6638C" w:rsidRPr="006656B5" w:rsidRDefault="00D6638C" w:rsidP="006656B5">
            <w:pPr>
              <w:spacing w:after="0"/>
              <w:rPr>
                <w:rFonts w:ascii="Calibri" w:eastAsia="Times New Roman" w:hAnsi="Calibri" w:cs="Times New Roman"/>
                <w:sz w:val="20"/>
                <w:szCs w:val="20"/>
              </w:rPr>
            </w:pPr>
          </w:p>
        </w:tc>
        <w:tc>
          <w:tcPr>
            <w:tcW w:w="1170" w:type="dxa"/>
          </w:tcPr>
          <w:p w14:paraId="76B5C62E"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3680BBC3" w14:textId="77777777" w:rsidR="00D6638C" w:rsidRPr="006656B5" w:rsidRDefault="00D6638C" w:rsidP="006656B5">
            <w:pPr>
              <w:spacing w:after="0"/>
              <w:rPr>
                <w:rFonts w:ascii="Calibri" w:eastAsia="Times New Roman" w:hAnsi="Calibri" w:cs="Times New Roman"/>
                <w:sz w:val="20"/>
                <w:szCs w:val="20"/>
              </w:rPr>
            </w:pPr>
          </w:p>
        </w:tc>
      </w:tr>
      <w:tr w:rsidR="006656B5" w:rsidRPr="006656B5" w14:paraId="7C3C5825" w14:textId="77777777" w:rsidTr="006C1964">
        <w:trPr>
          <w:trHeight w:val="215"/>
        </w:trPr>
        <w:tc>
          <w:tcPr>
            <w:tcW w:w="2088" w:type="dxa"/>
          </w:tcPr>
          <w:p w14:paraId="104ED821"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Totaux</w:t>
            </w:r>
          </w:p>
        </w:tc>
        <w:tc>
          <w:tcPr>
            <w:tcW w:w="900" w:type="dxa"/>
          </w:tcPr>
          <w:p w14:paraId="3BC62F4C"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3D115120"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5C61FC49"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3618572F"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5ED577AB" w14:textId="77777777" w:rsidR="00D6638C" w:rsidRPr="006656B5" w:rsidRDefault="00D6638C" w:rsidP="006656B5">
            <w:pPr>
              <w:spacing w:after="0"/>
              <w:rPr>
                <w:rFonts w:ascii="Calibri" w:eastAsia="Times New Roman" w:hAnsi="Calibri" w:cs="Times New Roman"/>
                <w:sz w:val="20"/>
                <w:szCs w:val="20"/>
              </w:rPr>
            </w:pPr>
          </w:p>
        </w:tc>
        <w:tc>
          <w:tcPr>
            <w:tcW w:w="990" w:type="dxa"/>
          </w:tcPr>
          <w:p w14:paraId="3E5CD3E8" w14:textId="77777777" w:rsidR="00D6638C" w:rsidRPr="006656B5" w:rsidRDefault="00D6638C" w:rsidP="006656B5">
            <w:pPr>
              <w:spacing w:after="0"/>
              <w:rPr>
                <w:rFonts w:ascii="Calibri" w:eastAsia="Times New Roman" w:hAnsi="Calibri" w:cs="Times New Roman"/>
                <w:sz w:val="20"/>
                <w:szCs w:val="20"/>
              </w:rPr>
            </w:pPr>
          </w:p>
        </w:tc>
        <w:tc>
          <w:tcPr>
            <w:tcW w:w="1170" w:type="dxa"/>
          </w:tcPr>
          <w:p w14:paraId="0A3A3DA2" w14:textId="77777777" w:rsidR="00D6638C" w:rsidRPr="006656B5" w:rsidRDefault="00D6638C" w:rsidP="006656B5">
            <w:pPr>
              <w:spacing w:after="0"/>
              <w:rPr>
                <w:rFonts w:ascii="Calibri" w:eastAsia="Times New Roman" w:hAnsi="Calibri" w:cs="Times New Roman"/>
                <w:sz w:val="20"/>
                <w:szCs w:val="20"/>
              </w:rPr>
            </w:pPr>
          </w:p>
        </w:tc>
        <w:tc>
          <w:tcPr>
            <w:tcW w:w="1080" w:type="dxa"/>
          </w:tcPr>
          <w:p w14:paraId="775B14DD" w14:textId="77777777" w:rsidR="00D6638C" w:rsidRPr="006656B5" w:rsidRDefault="00D6638C" w:rsidP="006656B5">
            <w:pPr>
              <w:spacing w:after="0"/>
              <w:rPr>
                <w:rFonts w:ascii="Calibri" w:eastAsia="Times New Roman" w:hAnsi="Calibri" w:cs="Times New Roman"/>
                <w:sz w:val="20"/>
                <w:szCs w:val="20"/>
              </w:rPr>
            </w:pPr>
          </w:p>
        </w:tc>
      </w:tr>
    </w:tbl>
    <w:p w14:paraId="320E7901" w14:textId="77777777" w:rsidR="00D6638C" w:rsidRPr="006656B5" w:rsidRDefault="00D6638C" w:rsidP="006656B5">
      <w:pPr>
        <w:pStyle w:val="Heading51"/>
      </w:pPr>
      <w:bookmarkStart w:id="17" w:name="_Toc321341553"/>
      <w:r w:rsidRPr="006656B5">
        <w:t>Intégration</w:t>
      </w:r>
      <w:bookmarkEnd w:id="11"/>
      <w:bookmarkEnd w:id="17"/>
    </w:p>
    <w:p w14:paraId="7044F50D" w14:textId="77777777"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2079DDD3" w14:textId="77777777" w:rsidR="00D6638C" w:rsidRPr="006656B5" w:rsidRDefault="00D6638C" w:rsidP="006656B5">
      <w:pPr>
        <w:pStyle w:val="Heading51"/>
        <w:rPr>
          <w:lang w:val="fr-FR"/>
        </w:rPr>
      </w:pPr>
      <w:bookmarkStart w:id="18" w:name="_Toc277677980"/>
      <w:bookmarkStart w:id="19" w:name="_Toc321341554"/>
      <w:r w:rsidRPr="006656B5">
        <w:rPr>
          <w:lang w:val="fr-FR"/>
        </w:rPr>
        <w:t>Impact</w:t>
      </w:r>
      <w:bookmarkEnd w:id="18"/>
      <w:bookmarkEnd w:id="19"/>
    </w:p>
    <w:p w14:paraId="7E3FA2EB" w14:textId="77777777"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sidRPr="006656B5">
        <w:rPr>
          <w:rStyle w:val="Appelnotedebasdep"/>
          <w:rFonts w:ascii="Calibri" w:hAnsi="Calibri"/>
          <w:sz w:val="20"/>
        </w:rPr>
        <w:footnoteReference w:id="2"/>
      </w:r>
      <w:r w:rsidRPr="006656B5">
        <w:rPr>
          <w:rFonts w:ascii="Calibri" w:hAnsi="Calibri"/>
          <w:sz w:val="20"/>
          <w:lang w:val="fr-FR"/>
        </w:rPr>
        <w:t xml:space="preserve"> </w:t>
      </w:r>
    </w:p>
    <w:p w14:paraId="6A5A0535" w14:textId="77777777" w:rsidR="00D6638C" w:rsidRPr="006656B5" w:rsidRDefault="00D6638C" w:rsidP="006656B5">
      <w:pPr>
        <w:pStyle w:val="Heading51"/>
        <w:rPr>
          <w:lang w:val="fr-FR"/>
        </w:rPr>
      </w:pPr>
      <w:bookmarkStart w:id="20" w:name="_Toc278193982"/>
      <w:bookmarkStart w:id="21" w:name="_Toc299133042"/>
      <w:bookmarkStart w:id="22" w:name="_Toc321341555"/>
      <w:bookmarkStart w:id="23" w:name="_Toc299126621"/>
      <w:bookmarkEnd w:id="12"/>
      <w:bookmarkEnd w:id="13"/>
      <w:bookmarkEnd w:id="14"/>
      <w:bookmarkEnd w:id="15"/>
      <w:bookmarkEnd w:id="16"/>
      <w:r w:rsidRPr="006656B5">
        <w:rPr>
          <w:lang w:val="fr-FR"/>
        </w:rPr>
        <w:t>Conclusions</w:t>
      </w:r>
      <w:bookmarkStart w:id="24" w:name="_Toc277677982"/>
      <w:r w:rsidRPr="006656B5">
        <w:rPr>
          <w:lang w:val="fr-FR"/>
        </w:rPr>
        <w:t>, recommandations et enseignements</w:t>
      </w:r>
      <w:bookmarkEnd w:id="20"/>
      <w:bookmarkEnd w:id="21"/>
      <w:bookmarkEnd w:id="22"/>
      <w:bookmarkEnd w:id="24"/>
    </w:p>
    <w:p w14:paraId="1A86BB91" w14:textId="77777777"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Le rapport d’évaluation doit inclure un chapitre proposant un ensemble de conclusions, de recommandations et d’enseignements.  </w:t>
      </w:r>
    </w:p>
    <w:p w14:paraId="3DD66013" w14:textId="77777777" w:rsidR="00D6638C" w:rsidRPr="006656B5" w:rsidRDefault="00D6638C" w:rsidP="006656B5">
      <w:pPr>
        <w:pStyle w:val="Heading51"/>
        <w:rPr>
          <w:lang w:val="fr-FR"/>
        </w:rPr>
      </w:pPr>
      <w:bookmarkStart w:id="25" w:name="_Toc299126625"/>
      <w:bookmarkStart w:id="26" w:name="_Toc299133044"/>
      <w:bookmarkStart w:id="27" w:name="_Toc321341556"/>
      <w:r w:rsidRPr="006656B5">
        <w:rPr>
          <w:lang w:val="fr-FR"/>
        </w:rPr>
        <w:t>Modalités de mise en oeuvre</w:t>
      </w:r>
      <w:bookmarkEnd w:id="25"/>
      <w:bookmarkEnd w:id="26"/>
      <w:bookmarkEnd w:id="27"/>
    </w:p>
    <w:p w14:paraId="64308DCB" w14:textId="77777777" w:rsidR="00022F8E"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La responsabilité principale de la gestion de cette évaluation revient au bureau de pays du PNUD en/au  </w:t>
      </w:r>
      <w:r w:rsidR="00977C74" w:rsidRPr="006656B5">
        <w:rPr>
          <w:rFonts w:ascii="Calibri" w:hAnsi="Calibri"/>
          <w:i/>
          <w:sz w:val="20"/>
          <w:shd w:val="clear" w:color="auto" w:fill="E0E0E0"/>
          <w:lang w:val="fr-FR"/>
        </w:rPr>
        <w:t>Madagascar</w:t>
      </w:r>
      <w:r w:rsidRPr="006656B5">
        <w:rPr>
          <w:rFonts w:ascii="Calibri" w:hAnsi="Calibri"/>
          <w:i/>
          <w:sz w:val="20"/>
          <w:shd w:val="clear" w:color="auto" w:fill="E0E0E0"/>
          <w:lang w:val="fr-FR"/>
        </w:rPr>
        <w:t>)</w:t>
      </w:r>
      <w:r w:rsidRPr="006656B5">
        <w:rPr>
          <w:rFonts w:ascii="Calibri" w:hAnsi="Calibri"/>
          <w:sz w:val="20"/>
          <w:lang w:val="fr-FR"/>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8" w:name="_Toc299133047"/>
      <w:bookmarkStart w:id="29" w:name="_Toc299122838"/>
      <w:bookmarkStart w:id="30" w:name="_Toc299122860"/>
      <w:bookmarkStart w:id="31" w:name="_Toc299126629"/>
      <w:bookmarkEnd w:id="23"/>
    </w:p>
    <w:p w14:paraId="35BC9D3B" w14:textId="77777777" w:rsidR="00D6638C" w:rsidRPr="006656B5" w:rsidRDefault="00D6638C" w:rsidP="006656B5">
      <w:pPr>
        <w:pStyle w:val="Heading51"/>
        <w:rPr>
          <w:lang w:val="fr-FR"/>
        </w:rPr>
      </w:pPr>
      <w:r w:rsidRPr="006656B5">
        <w:rPr>
          <w:lang w:val="fr-FR"/>
        </w:rPr>
        <w:t>Calendrier d’évaluation</w:t>
      </w:r>
      <w:bookmarkEnd w:id="28"/>
      <w:bookmarkEnd w:id="29"/>
      <w:bookmarkEnd w:id="30"/>
      <w:bookmarkEnd w:id="31"/>
    </w:p>
    <w:p w14:paraId="1FE8BD46" w14:textId="77777777"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L’évaluation durera au total </w:t>
      </w:r>
      <w:r w:rsidR="007D0C46" w:rsidRPr="006656B5">
        <w:rPr>
          <w:rFonts w:ascii="Calibri" w:hAnsi="Calibri"/>
          <w:i/>
          <w:sz w:val="20"/>
          <w:lang w:val="fr-FR"/>
        </w:rPr>
        <w:t>51</w:t>
      </w:r>
      <w:r w:rsidRPr="006656B5">
        <w:rPr>
          <w:rFonts w:ascii="Calibri" w:hAnsi="Calibri"/>
          <w:sz w:val="20"/>
          <w:lang w:val="fr-FR"/>
        </w:rPr>
        <w:t xml:space="preserve"> 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4"/>
        <w:gridCol w:w="3042"/>
      </w:tblGrid>
      <w:tr w:rsidR="006656B5" w:rsidRPr="006656B5" w14:paraId="5528329B" w14:textId="77777777" w:rsidTr="00224F9C">
        <w:trPr>
          <w:trHeight w:val="440"/>
        </w:trPr>
        <w:tc>
          <w:tcPr>
            <w:tcW w:w="2988" w:type="dxa"/>
            <w:shd w:val="clear" w:color="auto" w:fill="7F7F7F"/>
          </w:tcPr>
          <w:p w14:paraId="3EB1DBEE" w14:textId="77777777" w:rsidR="00D6638C" w:rsidRPr="006656B5" w:rsidRDefault="00D6638C" w:rsidP="006656B5">
            <w:pPr>
              <w:spacing w:after="0"/>
              <w:jc w:val="center"/>
              <w:rPr>
                <w:rFonts w:ascii="Calibri" w:eastAsia="Times New Roman" w:hAnsi="Calibri" w:cs="Times New Roman"/>
                <w:b/>
                <w:sz w:val="20"/>
                <w:szCs w:val="20"/>
              </w:rPr>
            </w:pPr>
            <w:r w:rsidRPr="006656B5">
              <w:rPr>
                <w:rFonts w:ascii="Calibri" w:hAnsi="Calibri"/>
                <w:b/>
                <w:sz w:val="20"/>
              </w:rPr>
              <w:t>Activité</w:t>
            </w:r>
          </w:p>
        </w:tc>
        <w:tc>
          <w:tcPr>
            <w:tcW w:w="3499" w:type="dxa"/>
            <w:shd w:val="clear" w:color="auto" w:fill="7F7F7F"/>
          </w:tcPr>
          <w:p w14:paraId="484F0776" w14:textId="77777777" w:rsidR="00D6638C" w:rsidRPr="006656B5" w:rsidRDefault="00D6638C" w:rsidP="006656B5">
            <w:pPr>
              <w:spacing w:after="0"/>
              <w:jc w:val="center"/>
              <w:rPr>
                <w:rFonts w:ascii="Calibri" w:eastAsia="Times New Roman" w:hAnsi="Calibri" w:cs="Times New Roman"/>
                <w:sz w:val="20"/>
                <w:szCs w:val="20"/>
              </w:rPr>
            </w:pPr>
            <w:r w:rsidRPr="006656B5">
              <w:rPr>
                <w:rFonts w:ascii="Calibri" w:hAnsi="Calibri"/>
                <w:sz w:val="20"/>
              </w:rPr>
              <w:t>Durée</w:t>
            </w:r>
          </w:p>
        </w:tc>
        <w:tc>
          <w:tcPr>
            <w:tcW w:w="3071" w:type="dxa"/>
            <w:shd w:val="clear" w:color="auto" w:fill="7F7F7F"/>
          </w:tcPr>
          <w:p w14:paraId="1ADE1715" w14:textId="77777777" w:rsidR="00D6638C" w:rsidRPr="006656B5" w:rsidRDefault="00D6638C" w:rsidP="006656B5">
            <w:pPr>
              <w:spacing w:after="0"/>
              <w:jc w:val="center"/>
              <w:rPr>
                <w:rFonts w:ascii="Calibri" w:eastAsia="Times New Roman" w:hAnsi="Calibri" w:cs="Times New Roman"/>
                <w:sz w:val="20"/>
                <w:szCs w:val="20"/>
              </w:rPr>
            </w:pPr>
            <w:r w:rsidRPr="006656B5">
              <w:rPr>
                <w:rFonts w:ascii="Calibri" w:hAnsi="Calibri"/>
                <w:sz w:val="20"/>
              </w:rPr>
              <w:t>Date d’achèvement</w:t>
            </w:r>
          </w:p>
        </w:tc>
      </w:tr>
      <w:tr w:rsidR="006656B5" w:rsidRPr="006656B5" w14:paraId="676CF95D" w14:textId="77777777" w:rsidTr="00224F9C">
        <w:tc>
          <w:tcPr>
            <w:tcW w:w="2988" w:type="dxa"/>
          </w:tcPr>
          <w:p w14:paraId="022A4412"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Préparation</w:t>
            </w:r>
          </w:p>
        </w:tc>
        <w:tc>
          <w:tcPr>
            <w:tcW w:w="3499" w:type="dxa"/>
          </w:tcPr>
          <w:p w14:paraId="2A821F43" w14:textId="77777777" w:rsidR="00D6638C" w:rsidRPr="006656B5" w:rsidRDefault="007D0C46" w:rsidP="006656B5">
            <w:pPr>
              <w:spacing w:after="0"/>
              <w:rPr>
                <w:rFonts w:ascii="Calibri" w:eastAsia="Times New Roman" w:hAnsi="Calibri" w:cs="Times New Roman"/>
                <w:b/>
                <w:sz w:val="20"/>
                <w:szCs w:val="20"/>
              </w:rPr>
            </w:pPr>
            <w:r w:rsidRPr="006656B5">
              <w:rPr>
                <w:rFonts w:ascii="Calibri" w:hAnsi="Calibri"/>
                <w:i/>
                <w:sz w:val="20"/>
              </w:rPr>
              <w:t>10</w:t>
            </w:r>
            <w:r w:rsidR="00D6638C" w:rsidRPr="006656B5">
              <w:t xml:space="preserve"> </w:t>
            </w:r>
            <w:r w:rsidR="00D6638C" w:rsidRPr="006656B5">
              <w:rPr>
                <w:rFonts w:ascii="Calibri" w:hAnsi="Calibri"/>
                <w:sz w:val="20"/>
              </w:rPr>
              <w:t xml:space="preserve">jours </w:t>
            </w:r>
            <w:r w:rsidR="00D6638C" w:rsidRPr="006656B5">
              <w:rPr>
                <w:rFonts w:ascii="Calibri" w:hAnsi="Calibri"/>
                <w:i/>
                <w:sz w:val="20"/>
              </w:rPr>
              <w:t>(recommandé: 2-4)</w:t>
            </w:r>
          </w:p>
        </w:tc>
        <w:tc>
          <w:tcPr>
            <w:tcW w:w="3071" w:type="dxa"/>
          </w:tcPr>
          <w:p w14:paraId="5CF61413" w14:textId="77777777" w:rsidR="00D6638C" w:rsidRPr="006656B5" w:rsidRDefault="007D0C46" w:rsidP="006656B5">
            <w:pPr>
              <w:spacing w:after="0"/>
              <w:rPr>
                <w:rFonts w:ascii="Calibri" w:eastAsia="Times New Roman" w:hAnsi="Calibri" w:cs="Times New Roman"/>
                <w:i/>
                <w:sz w:val="20"/>
                <w:szCs w:val="20"/>
              </w:rPr>
            </w:pPr>
            <w:r w:rsidRPr="006656B5">
              <w:rPr>
                <w:rFonts w:ascii="Calibri" w:hAnsi="Calibri"/>
                <w:i/>
                <w:sz w:val="20"/>
              </w:rPr>
              <w:t>02 au 12 octobre 2017</w:t>
            </w:r>
          </w:p>
        </w:tc>
      </w:tr>
      <w:tr w:rsidR="006656B5" w:rsidRPr="006656B5" w14:paraId="564DA3BB" w14:textId="77777777" w:rsidTr="00224F9C">
        <w:tc>
          <w:tcPr>
            <w:tcW w:w="2988" w:type="dxa"/>
          </w:tcPr>
          <w:p w14:paraId="5AA7442B"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Mission d’évaluation</w:t>
            </w:r>
          </w:p>
        </w:tc>
        <w:tc>
          <w:tcPr>
            <w:tcW w:w="3499" w:type="dxa"/>
          </w:tcPr>
          <w:p w14:paraId="5DEF083A" w14:textId="77777777" w:rsidR="00D6638C" w:rsidRPr="006656B5" w:rsidRDefault="007D0C46" w:rsidP="006656B5">
            <w:pPr>
              <w:spacing w:after="0"/>
              <w:rPr>
                <w:rFonts w:ascii="Calibri" w:eastAsia="Times New Roman" w:hAnsi="Calibri" w:cs="Times New Roman"/>
                <w:b/>
                <w:sz w:val="20"/>
                <w:szCs w:val="20"/>
              </w:rPr>
            </w:pPr>
            <w:r w:rsidRPr="006656B5">
              <w:rPr>
                <w:rFonts w:ascii="Calibri" w:hAnsi="Calibri"/>
                <w:i/>
                <w:sz w:val="20"/>
              </w:rPr>
              <w:t>21</w:t>
            </w:r>
            <w:r w:rsidR="00D6638C" w:rsidRPr="006656B5">
              <w:t xml:space="preserve"> jours </w:t>
            </w:r>
            <w:r w:rsidR="00D6638C" w:rsidRPr="006656B5">
              <w:rPr>
                <w:rFonts w:ascii="Calibri" w:hAnsi="Calibri"/>
                <w:sz w:val="20"/>
              </w:rPr>
              <w:t>(recommandé:</w:t>
            </w:r>
            <w:r w:rsidR="00D6638C" w:rsidRPr="006656B5">
              <w:rPr>
                <w:rFonts w:ascii="Calibri" w:hAnsi="Calibri"/>
                <w:i/>
                <w:sz w:val="20"/>
              </w:rPr>
              <w:t xml:space="preserve"> 7-15)</w:t>
            </w:r>
          </w:p>
        </w:tc>
        <w:tc>
          <w:tcPr>
            <w:tcW w:w="3071" w:type="dxa"/>
          </w:tcPr>
          <w:p w14:paraId="361B7469" w14:textId="77777777" w:rsidR="00D6638C" w:rsidRPr="006656B5" w:rsidRDefault="007D0C46" w:rsidP="006656B5">
            <w:pPr>
              <w:spacing w:after="0"/>
              <w:rPr>
                <w:rFonts w:ascii="Calibri" w:eastAsia="Times New Roman" w:hAnsi="Calibri" w:cs="Times New Roman"/>
                <w:i/>
                <w:sz w:val="20"/>
                <w:szCs w:val="20"/>
              </w:rPr>
            </w:pPr>
            <w:r w:rsidRPr="006656B5">
              <w:rPr>
                <w:rFonts w:ascii="Calibri" w:hAnsi="Calibri"/>
                <w:i/>
                <w:sz w:val="20"/>
              </w:rPr>
              <w:t>16 octobre au 06 novembre 2017</w:t>
            </w:r>
          </w:p>
        </w:tc>
      </w:tr>
      <w:tr w:rsidR="006656B5" w:rsidRPr="006656B5" w14:paraId="0883ACD8" w14:textId="77777777" w:rsidTr="00224F9C">
        <w:tc>
          <w:tcPr>
            <w:tcW w:w="2988" w:type="dxa"/>
          </w:tcPr>
          <w:p w14:paraId="7B8F10A0"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Projet de rapport d’évaluation</w:t>
            </w:r>
          </w:p>
        </w:tc>
        <w:tc>
          <w:tcPr>
            <w:tcW w:w="3499" w:type="dxa"/>
          </w:tcPr>
          <w:p w14:paraId="3A7DC635" w14:textId="77777777" w:rsidR="00D6638C" w:rsidRPr="006656B5" w:rsidRDefault="007D0C46" w:rsidP="006656B5">
            <w:pPr>
              <w:spacing w:after="0"/>
              <w:rPr>
                <w:rFonts w:ascii="Calibri" w:eastAsia="Times New Roman" w:hAnsi="Calibri" w:cs="Times New Roman"/>
                <w:b/>
                <w:sz w:val="20"/>
                <w:szCs w:val="20"/>
              </w:rPr>
            </w:pPr>
            <w:r w:rsidRPr="006656B5">
              <w:rPr>
                <w:rFonts w:ascii="Calibri" w:hAnsi="Calibri"/>
                <w:i/>
                <w:sz w:val="20"/>
              </w:rPr>
              <w:t>15</w:t>
            </w:r>
            <w:r w:rsidR="00D6638C" w:rsidRPr="006656B5">
              <w:t xml:space="preserve"> jours </w:t>
            </w:r>
            <w:r w:rsidR="00D6638C" w:rsidRPr="006656B5">
              <w:rPr>
                <w:rFonts w:ascii="Calibri" w:hAnsi="Calibri"/>
                <w:sz w:val="20"/>
              </w:rPr>
              <w:t>(recommandé:</w:t>
            </w:r>
            <w:r w:rsidR="00D6638C" w:rsidRPr="006656B5">
              <w:rPr>
                <w:rFonts w:ascii="Calibri" w:hAnsi="Calibri"/>
                <w:i/>
                <w:sz w:val="20"/>
                <w:shd w:val="clear" w:color="auto" w:fill="FFFFFF"/>
              </w:rPr>
              <w:t xml:space="preserve"> 5-10</w:t>
            </w:r>
            <w:r w:rsidR="00D6638C" w:rsidRPr="006656B5">
              <w:rPr>
                <w:rFonts w:ascii="Calibri" w:hAnsi="Calibri"/>
                <w:sz w:val="20"/>
                <w:shd w:val="clear" w:color="auto" w:fill="FFFFFF"/>
              </w:rPr>
              <w:t>)</w:t>
            </w:r>
          </w:p>
        </w:tc>
        <w:tc>
          <w:tcPr>
            <w:tcW w:w="3071" w:type="dxa"/>
          </w:tcPr>
          <w:p w14:paraId="0629B14E" w14:textId="77777777" w:rsidR="00D6638C" w:rsidRPr="006656B5" w:rsidRDefault="000E019E" w:rsidP="006656B5">
            <w:pPr>
              <w:spacing w:after="0"/>
              <w:rPr>
                <w:rFonts w:ascii="Calibri" w:eastAsia="Times New Roman" w:hAnsi="Calibri" w:cs="Times New Roman"/>
                <w:i/>
                <w:sz w:val="20"/>
                <w:szCs w:val="20"/>
              </w:rPr>
            </w:pPr>
            <w:r w:rsidRPr="006656B5">
              <w:rPr>
                <w:rFonts w:ascii="Calibri" w:hAnsi="Calibri"/>
                <w:i/>
                <w:sz w:val="20"/>
              </w:rPr>
              <w:t>09</w:t>
            </w:r>
            <w:r w:rsidR="007D0C46" w:rsidRPr="006656B5">
              <w:rPr>
                <w:rFonts w:ascii="Calibri" w:hAnsi="Calibri"/>
                <w:i/>
                <w:sz w:val="20"/>
              </w:rPr>
              <w:t xml:space="preserve"> au </w:t>
            </w:r>
            <w:r w:rsidRPr="006656B5">
              <w:rPr>
                <w:rFonts w:ascii="Calibri" w:hAnsi="Calibri"/>
                <w:i/>
                <w:sz w:val="20"/>
              </w:rPr>
              <w:t>23 novembre 2017</w:t>
            </w:r>
          </w:p>
        </w:tc>
      </w:tr>
      <w:tr w:rsidR="006656B5" w:rsidRPr="006656B5" w14:paraId="32AEC1F4" w14:textId="77777777" w:rsidTr="00224F9C">
        <w:tc>
          <w:tcPr>
            <w:tcW w:w="2988" w:type="dxa"/>
          </w:tcPr>
          <w:p w14:paraId="3E8A9417"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Rapport final</w:t>
            </w:r>
          </w:p>
        </w:tc>
        <w:tc>
          <w:tcPr>
            <w:tcW w:w="3499" w:type="dxa"/>
          </w:tcPr>
          <w:p w14:paraId="656003FB" w14:textId="77777777" w:rsidR="00D6638C" w:rsidRPr="006656B5" w:rsidRDefault="007D0C46" w:rsidP="006656B5">
            <w:pPr>
              <w:spacing w:after="0"/>
              <w:rPr>
                <w:rFonts w:ascii="Calibri" w:eastAsia="Times New Roman" w:hAnsi="Calibri" w:cs="Times New Roman"/>
                <w:sz w:val="20"/>
                <w:szCs w:val="20"/>
              </w:rPr>
            </w:pPr>
            <w:r w:rsidRPr="006656B5">
              <w:rPr>
                <w:rFonts w:ascii="Calibri" w:hAnsi="Calibri"/>
                <w:i/>
                <w:sz w:val="20"/>
              </w:rPr>
              <w:t>05</w:t>
            </w:r>
            <w:r w:rsidR="00D6638C" w:rsidRPr="006656B5">
              <w:t xml:space="preserve"> jours </w:t>
            </w:r>
            <w:r w:rsidR="00D6638C" w:rsidRPr="006656B5">
              <w:rPr>
                <w:rFonts w:ascii="Calibri" w:hAnsi="Calibri"/>
                <w:sz w:val="20"/>
              </w:rPr>
              <w:t>(recommandé:</w:t>
            </w:r>
            <w:r w:rsidR="00D6638C" w:rsidRPr="006656B5">
              <w:rPr>
                <w:rFonts w:ascii="Calibri" w:hAnsi="Calibri"/>
                <w:i/>
                <w:sz w:val="20"/>
              </w:rPr>
              <w:t xml:space="preserve"> 1-2</w:t>
            </w:r>
            <w:r w:rsidR="00D6638C" w:rsidRPr="006656B5">
              <w:rPr>
                <w:rFonts w:ascii="Calibri" w:hAnsi="Calibri"/>
                <w:sz w:val="20"/>
              </w:rPr>
              <w:t>)</w:t>
            </w:r>
          </w:p>
        </w:tc>
        <w:tc>
          <w:tcPr>
            <w:tcW w:w="3071" w:type="dxa"/>
          </w:tcPr>
          <w:p w14:paraId="2F8594EB" w14:textId="77777777" w:rsidR="00D6638C" w:rsidRPr="006656B5" w:rsidRDefault="000E019E" w:rsidP="006656B5">
            <w:pPr>
              <w:spacing w:after="0"/>
              <w:rPr>
                <w:rFonts w:ascii="Calibri" w:eastAsia="Times New Roman" w:hAnsi="Calibri" w:cs="Times New Roman"/>
                <w:i/>
                <w:sz w:val="20"/>
                <w:szCs w:val="20"/>
              </w:rPr>
            </w:pPr>
            <w:r w:rsidRPr="006656B5">
              <w:rPr>
                <w:rFonts w:ascii="Calibri" w:hAnsi="Calibri"/>
                <w:i/>
                <w:sz w:val="20"/>
              </w:rPr>
              <w:t>07 au 12 décembre 2017</w:t>
            </w:r>
          </w:p>
        </w:tc>
      </w:tr>
    </w:tbl>
    <w:p w14:paraId="75538B86" w14:textId="77777777" w:rsidR="00D6638C" w:rsidRPr="006656B5" w:rsidRDefault="00D6638C" w:rsidP="006656B5">
      <w:pPr>
        <w:pStyle w:val="Heading31"/>
        <w:rPr>
          <w:lang w:val="fr-FR"/>
        </w:rPr>
      </w:pPr>
      <w:bookmarkStart w:id="32" w:name="_Toc299133045"/>
      <w:bookmarkStart w:id="33" w:name="_Toc321341557"/>
      <w:bookmarkStart w:id="34" w:name="_Toc299126622"/>
      <w:bookmarkStart w:id="35" w:name="_Toc299133048"/>
      <w:r w:rsidRPr="006656B5">
        <w:rPr>
          <w:lang w:val="fr-FR"/>
        </w:rPr>
        <w:t>Produits livrables en vertu de l'évaluation</w:t>
      </w:r>
      <w:bookmarkEnd w:id="32"/>
      <w:bookmarkEnd w:id="33"/>
    </w:p>
    <w:p w14:paraId="211C8460"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5"/>
        <w:gridCol w:w="2583"/>
        <w:gridCol w:w="3025"/>
      </w:tblGrid>
      <w:tr w:rsidR="006656B5" w:rsidRPr="006656B5" w14:paraId="5C56D299" w14:textId="77777777" w:rsidTr="006C1964">
        <w:tc>
          <w:tcPr>
            <w:tcW w:w="1548" w:type="dxa"/>
            <w:shd w:val="clear" w:color="auto" w:fill="7F7F7F"/>
          </w:tcPr>
          <w:p w14:paraId="5E0F118B" w14:textId="77777777" w:rsidR="00D6638C" w:rsidRPr="006656B5" w:rsidRDefault="00D6638C" w:rsidP="006656B5">
            <w:pPr>
              <w:spacing w:before="200"/>
              <w:jc w:val="center"/>
              <w:rPr>
                <w:rFonts w:ascii="Calibri" w:eastAsia="Times New Roman" w:hAnsi="Calibri" w:cs="Times New Roman"/>
                <w:sz w:val="20"/>
                <w:szCs w:val="20"/>
              </w:rPr>
            </w:pPr>
            <w:r w:rsidRPr="006656B5">
              <w:rPr>
                <w:rFonts w:ascii="Calibri" w:hAnsi="Calibri"/>
                <w:sz w:val="20"/>
              </w:rPr>
              <w:t>Produits livrables</w:t>
            </w:r>
          </w:p>
        </w:tc>
        <w:tc>
          <w:tcPr>
            <w:tcW w:w="2340" w:type="dxa"/>
            <w:shd w:val="clear" w:color="auto" w:fill="7F7F7F"/>
          </w:tcPr>
          <w:p w14:paraId="0320E3F5" w14:textId="77777777" w:rsidR="00D6638C" w:rsidRPr="006656B5" w:rsidRDefault="00D6638C" w:rsidP="006656B5">
            <w:pPr>
              <w:spacing w:before="200"/>
              <w:jc w:val="center"/>
              <w:rPr>
                <w:rFonts w:ascii="Calibri" w:eastAsia="Times New Roman" w:hAnsi="Calibri" w:cs="Times New Roman"/>
                <w:sz w:val="20"/>
                <w:szCs w:val="20"/>
              </w:rPr>
            </w:pPr>
            <w:r w:rsidRPr="006656B5">
              <w:rPr>
                <w:rFonts w:ascii="Calibri" w:hAnsi="Calibri"/>
                <w:sz w:val="20"/>
              </w:rPr>
              <w:t xml:space="preserve">Table des matières </w:t>
            </w:r>
          </w:p>
        </w:tc>
        <w:tc>
          <w:tcPr>
            <w:tcW w:w="2610" w:type="dxa"/>
            <w:shd w:val="clear" w:color="auto" w:fill="7F7F7F"/>
          </w:tcPr>
          <w:p w14:paraId="1FD5D50B" w14:textId="77777777" w:rsidR="00D6638C" w:rsidRPr="006656B5" w:rsidRDefault="00D6638C" w:rsidP="006656B5">
            <w:pPr>
              <w:spacing w:before="200"/>
              <w:jc w:val="center"/>
              <w:rPr>
                <w:rFonts w:ascii="Calibri" w:eastAsia="Times New Roman" w:hAnsi="Calibri" w:cs="Times New Roman"/>
                <w:sz w:val="20"/>
                <w:szCs w:val="20"/>
              </w:rPr>
            </w:pPr>
            <w:r w:rsidRPr="006656B5">
              <w:rPr>
                <w:rFonts w:ascii="Calibri" w:hAnsi="Calibri"/>
                <w:sz w:val="20"/>
              </w:rPr>
              <w:t>Durée</w:t>
            </w:r>
          </w:p>
        </w:tc>
        <w:tc>
          <w:tcPr>
            <w:tcW w:w="3060" w:type="dxa"/>
            <w:shd w:val="clear" w:color="auto" w:fill="7F7F7F"/>
          </w:tcPr>
          <w:p w14:paraId="695AD2D3" w14:textId="77777777" w:rsidR="00D6638C" w:rsidRPr="006656B5" w:rsidRDefault="00D6638C" w:rsidP="006656B5">
            <w:pPr>
              <w:spacing w:before="200"/>
              <w:jc w:val="center"/>
              <w:rPr>
                <w:rFonts w:ascii="Calibri" w:eastAsia="Times New Roman" w:hAnsi="Calibri" w:cs="Times New Roman"/>
                <w:sz w:val="20"/>
                <w:szCs w:val="20"/>
              </w:rPr>
            </w:pPr>
            <w:r w:rsidRPr="006656B5">
              <w:rPr>
                <w:rFonts w:ascii="Calibri" w:hAnsi="Calibri"/>
                <w:sz w:val="20"/>
              </w:rPr>
              <w:t>Responsabilités</w:t>
            </w:r>
          </w:p>
        </w:tc>
      </w:tr>
      <w:tr w:rsidR="006656B5" w:rsidRPr="006656B5" w14:paraId="0E08BC8B" w14:textId="77777777" w:rsidTr="006C1964">
        <w:tc>
          <w:tcPr>
            <w:tcW w:w="1548" w:type="dxa"/>
          </w:tcPr>
          <w:p w14:paraId="09DA31A5"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Rapport initial</w:t>
            </w:r>
          </w:p>
        </w:tc>
        <w:tc>
          <w:tcPr>
            <w:tcW w:w="2340" w:type="dxa"/>
          </w:tcPr>
          <w:p w14:paraId="12AF364D"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L’évaluateur apporte des précisions sur le calendrier et la méthode </w:t>
            </w:r>
          </w:p>
        </w:tc>
        <w:tc>
          <w:tcPr>
            <w:tcW w:w="2610" w:type="dxa"/>
          </w:tcPr>
          <w:p w14:paraId="66C2D3A7"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Au plus tard deux semaines avant la mission d’évaluation. </w:t>
            </w:r>
          </w:p>
        </w:tc>
        <w:tc>
          <w:tcPr>
            <w:tcW w:w="3060" w:type="dxa"/>
          </w:tcPr>
          <w:p w14:paraId="5B3EA9E6"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L’évaluateur envoie au BP du PNUD </w:t>
            </w:r>
          </w:p>
        </w:tc>
      </w:tr>
      <w:tr w:rsidR="006656B5" w:rsidRPr="006656B5" w14:paraId="11EE5202" w14:textId="77777777" w:rsidTr="006C1964">
        <w:tc>
          <w:tcPr>
            <w:tcW w:w="1548" w:type="dxa"/>
          </w:tcPr>
          <w:p w14:paraId="0035C7C3"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Présentation</w:t>
            </w:r>
          </w:p>
        </w:tc>
        <w:tc>
          <w:tcPr>
            <w:tcW w:w="2340" w:type="dxa"/>
          </w:tcPr>
          <w:p w14:paraId="2A3D3E36"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Conclusions initiales </w:t>
            </w:r>
          </w:p>
        </w:tc>
        <w:tc>
          <w:tcPr>
            <w:tcW w:w="2610" w:type="dxa"/>
          </w:tcPr>
          <w:p w14:paraId="0A886434"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Fin de la mission d’évaluation</w:t>
            </w:r>
          </w:p>
        </w:tc>
        <w:tc>
          <w:tcPr>
            <w:tcW w:w="3060" w:type="dxa"/>
          </w:tcPr>
          <w:p w14:paraId="2D78E4CD"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À la direction du projet, BP du PNUD</w:t>
            </w:r>
          </w:p>
        </w:tc>
      </w:tr>
      <w:tr w:rsidR="006656B5" w:rsidRPr="006656B5" w14:paraId="1CDF6D35" w14:textId="77777777" w:rsidTr="006C1964">
        <w:tc>
          <w:tcPr>
            <w:tcW w:w="1548" w:type="dxa"/>
          </w:tcPr>
          <w:p w14:paraId="7ECCDFC7"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 xml:space="preserve">Projet de rapport final </w:t>
            </w:r>
          </w:p>
        </w:tc>
        <w:tc>
          <w:tcPr>
            <w:tcW w:w="2340" w:type="dxa"/>
          </w:tcPr>
          <w:p w14:paraId="14B1D952"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Rapport complet, (selon le modèle joint) avec les annexes</w:t>
            </w:r>
          </w:p>
        </w:tc>
        <w:tc>
          <w:tcPr>
            <w:tcW w:w="2610" w:type="dxa"/>
          </w:tcPr>
          <w:p w14:paraId="05EAD45E"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Dans un délai de trois semaines suivant la mission d’évaluation</w:t>
            </w:r>
          </w:p>
        </w:tc>
        <w:tc>
          <w:tcPr>
            <w:tcW w:w="3060" w:type="dxa"/>
          </w:tcPr>
          <w:p w14:paraId="1CE1C8C2"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Envoyé au BP, examiné par le CTR, le service de coordination du programme et les PFO du FEM</w:t>
            </w:r>
          </w:p>
        </w:tc>
      </w:tr>
      <w:tr w:rsidR="006656B5" w:rsidRPr="006656B5" w14:paraId="08D31293" w14:textId="77777777" w:rsidTr="006C1964">
        <w:tc>
          <w:tcPr>
            <w:tcW w:w="1548" w:type="dxa"/>
          </w:tcPr>
          <w:p w14:paraId="426D3C9B" w14:textId="77777777" w:rsidR="00D6638C" w:rsidRPr="006656B5" w:rsidRDefault="00D6638C" w:rsidP="006656B5">
            <w:pPr>
              <w:spacing w:after="0"/>
              <w:rPr>
                <w:rFonts w:ascii="Calibri" w:eastAsia="Times New Roman" w:hAnsi="Calibri" w:cs="Times New Roman"/>
                <w:b/>
                <w:sz w:val="20"/>
                <w:szCs w:val="20"/>
              </w:rPr>
            </w:pPr>
            <w:r w:rsidRPr="006656B5">
              <w:rPr>
                <w:rFonts w:ascii="Calibri" w:hAnsi="Calibri"/>
                <w:b/>
                <w:sz w:val="20"/>
              </w:rPr>
              <w:t>Rapport final*</w:t>
            </w:r>
          </w:p>
        </w:tc>
        <w:tc>
          <w:tcPr>
            <w:tcW w:w="2340" w:type="dxa"/>
          </w:tcPr>
          <w:p w14:paraId="73BAE28B"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Rapport révisé </w:t>
            </w:r>
          </w:p>
        </w:tc>
        <w:tc>
          <w:tcPr>
            <w:tcW w:w="2610" w:type="dxa"/>
          </w:tcPr>
          <w:p w14:paraId="6391DF56"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Dans un délai d’une semaine suivant la réception des commentaires du PNUD sur le projet </w:t>
            </w:r>
          </w:p>
        </w:tc>
        <w:tc>
          <w:tcPr>
            <w:tcW w:w="3060" w:type="dxa"/>
          </w:tcPr>
          <w:p w14:paraId="6E31D55C"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Envoyé au BP aux fins de téléchargement sur le site du CGELE du PNUD. </w:t>
            </w:r>
          </w:p>
        </w:tc>
      </w:tr>
    </w:tbl>
    <w:p w14:paraId="247C5776" w14:textId="77777777" w:rsidR="00D6638C" w:rsidRPr="006656B5" w:rsidRDefault="00E23201" w:rsidP="006656B5">
      <w:pPr>
        <w:spacing w:before="200"/>
        <w:jc w:val="both"/>
        <w:rPr>
          <w:rFonts w:ascii="Calibri" w:eastAsia="Times New Roman" w:hAnsi="Calibri" w:cs="Times New Roman"/>
          <w:sz w:val="20"/>
          <w:szCs w:val="20"/>
          <w:lang w:val="fr-FR"/>
        </w:rPr>
      </w:pPr>
      <w:r w:rsidRPr="006656B5">
        <w:rPr>
          <w:rFonts w:ascii="Calibri" w:hAnsi="Calibri"/>
          <w:sz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4"/>
      <w:bookmarkEnd w:id="35"/>
      <w:r w:rsidRPr="006656B5">
        <w:rPr>
          <w:rFonts w:ascii="Calibri" w:hAnsi="Calibri"/>
          <w:sz w:val="20"/>
          <w:lang w:val="fr-FR"/>
        </w:rPr>
        <w:t xml:space="preserve">rapport. </w:t>
      </w:r>
    </w:p>
    <w:p w14:paraId="51341D56" w14:textId="77777777" w:rsidR="00D6638C" w:rsidRPr="006656B5" w:rsidRDefault="00D6638C" w:rsidP="006656B5">
      <w:pPr>
        <w:pStyle w:val="Heading51"/>
        <w:rPr>
          <w:lang w:val="fr-FR"/>
        </w:rPr>
      </w:pPr>
      <w:bookmarkStart w:id="36" w:name="_Toc321341558"/>
      <w:r w:rsidRPr="006656B5">
        <w:rPr>
          <w:lang w:val="fr-FR"/>
        </w:rPr>
        <w:t>Composition de l'équipe</w:t>
      </w:r>
      <w:bookmarkEnd w:id="36"/>
    </w:p>
    <w:p w14:paraId="5756536B"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 xml:space="preserve">L'équipe d'évaluation sera composée de </w:t>
      </w:r>
      <w:r w:rsidR="007239BD" w:rsidRPr="006656B5">
        <w:rPr>
          <w:rFonts w:ascii="Calibri" w:hAnsi="Calibri"/>
          <w:i/>
          <w:sz w:val="20"/>
          <w:shd w:val="clear" w:color="auto" w:fill="FFFFFF"/>
          <w:lang w:val="fr-FR"/>
        </w:rPr>
        <w:t>(1</w:t>
      </w:r>
      <w:r w:rsidRPr="006656B5">
        <w:rPr>
          <w:rFonts w:ascii="Calibri" w:hAnsi="Calibri"/>
          <w:i/>
          <w:sz w:val="20"/>
          <w:shd w:val="clear" w:color="auto" w:fill="FFFFFF"/>
          <w:lang w:val="fr-FR"/>
        </w:rPr>
        <w:t xml:space="preserve"> </w:t>
      </w:r>
      <w:r w:rsidR="007239BD" w:rsidRPr="006656B5">
        <w:rPr>
          <w:rFonts w:ascii="Calibri" w:hAnsi="Calibri"/>
          <w:i/>
          <w:sz w:val="20"/>
          <w:lang w:val="fr-FR"/>
        </w:rPr>
        <w:t xml:space="preserve">évaluateur </w:t>
      </w:r>
      <w:r w:rsidR="007239BD" w:rsidRPr="006656B5">
        <w:rPr>
          <w:rFonts w:ascii="Calibri" w:hAnsi="Calibri"/>
          <w:i/>
          <w:sz w:val="20"/>
          <w:shd w:val="clear" w:color="auto" w:fill="FFFFFF"/>
          <w:lang w:val="fr-FR"/>
        </w:rPr>
        <w:t>international</w:t>
      </w:r>
      <w:r w:rsidRPr="006656B5">
        <w:rPr>
          <w:rFonts w:ascii="Calibri" w:hAnsi="Calibri"/>
          <w:i/>
          <w:sz w:val="20"/>
          <w:shd w:val="clear" w:color="auto" w:fill="FFFFFF"/>
          <w:lang w:val="fr-FR"/>
        </w:rPr>
        <w:t xml:space="preserve"> / </w:t>
      </w:r>
      <w:r w:rsidR="007239BD" w:rsidRPr="006656B5">
        <w:rPr>
          <w:rFonts w:ascii="Calibri" w:hAnsi="Calibri"/>
          <w:i/>
          <w:sz w:val="20"/>
          <w:shd w:val="clear" w:color="auto" w:fill="FFFFFF"/>
          <w:lang w:val="fr-FR"/>
        </w:rPr>
        <w:t xml:space="preserve">3 évaluateurs </w:t>
      </w:r>
      <w:r w:rsidRPr="006656B5">
        <w:rPr>
          <w:rFonts w:ascii="Calibri" w:hAnsi="Calibri"/>
          <w:i/>
          <w:sz w:val="20"/>
          <w:shd w:val="clear" w:color="auto" w:fill="FFFFFF"/>
          <w:lang w:val="fr-FR"/>
        </w:rPr>
        <w:t>nationaux</w:t>
      </w:r>
      <w:r w:rsidRPr="006656B5">
        <w:rPr>
          <w:rFonts w:ascii="Calibri" w:hAnsi="Calibri"/>
          <w:i/>
          <w:sz w:val="20"/>
          <w:lang w:val="fr-FR"/>
        </w:rPr>
        <w:t>).</w:t>
      </w:r>
      <w:r w:rsidRPr="006656B5">
        <w:rPr>
          <w:rFonts w:ascii="Calibri" w:hAnsi="Calibri"/>
          <w:sz w:val="20"/>
          <w:lang w:val="fr-FR"/>
        </w:rPr>
        <w:t xml:space="preserve">  Les consultants doivent disposer d’une expérience antérieure dans l’évaluation de projets similaires.  Une expérience des projets financés par le FEM est un avantage. </w:t>
      </w:r>
      <w:r w:rsidRPr="006656B5">
        <w:rPr>
          <w:rFonts w:ascii="Calibri" w:hAnsi="Calibri"/>
          <w:sz w:val="20"/>
          <w:shd w:val="clear" w:color="auto" w:fill="FFFFFF"/>
          <w:lang w:val="fr-FR"/>
        </w:rPr>
        <w:t>(</w:t>
      </w:r>
      <w:r w:rsidR="007239BD" w:rsidRPr="006656B5">
        <w:rPr>
          <w:rFonts w:ascii="Calibri" w:hAnsi="Calibri"/>
          <w:i/>
          <w:sz w:val="20"/>
          <w:shd w:val="clear" w:color="auto" w:fill="FFFFFF"/>
          <w:lang w:val="fr-FR"/>
        </w:rPr>
        <w:t xml:space="preserve">L’évaluateur international sera désigné </w:t>
      </w:r>
      <w:r w:rsidRPr="006656B5">
        <w:rPr>
          <w:rFonts w:ascii="Calibri" w:hAnsi="Calibri"/>
          <w:i/>
          <w:sz w:val="20"/>
          <w:shd w:val="clear" w:color="auto" w:fill="FFFFFF"/>
          <w:lang w:val="fr-FR"/>
        </w:rPr>
        <w:t>comme chef d’équipe et sera chargé de finaliser le rapport).</w:t>
      </w:r>
      <w:r w:rsidRPr="006656B5">
        <w:rPr>
          <w:rFonts w:ascii="Calibri" w:hAnsi="Calibri"/>
          <w:sz w:val="20"/>
          <w:lang w:val="fr-FR"/>
        </w:rPr>
        <w:t>Les évaluateurs sélectionnés ne doivent pas avoir participé à la préparation ou à la mise en œuvre du projet et ne doivent pas avoir de conflit d’intérêts avec les activités liées au projet.</w:t>
      </w:r>
    </w:p>
    <w:p w14:paraId="25CB0E48" w14:textId="77777777" w:rsidR="00D6638C" w:rsidRPr="006656B5" w:rsidRDefault="00D6638C" w:rsidP="006656B5">
      <w:pPr>
        <w:spacing w:before="200"/>
        <w:rPr>
          <w:rFonts w:ascii="Calibri" w:eastAsia="Times New Roman" w:hAnsi="Calibri" w:cs="Times New Roman"/>
          <w:sz w:val="20"/>
          <w:szCs w:val="20"/>
          <w:lang w:val="fr-FR"/>
        </w:rPr>
      </w:pPr>
      <w:r w:rsidRPr="006656B5">
        <w:rPr>
          <w:rFonts w:ascii="Calibri" w:hAnsi="Calibri"/>
          <w:sz w:val="20"/>
          <w:lang w:val="fr-FR"/>
        </w:rPr>
        <w:t>Les membres de l’équipe doivent posséder les qualifications suivantes :</w:t>
      </w:r>
    </w:p>
    <w:p w14:paraId="79EFB4E6" w14:textId="77777777" w:rsidR="00D6638C" w:rsidRPr="006656B5" w:rsidRDefault="007239BD" w:rsidP="006656B5">
      <w:pPr>
        <w:numPr>
          <w:ilvl w:val="0"/>
          <w:numId w:val="17"/>
        </w:numPr>
        <w:spacing w:before="60" w:after="60" w:line="240" w:lineRule="auto"/>
        <w:rPr>
          <w:rFonts w:ascii="Calibri" w:eastAsia="Times New Roman" w:hAnsi="Calibri" w:cs="Times New Roman"/>
          <w:sz w:val="20"/>
          <w:szCs w:val="20"/>
          <w:lang w:val="fr-FR"/>
        </w:rPr>
      </w:pPr>
      <w:r w:rsidRPr="006656B5">
        <w:rPr>
          <w:rFonts w:ascii="Calibri" w:hAnsi="Calibri"/>
          <w:i/>
          <w:sz w:val="20"/>
          <w:shd w:val="clear" w:color="auto" w:fill="FFFFFF"/>
          <w:lang w:val="fr-FR"/>
        </w:rPr>
        <w:t xml:space="preserve">10 </w:t>
      </w:r>
      <w:r w:rsidR="00D6638C" w:rsidRPr="006656B5">
        <w:rPr>
          <w:rFonts w:ascii="Calibri" w:hAnsi="Calibri"/>
          <w:sz w:val="20"/>
          <w:shd w:val="clear" w:color="auto" w:fill="FFFFFF"/>
          <w:lang w:val="fr-FR"/>
        </w:rPr>
        <w:t>ans minimum</w:t>
      </w:r>
      <w:r w:rsidR="00D6638C" w:rsidRPr="006656B5">
        <w:rPr>
          <w:lang w:val="fr-FR"/>
        </w:rPr>
        <w:t xml:space="preserve"> </w:t>
      </w:r>
      <w:r w:rsidR="00D6638C" w:rsidRPr="006656B5">
        <w:rPr>
          <w:rFonts w:ascii="Calibri" w:hAnsi="Calibri"/>
          <w:sz w:val="20"/>
          <w:lang w:val="fr-FR"/>
        </w:rPr>
        <w:t>d'expérience</w:t>
      </w:r>
      <w:r w:rsidR="00D6638C" w:rsidRPr="006656B5">
        <w:rPr>
          <w:lang w:val="fr-FR"/>
        </w:rPr>
        <w:t xml:space="preserve"> </w:t>
      </w:r>
      <w:r w:rsidR="00D6638C" w:rsidRPr="006656B5">
        <w:rPr>
          <w:rFonts w:ascii="Calibri" w:hAnsi="Calibri"/>
          <w:sz w:val="20"/>
          <w:lang w:val="fr-FR"/>
        </w:rPr>
        <w:t>professionnelle pertinente</w:t>
      </w:r>
    </w:p>
    <w:p w14:paraId="7BFBC619" w14:textId="77777777" w:rsidR="00D6638C" w:rsidRPr="006656B5" w:rsidRDefault="00D6638C" w:rsidP="006656B5">
      <w:pPr>
        <w:numPr>
          <w:ilvl w:val="0"/>
          <w:numId w:val="17"/>
        </w:numPr>
        <w:spacing w:before="60" w:after="60" w:line="240" w:lineRule="auto"/>
        <w:rPr>
          <w:rFonts w:ascii="Calibri" w:eastAsia="Times New Roman" w:hAnsi="Calibri" w:cs="Times New Roman"/>
          <w:sz w:val="20"/>
          <w:szCs w:val="20"/>
          <w:lang w:val="fr-FR"/>
        </w:rPr>
      </w:pPr>
      <w:r w:rsidRPr="006656B5">
        <w:rPr>
          <w:rFonts w:ascii="Calibri" w:hAnsi="Calibri"/>
          <w:sz w:val="20"/>
          <w:lang w:val="fr-FR"/>
        </w:rPr>
        <w:t xml:space="preserve">une connaissance du PNUD et du FEM ; </w:t>
      </w:r>
    </w:p>
    <w:p w14:paraId="04EBB8AD" w14:textId="77777777" w:rsidR="00D6638C" w:rsidRPr="006656B5" w:rsidRDefault="00D6638C" w:rsidP="006656B5">
      <w:pPr>
        <w:numPr>
          <w:ilvl w:val="0"/>
          <w:numId w:val="17"/>
        </w:numPr>
        <w:spacing w:before="60" w:after="60" w:line="240" w:lineRule="auto"/>
        <w:rPr>
          <w:rFonts w:ascii="Calibri" w:eastAsia="Times New Roman" w:hAnsi="Calibri" w:cs="Times New Roman"/>
          <w:sz w:val="20"/>
          <w:szCs w:val="20"/>
          <w:lang w:val="fr-FR"/>
        </w:rPr>
      </w:pPr>
      <w:r w:rsidRPr="006656B5">
        <w:rPr>
          <w:rFonts w:ascii="Calibri" w:hAnsi="Calibri"/>
          <w:sz w:val="20"/>
          <w:lang w:val="fr-FR"/>
        </w:rPr>
        <w:t>une expérience antérieure avec les méthodologies de suivi et d’évaluation axées sur les résultats ;</w:t>
      </w:r>
    </w:p>
    <w:p w14:paraId="6218879B" w14:textId="77777777" w:rsidR="00D6638C" w:rsidRPr="006656B5" w:rsidRDefault="00D6638C" w:rsidP="006656B5">
      <w:pPr>
        <w:numPr>
          <w:ilvl w:val="0"/>
          <w:numId w:val="17"/>
        </w:numPr>
        <w:spacing w:before="60" w:after="60" w:line="240" w:lineRule="auto"/>
        <w:rPr>
          <w:rFonts w:ascii="Calibri" w:eastAsia="Times New Roman" w:hAnsi="Calibri" w:cs="Times New Roman"/>
          <w:sz w:val="20"/>
          <w:szCs w:val="20"/>
          <w:lang w:val="fr-FR"/>
        </w:rPr>
      </w:pPr>
      <w:r w:rsidRPr="006656B5">
        <w:rPr>
          <w:rFonts w:ascii="Calibri" w:hAnsi="Calibri"/>
          <w:sz w:val="20"/>
          <w:lang w:val="fr-FR"/>
        </w:rPr>
        <w:t>des connaissances techniques dans les domaines focaux ciblés ; et</w:t>
      </w:r>
    </w:p>
    <w:p w14:paraId="62173F71" w14:textId="77777777" w:rsidR="00D6638C" w:rsidRPr="006656B5" w:rsidRDefault="007239BD" w:rsidP="006656B5">
      <w:pPr>
        <w:numPr>
          <w:ilvl w:val="0"/>
          <w:numId w:val="17"/>
        </w:numPr>
        <w:spacing w:before="60" w:after="60" w:line="240" w:lineRule="auto"/>
        <w:rPr>
          <w:rFonts w:ascii="Calibri" w:eastAsia="Times New Roman" w:hAnsi="Calibri" w:cs="Times New Roman"/>
          <w:sz w:val="20"/>
          <w:szCs w:val="20"/>
          <w:lang w:val="fr-FR"/>
        </w:rPr>
      </w:pPr>
      <w:r w:rsidRPr="006656B5">
        <w:rPr>
          <w:rFonts w:ascii="Calibri" w:hAnsi="Calibri"/>
          <w:i/>
          <w:sz w:val="20"/>
          <w:shd w:val="clear" w:color="auto" w:fill="FFFFFF"/>
          <w:lang w:val="fr-FR"/>
        </w:rPr>
        <w:t>des connaissances sur</w:t>
      </w:r>
      <w:r w:rsidR="00466C4A" w:rsidRPr="006656B5">
        <w:rPr>
          <w:rFonts w:ascii="Calibri" w:hAnsi="Calibri"/>
          <w:i/>
          <w:sz w:val="20"/>
          <w:shd w:val="clear" w:color="auto" w:fill="FFFFFF"/>
          <w:lang w:val="fr-FR"/>
        </w:rPr>
        <w:t xml:space="preserve"> le contexte malagasy en matière d’environnement et </w:t>
      </w:r>
      <w:r w:rsidRPr="006656B5">
        <w:rPr>
          <w:rFonts w:ascii="Calibri" w:hAnsi="Calibri"/>
          <w:i/>
          <w:sz w:val="20"/>
          <w:shd w:val="clear" w:color="auto" w:fill="FFFFFF"/>
          <w:lang w:val="fr-FR"/>
        </w:rPr>
        <w:t xml:space="preserve">aires protégées </w:t>
      </w:r>
      <w:r w:rsidR="00466C4A" w:rsidRPr="006656B5">
        <w:rPr>
          <w:rFonts w:ascii="Calibri" w:hAnsi="Calibri"/>
          <w:i/>
          <w:sz w:val="20"/>
          <w:shd w:val="clear" w:color="auto" w:fill="FFFFFF"/>
          <w:lang w:val="fr-FR"/>
        </w:rPr>
        <w:t xml:space="preserve">de catégories V et VI, </w:t>
      </w:r>
      <w:r w:rsidRPr="006656B5">
        <w:rPr>
          <w:rFonts w:ascii="Calibri" w:hAnsi="Calibri"/>
          <w:i/>
          <w:sz w:val="20"/>
          <w:shd w:val="clear" w:color="auto" w:fill="FFFFFF"/>
          <w:lang w:val="fr-FR"/>
        </w:rPr>
        <w:t>de développement</w:t>
      </w:r>
      <w:r w:rsidR="00466C4A" w:rsidRPr="006656B5">
        <w:rPr>
          <w:rFonts w:ascii="Calibri" w:hAnsi="Calibri"/>
          <w:i/>
          <w:sz w:val="20"/>
          <w:shd w:val="clear" w:color="auto" w:fill="FFFFFF"/>
          <w:lang w:val="fr-FR"/>
        </w:rPr>
        <w:t xml:space="preserve"> </w:t>
      </w:r>
      <w:r w:rsidRPr="006656B5">
        <w:rPr>
          <w:rFonts w:ascii="Calibri" w:hAnsi="Calibri"/>
          <w:i/>
          <w:sz w:val="20"/>
          <w:shd w:val="clear" w:color="auto" w:fill="FFFFFF"/>
          <w:lang w:val="fr-FR"/>
        </w:rPr>
        <w:t xml:space="preserve">économique </w:t>
      </w:r>
      <w:r w:rsidR="00466C4A" w:rsidRPr="006656B5">
        <w:rPr>
          <w:rFonts w:ascii="Calibri" w:hAnsi="Calibri"/>
          <w:i/>
          <w:sz w:val="20"/>
          <w:shd w:val="clear" w:color="auto" w:fill="FFFFFF"/>
          <w:lang w:val="fr-FR"/>
        </w:rPr>
        <w:t xml:space="preserve">durable </w:t>
      </w:r>
      <w:r w:rsidRPr="006656B5">
        <w:rPr>
          <w:rFonts w:ascii="Calibri" w:hAnsi="Calibri"/>
          <w:i/>
          <w:sz w:val="20"/>
          <w:shd w:val="clear" w:color="auto" w:fill="FFFFFF"/>
          <w:lang w:val="fr-FR"/>
        </w:rPr>
        <w:t>et de financement pérenne</w:t>
      </w:r>
      <w:r w:rsidR="00466C4A" w:rsidRPr="006656B5">
        <w:rPr>
          <w:rFonts w:ascii="Calibri" w:hAnsi="Calibri"/>
          <w:i/>
          <w:sz w:val="20"/>
          <w:shd w:val="clear" w:color="auto" w:fill="FFFFFF"/>
          <w:lang w:val="fr-FR"/>
        </w:rPr>
        <w:t xml:space="preserve"> des aires protégées</w:t>
      </w:r>
    </w:p>
    <w:p w14:paraId="30E9AEBD" w14:textId="77777777" w:rsidR="00022F8E" w:rsidRPr="006656B5" w:rsidRDefault="00022F8E" w:rsidP="006656B5">
      <w:pPr>
        <w:pStyle w:val="Heading51"/>
        <w:rPr>
          <w:lang w:val="fr-FR"/>
        </w:rPr>
      </w:pPr>
      <w:bookmarkStart w:id="37" w:name="_Toc278193977"/>
      <w:bookmarkStart w:id="38" w:name="_Toc299122835"/>
      <w:bookmarkStart w:id="39" w:name="_Toc299122857"/>
      <w:bookmarkStart w:id="40" w:name="_Toc299126624"/>
      <w:bookmarkStart w:id="41" w:name="_Toc299133050"/>
      <w:bookmarkStart w:id="42" w:name="_Toc321341559"/>
    </w:p>
    <w:p w14:paraId="0FE15697" w14:textId="77777777" w:rsidR="00D6638C" w:rsidRPr="006656B5" w:rsidRDefault="00D6638C" w:rsidP="006656B5">
      <w:pPr>
        <w:pStyle w:val="Heading51"/>
        <w:rPr>
          <w:lang w:val="fr-FR"/>
        </w:rPr>
      </w:pPr>
      <w:r w:rsidRPr="006656B5">
        <w:rPr>
          <w:lang w:val="fr-FR"/>
        </w:rPr>
        <w:t>Code de déontologie de l'évaluateur</w:t>
      </w:r>
      <w:bookmarkEnd w:id="37"/>
      <w:bookmarkEnd w:id="38"/>
      <w:bookmarkEnd w:id="39"/>
      <w:bookmarkEnd w:id="40"/>
      <w:bookmarkEnd w:id="41"/>
      <w:bookmarkEnd w:id="42"/>
    </w:p>
    <w:p w14:paraId="52C38EBC" w14:textId="77777777" w:rsidR="00022F8E" w:rsidRPr="006656B5" w:rsidRDefault="00022F8E" w:rsidP="006656B5">
      <w:pPr>
        <w:rPr>
          <w:lang w:val="fr-FR"/>
        </w:rPr>
      </w:pPr>
    </w:p>
    <w:p w14:paraId="33479EC2" w14:textId="77777777" w:rsidR="00D6638C" w:rsidRPr="006656B5" w:rsidRDefault="00D6638C" w:rsidP="006656B5">
      <w:pPr>
        <w:rPr>
          <w:lang w:val="fr-FR"/>
        </w:rPr>
      </w:pPr>
      <w:r w:rsidRPr="006656B5">
        <w:rPr>
          <w:lang w:val="fr-FR"/>
        </w:rPr>
        <w:lastRenderedPageBreak/>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6656B5">
          <w:rPr>
            <w:rStyle w:val="Lienhypertexte"/>
            <w:rFonts w:ascii="Calibri" w:hAnsi="Calibri"/>
            <w:color w:val="auto"/>
            <w:sz w:val="20"/>
            <w:lang w:val="fr-FR"/>
          </w:rPr>
          <w:t>« Directives éthiques de l'UNEG pour les évaluations »</w:t>
        </w:r>
      </w:hyperlink>
    </w:p>
    <w:p w14:paraId="5DA257DC" w14:textId="77777777" w:rsidR="00D6638C" w:rsidRPr="006656B5" w:rsidRDefault="00D6638C" w:rsidP="006656B5">
      <w:pPr>
        <w:pStyle w:val="Heading51"/>
        <w:rPr>
          <w:lang w:val="fr-FR"/>
        </w:rPr>
      </w:pPr>
      <w:bookmarkStart w:id="43" w:name="_Toc299126626"/>
      <w:bookmarkStart w:id="44" w:name="_Toc299133051"/>
      <w:bookmarkStart w:id="45" w:name="_Toc321341560"/>
      <w:bookmarkStart w:id="46" w:name="_Toc299122837"/>
      <w:bookmarkStart w:id="47" w:name="_Toc299122859"/>
      <w:bookmarkStart w:id="48" w:name="_Toc299126627"/>
      <w:r w:rsidRPr="006656B5">
        <w:rPr>
          <w:lang w:val="fr-FR"/>
        </w:rPr>
        <w:t>Modalités de paiement et spécifications</w:t>
      </w:r>
      <w:bookmarkEnd w:id="43"/>
      <w:bookmarkEnd w:id="44"/>
      <w:bookmarkEnd w:id="45"/>
      <w:r w:rsidRPr="006656B5">
        <w:rPr>
          <w:lang w:val="fr-FR"/>
        </w:rPr>
        <w:t xml:space="preserve"> </w:t>
      </w:r>
    </w:p>
    <w:p w14:paraId="38117587" w14:textId="77777777" w:rsidR="00E23201" w:rsidRPr="006656B5" w:rsidRDefault="00E23201" w:rsidP="006656B5">
      <w:pPr>
        <w:rPr>
          <w:i/>
          <w:lang w:val="fr-FR"/>
        </w:rPr>
      </w:pPr>
      <w:r w:rsidRPr="006656B5">
        <w:rPr>
          <w:i/>
          <w:lang w:val="fr-FR"/>
        </w:rPr>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6656B5" w:rsidRPr="006656B5" w14:paraId="56165B22" w14:textId="77777777" w:rsidTr="006C1964">
        <w:tc>
          <w:tcPr>
            <w:tcW w:w="1278" w:type="dxa"/>
            <w:shd w:val="clear" w:color="auto" w:fill="7F7F7F"/>
          </w:tcPr>
          <w:p w14:paraId="10D69762" w14:textId="77777777" w:rsidR="00D6638C" w:rsidRPr="006656B5" w:rsidRDefault="00D6638C" w:rsidP="006656B5">
            <w:pPr>
              <w:spacing w:after="0"/>
              <w:jc w:val="center"/>
              <w:rPr>
                <w:rFonts w:ascii="Calibri" w:eastAsia="Times New Roman" w:hAnsi="Calibri" w:cs="Times New Roman"/>
                <w:sz w:val="20"/>
                <w:szCs w:val="20"/>
              </w:rPr>
            </w:pPr>
            <w:r w:rsidRPr="006656B5">
              <w:rPr>
                <w:rFonts w:ascii="Calibri" w:hAnsi="Calibri"/>
                <w:sz w:val="20"/>
              </w:rPr>
              <w:t>%</w:t>
            </w:r>
          </w:p>
        </w:tc>
        <w:tc>
          <w:tcPr>
            <w:tcW w:w="8576" w:type="dxa"/>
            <w:shd w:val="clear" w:color="auto" w:fill="7F7F7F"/>
          </w:tcPr>
          <w:p w14:paraId="137A4E31" w14:textId="77777777" w:rsidR="00D6638C" w:rsidRPr="006656B5" w:rsidRDefault="00D6638C" w:rsidP="006656B5">
            <w:pPr>
              <w:spacing w:after="0"/>
              <w:jc w:val="center"/>
              <w:rPr>
                <w:rFonts w:ascii="Calibri" w:eastAsia="Times New Roman" w:hAnsi="Calibri" w:cs="Times New Roman"/>
                <w:sz w:val="20"/>
                <w:szCs w:val="20"/>
              </w:rPr>
            </w:pPr>
            <w:r w:rsidRPr="006656B5">
              <w:rPr>
                <w:rFonts w:ascii="Calibri" w:hAnsi="Calibri"/>
                <w:sz w:val="20"/>
              </w:rPr>
              <w:t>Étape</w:t>
            </w:r>
          </w:p>
        </w:tc>
      </w:tr>
      <w:tr w:rsidR="006656B5" w:rsidRPr="006656B5" w14:paraId="73AFE95B" w14:textId="77777777" w:rsidTr="006C1964">
        <w:tc>
          <w:tcPr>
            <w:tcW w:w="1278" w:type="dxa"/>
          </w:tcPr>
          <w:p w14:paraId="32B2FD12" w14:textId="77777777" w:rsidR="00D6638C" w:rsidRPr="006656B5" w:rsidRDefault="00D6638C" w:rsidP="006656B5">
            <w:pPr>
              <w:spacing w:after="0"/>
              <w:jc w:val="center"/>
              <w:rPr>
                <w:rFonts w:ascii="Calibri" w:eastAsia="Times New Roman" w:hAnsi="Calibri" w:cs="Times New Roman"/>
                <w:i/>
                <w:sz w:val="20"/>
                <w:szCs w:val="20"/>
              </w:rPr>
            </w:pPr>
            <w:r w:rsidRPr="006656B5">
              <w:rPr>
                <w:rFonts w:ascii="Calibri" w:hAnsi="Calibri"/>
                <w:i/>
                <w:sz w:val="20"/>
              </w:rPr>
              <w:t>10 %</w:t>
            </w:r>
          </w:p>
        </w:tc>
        <w:tc>
          <w:tcPr>
            <w:tcW w:w="8576" w:type="dxa"/>
          </w:tcPr>
          <w:p w14:paraId="17A36D97"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À la signature du contrat</w:t>
            </w:r>
          </w:p>
        </w:tc>
      </w:tr>
      <w:tr w:rsidR="006656B5" w:rsidRPr="006656B5" w14:paraId="744C8B62" w14:textId="77777777" w:rsidTr="006C1964">
        <w:tc>
          <w:tcPr>
            <w:tcW w:w="1278" w:type="dxa"/>
          </w:tcPr>
          <w:p w14:paraId="3E984E68" w14:textId="77777777" w:rsidR="00D6638C" w:rsidRPr="006656B5" w:rsidRDefault="00D6638C" w:rsidP="006656B5">
            <w:pPr>
              <w:spacing w:after="0"/>
              <w:jc w:val="center"/>
              <w:rPr>
                <w:rFonts w:ascii="Calibri" w:eastAsia="Times New Roman" w:hAnsi="Calibri" w:cs="Times New Roman"/>
                <w:i/>
                <w:sz w:val="20"/>
                <w:szCs w:val="20"/>
              </w:rPr>
            </w:pPr>
            <w:r w:rsidRPr="006656B5">
              <w:rPr>
                <w:rFonts w:ascii="Calibri" w:hAnsi="Calibri"/>
                <w:i/>
                <w:sz w:val="20"/>
              </w:rPr>
              <w:t>40 %</w:t>
            </w:r>
          </w:p>
        </w:tc>
        <w:tc>
          <w:tcPr>
            <w:tcW w:w="8576" w:type="dxa"/>
          </w:tcPr>
          <w:p w14:paraId="7404B97B"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Suite à la présentation et l’approbation du 1ER projet de rapport d’évaluation finale</w:t>
            </w:r>
          </w:p>
        </w:tc>
      </w:tr>
      <w:tr w:rsidR="006656B5" w:rsidRPr="006656B5" w14:paraId="7D573499" w14:textId="77777777" w:rsidTr="006C1964">
        <w:tc>
          <w:tcPr>
            <w:tcW w:w="1278" w:type="dxa"/>
          </w:tcPr>
          <w:p w14:paraId="378C176D" w14:textId="77777777" w:rsidR="00D6638C" w:rsidRPr="006656B5" w:rsidRDefault="00D6638C" w:rsidP="006656B5">
            <w:pPr>
              <w:spacing w:after="0"/>
              <w:jc w:val="center"/>
              <w:rPr>
                <w:rFonts w:ascii="Calibri" w:eastAsia="Times New Roman" w:hAnsi="Calibri" w:cs="Times New Roman"/>
                <w:i/>
                <w:sz w:val="20"/>
                <w:szCs w:val="20"/>
              </w:rPr>
            </w:pPr>
            <w:r w:rsidRPr="006656B5">
              <w:rPr>
                <w:rFonts w:ascii="Calibri" w:hAnsi="Calibri"/>
                <w:i/>
                <w:sz w:val="20"/>
              </w:rPr>
              <w:t>50 %</w:t>
            </w:r>
          </w:p>
        </w:tc>
        <w:tc>
          <w:tcPr>
            <w:tcW w:w="8576" w:type="dxa"/>
          </w:tcPr>
          <w:p w14:paraId="146B8EEF"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 xml:space="preserve">Suite à la présentation et l’approbation (par le BP et le CTR du PNUD) du rapport d’évaluation finale définitif </w:t>
            </w:r>
          </w:p>
        </w:tc>
      </w:tr>
    </w:tbl>
    <w:p w14:paraId="1589C041" w14:textId="77777777" w:rsidR="00D6638C" w:rsidRPr="006656B5" w:rsidRDefault="00D6638C" w:rsidP="006656B5">
      <w:pPr>
        <w:pStyle w:val="Heading51"/>
        <w:rPr>
          <w:lang w:val="fr-FR"/>
        </w:rPr>
      </w:pPr>
      <w:bookmarkStart w:id="49" w:name="_Toc299133052"/>
      <w:bookmarkStart w:id="50" w:name="_Toc321341561"/>
      <w:r w:rsidRPr="006656B5">
        <w:rPr>
          <w:lang w:val="fr-FR"/>
        </w:rPr>
        <w:t>Processus de candidature</w:t>
      </w:r>
      <w:bookmarkEnd w:id="46"/>
      <w:bookmarkEnd w:id="47"/>
      <w:bookmarkEnd w:id="48"/>
      <w:bookmarkEnd w:id="49"/>
      <w:bookmarkEnd w:id="50"/>
    </w:p>
    <w:p w14:paraId="60A13C07" w14:textId="5EAAC244" w:rsidR="00D6638C" w:rsidRPr="006656B5" w:rsidRDefault="00D6638C" w:rsidP="006656B5">
      <w:pPr>
        <w:spacing w:after="120"/>
        <w:rPr>
          <w:rFonts w:ascii="Calibri" w:eastAsia="Times New Roman" w:hAnsi="Calibri" w:cs="Times New Roman"/>
          <w:sz w:val="20"/>
          <w:szCs w:val="20"/>
          <w:lang w:val="fr-FR"/>
        </w:rPr>
      </w:pPr>
      <w:r w:rsidRPr="006656B5">
        <w:rPr>
          <w:rFonts w:ascii="Calibri" w:hAnsi="Calibri"/>
          <w:sz w:val="20"/>
          <w:lang w:val="fr-FR"/>
        </w:rPr>
        <w:t xml:space="preserve">Les candidats sont invités à postuler en ligne </w:t>
      </w:r>
      <w:r w:rsidRPr="006656B5">
        <w:rPr>
          <w:rFonts w:ascii="Calibri" w:hAnsi="Calibri"/>
          <w:sz w:val="20"/>
          <w:shd w:val="clear" w:color="auto" w:fill="BFBFBF"/>
          <w:lang w:val="fr-FR"/>
        </w:rPr>
        <w:t>(indiquer le lieu tel que http://jobs.undp.org, etc.)</w:t>
      </w:r>
      <w:r w:rsidRPr="006656B5">
        <w:rPr>
          <w:rFonts w:ascii="Calibri" w:hAnsi="Calibri"/>
          <w:sz w:val="20"/>
          <w:lang w:val="fr-FR"/>
        </w:rPr>
        <w:t xml:space="preserve"> au plus tard le (date). Les consultants individuels sont invités à envoyer leur candidature, ainsi que leur curriculum vitae pour ces postes. La candidature doit comprendre un curri</w:t>
      </w:r>
      <w:r w:rsidR="00863D8E" w:rsidRPr="006656B5">
        <w:rPr>
          <w:rFonts w:ascii="Calibri" w:hAnsi="Calibri"/>
          <w:sz w:val="20"/>
          <w:lang w:val="fr-FR"/>
        </w:rPr>
        <w:t>culum vitae à jour et complet</w:t>
      </w:r>
      <w:r w:rsidRPr="006656B5">
        <w:rPr>
          <w:rFonts w:ascii="Calibri" w:hAnsi="Calibri"/>
          <w:sz w:val="20"/>
          <w:lang w:val="fr-FR"/>
        </w:rPr>
        <w:t xml:space="preserve"> en français </w:t>
      </w:r>
      <w:r w:rsidR="00863D8E" w:rsidRPr="006656B5">
        <w:rPr>
          <w:rFonts w:ascii="Calibri" w:hAnsi="Calibri"/>
          <w:sz w:val="20"/>
          <w:lang w:val="fr-FR"/>
        </w:rPr>
        <w:t>(</w:t>
      </w:r>
      <w:r w:rsidRPr="006656B5">
        <w:rPr>
          <w:rFonts w:ascii="Calibri" w:hAnsi="Calibri"/>
          <w:sz w:val="20"/>
          <w:lang w:val="fr-FR"/>
        </w:rPr>
        <w:t>Afrique francophone</w:t>
      </w:r>
      <w:r w:rsidR="00863D8E" w:rsidRPr="006656B5">
        <w:rPr>
          <w:rFonts w:ascii="Calibri" w:hAnsi="Calibri"/>
          <w:sz w:val="20"/>
          <w:lang w:val="fr-FR"/>
        </w:rPr>
        <w:t>)</w:t>
      </w:r>
      <w:r w:rsidRPr="006656B5">
        <w:rPr>
          <w:rFonts w:ascii="Calibri" w:hAnsi="Calibri"/>
          <w:sz w:val="20"/>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2488BE26" w14:textId="77777777" w:rsidR="007C3307" w:rsidRPr="006656B5" w:rsidRDefault="00D6638C" w:rsidP="006656B5">
      <w:pPr>
        <w:spacing w:before="200"/>
        <w:rPr>
          <w:rFonts w:ascii="Calibri" w:hAnsi="Calibri"/>
          <w:sz w:val="20"/>
          <w:lang w:val="fr-FR"/>
        </w:rPr>
        <w:sectPr w:rsidR="007C3307" w:rsidRPr="006656B5" w:rsidSect="00224F9C">
          <w:footerReference w:type="default" r:id="rId11"/>
          <w:pgSz w:w="12240" w:h="15840"/>
          <w:pgMar w:top="1440" w:right="1325" w:bottom="1440" w:left="1440" w:header="708" w:footer="708" w:gutter="0"/>
          <w:cols w:space="708"/>
          <w:docGrid w:linePitch="360"/>
        </w:sectPr>
      </w:pPr>
      <w:r w:rsidRPr="006656B5">
        <w:rPr>
          <w:rFonts w:ascii="Calibri" w:hAnsi="Calibri"/>
          <w:sz w:val="20"/>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2CF376F9" w14:textId="77777777" w:rsidR="00D6638C" w:rsidRPr="006656B5" w:rsidRDefault="00D6638C" w:rsidP="006656B5">
      <w:pPr>
        <w:pStyle w:val="Heading31"/>
        <w:spacing w:after="360"/>
        <w:rPr>
          <w:lang w:val="fr-FR"/>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6656B5">
        <w:rPr>
          <w:lang w:val="fr-FR"/>
        </w:rPr>
        <w:lastRenderedPageBreak/>
        <w:t>Annexe A : CADRE LOGIQUE DU PROJET</w:t>
      </w:r>
      <w:bookmarkEnd w:id="52"/>
      <w:bookmarkEnd w:id="53"/>
      <w:bookmarkEnd w:id="54"/>
      <w:bookmarkEnd w:id="55"/>
      <w:bookmarkEnd w:id="56"/>
    </w:p>
    <w:tbl>
      <w:tblPr>
        <w:tblW w:w="14883"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323"/>
        <w:gridCol w:w="3183"/>
        <w:gridCol w:w="2737"/>
        <w:gridCol w:w="1547"/>
        <w:gridCol w:w="2023"/>
      </w:tblGrid>
      <w:tr w:rsidR="006656B5" w:rsidRPr="006656B5" w14:paraId="11909252" w14:textId="77777777" w:rsidTr="00A4555F">
        <w:trPr>
          <w:tblHeader/>
        </w:trPr>
        <w:tc>
          <w:tcPr>
            <w:tcW w:w="2070" w:type="dxa"/>
            <w:tcBorders>
              <w:bottom w:val="single" w:sz="4" w:space="0" w:color="auto"/>
            </w:tcBorders>
            <w:shd w:val="clear" w:color="auto" w:fill="FBD4B4"/>
            <w:tcMar>
              <w:top w:w="29" w:type="dxa"/>
              <w:left w:w="72" w:type="dxa"/>
              <w:bottom w:w="29" w:type="dxa"/>
              <w:right w:w="72" w:type="dxa"/>
            </w:tcMar>
            <w:vAlign w:val="center"/>
          </w:tcPr>
          <w:p w14:paraId="1327E6A8" w14:textId="77777777" w:rsidR="007C3307" w:rsidRPr="006656B5" w:rsidRDefault="007C3307" w:rsidP="006656B5">
            <w:pPr>
              <w:jc w:val="center"/>
              <w:rPr>
                <w:b/>
                <w:sz w:val="20"/>
                <w:szCs w:val="20"/>
                <w:lang w:val="fr-FR"/>
              </w:rPr>
            </w:pPr>
            <w:r w:rsidRPr="006656B5">
              <w:rPr>
                <w:b/>
                <w:sz w:val="20"/>
                <w:szCs w:val="20"/>
                <w:lang w:val="fr-FR"/>
              </w:rPr>
              <w:t>Objectif/ Résultat attendu</w:t>
            </w:r>
          </w:p>
        </w:tc>
        <w:tc>
          <w:tcPr>
            <w:tcW w:w="3323" w:type="dxa"/>
            <w:tcBorders>
              <w:bottom w:val="single" w:sz="4" w:space="0" w:color="auto"/>
            </w:tcBorders>
            <w:shd w:val="clear" w:color="auto" w:fill="FBD4B4"/>
            <w:tcMar>
              <w:top w:w="29" w:type="dxa"/>
              <w:left w:w="72" w:type="dxa"/>
              <w:bottom w:w="29" w:type="dxa"/>
              <w:right w:w="72" w:type="dxa"/>
            </w:tcMar>
            <w:vAlign w:val="center"/>
          </w:tcPr>
          <w:p w14:paraId="7CC87758" w14:textId="77777777" w:rsidR="007C3307" w:rsidRPr="006656B5" w:rsidRDefault="007C3307" w:rsidP="006656B5">
            <w:pPr>
              <w:jc w:val="center"/>
              <w:rPr>
                <w:b/>
                <w:sz w:val="20"/>
                <w:szCs w:val="20"/>
                <w:lang w:val="fr-FR"/>
              </w:rPr>
            </w:pPr>
            <w:r w:rsidRPr="006656B5">
              <w:rPr>
                <w:b/>
                <w:sz w:val="20"/>
                <w:szCs w:val="20"/>
                <w:lang w:val="fr-FR"/>
              </w:rPr>
              <w:t>Indicateur</w:t>
            </w:r>
          </w:p>
        </w:tc>
        <w:tc>
          <w:tcPr>
            <w:tcW w:w="3183" w:type="dxa"/>
            <w:tcBorders>
              <w:bottom w:val="single" w:sz="4" w:space="0" w:color="auto"/>
            </w:tcBorders>
            <w:shd w:val="clear" w:color="auto" w:fill="FBD4B4"/>
            <w:tcMar>
              <w:top w:w="29" w:type="dxa"/>
              <w:left w:w="72" w:type="dxa"/>
              <w:bottom w:w="29" w:type="dxa"/>
              <w:right w:w="72" w:type="dxa"/>
            </w:tcMar>
            <w:vAlign w:val="center"/>
          </w:tcPr>
          <w:p w14:paraId="319773A4" w14:textId="77777777" w:rsidR="007C3307" w:rsidRPr="006656B5" w:rsidRDefault="007C3307" w:rsidP="006656B5">
            <w:pPr>
              <w:jc w:val="center"/>
              <w:rPr>
                <w:b/>
                <w:bCs/>
                <w:iCs/>
                <w:sz w:val="20"/>
                <w:szCs w:val="20"/>
                <w:lang w:val="fr-FR"/>
              </w:rPr>
            </w:pPr>
            <w:r w:rsidRPr="006656B5">
              <w:rPr>
                <w:b/>
                <w:bCs/>
                <w:iCs/>
                <w:sz w:val="20"/>
                <w:szCs w:val="20"/>
                <w:lang w:val="fr-FR"/>
              </w:rPr>
              <w:t>Référence</w:t>
            </w:r>
          </w:p>
        </w:tc>
        <w:tc>
          <w:tcPr>
            <w:tcW w:w="2737" w:type="dxa"/>
            <w:tcBorders>
              <w:bottom w:val="single" w:sz="4" w:space="0" w:color="auto"/>
            </w:tcBorders>
            <w:shd w:val="clear" w:color="auto" w:fill="FBD4B4"/>
            <w:tcMar>
              <w:top w:w="29" w:type="dxa"/>
              <w:left w:w="72" w:type="dxa"/>
              <w:bottom w:w="29" w:type="dxa"/>
              <w:right w:w="72" w:type="dxa"/>
            </w:tcMar>
            <w:vAlign w:val="center"/>
          </w:tcPr>
          <w:p w14:paraId="1A3C1A0C" w14:textId="77777777" w:rsidR="007C3307" w:rsidRPr="006656B5" w:rsidRDefault="007C3307" w:rsidP="006656B5">
            <w:pPr>
              <w:jc w:val="center"/>
              <w:rPr>
                <w:b/>
                <w:bCs/>
                <w:iCs/>
                <w:sz w:val="20"/>
                <w:szCs w:val="20"/>
                <w:lang w:val="fr-FR"/>
              </w:rPr>
            </w:pPr>
            <w:r w:rsidRPr="006656B5">
              <w:rPr>
                <w:b/>
                <w:bCs/>
                <w:iCs/>
                <w:sz w:val="20"/>
                <w:szCs w:val="20"/>
                <w:lang w:val="fr-FR"/>
              </w:rPr>
              <w:t xml:space="preserve">Objectif de fin de projet </w:t>
            </w:r>
          </w:p>
        </w:tc>
        <w:tc>
          <w:tcPr>
            <w:tcW w:w="1547" w:type="dxa"/>
            <w:tcBorders>
              <w:bottom w:val="single" w:sz="4" w:space="0" w:color="auto"/>
            </w:tcBorders>
            <w:shd w:val="clear" w:color="auto" w:fill="FBD4B4"/>
            <w:tcMar>
              <w:top w:w="29" w:type="dxa"/>
              <w:left w:w="72" w:type="dxa"/>
              <w:bottom w:w="29" w:type="dxa"/>
              <w:right w:w="72" w:type="dxa"/>
            </w:tcMar>
            <w:vAlign w:val="center"/>
          </w:tcPr>
          <w:p w14:paraId="0EBFEC12" w14:textId="77777777" w:rsidR="007C3307" w:rsidRPr="006656B5" w:rsidRDefault="007C3307" w:rsidP="006656B5">
            <w:pPr>
              <w:jc w:val="center"/>
              <w:rPr>
                <w:b/>
                <w:sz w:val="20"/>
                <w:szCs w:val="20"/>
                <w:lang w:val="fr-FR"/>
              </w:rPr>
            </w:pPr>
            <w:r w:rsidRPr="006656B5">
              <w:rPr>
                <w:b/>
                <w:sz w:val="20"/>
                <w:szCs w:val="20"/>
                <w:lang w:val="fr-FR"/>
              </w:rPr>
              <w:t>Source d’Information</w:t>
            </w:r>
          </w:p>
        </w:tc>
        <w:tc>
          <w:tcPr>
            <w:tcW w:w="2023" w:type="dxa"/>
            <w:tcBorders>
              <w:bottom w:val="single" w:sz="4" w:space="0" w:color="auto"/>
            </w:tcBorders>
            <w:shd w:val="clear" w:color="auto" w:fill="FBD4B4"/>
            <w:tcMar>
              <w:top w:w="29" w:type="dxa"/>
              <w:left w:w="72" w:type="dxa"/>
              <w:bottom w:w="29" w:type="dxa"/>
              <w:right w:w="72" w:type="dxa"/>
            </w:tcMar>
            <w:vAlign w:val="center"/>
          </w:tcPr>
          <w:p w14:paraId="73D01A5F" w14:textId="77777777" w:rsidR="007C3307" w:rsidRPr="006656B5" w:rsidRDefault="007C3307" w:rsidP="006656B5">
            <w:pPr>
              <w:jc w:val="center"/>
              <w:rPr>
                <w:b/>
                <w:sz w:val="20"/>
                <w:szCs w:val="20"/>
                <w:lang w:val="fr-FR"/>
              </w:rPr>
            </w:pPr>
            <w:r w:rsidRPr="006656B5">
              <w:rPr>
                <w:b/>
                <w:sz w:val="20"/>
                <w:szCs w:val="20"/>
                <w:lang w:val="fr-FR"/>
              </w:rPr>
              <w:t>Hypothèses</w:t>
            </w:r>
          </w:p>
        </w:tc>
      </w:tr>
      <w:tr w:rsidR="006656B5" w:rsidRPr="006656B5" w14:paraId="2573CAE0" w14:textId="77777777" w:rsidTr="00A4555F">
        <w:tc>
          <w:tcPr>
            <w:tcW w:w="2070" w:type="dxa"/>
            <w:vMerge w:val="restart"/>
            <w:shd w:val="clear" w:color="auto" w:fill="EAF1DD"/>
            <w:tcMar>
              <w:top w:w="29" w:type="dxa"/>
              <w:left w:w="72" w:type="dxa"/>
              <w:bottom w:w="29" w:type="dxa"/>
              <w:right w:w="72" w:type="dxa"/>
            </w:tcMar>
          </w:tcPr>
          <w:p w14:paraId="724A052A" w14:textId="77777777" w:rsidR="007C3307" w:rsidRPr="006656B5" w:rsidRDefault="007C3307" w:rsidP="006656B5">
            <w:pPr>
              <w:rPr>
                <w:szCs w:val="20"/>
                <w:lang w:val="fr-FR"/>
              </w:rPr>
            </w:pPr>
            <w:r w:rsidRPr="006656B5">
              <w:rPr>
                <w:b/>
                <w:bCs/>
                <w:sz w:val="20"/>
                <w:szCs w:val="20"/>
                <w:lang w:val="fr-FR"/>
              </w:rPr>
              <w:t>Objectif –</w:t>
            </w:r>
            <w:r w:rsidRPr="006656B5">
              <w:rPr>
                <w:sz w:val="20"/>
                <w:szCs w:val="20"/>
                <w:lang w:val="fr-FR"/>
              </w:rPr>
              <w:t xml:space="preserve"> Etendre le système des AP de Madagascar en développant un sous réseau d’aires protégées de ressources naturelles gérées dans les paysages écologiques sous représentés, dans le cadre de la gestion conjointe du gouvernement local et des communautés, et intégrés dans les cadres régionaux de développement.</w:t>
            </w:r>
          </w:p>
          <w:p w14:paraId="1CB51100" w14:textId="77777777" w:rsidR="007C3307" w:rsidRPr="006656B5" w:rsidRDefault="007C3307" w:rsidP="006656B5">
            <w:pPr>
              <w:rPr>
                <w:szCs w:val="20"/>
                <w:lang w:val="fr-FR"/>
              </w:rPr>
            </w:pPr>
          </w:p>
          <w:p w14:paraId="6959E079" w14:textId="77777777" w:rsidR="007C3307" w:rsidRPr="006656B5" w:rsidRDefault="007C3307" w:rsidP="006656B5">
            <w:pPr>
              <w:rPr>
                <w:bCs/>
                <w:szCs w:val="20"/>
                <w:lang w:val="fr-FR"/>
              </w:rPr>
            </w:pPr>
          </w:p>
          <w:p w14:paraId="380579FE" w14:textId="77777777" w:rsidR="007C3307" w:rsidRPr="006656B5" w:rsidRDefault="007C3307" w:rsidP="006656B5">
            <w:pPr>
              <w:rPr>
                <w:b/>
                <w:szCs w:val="20"/>
                <w:lang w:val="fr-FR"/>
              </w:rPr>
            </w:pPr>
          </w:p>
        </w:tc>
        <w:tc>
          <w:tcPr>
            <w:tcW w:w="3323" w:type="dxa"/>
            <w:shd w:val="clear" w:color="auto" w:fill="EAF1DD"/>
            <w:tcMar>
              <w:top w:w="29" w:type="dxa"/>
              <w:left w:w="72" w:type="dxa"/>
              <w:bottom w:w="29" w:type="dxa"/>
              <w:right w:w="72" w:type="dxa"/>
            </w:tcMar>
          </w:tcPr>
          <w:p w14:paraId="4525DEAA" w14:textId="77777777" w:rsidR="007C3307" w:rsidRPr="006656B5" w:rsidRDefault="007C3307" w:rsidP="006656B5">
            <w:pPr>
              <w:rPr>
                <w:bCs/>
                <w:sz w:val="20"/>
                <w:szCs w:val="20"/>
                <w:lang w:val="fr-FR"/>
              </w:rPr>
            </w:pPr>
            <w:r w:rsidRPr="006656B5">
              <w:rPr>
                <w:bCs/>
                <w:sz w:val="20"/>
                <w:szCs w:val="20"/>
                <w:lang w:val="fr-FR"/>
              </w:rPr>
              <w:t xml:space="preserve">1. La protection juridique totale de représentation des habitats et des espèces critiques par le biais d’AP augmente de </w:t>
            </w:r>
            <w:r w:rsidRPr="006656B5">
              <w:rPr>
                <w:sz w:val="20"/>
                <w:szCs w:val="20"/>
                <w:lang w:val="fr-FR"/>
              </w:rPr>
              <w:t xml:space="preserve">177% par rapport à la situation de référence de </w:t>
            </w:r>
            <w:r w:rsidRPr="006656B5" w:rsidDel="00E0204C">
              <w:rPr>
                <w:sz w:val="20"/>
                <w:szCs w:val="20"/>
                <w:lang w:val="fr-FR"/>
              </w:rPr>
              <w:t>1</w:t>
            </w:r>
            <w:r w:rsidRPr="006656B5">
              <w:rPr>
                <w:sz w:val="20"/>
                <w:szCs w:val="20"/>
                <w:lang w:val="fr-FR"/>
              </w:rPr>
              <w:t xml:space="preserve"> </w:t>
            </w:r>
            <w:r w:rsidRPr="006656B5" w:rsidDel="00E0204C">
              <w:rPr>
                <w:sz w:val="20"/>
                <w:szCs w:val="20"/>
                <w:lang w:val="fr-FR"/>
              </w:rPr>
              <w:t>987</w:t>
            </w:r>
            <w:r w:rsidRPr="006656B5">
              <w:rPr>
                <w:sz w:val="20"/>
                <w:szCs w:val="20"/>
                <w:lang w:val="fr-FR"/>
              </w:rPr>
              <w:t xml:space="preserve"> </w:t>
            </w:r>
            <w:r w:rsidRPr="006656B5" w:rsidDel="00E0204C">
              <w:rPr>
                <w:sz w:val="20"/>
                <w:szCs w:val="20"/>
                <w:lang w:val="fr-FR"/>
              </w:rPr>
              <w:t>486</w:t>
            </w:r>
            <w:r w:rsidRPr="006656B5">
              <w:rPr>
                <w:sz w:val="20"/>
                <w:szCs w:val="20"/>
                <w:lang w:val="fr-FR"/>
              </w:rPr>
              <w:t xml:space="preserve"> ha.</w:t>
            </w:r>
          </w:p>
        </w:tc>
        <w:tc>
          <w:tcPr>
            <w:tcW w:w="3183" w:type="dxa"/>
            <w:shd w:val="clear" w:color="auto" w:fill="EAF1DD"/>
            <w:tcMar>
              <w:top w:w="29" w:type="dxa"/>
              <w:left w:w="72" w:type="dxa"/>
              <w:bottom w:w="29" w:type="dxa"/>
              <w:right w:w="72" w:type="dxa"/>
            </w:tcMar>
          </w:tcPr>
          <w:p w14:paraId="58DBEDFB" w14:textId="77777777" w:rsidR="007C3307" w:rsidRPr="006656B5" w:rsidRDefault="007C3307" w:rsidP="006656B5">
            <w:pPr>
              <w:pStyle w:val="Notedebasdepage"/>
              <w:rPr>
                <w:sz w:val="20"/>
                <w:lang w:val="fr-FR"/>
              </w:rPr>
            </w:pPr>
            <w:r w:rsidRPr="006656B5">
              <w:rPr>
                <w:sz w:val="20"/>
                <w:lang w:val="fr-FR"/>
              </w:rPr>
              <w:t xml:space="preserve">Sur les 1 527 151 ha ciblés par le projet, </w:t>
            </w:r>
            <w:r w:rsidRPr="006656B5" w:rsidDel="00E0204C">
              <w:rPr>
                <w:sz w:val="20"/>
                <w:lang w:val="fr-FR"/>
              </w:rPr>
              <w:t>530</w:t>
            </w:r>
            <w:r w:rsidRPr="006656B5">
              <w:rPr>
                <w:sz w:val="20"/>
                <w:lang w:val="fr-FR"/>
              </w:rPr>
              <w:t xml:space="preserve"> </w:t>
            </w:r>
            <w:r w:rsidRPr="006656B5" w:rsidDel="00E0204C">
              <w:rPr>
                <w:sz w:val="20"/>
                <w:lang w:val="fr-FR"/>
              </w:rPr>
              <w:t>880 ha</w:t>
            </w:r>
            <w:r w:rsidRPr="006656B5">
              <w:rPr>
                <w:sz w:val="20"/>
                <w:lang w:val="fr-FR"/>
              </w:rPr>
              <w:t xml:space="preserve"> (statut de protection) sont actuellement appuyés par Fanamby, Asity et d’autres partenaires. Ces aires sont déjà démarquées et jouissent d’un statut de protection temporaire. Les deux sites restants qui couvrent 328 286 ha (statut temporaire) ont obtenu la protection temporaire en 2008 à la fin du moratoire d’exploitation minière. 746,335 ha ne jouissent pas encore de statut de protection. Ces aires n’ont pas encore de promoteurs actifs, mais elles ont suscité l’intérêt de Fanamby, CI, MBG et WWF. Elles n’ont pas encore été démarquées avec precision étant donné que des consultations sont encore nécessaires avec les parties prenantes locales. Parmi les 1 286 816 ha non inclus dans le projet actuel mais promus par les projets partenaires, deux sites sont dirigés par CI et le reste est actuellement aménagé par WWF.  Tous ces sites supplémentaires sont déjà bien démarqués. </w:t>
            </w:r>
          </w:p>
        </w:tc>
        <w:tc>
          <w:tcPr>
            <w:tcW w:w="2737" w:type="dxa"/>
            <w:shd w:val="clear" w:color="auto" w:fill="EAF1DD"/>
            <w:tcMar>
              <w:top w:w="29" w:type="dxa"/>
              <w:left w:w="72" w:type="dxa"/>
              <w:bottom w:w="29" w:type="dxa"/>
              <w:right w:w="72" w:type="dxa"/>
            </w:tcMar>
          </w:tcPr>
          <w:p w14:paraId="0845A84E" w14:textId="77777777" w:rsidR="007C3307" w:rsidRPr="006656B5" w:rsidRDefault="007C3307" w:rsidP="006656B5">
            <w:pPr>
              <w:rPr>
                <w:sz w:val="20"/>
                <w:szCs w:val="20"/>
                <w:lang w:val="fr-FR"/>
              </w:rPr>
            </w:pPr>
            <w:r w:rsidRPr="006656B5">
              <w:rPr>
                <w:sz w:val="20"/>
                <w:szCs w:val="20"/>
                <w:lang w:val="fr-FR"/>
              </w:rPr>
              <w:t>2 813 967 ha jouissent d’une protection totale dans le registre national des AP, le SAPM.</w:t>
            </w:r>
          </w:p>
        </w:tc>
        <w:tc>
          <w:tcPr>
            <w:tcW w:w="1547" w:type="dxa"/>
            <w:shd w:val="clear" w:color="auto" w:fill="EAF1DD"/>
            <w:tcMar>
              <w:top w:w="29" w:type="dxa"/>
              <w:left w:w="72" w:type="dxa"/>
              <w:bottom w:w="29" w:type="dxa"/>
              <w:right w:w="72" w:type="dxa"/>
            </w:tcMar>
          </w:tcPr>
          <w:p w14:paraId="73565DF2" w14:textId="77777777" w:rsidR="007C3307" w:rsidRPr="006656B5" w:rsidRDefault="007C3307" w:rsidP="006656B5">
            <w:pPr>
              <w:rPr>
                <w:sz w:val="20"/>
                <w:szCs w:val="20"/>
                <w:lang w:val="fr-FR"/>
              </w:rPr>
            </w:pPr>
            <w:r w:rsidRPr="006656B5">
              <w:rPr>
                <w:sz w:val="20"/>
                <w:szCs w:val="20"/>
                <w:lang w:val="fr-FR"/>
              </w:rPr>
              <w:t xml:space="preserve">Evaluation de mi parcours et évaluation finale </w:t>
            </w:r>
          </w:p>
        </w:tc>
        <w:tc>
          <w:tcPr>
            <w:tcW w:w="2023" w:type="dxa"/>
            <w:vMerge w:val="restart"/>
            <w:shd w:val="clear" w:color="auto" w:fill="EAF1DD"/>
            <w:tcMar>
              <w:top w:w="29" w:type="dxa"/>
              <w:left w:w="72" w:type="dxa"/>
              <w:bottom w:w="29" w:type="dxa"/>
              <w:right w:w="72" w:type="dxa"/>
            </w:tcMar>
          </w:tcPr>
          <w:p w14:paraId="535F1429" w14:textId="77777777" w:rsidR="007C3307" w:rsidRPr="006656B5" w:rsidRDefault="007C3307" w:rsidP="006656B5">
            <w:pPr>
              <w:rPr>
                <w:sz w:val="20"/>
                <w:szCs w:val="20"/>
                <w:lang w:val="fr-FR"/>
              </w:rPr>
            </w:pPr>
            <w:r w:rsidRPr="006656B5">
              <w:rPr>
                <w:sz w:val="20"/>
                <w:szCs w:val="20"/>
                <w:lang w:val="fr-FR"/>
              </w:rPr>
              <w:t>Leçons apprises de travaux antérieurs; par exemple, le projet Anjozorobe peut être appliqué avec succès aux MRPA.</w:t>
            </w:r>
          </w:p>
          <w:p w14:paraId="01953D7E" w14:textId="77777777" w:rsidR="007C3307" w:rsidRPr="006656B5" w:rsidRDefault="007C3307" w:rsidP="006656B5">
            <w:pPr>
              <w:rPr>
                <w:sz w:val="20"/>
                <w:szCs w:val="20"/>
                <w:lang w:val="fr-FR"/>
              </w:rPr>
            </w:pPr>
          </w:p>
          <w:p w14:paraId="5564C105" w14:textId="77777777" w:rsidR="007C3307" w:rsidRPr="006656B5" w:rsidRDefault="007C3307" w:rsidP="006656B5">
            <w:pPr>
              <w:rPr>
                <w:sz w:val="20"/>
                <w:szCs w:val="20"/>
                <w:lang w:val="fr-FR"/>
              </w:rPr>
            </w:pPr>
            <w:r w:rsidRPr="006656B5">
              <w:rPr>
                <w:sz w:val="20"/>
                <w:szCs w:val="20"/>
                <w:lang w:val="fr-FR"/>
              </w:rPr>
              <w:t>Les conditions de référence et les pratiques réussies dans les sites choisis peuvent être extrapolées avec un niveau de confiance raisonnable aux autres MRPA à Madagascar.</w:t>
            </w:r>
          </w:p>
          <w:p w14:paraId="154DCA24" w14:textId="77777777" w:rsidR="007C3307" w:rsidRPr="006656B5" w:rsidRDefault="007C3307" w:rsidP="006656B5">
            <w:pPr>
              <w:rPr>
                <w:sz w:val="20"/>
                <w:szCs w:val="20"/>
                <w:lang w:val="fr-FR"/>
              </w:rPr>
            </w:pPr>
          </w:p>
          <w:p w14:paraId="6450868A" w14:textId="77777777" w:rsidR="007C3307" w:rsidRPr="006656B5" w:rsidRDefault="007C3307" w:rsidP="006656B5">
            <w:pPr>
              <w:rPr>
                <w:sz w:val="20"/>
                <w:szCs w:val="20"/>
                <w:lang w:val="fr-FR"/>
              </w:rPr>
            </w:pPr>
            <w:r w:rsidRPr="006656B5">
              <w:rPr>
                <w:sz w:val="20"/>
                <w:szCs w:val="20"/>
                <w:lang w:val="fr-FR"/>
              </w:rPr>
              <w:t xml:space="preserve">Une conscience et une capacité accrues mèneront à un changement comportemental, en </w:t>
            </w:r>
            <w:r w:rsidRPr="006656B5">
              <w:rPr>
                <w:sz w:val="20"/>
                <w:szCs w:val="20"/>
                <w:lang w:val="fr-FR"/>
              </w:rPr>
              <w:lastRenderedPageBreak/>
              <w:t>ce qui concerne le rôle des MRPA en matière de conservation efficace de biodiversité élevée et, en même temps, de conduite de croissance économique locale.</w:t>
            </w:r>
          </w:p>
          <w:p w14:paraId="00465692" w14:textId="77777777" w:rsidR="007C3307" w:rsidRPr="006656B5" w:rsidRDefault="007C3307" w:rsidP="006656B5">
            <w:pPr>
              <w:rPr>
                <w:sz w:val="20"/>
                <w:szCs w:val="20"/>
                <w:lang w:val="fr-FR"/>
              </w:rPr>
            </w:pPr>
          </w:p>
        </w:tc>
      </w:tr>
      <w:tr w:rsidR="006656B5" w:rsidRPr="006656B5" w14:paraId="69B98068" w14:textId="77777777" w:rsidTr="00A4555F">
        <w:tc>
          <w:tcPr>
            <w:tcW w:w="2070" w:type="dxa"/>
            <w:vMerge/>
            <w:shd w:val="clear" w:color="auto" w:fill="EAF1DD"/>
            <w:tcMar>
              <w:top w:w="29" w:type="dxa"/>
              <w:left w:w="72" w:type="dxa"/>
              <w:bottom w:w="29" w:type="dxa"/>
              <w:right w:w="72" w:type="dxa"/>
            </w:tcMar>
          </w:tcPr>
          <w:p w14:paraId="663AB0D1" w14:textId="77777777" w:rsidR="007C3307" w:rsidRPr="006656B5" w:rsidRDefault="007C3307" w:rsidP="006656B5">
            <w:pPr>
              <w:rPr>
                <w:b/>
                <w:bCs/>
                <w:sz w:val="20"/>
                <w:szCs w:val="20"/>
                <w:lang w:val="fr-FR"/>
              </w:rPr>
            </w:pPr>
          </w:p>
        </w:tc>
        <w:tc>
          <w:tcPr>
            <w:tcW w:w="3323" w:type="dxa"/>
            <w:shd w:val="clear" w:color="auto" w:fill="EAF1DD"/>
            <w:tcMar>
              <w:top w:w="29" w:type="dxa"/>
              <w:left w:w="72" w:type="dxa"/>
              <w:bottom w:w="29" w:type="dxa"/>
              <w:right w:w="72" w:type="dxa"/>
            </w:tcMar>
          </w:tcPr>
          <w:p w14:paraId="749E280D" w14:textId="77777777" w:rsidR="007C3307" w:rsidRPr="006656B5" w:rsidRDefault="007C3307" w:rsidP="006656B5">
            <w:pPr>
              <w:rPr>
                <w:i/>
                <w:sz w:val="20"/>
                <w:szCs w:val="20"/>
                <w:lang w:val="fr-FR"/>
              </w:rPr>
            </w:pPr>
            <w:r w:rsidRPr="006656B5">
              <w:rPr>
                <w:sz w:val="20"/>
                <w:szCs w:val="20"/>
                <w:lang w:val="fr-FR"/>
              </w:rPr>
              <w:t>2. Perte de la forêt naturelle à l’intérieur de Zones cibles prioritaires de Conservation (PCZ) de MRPA de moins de la moitié de la moyenne nationale pour les aires non protégées.</w:t>
            </w:r>
          </w:p>
        </w:tc>
        <w:tc>
          <w:tcPr>
            <w:tcW w:w="3183" w:type="dxa"/>
            <w:shd w:val="clear" w:color="auto" w:fill="EAF1DD"/>
            <w:tcMar>
              <w:top w:w="29" w:type="dxa"/>
              <w:left w:w="72" w:type="dxa"/>
              <w:bottom w:w="29" w:type="dxa"/>
              <w:right w:w="72" w:type="dxa"/>
            </w:tcMar>
          </w:tcPr>
          <w:p w14:paraId="72736AAA" w14:textId="77777777" w:rsidR="007C3307" w:rsidRPr="006656B5" w:rsidRDefault="007C3307" w:rsidP="006656B5">
            <w:pPr>
              <w:pStyle w:val="Notedebasdepage"/>
              <w:rPr>
                <w:sz w:val="20"/>
                <w:lang w:val="fr-FR"/>
              </w:rPr>
            </w:pPr>
            <w:r w:rsidRPr="006656B5">
              <w:rPr>
                <w:sz w:val="20"/>
                <w:lang w:val="fr-FR"/>
              </w:rPr>
              <w:t>Les valeurs de référence pour chaque MRPA seront calculées à partir de l’évaluation, par CI, en 2006, des taux de perte de forêt annuelle jusqu’en 2005.  Les forêts non protégées ont une moyenne de taux de perte annuel de 5,3%.</w:t>
            </w:r>
          </w:p>
        </w:tc>
        <w:tc>
          <w:tcPr>
            <w:tcW w:w="2737" w:type="dxa"/>
            <w:shd w:val="clear" w:color="auto" w:fill="EAF1DD"/>
            <w:tcMar>
              <w:top w:w="29" w:type="dxa"/>
              <w:left w:w="72" w:type="dxa"/>
              <w:bottom w:w="29" w:type="dxa"/>
              <w:right w:w="72" w:type="dxa"/>
            </w:tcMar>
          </w:tcPr>
          <w:p w14:paraId="50CFE3FB" w14:textId="77777777" w:rsidR="007C3307" w:rsidRPr="006656B5" w:rsidRDefault="007C3307" w:rsidP="006656B5">
            <w:pPr>
              <w:rPr>
                <w:sz w:val="20"/>
                <w:szCs w:val="20"/>
                <w:lang w:val="fr-FR"/>
              </w:rPr>
            </w:pPr>
            <w:r w:rsidRPr="006656B5">
              <w:rPr>
                <w:sz w:val="20"/>
                <w:szCs w:val="20"/>
                <w:lang w:val="fr-FR"/>
              </w:rPr>
              <w:t>L’objectif est un taux maximum de perte de 2,5% dans les Zones de Conservation Prioritaires des MRPA, ces zones à l’intérieur des sites ayant la valeur la plus élevée pour la conservation de la biodiversité.</w:t>
            </w:r>
          </w:p>
        </w:tc>
        <w:tc>
          <w:tcPr>
            <w:tcW w:w="1547" w:type="dxa"/>
            <w:shd w:val="clear" w:color="auto" w:fill="EAF1DD"/>
            <w:tcMar>
              <w:top w:w="29" w:type="dxa"/>
              <w:left w:w="72" w:type="dxa"/>
              <w:bottom w:w="29" w:type="dxa"/>
              <w:right w:w="72" w:type="dxa"/>
            </w:tcMar>
          </w:tcPr>
          <w:p w14:paraId="526A077F" w14:textId="77777777" w:rsidR="007C3307" w:rsidRPr="006656B5" w:rsidRDefault="007C3307" w:rsidP="006656B5">
            <w:pPr>
              <w:rPr>
                <w:sz w:val="20"/>
                <w:szCs w:val="20"/>
                <w:lang w:val="fr-FR"/>
              </w:rPr>
            </w:pPr>
            <w:r w:rsidRPr="006656B5">
              <w:rPr>
                <w:sz w:val="20"/>
                <w:szCs w:val="20"/>
                <w:lang w:val="fr-FR"/>
              </w:rPr>
              <w:t>Mises à jour par CI relatives aux taux de perte de forêt attendues en 2011 et 2015.</w:t>
            </w:r>
          </w:p>
        </w:tc>
        <w:tc>
          <w:tcPr>
            <w:tcW w:w="2023" w:type="dxa"/>
            <w:vMerge/>
            <w:shd w:val="clear" w:color="auto" w:fill="EAF1DD"/>
            <w:tcMar>
              <w:top w:w="29" w:type="dxa"/>
              <w:left w:w="72" w:type="dxa"/>
              <w:bottom w:w="29" w:type="dxa"/>
              <w:right w:w="72" w:type="dxa"/>
            </w:tcMar>
          </w:tcPr>
          <w:p w14:paraId="48AE81E1" w14:textId="77777777" w:rsidR="007C3307" w:rsidRPr="006656B5" w:rsidRDefault="007C3307" w:rsidP="006656B5">
            <w:pPr>
              <w:rPr>
                <w:sz w:val="20"/>
                <w:szCs w:val="20"/>
                <w:lang w:val="fr-FR"/>
              </w:rPr>
            </w:pPr>
          </w:p>
        </w:tc>
      </w:tr>
      <w:tr w:rsidR="006656B5" w:rsidRPr="006656B5" w14:paraId="05D8AF53" w14:textId="77777777" w:rsidTr="00A4555F">
        <w:tc>
          <w:tcPr>
            <w:tcW w:w="2070" w:type="dxa"/>
            <w:vMerge/>
            <w:shd w:val="clear" w:color="auto" w:fill="EAF1DD"/>
            <w:tcMar>
              <w:top w:w="29" w:type="dxa"/>
              <w:left w:w="72" w:type="dxa"/>
              <w:bottom w:w="29" w:type="dxa"/>
              <w:right w:w="72" w:type="dxa"/>
            </w:tcMar>
          </w:tcPr>
          <w:p w14:paraId="0C8016A9" w14:textId="77777777" w:rsidR="007C3307" w:rsidRPr="006656B5" w:rsidRDefault="007C3307" w:rsidP="006656B5">
            <w:pPr>
              <w:rPr>
                <w:b/>
                <w:bCs/>
                <w:sz w:val="20"/>
                <w:szCs w:val="20"/>
                <w:lang w:val="fr-FR"/>
              </w:rPr>
            </w:pPr>
          </w:p>
        </w:tc>
        <w:tc>
          <w:tcPr>
            <w:tcW w:w="3323" w:type="dxa"/>
            <w:shd w:val="clear" w:color="auto" w:fill="EAF1DD"/>
            <w:tcMar>
              <w:top w:w="29" w:type="dxa"/>
              <w:left w:w="72" w:type="dxa"/>
              <w:bottom w:w="29" w:type="dxa"/>
              <w:right w:w="72" w:type="dxa"/>
            </w:tcMar>
          </w:tcPr>
          <w:p w14:paraId="28F2150E" w14:textId="77777777" w:rsidR="007C3307" w:rsidRPr="006656B5" w:rsidRDefault="007C3307" w:rsidP="006656B5">
            <w:pPr>
              <w:rPr>
                <w:i/>
                <w:sz w:val="20"/>
                <w:szCs w:val="20"/>
                <w:lang w:val="fr-FR"/>
              </w:rPr>
            </w:pPr>
            <w:r w:rsidRPr="006656B5">
              <w:rPr>
                <w:sz w:val="20"/>
                <w:szCs w:val="20"/>
                <w:lang w:val="fr-FR"/>
              </w:rPr>
              <w:t>3. Tendances de la fréquence et de l’étendue des feux dans les Zones Prioritaires de Conservation des MRPA, par rapport aux forêts naturelles non protégées, à l’intérieur de la même région</w:t>
            </w:r>
          </w:p>
        </w:tc>
        <w:tc>
          <w:tcPr>
            <w:tcW w:w="3183" w:type="dxa"/>
            <w:shd w:val="clear" w:color="auto" w:fill="EAF1DD"/>
            <w:tcMar>
              <w:top w:w="29" w:type="dxa"/>
              <w:left w:w="72" w:type="dxa"/>
              <w:bottom w:w="29" w:type="dxa"/>
              <w:right w:w="72" w:type="dxa"/>
            </w:tcMar>
          </w:tcPr>
          <w:p w14:paraId="6A1E94BF" w14:textId="77777777" w:rsidR="007C3307" w:rsidRPr="006656B5" w:rsidRDefault="007C3307" w:rsidP="006656B5">
            <w:pPr>
              <w:pStyle w:val="Notedebasdepage"/>
              <w:rPr>
                <w:sz w:val="20"/>
                <w:lang w:val="fr-FR"/>
              </w:rPr>
            </w:pPr>
            <w:r w:rsidRPr="006656B5">
              <w:rPr>
                <w:sz w:val="20"/>
                <w:lang w:val="fr-FR"/>
              </w:rPr>
              <w:t>Les valeurs de référence sont à définir par les spécialistes au début de projet.</w:t>
            </w:r>
          </w:p>
        </w:tc>
        <w:tc>
          <w:tcPr>
            <w:tcW w:w="2737" w:type="dxa"/>
            <w:shd w:val="clear" w:color="auto" w:fill="EAF1DD"/>
            <w:tcMar>
              <w:top w:w="29" w:type="dxa"/>
              <w:left w:w="72" w:type="dxa"/>
              <w:bottom w:w="29" w:type="dxa"/>
              <w:right w:w="72" w:type="dxa"/>
            </w:tcMar>
          </w:tcPr>
          <w:p w14:paraId="323D5B59" w14:textId="77777777" w:rsidR="007C3307" w:rsidRPr="006656B5" w:rsidRDefault="007C3307" w:rsidP="006656B5">
            <w:pPr>
              <w:rPr>
                <w:sz w:val="20"/>
                <w:szCs w:val="20"/>
                <w:lang w:val="fr-FR"/>
              </w:rPr>
            </w:pPr>
            <w:r w:rsidRPr="006656B5">
              <w:rPr>
                <w:sz w:val="20"/>
                <w:szCs w:val="20"/>
                <w:lang w:val="fr-FR"/>
              </w:rPr>
              <w:t xml:space="preserve">Un objectif général et indicatif serait que la fréquence des feux dans les PCZ des MRPA est inférieure à un tiers des superficies des forêts naturelles non protégées dans la même région. Les valeurs d’objectif plus exactes de chaque site seront définies par des spécialistes au début du projet. </w:t>
            </w:r>
          </w:p>
        </w:tc>
        <w:tc>
          <w:tcPr>
            <w:tcW w:w="1547" w:type="dxa"/>
            <w:shd w:val="clear" w:color="auto" w:fill="EAF1DD"/>
            <w:tcMar>
              <w:top w:w="29" w:type="dxa"/>
              <w:left w:w="72" w:type="dxa"/>
              <w:bottom w:w="29" w:type="dxa"/>
              <w:right w:w="72" w:type="dxa"/>
            </w:tcMar>
          </w:tcPr>
          <w:p w14:paraId="76E637C0" w14:textId="77777777" w:rsidR="007C3307" w:rsidRPr="006656B5" w:rsidRDefault="007C3307" w:rsidP="006656B5">
            <w:pPr>
              <w:rPr>
                <w:sz w:val="20"/>
                <w:szCs w:val="20"/>
                <w:lang w:val="fr-FR"/>
              </w:rPr>
            </w:pPr>
            <w:r w:rsidRPr="006656B5">
              <w:rPr>
                <w:sz w:val="20"/>
                <w:szCs w:val="20"/>
                <w:lang w:val="fr-FR"/>
              </w:rPr>
              <w:t>Données par satellite sur les rapports annuels relatifs aux feux de l’Université de Maryland.</w:t>
            </w:r>
          </w:p>
        </w:tc>
        <w:tc>
          <w:tcPr>
            <w:tcW w:w="2023" w:type="dxa"/>
            <w:vMerge/>
            <w:shd w:val="clear" w:color="auto" w:fill="EAF1DD"/>
            <w:tcMar>
              <w:top w:w="29" w:type="dxa"/>
              <w:left w:w="72" w:type="dxa"/>
              <w:bottom w:w="29" w:type="dxa"/>
              <w:right w:w="72" w:type="dxa"/>
            </w:tcMar>
          </w:tcPr>
          <w:p w14:paraId="78F5B975" w14:textId="77777777" w:rsidR="007C3307" w:rsidRPr="006656B5" w:rsidRDefault="007C3307" w:rsidP="006656B5">
            <w:pPr>
              <w:rPr>
                <w:sz w:val="20"/>
                <w:szCs w:val="20"/>
                <w:lang w:val="fr-FR"/>
              </w:rPr>
            </w:pPr>
          </w:p>
        </w:tc>
      </w:tr>
      <w:tr w:rsidR="006656B5" w:rsidRPr="006656B5" w14:paraId="01B42E35" w14:textId="77777777" w:rsidTr="00A4555F">
        <w:tc>
          <w:tcPr>
            <w:tcW w:w="2070" w:type="dxa"/>
            <w:vMerge w:val="restart"/>
            <w:tcMar>
              <w:top w:w="29" w:type="dxa"/>
              <w:left w:w="72" w:type="dxa"/>
              <w:bottom w:w="29" w:type="dxa"/>
              <w:right w:w="72" w:type="dxa"/>
            </w:tcMar>
          </w:tcPr>
          <w:p w14:paraId="64CAB354" w14:textId="77777777" w:rsidR="007C3307" w:rsidRPr="006656B5" w:rsidRDefault="007C3307" w:rsidP="006656B5">
            <w:pPr>
              <w:rPr>
                <w:sz w:val="20"/>
                <w:szCs w:val="20"/>
                <w:lang w:val="fr-FR"/>
              </w:rPr>
            </w:pPr>
            <w:r w:rsidRPr="006656B5">
              <w:rPr>
                <w:b/>
                <w:sz w:val="20"/>
                <w:szCs w:val="20"/>
                <w:lang w:val="fr-FR"/>
              </w:rPr>
              <w:t>Résultat attendu 1 –</w:t>
            </w:r>
            <w:r w:rsidRPr="006656B5">
              <w:rPr>
                <w:sz w:val="20"/>
                <w:szCs w:val="20"/>
                <w:lang w:val="fr-FR"/>
              </w:rPr>
              <w:t xml:space="preserve"> De nouvelles AP créées dans le cadre des catégories V et VI de l’UICN comme fondation d’un sous réseau fonctionnel et efficace d’Aires Protégées de Ressources Naturelles </w:t>
            </w:r>
            <w:r w:rsidRPr="006656B5">
              <w:rPr>
                <w:sz w:val="20"/>
                <w:szCs w:val="20"/>
                <w:lang w:val="fr-FR"/>
              </w:rPr>
              <w:lastRenderedPageBreak/>
              <w:t>Gérées sur la base d’une vision et de principes de gestion communs</w:t>
            </w:r>
          </w:p>
          <w:p w14:paraId="4F4E95DA" w14:textId="77777777" w:rsidR="007C3307" w:rsidRPr="006656B5" w:rsidRDefault="007C3307" w:rsidP="006656B5">
            <w:pPr>
              <w:rPr>
                <w:sz w:val="20"/>
                <w:szCs w:val="20"/>
                <w:lang w:val="fr-FR"/>
              </w:rPr>
            </w:pPr>
          </w:p>
          <w:p w14:paraId="14D79B19" w14:textId="77777777" w:rsidR="007C3307" w:rsidRPr="006656B5" w:rsidRDefault="007C3307" w:rsidP="006656B5">
            <w:pPr>
              <w:rPr>
                <w:sz w:val="20"/>
                <w:szCs w:val="20"/>
                <w:lang w:val="fr-FR"/>
              </w:rPr>
            </w:pPr>
          </w:p>
          <w:p w14:paraId="2E65CBD3" w14:textId="77777777" w:rsidR="007C3307" w:rsidRPr="006656B5" w:rsidRDefault="007C3307" w:rsidP="006656B5">
            <w:pPr>
              <w:rPr>
                <w:sz w:val="20"/>
                <w:szCs w:val="20"/>
                <w:lang w:val="fr-FR"/>
              </w:rPr>
            </w:pPr>
          </w:p>
          <w:p w14:paraId="12492AE8" w14:textId="77777777" w:rsidR="007C3307" w:rsidRPr="006656B5" w:rsidRDefault="007C3307" w:rsidP="006656B5">
            <w:pPr>
              <w:rPr>
                <w:sz w:val="20"/>
                <w:szCs w:val="20"/>
                <w:lang w:val="fr-FR"/>
              </w:rPr>
            </w:pPr>
          </w:p>
          <w:p w14:paraId="1BFFC42D" w14:textId="77777777" w:rsidR="007C3307" w:rsidRPr="006656B5" w:rsidRDefault="007C3307" w:rsidP="006656B5">
            <w:pPr>
              <w:rPr>
                <w:sz w:val="20"/>
                <w:szCs w:val="20"/>
                <w:lang w:val="fr-FR"/>
              </w:rPr>
            </w:pPr>
          </w:p>
          <w:p w14:paraId="3E15A72C" w14:textId="77777777" w:rsidR="007C3307" w:rsidRPr="006656B5" w:rsidRDefault="007C3307" w:rsidP="006656B5">
            <w:pPr>
              <w:rPr>
                <w:sz w:val="20"/>
                <w:szCs w:val="20"/>
                <w:lang w:val="fr-FR"/>
              </w:rPr>
            </w:pPr>
          </w:p>
          <w:p w14:paraId="5FBB1EFF" w14:textId="77777777" w:rsidR="007C3307" w:rsidRPr="006656B5" w:rsidRDefault="007C3307" w:rsidP="006656B5">
            <w:pPr>
              <w:rPr>
                <w:sz w:val="20"/>
                <w:szCs w:val="20"/>
                <w:lang w:val="fr-FR"/>
              </w:rPr>
            </w:pPr>
          </w:p>
          <w:p w14:paraId="28A0F893" w14:textId="77777777" w:rsidR="007C3307" w:rsidRPr="006656B5" w:rsidRDefault="007C3307" w:rsidP="006656B5">
            <w:pPr>
              <w:rPr>
                <w:sz w:val="20"/>
                <w:szCs w:val="20"/>
                <w:lang w:val="fr-FR"/>
              </w:rPr>
            </w:pPr>
          </w:p>
          <w:p w14:paraId="426CF45F"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68E7B999" w14:textId="77777777" w:rsidR="007C3307" w:rsidRPr="006656B5" w:rsidRDefault="007C3307" w:rsidP="006656B5">
            <w:pPr>
              <w:rPr>
                <w:sz w:val="20"/>
                <w:szCs w:val="20"/>
                <w:lang w:val="fr-FR"/>
              </w:rPr>
            </w:pPr>
            <w:r w:rsidRPr="006656B5">
              <w:rPr>
                <w:sz w:val="20"/>
                <w:szCs w:val="20"/>
                <w:lang w:val="fr-FR"/>
              </w:rPr>
              <w:lastRenderedPageBreak/>
              <w:t>1. Augmentation des points sur l’Outil de Suivi analytique de l’Efficacité de Gestion (METT) du GEF4 pour tous les huit MRPA.</w:t>
            </w:r>
          </w:p>
          <w:p w14:paraId="1CC821AA" w14:textId="77777777" w:rsidR="007C3307" w:rsidRPr="006656B5" w:rsidRDefault="007C3307" w:rsidP="006656B5">
            <w:pPr>
              <w:rPr>
                <w:sz w:val="20"/>
                <w:szCs w:val="20"/>
                <w:lang w:val="fr-FR"/>
              </w:rPr>
            </w:pPr>
          </w:p>
          <w:p w14:paraId="44C02CA2" w14:textId="77777777" w:rsidR="007C3307" w:rsidRPr="006656B5" w:rsidRDefault="007C3307" w:rsidP="006656B5">
            <w:pPr>
              <w:rPr>
                <w:i/>
                <w:sz w:val="20"/>
                <w:szCs w:val="20"/>
                <w:lang w:val="fr-FR"/>
              </w:rPr>
            </w:pPr>
          </w:p>
        </w:tc>
        <w:tc>
          <w:tcPr>
            <w:tcW w:w="3183" w:type="dxa"/>
            <w:tcMar>
              <w:top w:w="29" w:type="dxa"/>
              <w:left w:w="72" w:type="dxa"/>
              <w:bottom w:w="29" w:type="dxa"/>
              <w:right w:w="72" w:type="dxa"/>
            </w:tcMar>
          </w:tcPr>
          <w:p w14:paraId="1B7D0D55" w14:textId="77777777" w:rsidR="007C3307" w:rsidRPr="006656B5" w:rsidRDefault="007C3307" w:rsidP="006656B5">
            <w:pPr>
              <w:pStyle w:val="Paragraphedeliste2"/>
              <w:ind w:left="0"/>
              <w:jc w:val="left"/>
              <w:rPr>
                <w:sz w:val="20"/>
                <w:szCs w:val="20"/>
                <w:lang w:val="fr-FR"/>
              </w:rPr>
            </w:pPr>
            <w:r w:rsidRPr="006656B5">
              <w:rPr>
                <w:sz w:val="20"/>
                <w:szCs w:val="20"/>
                <w:lang w:val="fr-FR"/>
              </w:rPr>
              <w:t xml:space="preserve">Points de référence en 2010 : </w:t>
            </w:r>
          </w:p>
          <w:p w14:paraId="27753E7C" w14:textId="77777777" w:rsidR="007C3307" w:rsidRPr="006656B5" w:rsidRDefault="007C3307" w:rsidP="006656B5">
            <w:pPr>
              <w:pStyle w:val="Paragraphedeliste2"/>
              <w:tabs>
                <w:tab w:val="right" w:pos="2972"/>
              </w:tabs>
              <w:ind w:left="0"/>
              <w:jc w:val="left"/>
              <w:rPr>
                <w:sz w:val="18"/>
                <w:szCs w:val="20"/>
                <w:lang w:val="fr-FR"/>
              </w:rPr>
            </w:pPr>
            <w:r w:rsidRPr="006656B5">
              <w:rPr>
                <w:sz w:val="18"/>
                <w:szCs w:val="20"/>
                <w:lang w:val="fr-FR"/>
              </w:rPr>
              <w:t>[1] Menabe-Antimena</w:t>
            </w:r>
            <w:r w:rsidRPr="006656B5">
              <w:rPr>
                <w:sz w:val="18"/>
                <w:szCs w:val="20"/>
                <w:lang w:val="fr-FR"/>
              </w:rPr>
              <w:tab/>
              <w:t>78</w:t>
            </w:r>
          </w:p>
          <w:p w14:paraId="57EAF542" w14:textId="77777777" w:rsidR="007C3307" w:rsidRPr="006656B5" w:rsidRDefault="007C3307" w:rsidP="006656B5">
            <w:pPr>
              <w:pStyle w:val="Paragraphedeliste2"/>
              <w:tabs>
                <w:tab w:val="right" w:pos="2972"/>
              </w:tabs>
              <w:ind w:left="0"/>
              <w:jc w:val="left"/>
              <w:rPr>
                <w:sz w:val="18"/>
                <w:szCs w:val="20"/>
                <w:lang w:val="en-US"/>
              </w:rPr>
            </w:pPr>
            <w:r w:rsidRPr="006656B5">
              <w:rPr>
                <w:sz w:val="18"/>
                <w:szCs w:val="20"/>
                <w:lang w:val="en-US"/>
              </w:rPr>
              <w:t>[2] Complex Mahavavy-Kinkony</w:t>
            </w:r>
            <w:r w:rsidRPr="006656B5">
              <w:rPr>
                <w:sz w:val="18"/>
                <w:szCs w:val="20"/>
                <w:lang w:val="en-US"/>
              </w:rPr>
              <w:tab/>
              <w:t xml:space="preserve">56 </w:t>
            </w:r>
          </w:p>
          <w:p w14:paraId="6BCFD97D" w14:textId="77777777" w:rsidR="007C3307" w:rsidRPr="006656B5" w:rsidRDefault="007C3307" w:rsidP="006656B5">
            <w:pPr>
              <w:pStyle w:val="Paragraphedeliste2"/>
              <w:tabs>
                <w:tab w:val="right" w:pos="2972"/>
              </w:tabs>
              <w:ind w:left="0"/>
              <w:jc w:val="left"/>
              <w:rPr>
                <w:sz w:val="18"/>
                <w:szCs w:val="20"/>
                <w:lang w:val="en-US"/>
              </w:rPr>
            </w:pPr>
            <w:r w:rsidRPr="006656B5">
              <w:rPr>
                <w:sz w:val="18"/>
                <w:szCs w:val="20"/>
                <w:lang w:val="en-US"/>
              </w:rPr>
              <w:t>[3] Loky Manambato</w:t>
            </w:r>
            <w:r w:rsidRPr="006656B5">
              <w:rPr>
                <w:sz w:val="18"/>
                <w:szCs w:val="20"/>
                <w:lang w:val="en-US"/>
              </w:rPr>
              <w:tab/>
              <w:t>67</w:t>
            </w:r>
          </w:p>
          <w:p w14:paraId="1FD77B8F" w14:textId="77777777" w:rsidR="007C3307" w:rsidRPr="006656B5" w:rsidRDefault="007C3307" w:rsidP="006656B5">
            <w:pPr>
              <w:pStyle w:val="Paragraphedeliste2"/>
              <w:tabs>
                <w:tab w:val="right" w:pos="2972"/>
              </w:tabs>
              <w:ind w:left="0"/>
              <w:jc w:val="left"/>
              <w:rPr>
                <w:sz w:val="18"/>
                <w:szCs w:val="20"/>
                <w:lang w:val="it-IT"/>
              </w:rPr>
            </w:pPr>
            <w:r w:rsidRPr="006656B5">
              <w:rPr>
                <w:sz w:val="18"/>
                <w:szCs w:val="20"/>
                <w:lang w:val="it-IT"/>
              </w:rPr>
              <w:t xml:space="preserve">[4] Ampasindava Peninsula &amp; Galoko Kalabenono </w:t>
            </w:r>
            <w:r w:rsidRPr="006656B5">
              <w:rPr>
                <w:sz w:val="18"/>
                <w:szCs w:val="20"/>
                <w:lang w:val="it-IT"/>
              </w:rPr>
              <w:tab/>
              <w:t>6</w:t>
            </w:r>
          </w:p>
          <w:p w14:paraId="28ABED33" w14:textId="77777777" w:rsidR="007C3307" w:rsidRPr="006656B5" w:rsidRDefault="007C3307" w:rsidP="006656B5">
            <w:pPr>
              <w:tabs>
                <w:tab w:val="right" w:pos="2972"/>
              </w:tabs>
              <w:rPr>
                <w:sz w:val="20"/>
                <w:szCs w:val="20"/>
                <w:lang w:val="it-IT"/>
              </w:rPr>
            </w:pPr>
            <w:r w:rsidRPr="006656B5">
              <w:rPr>
                <w:sz w:val="18"/>
                <w:szCs w:val="20"/>
                <w:lang w:val="it-IT"/>
              </w:rPr>
              <w:t xml:space="preserve">[5] Ambohimirahavavy Marivorahona </w:t>
            </w:r>
            <w:r w:rsidRPr="006656B5">
              <w:rPr>
                <w:sz w:val="18"/>
                <w:szCs w:val="20"/>
                <w:lang w:val="it-IT"/>
              </w:rPr>
              <w:tab/>
              <w:t>5</w:t>
            </w:r>
          </w:p>
        </w:tc>
        <w:tc>
          <w:tcPr>
            <w:tcW w:w="2737" w:type="dxa"/>
            <w:tcMar>
              <w:top w:w="29" w:type="dxa"/>
              <w:left w:w="72" w:type="dxa"/>
              <w:bottom w:w="29" w:type="dxa"/>
              <w:right w:w="72" w:type="dxa"/>
            </w:tcMar>
          </w:tcPr>
          <w:p w14:paraId="66B7859B" w14:textId="77777777" w:rsidR="007C3307" w:rsidRPr="006656B5" w:rsidRDefault="007C3307" w:rsidP="006656B5">
            <w:pPr>
              <w:widowControl w:val="0"/>
              <w:rPr>
                <w:sz w:val="20"/>
                <w:szCs w:val="20"/>
                <w:lang w:val="fr-FR"/>
              </w:rPr>
            </w:pPr>
            <w:r w:rsidRPr="006656B5">
              <w:rPr>
                <w:sz w:val="20"/>
                <w:szCs w:val="20"/>
                <w:lang w:val="fr-FR"/>
              </w:rPr>
              <w:t>Tous les sites ont un minimum de 80 points.  Actuellement, les sites appuyés avec les points plus élevés devraient augmenter de 20.</w:t>
            </w:r>
          </w:p>
        </w:tc>
        <w:tc>
          <w:tcPr>
            <w:tcW w:w="1547" w:type="dxa"/>
            <w:tcMar>
              <w:top w:w="29" w:type="dxa"/>
              <w:left w:w="72" w:type="dxa"/>
              <w:bottom w:w="29" w:type="dxa"/>
              <w:right w:w="72" w:type="dxa"/>
            </w:tcMar>
          </w:tcPr>
          <w:p w14:paraId="298D8179" w14:textId="77777777" w:rsidR="007C3307" w:rsidRPr="006656B5" w:rsidRDefault="007C3307" w:rsidP="006656B5">
            <w:pPr>
              <w:widowControl w:val="0"/>
              <w:rPr>
                <w:sz w:val="20"/>
                <w:szCs w:val="20"/>
                <w:lang w:val="fr-FR"/>
              </w:rPr>
            </w:pPr>
            <w:r w:rsidRPr="006656B5">
              <w:rPr>
                <w:sz w:val="20"/>
                <w:szCs w:val="20"/>
                <w:lang w:val="fr-FR"/>
              </w:rPr>
              <w:t xml:space="preserve">Application de l’Outil de Suivi Analytique de l’Efficacité de la Gestion des AP de GEF4 “METT” pour tous les huit sites cibles de MRPA, examinés </w:t>
            </w:r>
            <w:r w:rsidRPr="006656B5">
              <w:rPr>
                <w:sz w:val="20"/>
                <w:szCs w:val="20"/>
                <w:lang w:val="fr-FR"/>
              </w:rPr>
              <w:lastRenderedPageBreak/>
              <w:t xml:space="preserve">minutieusement par l’évaluation de mi parcours et l’évaluation finale. </w:t>
            </w:r>
          </w:p>
        </w:tc>
        <w:tc>
          <w:tcPr>
            <w:tcW w:w="2023" w:type="dxa"/>
            <w:vMerge w:val="restart"/>
            <w:tcMar>
              <w:top w:w="29" w:type="dxa"/>
              <w:left w:w="72" w:type="dxa"/>
              <w:bottom w:w="29" w:type="dxa"/>
              <w:right w:w="72" w:type="dxa"/>
            </w:tcMar>
          </w:tcPr>
          <w:p w14:paraId="34ACC398" w14:textId="77777777" w:rsidR="007C3307" w:rsidRPr="006656B5" w:rsidRDefault="007C3307" w:rsidP="006656B5">
            <w:pPr>
              <w:rPr>
                <w:iCs/>
                <w:sz w:val="20"/>
                <w:szCs w:val="20"/>
                <w:lang w:val="fr-FR"/>
              </w:rPr>
            </w:pPr>
            <w:r w:rsidRPr="006656B5">
              <w:rPr>
                <w:iCs/>
                <w:sz w:val="20"/>
                <w:szCs w:val="20"/>
                <w:lang w:val="fr-FR"/>
              </w:rPr>
              <w:lastRenderedPageBreak/>
              <w:t>Les administrations régionales et communales, ainsi que les communautés locales, choisissent de coopérer avec les partenaires du projet vers la consolidation des MRPA.</w:t>
            </w:r>
          </w:p>
          <w:p w14:paraId="62D86061" w14:textId="77777777" w:rsidR="007C3307" w:rsidRPr="006656B5" w:rsidRDefault="007C3307" w:rsidP="006656B5">
            <w:pPr>
              <w:rPr>
                <w:iCs/>
                <w:sz w:val="20"/>
                <w:szCs w:val="20"/>
                <w:lang w:val="fr-FR"/>
              </w:rPr>
            </w:pPr>
          </w:p>
          <w:p w14:paraId="21F651FD" w14:textId="77777777" w:rsidR="007C3307" w:rsidRPr="006656B5" w:rsidRDefault="007C3307" w:rsidP="006656B5">
            <w:pPr>
              <w:rPr>
                <w:iCs/>
                <w:sz w:val="20"/>
                <w:szCs w:val="20"/>
                <w:lang w:val="fr-FR"/>
              </w:rPr>
            </w:pPr>
            <w:r w:rsidRPr="006656B5">
              <w:rPr>
                <w:iCs/>
                <w:sz w:val="20"/>
                <w:szCs w:val="20"/>
                <w:lang w:val="fr-FR"/>
              </w:rPr>
              <w:t>Le zonage des MRPA est un outil efficace pour la conservation des écosystèmes clés intacts, dans un contexte d’aménagement du territoire et d’utilisation durable de la biodiversité.</w:t>
            </w:r>
          </w:p>
        </w:tc>
      </w:tr>
      <w:tr w:rsidR="006656B5" w:rsidRPr="006656B5" w14:paraId="3EFD69AE" w14:textId="77777777" w:rsidTr="00A4555F">
        <w:tc>
          <w:tcPr>
            <w:tcW w:w="2070" w:type="dxa"/>
            <w:vMerge/>
            <w:tcMar>
              <w:top w:w="29" w:type="dxa"/>
              <w:left w:w="72" w:type="dxa"/>
              <w:bottom w:w="29" w:type="dxa"/>
              <w:right w:w="72" w:type="dxa"/>
            </w:tcMar>
          </w:tcPr>
          <w:p w14:paraId="785D4BD1"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2E328358" w14:textId="77777777" w:rsidR="007C3307" w:rsidRPr="006656B5" w:rsidRDefault="007C3307" w:rsidP="006656B5">
            <w:pPr>
              <w:rPr>
                <w:sz w:val="20"/>
                <w:szCs w:val="20"/>
                <w:lang w:val="fr-FR"/>
              </w:rPr>
            </w:pPr>
            <w:r w:rsidRPr="006656B5">
              <w:rPr>
                <w:sz w:val="20"/>
                <w:szCs w:val="20"/>
                <w:lang w:val="fr-FR"/>
              </w:rPr>
              <w:t>2. L’application des Plans de Zonage des MRPA pour les AP sensibles est efficace, tel que mesuré par le nombre annuel d’infractions, faisant l’objet de rapport, sur chaque site, par les communes et les communautés locales.</w:t>
            </w:r>
          </w:p>
        </w:tc>
        <w:tc>
          <w:tcPr>
            <w:tcW w:w="3183" w:type="dxa"/>
            <w:tcMar>
              <w:top w:w="29" w:type="dxa"/>
              <w:left w:w="72" w:type="dxa"/>
              <w:bottom w:w="29" w:type="dxa"/>
              <w:right w:w="72" w:type="dxa"/>
            </w:tcMar>
          </w:tcPr>
          <w:p w14:paraId="62E59F75" w14:textId="77777777" w:rsidR="007C3307" w:rsidRPr="006656B5" w:rsidRDefault="007C3307" w:rsidP="006656B5">
            <w:pPr>
              <w:tabs>
                <w:tab w:val="left" w:pos="540"/>
                <w:tab w:val="left" w:pos="720"/>
                <w:tab w:val="left" w:pos="1440"/>
                <w:tab w:val="right" w:pos="3039"/>
              </w:tabs>
              <w:rPr>
                <w:i/>
                <w:sz w:val="20"/>
                <w:szCs w:val="20"/>
                <w:lang w:val="fr-FR"/>
              </w:rPr>
            </w:pPr>
            <w:r w:rsidRPr="006656B5">
              <w:rPr>
                <w:sz w:val="20"/>
                <w:szCs w:val="20"/>
                <w:lang w:val="fr-FR"/>
              </w:rPr>
              <w:t>A présent, les communes et les communautés locales dans les MRPA ciblées ne se sont pas encore préparées à faire des rapports sur les infractions.</w:t>
            </w:r>
          </w:p>
          <w:p w14:paraId="1E233934" w14:textId="77777777" w:rsidR="007C3307" w:rsidRPr="006656B5" w:rsidRDefault="007C3307" w:rsidP="006656B5">
            <w:pPr>
              <w:tabs>
                <w:tab w:val="left" w:pos="540"/>
                <w:tab w:val="left" w:pos="720"/>
                <w:tab w:val="left" w:pos="1440"/>
                <w:tab w:val="right" w:pos="3039"/>
              </w:tabs>
              <w:rPr>
                <w:sz w:val="20"/>
                <w:szCs w:val="20"/>
                <w:lang w:val="fr-FR"/>
              </w:rPr>
            </w:pPr>
          </w:p>
        </w:tc>
        <w:tc>
          <w:tcPr>
            <w:tcW w:w="2737" w:type="dxa"/>
            <w:tcMar>
              <w:top w:w="29" w:type="dxa"/>
              <w:left w:w="72" w:type="dxa"/>
              <w:bottom w:w="29" w:type="dxa"/>
              <w:right w:w="72" w:type="dxa"/>
            </w:tcMar>
          </w:tcPr>
          <w:p w14:paraId="4856305E" w14:textId="77777777" w:rsidR="007C3307" w:rsidRPr="006656B5" w:rsidRDefault="007C3307" w:rsidP="006656B5">
            <w:pPr>
              <w:rPr>
                <w:sz w:val="20"/>
                <w:szCs w:val="20"/>
                <w:lang w:val="fr-FR"/>
              </w:rPr>
            </w:pPr>
            <w:r w:rsidRPr="006656B5">
              <w:rPr>
                <w:sz w:val="20"/>
                <w:szCs w:val="20"/>
                <w:lang w:val="fr-FR"/>
              </w:rPr>
              <w:t>Un affinement de cet indicateur et des objectifs appropriés seront définis une fois que les Plans sont en vigueur et qu’un système de suivi des infractions est en place.</w:t>
            </w:r>
          </w:p>
        </w:tc>
        <w:tc>
          <w:tcPr>
            <w:tcW w:w="1547" w:type="dxa"/>
            <w:tcMar>
              <w:top w:w="29" w:type="dxa"/>
              <w:left w:w="72" w:type="dxa"/>
              <w:bottom w:w="29" w:type="dxa"/>
              <w:right w:w="72" w:type="dxa"/>
            </w:tcMar>
          </w:tcPr>
          <w:p w14:paraId="2D8A73FF" w14:textId="77777777" w:rsidR="007C3307" w:rsidRPr="006656B5" w:rsidRDefault="007C3307" w:rsidP="006656B5">
            <w:pPr>
              <w:rPr>
                <w:sz w:val="20"/>
                <w:szCs w:val="20"/>
                <w:lang w:val="fr-FR"/>
              </w:rPr>
            </w:pPr>
            <w:r w:rsidRPr="006656B5">
              <w:rPr>
                <w:sz w:val="20"/>
                <w:szCs w:val="20"/>
                <w:lang w:val="fr-FR"/>
              </w:rPr>
              <w:t>Rapports annuels relatives aux sites MRPA et surveillance sur le terrain.</w:t>
            </w:r>
          </w:p>
          <w:p w14:paraId="3390BC0E" w14:textId="77777777" w:rsidR="007C3307" w:rsidRPr="006656B5" w:rsidRDefault="007C3307" w:rsidP="006656B5">
            <w:pPr>
              <w:rPr>
                <w:sz w:val="20"/>
                <w:szCs w:val="20"/>
                <w:lang w:val="fr-FR"/>
              </w:rPr>
            </w:pPr>
          </w:p>
        </w:tc>
        <w:tc>
          <w:tcPr>
            <w:tcW w:w="2023" w:type="dxa"/>
            <w:vMerge/>
            <w:tcMar>
              <w:top w:w="29" w:type="dxa"/>
              <w:left w:w="72" w:type="dxa"/>
              <w:bottom w:w="29" w:type="dxa"/>
              <w:right w:w="72" w:type="dxa"/>
            </w:tcMar>
          </w:tcPr>
          <w:p w14:paraId="528B2453" w14:textId="77777777" w:rsidR="007C3307" w:rsidRPr="006656B5" w:rsidRDefault="007C3307" w:rsidP="006656B5">
            <w:pPr>
              <w:rPr>
                <w:iCs/>
                <w:sz w:val="20"/>
                <w:szCs w:val="20"/>
                <w:u w:val="single"/>
                <w:lang w:val="fr-FR"/>
              </w:rPr>
            </w:pPr>
          </w:p>
        </w:tc>
      </w:tr>
      <w:tr w:rsidR="006656B5" w:rsidRPr="006656B5" w14:paraId="100A8B2B" w14:textId="77777777" w:rsidTr="00A4555F">
        <w:tc>
          <w:tcPr>
            <w:tcW w:w="2070" w:type="dxa"/>
            <w:vMerge w:val="restart"/>
            <w:tcMar>
              <w:top w:w="29" w:type="dxa"/>
              <w:left w:w="72" w:type="dxa"/>
              <w:bottom w:w="29" w:type="dxa"/>
              <w:right w:w="72" w:type="dxa"/>
            </w:tcMar>
          </w:tcPr>
          <w:p w14:paraId="1ACC16C6" w14:textId="77777777" w:rsidR="007C3307" w:rsidRPr="006656B5" w:rsidRDefault="007C3307" w:rsidP="006656B5">
            <w:pPr>
              <w:rPr>
                <w:bCs/>
                <w:sz w:val="20"/>
                <w:szCs w:val="20"/>
                <w:lang w:val="fr-FR"/>
              </w:rPr>
            </w:pPr>
            <w:r w:rsidRPr="006656B5">
              <w:rPr>
                <w:b/>
                <w:sz w:val="20"/>
                <w:szCs w:val="20"/>
                <w:lang w:val="fr-FR"/>
              </w:rPr>
              <w:t xml:space="preserve">Résultat attendu 2 – </w:t>
            </w:r>
          </w:p>
          <w:p w14:paraId="22926640" w14:textId="77777777" w:rsidR="007C3307" w:rsidRPr="006656B5" w:rsidRDefault="007C3307" w:rsidP="006656B5">
            <w:pPr>
              <w:rPr>
                <w:sz w:val="20"/>
                <w:szCs w:val="20"/>
                <w:lang w:val="fr-FR"/>
              </w:rPr>
            </w:pPr>
            <w:r w:rsidRPr="006656B5">
              <w:rPr>
                <w:sz w:val="20"/>
                <w:szCs w:val="20"/>
                <w:lang w:val="fr-FR"/>
              </w:rPr>
              <w:t xml:space="preserve">La capacité institutionnelle, au niveau des groupes majeurs des parties prenantes, fournit un cadre favorable à la décentralisation de la gouvernance des </w:t>
            </w:r>
            <w:r w:rsidRPr="006656B5">
              <w:rPr>
                <w:sz w:val="20"/>
                <w:szCs w:val="20"/>
                <w:lang w:val="fr-FR"/>
              </w:rPr>
              <w:lastRenderedPageBreak/>
              <w:t>MRPA et assure la conservation de la biodiversité et une croissance économique durable basée sur les ressources naturelles</w:t>
            </w:r>
          </w:p>
          <w:p w14:paraId="65696131" w14:textId="77777777" w:rsidR="007C3307" w:rsidRPr="006656B5" w:rsidRDefault="007C3307" w:rsidP="006656B5">
            <w:pPr>
              <w:rPr>
                <w:b/>
                <w:sz w:val="20"/>
                <w:szCs w:val="20"/>
                <w:lang w:val="fr-FR"/>
              </w:rPr>
            </w:pPr>
          </w:p>
          <w:p w14:paraId="16C27AA2" w14:textId="77777777" w:rsidR="007C3307" w:rsidRPr="006656B5" w:rsidRDefault="007C3307" w:rsidP="006656B5">
            <w:pPr>
              <w:rPr>
                <w:b/>
                <w:sz w:val="20"/>
                <w:szCs w:val="20"/>
                <w:lang w:val="fr-FR"/>
              </w:rPr>
            </w:pPr>
          </w:p>
          <w:p w14:paraId="3DE7468F" w14:textId="77777777" w:rsidR="007C3307" w:rsidRPr="006656B5" w:rsidRDefault="007C3307" w:rsidP="006656B5">
            <w:pPr>
              <w:rPr>
                <w:b/>
                <w:sz w:val="20"/>
                <w:szCs w:val="20"/>
                <w:lang w:val="fr-FR"/>
              </w:rPr>
            </w:pPr>
          </w:p>
          <w:p w14:paraId="6C8AAE25" w14:textId="77777777" w:rsidR="007C3307" w:rsidRPr="006656B5" w:rsidRDefault="007C3307" w:rsidP="006656B5">
            <w:pPr>
              <w:rPr>
                <w:sz w:val="20"/>
                <w:szCs w:val="20"/>
                <w:lang w:val="fr-FR"/>
              </w:rPr>
            </w:pPr>
          </w:p>
        </w:tc>
        <w:tc>
          <w:tcPr>
            <w:tcW w:w="3323" w:type="dxa"/>
            <w:tcMar>
              <w:top w:w="29" w:type="dxa"/>
              <w:left w:w="72" w:type="dxa"/>
              <w:bottom w:w="29" w:type="dxa"/>
              <w:right w:w="72" w:type="dxa"/>
            </w:tcMar>
          </w:tcPr>
          <w:p w14:paraId="1F47A540" w14:textId="77777777" w:rsidR="007C3307" w:rsidRPr="006656B5" w:rsidRDefault="007C3307" w:rsidP="006656B5">
            <w:pPr>
              <w:rPr>
                <w:sz w:val="20"/>
                <w:szCs w:val="20"/>
                <w:lang w:val="fr-FR"/>
              </w:rPr>
            </w:pPr>
            <w:r w:rsidRPr="006656B5">
              <w:rPr>
                <w:sz w:val="20"/>
                <w:szCs w:val="20"/>
                <w:lang w:val="fr-FR"/>
              </w:rPr>
              <w:lastRenderedPageBreak/>
              <w:t>1. Augmentation progressive des points sur la carte de pointage du Développement de Capacité pour la Gestion des Aires Protégées par rapport au ratio de la moyenne de référence de 51% pour les MRPA  ciblées.</w:t>
            </w:r>
          </w:p>
          <w:p w14:paraId="1A9B39A1" w14:textId="77777777" w:rsidR="007C3307" w:rsidRPr="006656B5" w:rsidRDefault="007C3307" w:rsidP="006656B5">
            <w:pPr>
              <w:rPr>
                <w:sz w:val="20"/>
                <w:szCs w:val="20"/>
                <w:lang w:val="fr-FR"/>
              </w:rPr>
            </w:pPr>
          </w:p>
          <w:p w14:paraId="4FFEA3DD" w14:textId="77777777" w:rsidR="007C3307" w:rsidRPr="006656B5" w:rsidRDefault="007C3307" w:rsidP="006656B5">
            <w:pPr>
              <w:rPr>
                <w:i/>
                <w:sz w:val="20"/>
                <w:szCs w:val="20"/>
                <w:lang w:val="fr-FR"/>
              </w:rPr>
            </w:pPr>
          </w:p>
        </w:tc>
        <w:tc>
          <w:tcPr>
            <w:tcW w:w="3183" w:type="dxa"/>
            <w:tcMar>
              <w:top w:w="29" w:type="dxa"/>
              <w:left w:w="72" w:type="dxa"/>
              <w:bottom w:w="29" w:type="dxa"/>
              <w:right w:w="72" w:type="dxa"/>
            </w:tcMar>
          </w:tcPr>
          <w:p w14:paraId="76E12EF9" w14:textId="77777777" w:rsidR="007C3307" w:rsidRPr="006656B5" w:rsidRDefault="007C3307" w:rsidP="006656B5">
            <w:pPr>
              <w:rPr>
                <w:sz w:val="20"/>
                <w:szCs w:val="20"/>
                <w:lang w:val="fr-FR"/>
              </w:rPr>
            </w:pPr>
            <w:r w:rsidRPr="006656B5">
              <w:rPr>
                <w:sz w:val="20"/>
                <w:szCs w:val="20"/>
                <w:lang w:val="fr-FR"/>
              </w:rPr>
              <w:lastRenderedPageBreak/>
              <w:t xml:space="preserve">Systémique </w:t>
            </w:r>
            <w:r w:rsidRPr="006656B5">
              <w:rPr>
                <w:sz w:val="20"/>
                <w:szCs w:val="20"/>
                <w:lang w:val="fr-FR"/>
              </w:rPr>
              <w:tab/>
              <w:t>14/30 (44%)</w:t>
            </w:r>
          </w:p>
          <w:p w14:paraId="37D3F08E" w14:textId="77777777" w:rsidR="007C3307" w:rsidRPr="006656B5" w:rsidRDefault="007C3307" w:rsidP="006656B5">
            <w:pPr>
              <w:rPr>
                <w:sz w:val="20"/>
                <w:szCs w:val="20"/>
                <w:lang w:val="fr-FR"/>
              </w:rPr>
            </w:pPr>
            <w:r w:rsidRPr="006656B5">
              <w:rPr>
                <w:sz w:val="20"/>
                <w:szCs w:val="20"/>
                <w:lang w:val="fr-FR"/>
              </w:rPr>
              <w:t>Institutionnelle</w:t>
            </w:r>
            <w:r w:rsidRPr="006656B5">
              <w:rPr>
                <w:sz w:val="20"/>
                <w:szCs w:val="20"/>
                <w:lang w:val="fr-FR"/>
              </w:rPr>
              <w:tab/>
              <w:t>21/45 (55%)</w:t>
            </w:r>
          </w:p>
          <w:p w14:paraId="58C05937" w14:textId="77777777" w:rsidR="007C3307" w:rsidRPr="006656B5" w:rsidRDefault="007C3307" w:rsidP="006656B5">
            <w:pPr>
              <w:rPr>
                <w:sz w:val="20"/>
                <w:szCs w:val="20"/>
                <w:lang w:val="fr-FR"/>
              </w:rPr>
            </w:pPr>
            <w:r w:rsidRPr="006656B5">
              <w:rPr>
                <w:sz w:val="20"/>
                <w:szCs w:val="20"/>
                <w:lang w:val="fr-FR"/>
              </w:rPr>
              <w:t xml:space="preserve">Individuelle </w:t>
            </w:r>
            <w:r w:rsidRPr="006656B5">
              <w:rPr>
                <w:sz w:val="20"/>
                <w:szCs w:val="20"/>
                <w:lang w:val="fr-FR"/>
              </w:rPr>
              <w:tab/>
              <w:t>11/21 (54%)</w:t>
            </w:r>
          </w:p>
          <w:p w14:paraId="662B86D1" w14:textId="77777777" w:rsidR="007C3307" w:rsidRPr="006656B5" w:rsidRDefault="007C3307" w:rsidP="006656B5">
            <w:pPr>
              <w:rPr>
                <w:sz w:val="20"/>
                <w:szCs w:val="20"/>
                <w:lang w:val="fr-FR"/>
              </w:rPr>
            </w:pPr>
            <w:r w:rsidRPr="006656B5">
              <w:rPr>
                <w:sz w:val="20"/>
                <w:szCs w:val="20"/>
                <w:lang w:val="fr-FR"/>
              </w:rPr>
              <w:t>(Moyenne générale 51%)</w:t>
            </w:r>
          </w:p>
          <w:p w14:paraId="2EDFF916" w14:textId="77777777" w:rsidR="007C3307" w:rsidRPr="006656B5" w:rsidRDefault="007C3307" w:rsidP="006656B5">
            <w:pPr>
              <w:tabs>
                <w:tab w:val="left" w:pos="540"/>
                <w:tab w:val="left" w:pos="720"/>
                <w:tab w:val="left" w:pos="1440"/>
                <w:tab w:val="right" w:pos="3039"/>
              </w:tabs>
              <w:rPr>
                <w:sz w:val="20"/>
                <w:szCs w:val="20"/>
                <w:lang w:val="fr-FR"/>
              </w:rPr>
            </w:pPr>
          </w:p>
        </w:tc>
        <w:tc>
          <w:tcPr>
            <w:tcW w:w="2737" w:type="dxa"/>
            <w:tcMar>
              <w:top w:w="29" w:type="dxa"/>
              <w:left w:w="72" w:type="dxa"/>
              <w:bottom w:w="29" w:type="dxa"/>
              <w:right w:w="72" w:type="dxa"/>
            </w:tcMar>
          </w:tcPr>
          <w:p w14:paraId="61638FD1" w14:textId="77777777" w:rsidR="007C3307" w:rsidRPr="006656B5" w:rsidRDefault="007C3307" w:rsidP="006656B5">
            <w:pPr>
              <w:widowControl w:val="0"/>
              <w:rPr>
                <w:sz w:val="20"/>
                <w:szCs w:val="20"/>
                <w:lang w:val="fr-FR"/>
              </w:rPr>
            </w:pPr>
            <w:r w:rsidRPr="006656B5">
              <w:rPr>
                <w:sz w:val="20"/>
                <w:szCs w:val="20"/>
                <w:lang w:val="fr-FR"/>
              </w:rPr>
              <w:t>Les points, exprimés en termes absolus, augmentent au moins de 20%.</w:t>
            </w:r>
          </w:p>
          <w:p w14:paraId="43912210" w14:textId="77777777" w:rsidR="007C3307" w:rsidRPr="006656B5" w:rsidRDefault="007C3307" w:rsidP="006656B5">
            <w:pPr>
              <w:rPr>
                <w:sz w:val="20"/>
                <w:szCs w:val="20"/>
                <w:lang w:val="fr-FR"/>
              </w:rPr>
            </w:pPr>
          </w:p>
          <w:p w14:paraId="31D49130" w14:textId="77777777" w:rsidR="007C3307" w:rsidRPr="006656B5" w:rsidRDefault="007C3307" w:rsidP="006656B5">
            <w:pPr>
              <w:rPr>
                <w:sz w:val="20"/>
                <w:szCs w:val="20"/>
                <w:lang w:val="fr-FR"/>
              </w:rPr>
            </w:pPr>
          </w:p>
          <w:p w14:paraId="42D29BF4" w14:textId="77777777" w:rsidR="007C3307" w:rsidRPr="006656B5" w:rsidRDefault="007C3307" w:rsidP="006656B5">
            <w:pPr>
              <w:rPr>
                <w:sz w:val="20"/>
                <w:szCs w:val="20"/>
                <w:lang w:val="fr-FR"/>
              </w:rPr>
            </w:pPr>
          </w:p>
          <w:p w14:paraId="24B5BE5A" w14:textId="77777777" w:rsidR="007C3307" w:rsidRPr="006656B5" w:rsidRDefault="007C3307" w:rsidP="006656B5">
            <w:pPr>
              <w:rPr>
                <w:sz w:val="20"/>
                <w:szCs w:val="20"/>
                <w:lang w:val="fr-FR"/>
              </w:rPr>
            </w:pPr>
          </w:p>
          <w:p w14:paraId="6B544CF2" w14:textId="77777777" w:rsidR="007C3307" w:rsidRPr="006656B5" w:rsidRDefault="007C3307" w:rsidP="006656B5">
            <w:pPr>
              <w:ind w:firstLine="720"/>
              <w:rPr>
                <w:sz w:val="20"/>
                <w:szCs w:val="20"/>
                <w:lang w:val="fr-FR"/>
              </w:rPr>
            </w:pPr>
          </w:p>
        </w:tc>
        <w:tc>
          <w:tcPr>
            <w:tcW w:w="1547" w:type="dxa"/>
            <w:tcMar>
              <w:top w:w="29" w:type="dxa"/>
              <w:left w:w="72" w:type="dxa"/>
              <w:bottom w:w="29" w:type="dxa"/>
              <w:right w:w="72" w:type="dxa"/>
            </w:tcMar>
          </w:tcPr>
          <w:p w14:paraId="1C18E058" w14:textId="77777777" w:rsidR="007C3307" w:rsidRPr="006656B5" w:rsidRDefault="007C3307" w:rsidP="006656B5">
            <w:pPr>
              <w:rPr>
                <w:sz w:val="20"/>
                <w:szCs w:val="20"/>
                <w:lang w:val="fr-FR"/>
              </w:rPr>
            </w:pPr>
            <w:r w:rsidRPr="006656B5">
              <w:rPr>
                <w:sz w:val="20"/>
                <w:szCs w:val="20"/>
                <w:lang w:val="fr-FR"/>
              </w:rPr>
              <w:lastRenderedPageBreak/>
              <w:t>Application de la Carte de pointage du PNUD en matière de Développement de Capacité examinée minuti</w:t>
            </w:r>
            <w:r w:rsidR="00C376AD" w:rsidRPr="006656B5">
              <w:rPr>
                <w:sz w:val="20"/>
                <w:szCs w:val="20"/>
                <w:lang w:val="fr-FR"/>
              </w:rPr>
              <w:t xml:space="preserve">eusement par l’évaluation </w:t>
            </w:r>
            <w:r w:rsidR="00C376AD" w:rsidRPr="006656B5">
              <w:rPr>
                <w:sz w:val="20"/>
                <w:szCs w:val="20"/>
                <w:lang w:val="fr-FR"/>
              </w:rPr>
              <w:lastRenderedPageBreak/>
              <w:t>de mi-</w:t>
            </w:r>
            <w:r w:rsidRPr="006656B5">
              <w:rPr>
                <w:sz w:val="20"/>
                <w:szCs w:val="20"/>
                <w:lang w:val="fr-FR"/>
              </w:rPr>
              <w:t>parcours et l’évaluation finale.</w:t>
            </w:r>
          </w:p>
        </w:tc>
        <w:tc>
          <w:tcPr>
            <w:tcW w:w="2023" w:type="dxa"/>
            <w:vMerge w:val="restart"/>
            <w:tcMar>
              <w:top w:w="29" w:type="dxa"/>
              <w:left w:w="72" w:type="dxa"/>
              <w:bottom w:w="29" w:type="dxa"/>
              <w:right w:w="72" w:type="dxa"/>
            </w:tcMar>
          </w:tcPr>
          <w:p w14:paraId="01635056" w14:textId="77777777" w:rsidR="007C3307" w:rsidRPr="006656B5" w:rsidRDefault="007C3307" w:rsidP="006656B5">
            <w:pPr>
              <w:rPr>
                <w:iCs/>
                <w:sz w:val="20"/>
                <w:szCs w:val="20"/>
                <w:lang w:val="fr-FR"/>
              </w:rPr>
            </w:pPr>
            <w:r w:rsidRPr="006656B5">
              <w:rPr>
                <w:sz w:val="20"/>
                <w:szCs w:val="20"/>
                <w:lang w:val="fr-FR"/>
              </w:rPr>
              <w:lastRenderedPageBreak/>
              <w:t>Les MRPA deviendront progressivement une priorité nationale pour  Madagascar au fur et à mesure que les connaissances et les informations sont mises à disposition.</w:t>
            </w:r>
          </w:p>
          <w:p w14:paraId="5A0DA7D7" w14:textId="77777777" w:rsidR="007C3307" w:rsidRPr="006656B5" w:rsidRDefault="007C3307" w:rsidP="006656B5">
            <w:pPr>
              <w:rPr>
                <w:iCs/>
                <w:sz w:val="20"/>
                <w:szCs w:val="20"/>
                <w:lang w:val="fr-FR"/>
              </w:rPr>
            </w:pPr>
          </w:p>
          <w:p w14:paraId="58ECD093" w14:textId="77777777" w:rsidR="007C3307" w:rsidRPr="006656B5" w:rsidRDefault="007C3307" w:rsidP="006656B5">
            <w:pPr>
              <w:rPr>
                <w:iCs/>
                <w:sz w:val="20"/>
                <w:szCs w:val="20"/>
                <w:u w:val="single"/>
                <w:lang w:val="fr-FR"/>
              </w:rPr>
            </w:pPr>
            <w:r w:rsidRPr="006656B5">
              <w:rPr>
                <w:iCs/>
                <w:sz w:val="20"/>
                <w:szCs w:val="20"/>
                <w:lang w:val="fr-FR"/>
              </w:rPr>
              <w:t>La création/ le renforcement des MRPA sera appuyé par toutes les parties prenantes, au fur et à mesure que des avantages concrets sont perçus, surtout au niveau régional et au niveau local.</w:t>
            </w:r>
          </w:p>
        </w:tc>
      </w:tr>
      <w:tr w:rsidR="006656B5" w:rsidRPr="006656B5" w14:paraId="2294B678" w14:textId="77777777" w:rsidTr="00A4555F">
        <w:tc>
          <w:tcPr>
            <w:tcW w:w="2070" w:type="dxa"/>
            <w:vMerge/>
            <w:tcMar>
              <w:top w:w="29" w:type="dxa"/>
              <w:left w:w="72" w:type="dxa"/>
              <w:bottom w:w="29" w:type="dxa"/>
              <w:right w:w="72" w:type="dxa"/>
            </w:tcMar>
          </w:tcPr>
          <w:p w14:paraId="7F89BC72"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620F5AB9" w14:textId="77777777" w:rsidR="007C3307" w:rsidRPr="006656B5" w:rsidRDefault="007C3307" w:rsidP="006656B5">
            <w:pPr>
              <w:rPr>
                <w:sz w:val="20"/>
                <w:szCs w:val="20"/>
                <w:lang w:val="fr-FR"/>
              </w:rPr>
            </w:pPr>
            <w:r w:rsidRPr="006656B5">
              <w:rPr>
                <w:sz w:val="20"/>
                <w:szCs w:val="20"/>
                <w:lang w:val="fr-FR"/>
              </w:rPr>
              <w:t>2. La perception par les communautés de l’enjeu de leur moyen d’existence, dans la bonne gestion des ressources biologiques dans les MRPA, mesurée au moyen de l’application périodique et indépendante de la technique du ‘Changement le plus efficace’ (MSC).</w:t>
            </w:r>
          </w:p>
          <w:p w14:paraId="0218480C" w14:textId="77777777" w:rsidR="007C3307" w:rsidRPr="006656B5" w:rsidRDefault="007C3307" w:rsidP="006656B5">
            <w:pPr>
              <w:rPr>
                <w:sz w:val="20"/>
                <w:szCs w:val="20"/>
                <w:lang w:val="fr-FR"/>
              </w:rPr>
            </w:pPr>
          </w:p>
        </w:tc>
        <w:tc>
          <w:tcPr>
            <w:tcW w:w="3183" w:type="dxa"/>
            <w:tcMar>
              <w:top w:w="29" w:type="dxa"/>
              <w:left w:w="72" w:type="dxa"/>
              <w:bottom w:w="29" w:type="dxa"/>
              <w:right w:w="72" w:type="dxa"/>
            </w:tcMar>
          </w:tcPr>
          <w:p w14:paraId="7890A9DB" w14:textId="77777777" w:rsidR="007C3307" w:rsidRPr="006656B5" w:rsidRDefault="007C3307" w:rsidP="006656B5">
            <w:pPr>
              <w:rPr>
                <w:sz w:val="20"/>
                <w:szCs w:val="20"/>
                <w:lang w:val="fr-FR"/>
              </w:rPr>
            </w:pPr>
            <w:r w:rsidRPr="006656B5">
              <w:rPr>
                <w:sz w:val="20"/>
                <w:szCs w:val="20"/>
                <w:lang w:val="fr-FR"/>
              </w:rPr>
              <w:t>Ne s’applique pas.</w:t>
            </w:r>
          </w:p>
          <w:p w14:paraId="60D12AEC" w14:textId="77777777" w:rsidR="007C3307" w:rsidRPr="006656B5" w:rsidRDefault="007C3307" w:rsidP="006656B5">
            <w:pPr>
              <w:rPr>
                <w:sz w:val="20"/>
                <w:szCs w:val="20"/>
                <w:lang w:val="fr-FR"/>
              </w:rPr>
            </w:pPr>
          </w:p>
          <w:p w14:paraId="536893F3" w14:textId="77777777" w:rsidR="007C3307" w:rsidRPr="006656B5" w:rsidRDefault="007C3307" w:rsidP="006656B5">
            <w:pPr>
              <w:pStyle w:val="Notedebasdepage"/>
              <w:rPr>
                <w:sz w:val="20"/>
                <w:lang w:val="fr-FR"/>
              </w:rPr>
            </w:pPr>
            <w:r w:rsidRPr="006656B5">
              <w:rPr>
                <w:sz w:val="20"/>
                <w:lang w:val="fr-FR"/>
              </w:rPr>
              <w:t>La technique MSC est à appliquer une fois que le projet a été lancé et qu’un certain degré de changement a eu lieu. La référence correspond à toutes les évaluations qui corroborant l’analyse de la situation de ce projet, en particulier, en ce qui concerne les aménagements et les moyens d’existence.</w:t>
            </w:r>
          </w:p>
        </w:tc>
        <w:tc>
          <w:tcPr>
            <w:tcW w:w="2737" w:type="dxa"/>
            <w:tcMar>
              <w:top w:w="29" w:type="dxa"/>
              <w:left w:w="72" w:type="dxa"/>
              <w:bottom w:w="29" w:type="dxa"/>
              <w:right w:w="72" w:type="dxa"/>
            </w:tcMar>
          </w:tcPr>
          <w:p w14:paraId="6E00A08D" w14:textId="77777777" w:rsidR="007C3307" w:rsidRPr="006656B5" w:rsidRDefault="007C3307" w:rsidP="006656B5">
            <w:pPr>
              <w:widowControl w:val="0"/>
              <w:rPr>
                <w:sz w:val="20"/>
                <w:szCs w:val="20"/>
                <w:lang w:val="fr-FR"/>
              </w:rPr>
            </w:pPr>
            <w:r w:rsidRPr="006656B5">
              <w:rPr>
                <w:sz w:val="20"/>
                <w:szCs w:val="20"/>
                <w:lang w:val="fr-FR"/>
              </w:rPr>
              <w:t>Des changements positifs dans les moyens d’existence sont perçus à travers l’application indépendante de la technique MSC.  Les résultats devraient confirmer des changements positifs dans l’indicateur 2, dans le cadre du Résultats attendu 3 et de l’indicateur 3, du Résultat attendu 2.</w:t>
            </w:r>
          </w:p>
        </w:tc>
        <w:tc>
          <w:tcPr>
            <w:tcW w:w="1547" w:type="dxa"/>
            <w:tcMar>
              <w:top w:w="29" w:type="dxa"/>
              <w:left w:w="72" w:type="dxa"/>
              <w:bottom w:w="29" w:type="dxa"/>
              <w:right w:w="72" w:type="dxa"/>
            </w:tcMar>
          </w:tcPr>
          <w:p w14:paraId="291C21CF" w14:textId="77777777" w:rsidR="007C3307" w:rsidRPr="006656B5" w:rsidRDefault="007C3307" w:rsidP="006656B5">
            <w:pPr>
              <w:widowControl w:val="0"/>
              <w:rPr>
                <w:sz w:val="20"/>
                <w:szCs w:val="20"/>
                <w:lang w:val="fr-FR"/>
              </w:rPr>
            </w:pPr>
            <w:r w:rsidRPr="006656B5">
              <w:rPr>
                <w:sz w:val="20"/>
                <w:szCs w:val="20"/>
                <w:lang w:val="fr-FR"/>
              </w:rPr>
              <w:t>Résultats et analyse issus de l’application de la techn</w:t>
            </w:r>
            <w:r w:rsidR="00C376AD" w:rsidRPr="006656B5">
              <w:rPr>
                <w:sz w:val="20"/>
                <w:szCs w:val="20"/>
                <w:lang w:val="fr-FR"/>
              </w:rPr>
              <w:t>ique MSC par l’évaluation de mi-</w:t>
            </w:r>
            <w:r w:rsidRPr="006656B5">
              <w:rPr>
                <w:sz w:val="20"/>
                <w:szCs w:val="20"/>
                <w:lang w:val="fr-FR"/>
              </w:rPr>
              <w:t>parcours et l’évaluation finale.</w:t>
            </w:r>
          </w:p>
        </w:tc>
        <w:tc>
          <w:tcPr>
            <w:tcW w:w="2023" w:type="dxa"/>
            <w:vMerge/>
            <w:tcMar>
              <w:top w:w="29" w:type="dxa"/>
              <w:left w:w="72" w:type="dxa"/>
              <w:bottom w:w="29" w:type="dxa"/>
              <w:right w:w="72" w:type="dxa"/>
            </w:tcMar>
          </w:tcPr>
          <w:p w14:paraId="3749BAEC" w14:textId="77777777" w:rsidR="007C3307" w:rsidRPr="006656B5" w:rsidRDefault="007C3307" w:rsidP="006656B5">
            <w:pPr>
              <w:rPr>
                <w:iCs/>
                <w:sz w:val="20"/>
                <w:szCs w:val="20"/>
                <w:lang w:val="fr-FR"/>
              </w:rPr>
            </w:pPr>
          </w:p>
        </w:tc>
      </w:tr>
      <w:tr w:rsidR="006656B5" w:rsidRPr="006656B5" w14:paraId="5443AB6D" w14:textId="77777777" w:rsidTr="00A4555F">
        <w:tc>
          <w:tcPr>
            <w:tcW w:w="2070" w:type="dxa"/>
            <w:vMerge/>
            <w:tcMar>
              <w:top w:w="29" w:type="dxa"/>
              <w:left w:w="72" w:type="dxa"/>
              <w:bottom w:w="29" w:type="dxa"/>
              <w:right w:w="72" w:type="dxa"/>
            </w:tcMar>
          </w:tcPr>
          <w:p w14:paraId="3E28DF0D"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4101DE2C" w14:textId="77777777" w:rsidR="007C3307" w:rsidRPr="006656B5" w:rsidRDefault="007C3307" w:rsidP="006656B5">
            <w:pPr>
              <w:rPr>
                <w:i/>
                <w:sz w:val="20"/>
                <w:szCs w:val="20"/>
                <w:lang w:val="fr-FR"/>
              </w:rPr>
            </w:pPr>
            <w:r w:rsidRPr="006656B5">
              <w:rPr>
                <w:sz w:val="20"/>
                <w:szCs w:val="20"/>
                <w:lang w:val="fr-FR"/>
              </w:rPr>
              <w:t>3. Augmentation de la sécurité foncière pour les communautés locales.</w:t>
            </w:r>
          </w:p>
        </w:tc>
        <w:tc>
          <w:tcPr>
            <w:tcW w:w="3183" w:type="dxa"/>
            <w:tcMar>
              <w:top w:w="29" w:type="dxa"/>
              <w:left w:w="72" w:type="dxa"/>
              <w:bottom w:w="29" w:type="dxa"/>
              <w:right w:w="72" w:type="dxa"/>
            </w:tcMar>
          </w:tcPr>
          <w:p w14:paraId="7FB51FC3" w14:textId="77777777" w:rsidR="007C3307" w:rsidRPr="006656B5" w:rsidRDefault="007C3307" w:rsidP="006656B5">
            <w:pPr>
              <w:pStyle w:val="Notedebasdepage"/>
              <w:rPr>
                <w:sz w:val="20"/>
                <w:lang w:val="fr-FR"/>
              </w:rPr>
            </w:pPr>
            <w:r w:rsidRPr="006656B5">
              <w:rPr>
                <w:sz w:val="20"/>
                <w:lang w:val="fr-FR"/>
              </w:rPr>
              <w:t xml:space="preserve">Référence à définir au début du projet.  Cela inclura l’évaluation du foncier sous propriété coutumière, où les propriétaires souhaitent avoir un titre légal.  </w:t>
            </w:r>
          </w:p>
        </w:tc>
        <w:tc>
          <w:tcPr>
            <w:tcW w:w="2737" w:type="dxa"/>
            <w:tcMar>
              <w:top w:w="29" w:type="dxa"/>
              <w:left w:w="72" w:type="dxa"/>
              <w:bottom w:w="29" w:type="dxa"/>
              <w:right w:w="72" w:type="dxa"/>
            </w:tcMar>
          </w:tcPr>
          <w:p w14:paraId="62907D9D" w14:textId="77777777" w:rsidR="007C3307" w:rsidRPr="006656B5" w:rsidRDefault="007C3307" w:rsidP="006656B5">
            <w:pPr>
              <w:widowControl w:val="0"/>
              <w:rPr>
                <w:sz w:val="20"/>
                <w:szCs w:val="20"/>
                <w:lang w:val="fr-FR"/>
              </w:rPr>
            </w:pPr>
            <w:r w:rsidRPr="006656B5">
              <w:rPr>
                <w:sz w:val="20"/>
                <w:szCs w:val="20"/>
                <w:lang w:val="fr-FR"/>
              </w:rPr>
              <w:t xml:space="preserve">Valeur cible à définir une fois que les évaluations de référence ont été faites pendant le début du projet. </w:t>
            </w:r>
          </w:p>
        </w:tc>
        <w:tc>
          <w:tcPr>
            <w:tcW w:w="1547" w:type="dxa"/>
            <w:tcMar>
              <w:top w:w="29" w:type="dxa"/>
              <w:left w:w="72" w:type="dxa"/>
              <w:bottom w:w="29" w:type="dxa"/>
              <w:right w:w="72" w:type="dxa"/>
            </w:tcMar>
          </w:tcPr>
          <w:p w14:paraId="5C2FE0F3" w14:textId="77777777" w:rsidR="007C3307" w:rsidRPr="006656B5" w:rsidRDefault="007C3307" w:rsidP="006656B5">
            <w:pPr>
              <w:rPr>
                <w:sz w:val="20"/>
                <w:szCs w:val="20"/>
                <w:lang w:val="fr-FR"/>
              </w:rPr>
            </w:pPr>
            <w:r w:rsidRPr="006656B5">
              <w:rPr>
                <w:sz w:val="20"/>
                <w:szCs w:val="20"/>
                <w:lang w:val="fr-FR"/>
              </w:rPr>
              <w:t>Evaluation de mi</w:t>
            </w:r>
            <w:r w:rsidR="00C376AD" w:rsidRPr="006656B5">
              <w:rPr>
                <w:sz w:val="20"/>
                <w:szCs w:val="20"/>
                <w:lang w:val="fr-FR"/>
              </w:rPr>
              <w:t>-</w:t>
            </w:r>
            <w:r w:rsidRPr="006656B5">
              <w:rPr>
                <w:sz w:val="20"/>
                <w:szCs w:val="20"/>
                <w:lang w:val="fr-FR"/>
              </w:rPr>
              <w:t xml:space="preserve"> parcours et l’évaluation finale.</w:t>
            </w:r>
          </w:p>
          <w:p w14:paraId="33D5C037" w14:textId="77777777" w:rsidR="007C3307" w:rsidRPr="006656B5" w:rsidRDefault="007C3307" w:rsidP="006656B5">
            <w:pPr>
              <w:rPr>
                <w:sz w:val="20"/>
                <w:szCs w:val="20"/>
                <w:lang w:val="fr-FR"/>
              </w:rPr>
            </w:pPr>
          </w:p>
        </w:tc>
        <w:tc>
          <w:tcPr>
            <w:tcW w:w="2023" w:type="dxa"/>
            <w:vMerge/>
            <w:tcMar>
              <w:top w:w="29" w:type="dxa"/>
              <w:left w:w="72" w:type="dxa"/>
              <w:bottom w:w="29" w:type="dxa"/>
              <w:right w:w="72" w:type="dxa"/>
            </w:tcMar>
          </w:tcPr>
          <w:p w14:paraId="2A3BD413" w14:textId="77777777" w:rsidR="007C3307" w:rsidRPr="006656B5" w:rsidRDefault="007C3307" w:rsidP="006656B5">
            <w:pPr>
              <w:rPr>
                <w:iCs/>
                <w:sz w:val="20"/>
                <w:szCs w:val="20"/>
                <w:u w:val="single"/>
                <w:lang w:val="fr-FR"/>
              </w:rPr>
            </w:pPr>
          </w:p>
        </w:tc>
      </w:tr>
      <w:tr w:rsidR="006656B5" w:rsidRPr="006656B5" w14:paraId="7B9CBA25" w14:textId="77777777" w:rsidTr="00A4555F">
        <w:tc>
          <w:tcPr>
            <w:tcW w:w="2070" w:type="dxa"/>
            <w:vMerge w:val="restart"/>
            <w:tcMar>
              <w:top w:w="29" w:type="dxa"/>
              <w:left w:w="72" w:type="dxa"/>
              <w:bottom w:w="29" w:type="dxa"/>
              <w:right w:w="72" w:type="dxa"/>
            </w:tcMar>
          </w:tcPr>
          <w:p w14:paraId="43145C39" w14:textId="77777777" w:rsidR="007C3307" w:rsidRPr="006656B5" w:rsidRDefault="007C3307" w:rsidP="006656B5">
            <w:pPr>
              <w:rPr>
                <w:sz w:val="20"/>
                <w:szCs w:val="20"/>
                <w:lang w:val="fr-FR"/>
              </w:rPr>
            </w:pPr>
            <w:r w:rsidRPr="006656B5">
              <w:rPr>
                <w:b/>
                <w:sz w:val="20"/>
                <w:szCs w:val="20"/>
                <w:lang w:val="fr-FR"/>
              </w:rPr>
              <w:t xml:space="preserve">Résultat attendu 3 </w:t>
            </w:r>
            <w:r w:rsidRPr="006656B5">
              <w:rPr>
                <w:sz w:val="20"/>
                <w:szCs w:val="20"/>
                <w:lang w:val="fr-FR"/>
              </w:rPr>
              <w:t>–</w:t>
            </w:r>
          </w:p>
          <w:p w14:paraId="7F22D88F" w14:textId="77777777" w:rsidR="007C3307" w:rsidRPr="006656B5" w:rsidRDefault="007C3307" w:rsidP="006656B5">
            <w:pPr>
              <w:rPr>
                <w:sz w:val="20"/>
                <w:szCs w:val="20"/>
                <w:lang w:val="fr-FR"/>
              </w:rPr>
            </w:pPr>
            <w:r w:rsidRPr="006656B5">
              <w:rPr>
                <w:sz w:val="20"/>
                <w:szCs w:val="20"/>
                <w:lang w:val="fr-FR"/>
              </w:rPr>
              <w:t xml:space="preserve">La pérennité financière des MRPA est renforcée au moyen de partenariats public-privé innovants et de </w:t>
            </w:r>
            <w:r w:rsidRPr="006656B5">
              <w:rPr>
                <w:sz w:val="20"/>
                <w:szCs w:val="20"/>
                <w:lang w:val="fr-FR"/>
              </w:rPr>
              <w:lastRenderedPageBreak/>
              <w:t>mobilisation de financement public.</w:t>
            </w:r>
          </w:p>
        </w:tc>
        <w:tc>
          <w:tcPr>
            <w:tcW w:w="3323" w:type="dxa"/>
            <w:tcMar>
              <w:top w:w="29" w:type="dxa"/>
              <w:left w:w="72" w:type="dxa"/>
              <w:bottom w:w="29" w:type="dxa"/>
              <w:right w:w="72" w:type="dxa"/>
            </w:tcMar>
          </w:tcPr>
          <w:p w14:paraId="76DAEEB1" w14:textId="77777777" w:rsidR="007C3307" w:rsidRPr="006656B5" w:rsidRDefault="007C3307" w:rsidP="006656B5">
            <w:pPr>
              <w:rPr>
                <w:sz w:val="20"/>
                <w:szCs w:val="20"/>
                <w:lang w:val="fr-FR"/>
              </w:rPr>
            </w:pPr>
            <w:r w:rsidRPr="006656B5">
              <w:rPr>
                <w:sz w:val="20"/>
                <w:szCs w:val="20"/>
                <w:lang w:val="fr-FR"/>
              </w:rPr>
              <w:lastRenderedPageBreak/>
              <w:t>1. Augmentation des points sur la Carte de pointage du PNUD en matière de Pérennité Financière des Systèmes nationaux d’Aires Protégées par rapport à la référence pour les MRPA ciblées.</w:t>
            </w:r>
          </w:p>
          <w:p w14:paraId="4803E92C" w14:textId="77777777" w:rsidR="007C3307" w:rsidRPr="006656B5" w:rsidRDefault="007C3307" w:rsidP="006656B5">
            <w:pPr>
              <w:rPr>
                <w:sz w:val="20"/>
                <w:szCs w:val="20"/>
                <w:lang w:val="fr-FR"/>
              </w:rPr>
            </w:pPr>
          </w:p>
          <w:p w14:paraId="591513FA" w14:textId="77777777" w:rsidR="007C3307" w:rsidRPr="006656B5" w:rsidRDefault="007C3307" w:rsidP="006656B5">
            <w:pPr>
              <w:rPr>
                <w:sz w:val="20"/>
                <w:szCs w:val="20"/>
                <w:lang w:val="fr-FR"/>
              </w:rPr>
            </w:pPr>
          </w:p>
        </w:tc>
        <w:tc>
          <w:tcPr>
            <w:tcW w:w="3183" w:type="dxa"/>
            <w:tcMar>
              <w:top w:w="29" w:type="dxa"/>
              <w:left w:w="72" w:type="dxa"/>
              <w:bottom w:w="29" w:type="dxa"/>
              <w:right w:w="72" w:type="dxa"/>
            </w:tcMar>
          </w:tcPr>
          <w:p w14:paraId="18AC333E" w14:textId="77777777" w:rsidR="007C3307" w:rsidRPr="006656B5" w:rsidRDefault="007C3307" w:rsidP="006656B5">
            <w:pPr>
              <w:rPr>
                <w:sz w:val="20"/>
                <w:szCs w:val="20"/>
                <w:lang w:val="fr-FR"/>
              </w:rPr>
            </w:pPr>
            <w:r w:rsidRPr="006656B5">
              <w:rPr>
                <w:sz w:val="20"/>
                <w:szCs w:val="20"/>
                <w:lang w:val="fr-FR"/>
              </w:rPr>
              <w:lastRenderedPageBreak/>
              <w:t>Total  de points pour MRPA cibles = 98 sur un nombre total possible de points de 197 (c’est-à-dire de 50%).</w:t>
            </w:r>
          </w:p>
          <w:p w14:paraId="213687B3" w14:textId="77777777" w:rsidR="007C3307" w:rsidRPr="006656B5" w:rsidRDefault="007C3307" w:rsidP="006656B5">
            <w:pPr>
              <w:rPr>
                <w:sz w:val="20"/>
                <w:szCs w:val="20"/>
                <w:lang w:val="fr-FR"/>
              </w:rPr>
            </w:pPr>
          </w:p>
        </w:tc>
        <w:tc>
          <w:tcPr>
            <w:tcW w:w="2737" w:type="dxa"/>
            <w:tcMar>
              <w:top w:w="29" w:type="dxa"/>
              <w:left w:w="72" w:type="dxa"/>
              <w:bottom w:w="29" w:type="dxa"/>
              <w:right w:w="72" w:type="dxa"/>
            </w:tcMar>
          </w:tcPr>
          <w:p w14:paraId="44009E04" w14:textId="77777777" w:rsidR="007C3307" w:rsidRPr="006656B5" w:rsidRDefault="007C3307" w:rsidP="006656B5">
            <w:pPr>
              <w:widowControl w:val="0"/>
              <w:rPr>
                <w:sz w:val="20"/>
                <w:szCs w:val="20"/>
                <w:lang w:val="fr-FR"/>
              </w:rPr>
            </w:pPr>
            <w:r w:rsidRPr="006656B5">
              <w:rPr>
                <w:sz w:val="20"/>
                <w:szCs w:val="20"/>
                <w:lang w:val="fr-FR"/>
              </w:rPr>
              <w:t>Les points, exprimés en termes absolus, augmentent au moins de 25%.</w:t>
            </w:r>
          </w:p>
        </w:tc>
        <w:tc>
          <w:tcPr>
            <w:tcW w:w="1547" w:type="dxa"/>
            <w:tcMar>
              <w:top w:w="29" w:type="dxa"/>
              <w:left w:w="72" w:type="dxa"/>
              <w:bottom w:w="29" w:type="dxa"/>
              <w:right w:w="72" w:type="dxa"/>
            </w:tcMar>
          </w:tcPr>
          <w:p w14:paraId="66BADDF0" w14:textId="77777777" w:rsidR="007C3307" w:rsidRPr="006656B5" w:rsidRDefault="007C3307" w:rsidP="006656B5">
            <w:pPr>
              <w:rPr>
                <w:sz w:val="20"/>
                <w:szCs w:val="20"/>
                <w:lang w:val="fr-FR"/>
              </w:rPr>
            </w:pPr>
            <w:r w:rsidRPr="006656B5">
              <w:rPr>
                <w:sz w:val="20"/>
                <w:szCs w:val="20"/>
                <w:lang w:val="fr-FR"/>
              </w:rPr>
              <w:t xml:space="preserve">Application de la carte de pointage du PNUD en matière de Pérennité financière (dans le cadre des </w:t>
            </w:r>
            <w:r w:rsidRPr="006656B5">
              <w:rPr>
                <w:sz w:val="20"/>
                <w:szCs w:val="20"/>
                <w:lang w:val="fr-FR"/>
              </w:rPr>
              <w:lastRenderedPageBreak/>
              <w:t>Outils de Suivi SO1 au moyen d</w:t>
            </w:r>
            <w:r w:rsidR="00C376AD" w:rsidRPr="006656B5">
              <w:rPr>
                <w:sz w:val="20"/>
                <w:szCs w:val="20"/>
                <w:lang w:val="fr-FR"/>
              </w:rPr>
              <w:t>e l’aval, de l’évaluation de mi-</w:t>
            </w:r>
            <w:r w:rsidRPr="006656B5">
              <w:rPr>
                <w:sz w:val="20"/>
                <w:szCs w:val="20"/>
                <w:lang w:val="fr-FR"/>
              </w:rPr>
              <w:t>parcours et de l’évaluation finale par le CEO.</w:t>
            </w:r>
          </w:p>
        </w:tc>
        <w:tc>
          <w:tcPr>
            <w:tcW w:w="2023" w:type="dxa"/>
            <w:vMerge w:val="restart"/>
            <w:tcMar>
              <w:top w:w="29" w:type="dxa"/>
              <w:left w:w="72" w:type="dxa"/>
              <w:bottom w:w="29" w:type="dxa"/>
              <w:right w:w="72" w:type="dxa"/>
            </w:tcMar>
          </w:tcPr>
          <w:p w14:paraId="29E11BE7" w14:textId="77777777" w:rsidR="007C3307" w:rsidRPr="006656B5" w:rsidRDefault="007C3307" w:rsidP="006656B5">
            <w:pPr>
              <w:rPr>
                <w:sz w:val="20"/>
                <w:szCs w:val="20"/>
                <w:lang w:val="fr-FR"/>
              </w:rPr>
            </w:pPr>
            <w:r w:rsidRPr="006656B5">
              <w:rPr>
                <w:sz w:val="20"/>
                <w:szCs w:val="20"/>
                <w:lang w:val="fr-FR"/>
              </w:rPr>
              <w:lastRenderedPageBreak/>
              <w:t xml:space="preserve">Les activités d’entreprise favorable à la biodiversité sont faisables dans le contexte des MRPA, et elles jouissent d’une adhésion et d’une participation forte de </w:t>
            </w:r>
            <w:r w:rsidRPr="006656B5">
              <w:rPr>
                <w:sz w:val="20"/>
                <w:szCs w:val="20"/>
                <w:lang w:val="fr-FR"/>
              </w:rPr>
              <w:lastRenderedPageBreak/>
              <w:t>la part,  tant des communautés que des investisseurs.</w:t>
            </w:r>
          </w:p>
          <w:p w14:paraId="3BF82CFB" w14:textId="77777777" w:rsidR="007C3307" w:rsidRPr="006656B5" w:rsidRDefault="007C3307" w:rsidP="006656B5">
            <w:pPr>
              <w:rPr>
                <w:sz w:val="20"/>
                <w:szCs w:val="20"/>
                <w:lang w:val="fr-FR"/>
              </w:rPr>
            </w:pPr>
          </w:p>
          <w:p w14:paraId="3AE27EA3" w14:textId="77777777" w:rsidR="007C3307" w:rsidRPr="006656B5" w:rsidRDefault="007C3307" w:rsidP="006656B5">
            <w:pPr>
              <w:rPr>
                <w:sz w:val="20"/>
                <w:szCs w:val="20"/>
                <w:lang w:val="fr-FR"/>
              </w:rPr>
            </w:pPr>
            <w:r w:rsidRPr="006656B5">
              <w:rPr>
                <w:sz w:val="20"/>
                <w:szCs w:val="20"/>
                <w:lang w:val="fr-FR"/>
              </w:rPr>
              <w:t xml:space="preserve">Les menaces et les risques à la biodiversité posés par les opérations des industries extractives peuvent être raisonnablement contrôlés et atténués, et sinon compensés. </w:t>
            </w:r>
          </w:p>
          <w:p w14:paraId="1E210ACF" w14:textId="77777777" w:rsidR="007C3307" w:rsidRPr="006656B5" w:rsidRDefault="007C3307" w:rsidP="006656B5">
            <w:pPr>
              <w:rPr>
                <w:sz w:val="20"/>
                <w:szCs w:val="20"/>
                <w:lang w:val="fr-FR"/>
              </w:rPr>
            </w:pPr>
          </w:p>
          <w:p w14:paraId="74A867A2" w14:textId="77777777" w:rsidR="007C3307" w:rsidRPr="006656B5" w:rsidRDefault="007C3307" w:rsidP="006656B5">
            <w:pPr>
              <w:rPr>
                <w:sz w:val="20"/>
                <w:szCs w:val="20"/>
                <w:lang w:val="fr-FR"/>
              </w:rPr>
            </w:pPr>
            <w:r w:rsidRPr="006656B5">
              <w:rPr>
                <w:sz w:val="20"/>
                <w:szCs w:val="20"/>
                <w:lang w:val="fr-FR"/>
              </w:rPr>
              <w:t>Les initiatives entrepreneuriales et le leadership peuvent avec succès émerger dans le contexte des MRPA pour que les sources novatrices de financement environnemental puissent être exploitées.</w:t>
            </w:r>
          </w:p>
        </w:tc>
      </w:tr>
      <w:tr w:rsidR="006656B5" w:rsidRPr="006656B5" w14:paraId="0BD51150" w14:textId="77777777" w:rsidTr="00A4555F">
        <w:tc>
          <w:tcPr>
            <w:tcW w:w="2070" w:type="dxa"/>
            <w:vMerge/>
            <w:tcMar>
              <w:top w:w="29" w:type="dxa"/>
              <w:left w:w="72" w:type="dxa"/>
              <w:bottom w:w="29" w:type="dxa"/>
              <w:right w:w="72" w:type="dxa"/>
            </w:tcMar>
          </w:tcPr>
          <w:p w14:paraId="469E06DE"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377A3C01" w14:textId="77777777" w:rsidR="007C3307" w:rsidRPr="006656B5" w:rsidRDefault="007C3307" w:rsidP="006656B5">
            <w:pPr>
              <w:rPr>
                <w:sz w:val="20"/>
                <w:szCs w:val="20"/>
                <w:lang w:val="fr-FR"/>
              </w:rPr>
            </w:pPr>
            <w:r w:rsidRPr="006656B5">
              <w:rPr>
                <w:sz w:val="20"/>
                <w:szCs w:val="20"/>
                <w:lang w:val="fr-FR"/>
              </w:rPr>
              <w:t>2. Nombre de ménages bénéficiant de l’intervention des MRPA; et leurs recettes moyennes.</w:t>
            </w:r>
          </w:p>
        </w:tc>
        <w:tc>
          <w:tcPr>
            <w:tcW w:w="3183" w:type="dxa"/>
            <w:tcMar>
              <w:top w:w="29" w:type="dxa"/>
              <w:left w:w="72" w:type="dxa"/>
              <w:bottom w:w="29" w:type="dxa"/>
              <w:right w:w="72" w:type="dxa"/>
            </w:tcMar>
          </w:tcPr>
          <w:p w14:paraId="675CC588" w14:textId="77777777" w:rsidR="007C3307" w:rsidRPr="006656B5" w:rsidRDefault="007C3307" w:rsidP="006656B5">
            <w:pPr>
              <w:rPr>
                <w:sz w:val="20"/>
                <w:szCs w:val="20"/>
                <w:lang w:val="fr-FR"/>
              </w:rPr>
            </w:pPr>
            <w:r w:rsidRPr="006656B5">
              <w:rPr>
                <w:sz w:val="20"/>
                <w:szCs w:val="20"/>
                <w:lang w:val="fr-FR"/>
              </w:rPr>
              <w:t>Des données de référence sont disponibles pour Daraina-Loky-Manambato et Menabe-Antimena.  Les références doivent être établies pour toutes les MRPA cibles (0 recettes,  mis à part celles des sites ci-dessus) et des objectifs projetés fixés sur la base des occasions favorables.</w:t>
            </w:r>
          </w:p>
        </w:tc>
        <w:tc>
          <w:tcPr>
            <w:tcW w:w="2737" w:type="dxa"/>
            <w:tcMar>
              <w:top w:w="29" w:type="dxa"/>
              <w:left w:w="72" w:type="dxa"/>
              <w:bottom w:w="29" w:type="dxa"/>
              <w:right w:w="72" w:type="dxa"/>
            </w:tcMar>
          </w:tcPr>
          <w:p w14:paraId="6D12E412" w14:textId="77777777" w:rsidR="007C3307" w:rsidRPr="006656B5" w:rsidRDefault="007C3307" w:rsidP="006656B5">
            <w:pPr>
              <w:rPr>
                <w:bCs/>
                <w:sz w:val="20"/>
                <w:szCs w:val="20"/>
                <w:lang w:val="fr-FR"/>
              </w:rPr>
            </w:pPr>
            <w:r w:rsidRPr="006656B5">
              <w:rPr>
                <w:bCs/>
                <w:sz w:val="20"/>
                <w:szCs w:val="20"/>
                <w:lang w:val="fr-FR"/>
              </w:rPr>
              <w:t>Valeurs à déterminer sur la base des évaluations et des projections de référence pendant le début du projet.</w:t>
            </w:r>
          </w:p>
        </w:tc>
        <w:tc>
          <w:tcPr>
            <w:tcW w:w="1547" w:type="dxa"/>
            <w:tcMar>
              <w:top w:w="29" w:type="dxa"/>
              <w:left w:w="72" w:type="dxa"/>
              <w:bottom w:w="29" w:type="dxa"/>
              <w:right w:w="72" w:type="dxa"/>
            </w:tcMar>
          </w:tcPr>
          <w:p w14:paraId="08C47570" w14:textId="77777777" w:rsidR="007C3307" w:rsidRPr="006656B5" w:rsidRDefault="007C3307" w:rsidP="006656B5">
            <w:pPr>
              <w:rPr>
                <w:sz w:val="20"/>
                <w:szCs w:val="20"/>
                <w:lang w:val="fr-FR"/>
              </w:rPr>
            </w:pPr>
            <w:r w:rsidRPr="006656B5">
              <w:rPr>
                <w:sz w:val="20"/>
                <w:szCs w:val="20"/>
                <w:lang w:val="fr-FR"/>
              </w:rPr>
              <w:t>Rapports relatifs aux sites MRPA et enregistrements d’association/ de partenaires du secteur privé.</w:t>
            </w:r>
          </w:p>
        </w:tc>
        <w:tc>
          <w:tcPr>
            <w:tcW w:w="2023" w:type="dxa"/>
            <w:vMerge/>
            <w:tcMar>
              <w:top w:w="29" w:type="dxa"/>
              <w:left w:w="72" w:type="dxa"/>
              <w:bottom w:w="29" w:type="dxa"/>
              <w:right w:w="72" w:type="dxa"/>
            </w:tcMar>
          </w:tcPr>
          <w:p w14:paraId="73D9F691" w14:textId="77777777" w:rsidR="007C3307" w:rsidRPr="006656B5" w:rsidRDefault="007C3307" w:rsidP="006656B5">
            <w:pPr>
              <w:rPr>
                <w:iCs/>
                <w:sz w:val="20"/>
                <w:szCs w:val="20"/>
                <w:u w:val="single"/>
                <w:lang w:val="fr-FR"/>
              </w:rPr>
            </w:pPr>
          </w:p>
        </w:tc>
      </w:tr>
      <w:tr w:rsidR="006656B5" w:rsidRPr="006656B5" w14:paraId="6792EDF0" w14:textId="77777777" w:rsidTr="00A4555F">
        <w:tc>
          <w:tcPr>
            <w:tcW w:w="2070" w:type="dxa"/>
            <w:vMerge/>
            <w:tcMar>
              <w:top w:w="29" w:type="dxa"/>
              <w:left w:w="72" w:type="dxa"/>
              <w:bottom w:w="29" w:type="dxa"/>
              <w:right w:w="72" w:type="dxa"/>
            </w:tcMar>
          </w:tcPr>
          <w:p w14:paraId="0805EEA0" w14:textId="77777777" w:rsidR="00AC7993" w:rsidRPr="006656B5" w:rsidRDefault="00AC7993" w:rsidP="006656B5">
            <w:pPr>
              <w:rPr>
                <w:b/>
                <w:sz w:val="20"/>
                <w:szCs w:val="20"/>
                <w:lang w:val="fr-FR"/>
              </w:rPr>
            </w:pPr>
          </w:p>
        </w:tc>
        <w:tc>
          <w:tcPr>
            <w:tcW w:w="3323" w:type="dxa"/>
            <w:tcMar>
              <w:top w:w="29" w:type="dxa"/>
              <w:left w:w="72" w:type="dxa"/>
              <w:bottom w:w="29" w:type="dxa"/>
              <w:right w:w="72" w:type="dxa"/>
            </w:tcMar>
          </w:tcPr>
          <w:p w14:paraId="66A02B51" w14:textId="77777777" w:rsidR="00AC7993" w:rsidRPr="006656B5" w:rsidRDefault="00AC7993" w:rsidP="006656B5">
            <w:pPr>
              <w:rPr>
                <w:sz w:val="20"/>
                <w:szCs w:val="20"/>
                <w:lang w:val="fr-FR"/>
              </w:rPr>
            </w:pPr>
            <w:r w:rsidRPr="006656B5">
              <w:rPr>
                <w:sz w:val="20"/>
                <w:szCs w:val="20"/>
                <w:lang w:val="fr-FR"/>
              </w:rPr>
              <w:t>Indicateur 2.1 : Nombre de personnes vulnérables désagrégé par sexe et tranche d’âge ayant eu accès aux activités génératrices de revenus et à l’emploi dans les zones d’intervention du projet</w:t>
            </w:r>
            <w:r w:rsidRPr="006656B5" w:rsidDel="001B2A1E">
              <w:rPr>
                <w:sz w:val="20"/>
                <w:szCs w:val="20"/>
                <w:lang w:val="fr-FR"/>
              </w:rPr>
              <w:t xml:space="preserve"> </w:t>
            </w:r>
          </w:p>
        </w:tc>
        <w:tc>
          <w:tcPr>
            <w:tcW w:w="3183" w:type="dxa"/>
            <w:tcMar>
              <w:top w:w="29" w:type="dxa"/>
              <w:left w:w="72" w:type="dxa"/>
              <w:bottom w:w="29" w:type="dxa"/>
              <w:right w:w="72" w:type="dxa"/>
            </w:tcMar>
          </w:tcPr>
          <w:p w14:paraId="29AAAF4C" w14:textId="77777777" w:rsidR="00AC7993" w:rsidRPr="006656B5" w:rsidRDefault="00AC7993" w:rsidP="006656B5">
            <w:pPr>
              <w:rPr>
                <w:sz w:val="20"/>
                <w:szCs w:val="20"/>
                <w:lang w:val="fr-FR"/>
              </w:rPr>
            </w:pPr>
            <w:r w:rsidRPr="006656B5">
              <w:rPr>
                <w:sz w:val="20"/>
                <w:szCs w:val="20"/>
                <w:lang w:val="fr-FR"/>
              </w:rPr>
              <w:t>2 311 dont 1 044 hommes, 1 267 femmes et 809 jeunes (baseline 2015)</w:t>
            </w:r>
          </w:p>
        </w:tc>
        <w:tc>
          <w:tcPr>
            <w:tcW w:w="2737" w:type="dxa"/>
            <w:tcMar>
              <w:top w:w="29" w:type="dxa"/>
              <w:left w:w="72" w:type="dxa"/>
              <w:bottom w:w="29" w:type="dxa"/>
              <w:right w:w="72" w:type="dxa"/>
            </w:tcMar>
          </w:tcPr>
          <w:p w14:paraId="1413CD87" w14:textId="77777777" w:rsidR="00AC7993" w:rsidRPr="006656B5" w:rsidRDefault="00AC7993" w:rsidP="006656B5">
            <w:pPr>
              <w:rPr>
                <w:sz w:val="20"/>
                <w:szCs w:val="20"/>
                <w:lang w:val="fr-FR"/>
              </w:rPr>
            </w:pPr>
            <w:r w:rsidRPr="006656B5">
              <w:rPr>
                <w:sz w:val="20"/>
                <w:szCs w:val="20"/>
                <w:lang w:val="fr-FR"/>
              </w:rPr>
              <w:t>7 559 (dont 4 258 hommes, 3 301 femmes et 2 729 jeunes)</w:t>
            </w:r>
          </w:p>
        </w:tc>
        <w:tc>
          <w:tcPr>
            <w:tcW w:w="1547" w:type="dxa"/>
            <w:tcMar>
              <w:top w:w="29" w:type="dxa"/>
              <w:left w:w="72" w:type="dxa"/>
              <w:bottom w:w="29" w:type="dxa"/>
              <w:right w:w="72" w:type="dxa"/>
            </w:tcMar>
          </w:tcPr>
          <w:p w14:paraId="56C0827E" w14:textId="77777777" w:rsidR="00AC7993" w:rsidRPr="006656B5" w:rsidRDefault="00AC7993" w:rsidP="006656B5">
            <w:pPr>
              <w:rPr>
                <w:sz w:val="20"/>
                <w:szCs w:val="20"/>
                <w:lang w:val="fr-FR"/>
              </w:rPr>
            </w:pPr>
            <w:r w:rsidRPr="006656B5">
              <w:rPr>
                <w:sz w:val="20"/>
                <w:szCs w:val="20"/>
                <w:lang w:val="fr-FR"/>
              </w:rPr>
              <w:t>Rapports trimestriels et annuels du projet</w:t>
            </w:r>
          </w:p>
        </w:tc>
        <w:tc>
          <w:tcPr>
            <w:tcW w:w="2023" w:type="dxa"/>
            <w:vMerge/>
            <w:tcMar>
              <w:top w:w="29" w:type="dxa"/>
              <w:left w:w="72" w:type="dxa"/>
              <w:bottom w:w="29" w:type="dxa"/>
              <w:right w:w="72" w:type="dxa"/>
            </w:tcMar>
          </w:tcPr>
          <w:p w14:paraId="325AFC6F" w14:textId="77777777" w:rsidR="00AC7993" w:rsidRPr="006656B5" w:rsidRDefault="00AC7993" w:rsidP="006656B5">
            <w:pPr>
              <w:rPr>
                <w:iCs/>
                <w:sz w:val="20"/>
                <w:szCs w:val="20"/>
                <w:u w:val="single"/>
                <w:lang w:val="fr-FR"/>
              </w:rPr>
            </w:pPr>
          </w:p>
        </w:tc>
      </w:tr>
      <w:tr w:rsidR="006656B5" w:rsidRPr="006656B5" w14:paraId="3E010978" w14:textId="77777777" w:rsidTr="00A4555F">
        <w:tc>
          <w:tcPr>
            <w:tcW w:w="2070" w:type="dxa"/>
            <w:vMerge/>
            <w:tcMar>
              <w:top w:w="29" w:type="dxa"/>
              <w:left w:w="72" w:type="dxa"/>
              <w:bottom w:w="29" w:type="dxa"/>
              <w:right w:w="72" w:type="dxa"/>
            </w:tcMar>
          </w:tcPr>
          <w:p w14:paraId="0ABEF233" w14:textId="77777777" w:rsidR="00AC7993" w:rsidRPr="006656B5" w:rsidRDefault="00AC7993" w:rsidP="006656B5">
            <w:pPr>
              <w:rPr>
                <w:b/>
                <w:sz w:val="20"/>
                <w:szCs w:val="20"/>
                <w:lang w:val="fr-FR"/>
              </w:rPr>
            </w:pPr>
          </w:p>
        </w:tc>
        <w:tc>
          <w:tcPr>
            <w:tcW w:w="3323" w:type="dxa"/>
            <w:tcMar>
              <w:top w:w="29" w:type="dxa"/>
              <w:left w:w="72" w:type="dxa"/>
              <w:bottom w:w="29" w:type="dxa"/>
              <w:right w:w="72" w:type="dxa"/>
            </w:tcMar>
          </w:tcPr>
          <w:p w14:paraId="5A5E321E" w14:textId="77777777" w:rsidR="00AC7993" w:rsidRPr="006656B5" w:rsidRDefault="00AC7993" w:rsidP="006656B5">
            <w:pPr>
              <w:rPr>
                <w:sz w:val="20"/>
                <w:szCs w:val="20"/>
                <w:lang w:val="fr-FR"/>
              </w:rPr>
            </w:pPr>
            <w:r w:rsidRPr="006656B5">
              <w:rPr>
                <w:sz w:val="20"/>
                <w:szCs w:val="20"/>
                <w:lang w:val="fr-FR"/>
              </w:rPr>
              <w:t xml:space="preserve">Indicateur 2.2 : Nombre d’emploi verts créés pour les populations vulnérables à travers la gestion durable des ressources naturelles, les énergies renouvelables, l’agriculture durable, </w:t>
            </w:r>
            <w:r w:rsidRPr="006656B5">
              <w:rPr>
                <w:sz w:val="20"/>
                <w:szCs w:val="20"/>
                <w:lang w:val="fr-FR"/>
              </w:rPr>
              <w:lastRenderedPageBreak/>
              <w:t xml:space="preserve">l’éco-tourisme, les services des écosystèmes, le traitement des produits chimiques et des déchets désagrégé par sexe et par tranche d’âge </w:t>
            </w:r>
          </w:p>
          <w:p w14:paraId="6AB58D73" w14:textId="77777777" w:rsidR="00AC7993" w:rsidRPr="006656B5" w:rsidRDefault="00AC7993" w:rsidP="006656B5">
            <w:pPr>
              <w:rPr>
                <w:sz w:val="20"/>
                <w:szCs w:val="20"/>
                <w:lang w:val="fr-FR"/>
              </w:rPr>
            </w:pPr>
          </w:p>
        </w:tc>
        <w:tc>
          <w:tcPr>
            <w:tcW w:w="3183" w:type="dxa"/>
            <w:tcMar>
              <w:top w:w="29" w:type="dxa"/>
              <w:left w:w="72" w:type="dxa"/>
              <w:bottom w:w="29" w:type="dxa"/>
              <w:right w:w="72" w:type="dxa"/>
            </w:tcMar>
          </w:tcPr>
          <w:p w14:paraId="52006BD6" w14:textId="77777777" w:rsidR="00AC7993" w:rsidRPr="006656B5" w:rsidRDefault="00AC7993" w:rsidP="006656B5">
            <w:pPr>
              <w:rPr>
                <w:sz w:val="20"/>
                <w:szCs w:val="20"/>
                <w:lang w:val="fr-FR"/>
              </w:rPr>
            </w:pPr>
            <w:r w:rsidRPr="006656B5">
              <w:rPr>
                <w:sz w:val="20"/>
                <w:szCs w:val="20"/>
                <w:lang w:val="fr-FR"/>
              </w:rPr>
              <w:lastRenderedPageBreak/>
              <w:t>298 dont 147 hommes, 151 femmes et 104 jeunes (baseline 2015)</w:t>
            </w:r>
          </w:p>
        </w:tc>
        <w:tc>
          <w:tcPr>
            <w:tcW w:w="2737" w:type="dxa"/>
            <w:tcMar>
              <w:top w:w="29" w:type="dxa"/>
              <w:left w:w="72" w:type="dxa"/>
              <w:bottom w:w="29" w:type="dxa"/>
              <w:right w:w="72" w:type="dxa"/>
            </w:tcMar>
          </w:tcPr>
          <w:p w14:paraId="7535E2A1" w14:textId="77777777" w:rsidR="00AC7993" w:rsidRPr="006656B5" w:rsidRDefault="00AC7993" w:rsidP="006656B5">
            <w:pPr>
              <w:rPr>
                <w:sz w:val="20"/>
                <w:szCs w:val="20"/>
                <w:lang w:val="fr-FR"/>
              </w:rPr>
            </w:pPr>
            <w:r w:rsidRPr="006656B5">
              <w:rPr>
                <w:sz w:val="20"/>
                <w:szCs w:val="20"/>
                <w:lang w:val="fr-FR"/>
              </w:rPr>
              <w:t>842 (dont 529 hommes, 313 femmes et 430 jeunes)</w:t>
            </w:r>
          </w:p>
        </w:tc>
        <w:tc>
          <w:tcPr>
            <w:tcW w:w="1547" w:type="dxa"/>
            <w:tcMar>
              <w:top w:w="29" w:type="dxa"/>
              <w:left w:w="72" w:type="dxa"/>
              <w:bottom w:w="29" w:type="dxa"/>
              <w:right w:w="72" w:type="dxa"/>
            </w:tcMar>
          </w:tcPr>
          <w:p w14:paraId="2F443E4A" w14:textId="77777777" w:rsidR="00AC7993" w:rsidRPr="006656B5" w:rsidRDefault="00AC7993" w:rsidP="006656B5">
            <w:pPr>
              <w:rPr>
                <w:sz w:val="20"/>
                <w:szCs w:val="20"/>
                <w:lang w:val="fr-FR"/>
              </w:rPr>
            </w:pPr>
            <w:r w:rsidRPr="006656B5">
              <w:rPr>
                <w:sz w:val="20"/>
                <w:szCs w:val="20"/>
                <w:lang w:val="fr-FR"/>
              </w:rPr>
              <w:t>Rapports trimestriels et annuels du projet</w:t>
            </w:r>
          </w:p>
        </w:tc>
        <w:tc>
          <w:tcPr>
            <w:tcW w:w="2023" w:type="dxa"/>
            <w:vMerge/>
            <w:tcMar>
              <w:top w:w="29" w:type="dxa"/>
              <w:left w:w="72" w:type="dxa"/>
              <w:bottom w:w="29" w:type="dxa"/>
              <w:right w:w="72" w:type="dxa"/>
            </w:tcMar>
          </w:tcPr>
          <w:p w14:paraId="681663D6" w14:textId="77777777" w:rsidR="00AC7993" w:rsidRPr="006656B5" w:rsidRDefault="00AC7993" w:rsidP="006656B5">
            <w:pPr>
              <w:rPr>
                <w:iCs/>
                <w:sz w:val="20"/>
                <w:szCs w:val="20"/>
                <w:u w:val="single"/>
                <w:lang w:val="fr-FR"/>
              </w:rPr>
            </w:pPr>
          </w:p>
        </w:tc>
      </w:tr>
      <w:tr w:rsidR="006656B5" w:rsidRPr="006656B5" w14:paraId="0A3651B9" w14:textId="77777777" w:rsidTr="00A4555F">
        <w:tc>
          <w:tcPr>
            <w:tcW w:w="2070" w:type="dxa"/>
            <w:vMerge/>
            <w:tcMar>
              <w:top w:w="29" w:type="dxa"/>
              <w:left w:w="72" w:type="dxa"/>
              <w:bottom w:w="29" w:type="dxa"/>
              <w:right w:w="72" w:type="dxa"/>
            </w:tcMar>
          </w:tcPr>
          <w:p w14:paraId="48D51CAE" w14:textId="77777777" w:rsidR="00AC7993" w:rsidRPr="006656B5" w:rsidRDefault="00AC7993" w:rsidP="006656B5">
            <w:pPr>
              <w:rPr>
                <w:b/>
                <w:sz w:val="20"/>
                <w:szCs w:val="20"/>
                <w:lang w:val="fr-FR"/>
              </w:rPr>
            </w:pPr>
          </w:p>
        </w:tc>
        <w:tc>
          <w:tcPr>
            <w:tcW w:w="3323" w:type="dxa"/>
            <w:tcMar>
              <w:top w:w="29" w:type="dxa"/>
              <w:left w:w="72" w:type="dxa"/>
              <w:bottom w:w="29" w:type="dxa"/>
              <w:right w:w="72" w:type="dxa"/>
            </w:tcMar>
          </w:tcPr>
          <w:p w14:paraId="32BA221E" w14:textId="77777777" w:rsidR="00AC7993" w:rsidRPr="006656B5" w:rsidRDefault="00AC7993" w:rsidP="006656B5">
            <w:pPr>
              <w:rPr>
                <w:sz w:val="20"/>
                <w:szCs w:val="20"/>
                <w:lang w:val="fr-FR"/>
              </w:rPr>
            </w:pPr>
          </w:p>
        </w:tc>
        <w:tc>
          <w:tcPr>
            <w:tcW w:w="3183" w:type="dxa"/>
            <w:tcMar>
              <w:top w:w="29" w:type="dxa"/>
              <w:left w:w="72" w:type="dxa"/>
              <w:bottom w:w="29" w:type="dxa"/>
              <w:right w:w="72" w:type="dxa"/>
            </w:tcMar>
          </w:tcPr>
          <w:p w14:paraId="29BBA9BF" w14:textId="77777777" w:rsidR="00AC7993" w:rsidRPr="006656B5" w:rsidRDefault="00AC7993" w:rsidP="006656B5">
            <w:pPr>
              <w:rPr>
                <w:sz w:val="20"/>
                <w:szCs w:val="20"/>
                <w:lang w:val="fr-FR"/>
              </w:rPr>
            </w:pPr>
          </w:p>
        </w:tc>
        <w:tc>
          <w:tcPr>
            <w:tcW w:w="2737" w:type="dxa"/>
            <w:tcMar>
              <w:top w:w="29" w:type="dxa"/>
              <w:left w:w="72" w:type="dxa"/>
              <w:bottom w:w="29" w:type="dxa"/>
              <w:right w:w="72" w:type="dxa"/>
            </w:tcMar>
          </w:tcPr>
          <w:p w14:paraId="1F6BDDDA" w14:textId="77777777" w:rsidR="00AC7993" w:rsidRPr="006656B5" w:rsidRDefault="00AC7993" w:rsidP="006656B5">
            <w:pPr>
              <w:rPr>
                <w:bCs/>
                <w:sz w:val="20"/>
                <w:szCs w:val="20"/>
                <w:lang w:val="fr-FR"/>
              </w:rPr>
            </w:pPr>
          </w:p>
        </w:tc>
        <w:tc>
          <w:tcPr>
            <w:tcW w:w="1547" w:type="dxa"/>
            <w:tcMar>
              <w:top w:w="29" w:type="dxa"/>
              <w:left w:w="72" w:type="dxa"/>
              <w:bottom w:w="29" w:type="dxa"/>
              <w:right w:w="72" w:type="dxa"/>
            </w:tcMar>
          </w:tcPr>
          <w:p w14:paraId="082AC964" w14:textId="77777777" w:rsidR="00AC7993" w:rsidRPr="006656B5" w:rsidRDefault="00AC7993" w:rsidP="006656B5">
            <w:pPr>
              <w:rPr>
                <w:sz w:val="20"/>
                <w:szCs w:val="20"/>
                <w:lang w:val="fr-FR"/>
              </w:rPr>
            </w:pPr>
          </w:p>
        </w:tc>
        <w:tc>
          <w:tcPr>
            <w:tcW w:w="2023" w:type="dxa"/>
            <w:vMerge/>
            <w:tcMar>
              <w:top w:w="29" w:type="dxa"/>
              <w:left w:w="72" w:type="dxa"/>
              <w:bottom w:w="29" w:type="dxa"/>
              <w:right w:w="72" w:type="dxa"/>
            </w:tcMar>
          </w:tcPr>
          <w:p w14:paraId="6C7CC8F5" w14:textId="77777777" w:rsidR="00AC7993" w:rsidRPr="006656B5" w:rsidRDefault="00AC7993" w:rsidP="006656B5">
            <w:pPr>
              <w:rPr>
                <w:iCs/>
                <w:sz w:val="20"/>
                <w:szCs w:val="20"/>
                <w:u w:val="single"/>
                <w:lang w:val="fr-FR"/>
              </w:rPr>
            </w:pPr>
          </w:p>
        </w:tc>
      </w:tr>
      <w:tr w:rsidR="006656B5" w:rsidRPr="006656B5" w14:paraId="435681C0" w14:textId="77777777" w:rsidTr="00A4555F">
        <w:tc>
          <w:tcPr>
            <w:tcW w:w="2070" w:type="dxa"/>
            <w:vMerge/>
            <w:tcMar>
              <w:top w:w="29" w:type="dxa"/>
              <w:left w:w="72" w:type="dxa"/>
              <w:bottom w:w="29" w:type="dxa"/>
              <w:right w:w="72" w:type="dxa"/>
            </w:tcMar>
          </w:tcPr>
          <w:p w14:paraId="60E9DD47" w14:textId="77777777" w:rsidR="007C3307" w:rsidRPr="006656B5" w:rsidRDefault="007C3307" w:rsidP="006656B5">
            <w:pPr>
              <w:rPr>
                <w:b/>
                <w:sz w:val="20"/>
                <w:szCs w:val="20"/>
                <w:lang w:val="fr-FR"/>
              </w:rPr>
            </w:pPr>
          </w:p>
        </w:tc>
        <w:tc>
          <w:tcPr>
            <w:tcW w:w="3323" w:type="dxa"/>
            <w:tcMar>
              <w:top w:w="29" w:type="dxa"/>
              <w:left w:w="72" w:type="dxa"/>
              <w:bottom w:w="29" w:type="dxa"/>
              <w:right w:w="72" w:type="dxa"/>
            </w:tcMar>
          </w:tcPr>
          <w:p w14:paraId="06DADA0B" w14:textId="77777777" w:rsidR="007C3307" w:rsidRPr="006656B5" w:rsidRDefault="007C3307" w:rsidP="006656B5">
            <w:pPr>
              <w:rPr>
                <w:sz w:val="20"/>
                <w:szCs w:val="20"/>
                <w:lang w:val="fr-FR"/>
              </w:rPr>
            </w:pPr>
            <w:r w:rsidRPr="006656B5">
              <w:rPr>
                <w:sz w:val="20"/>
                <w:szCs w:val="20"/>
                <w:lang w:val="fr-FR"/>
              </w:rPr>
              <w:t>3. Financement obtenu pour les opérations de gestion des MRPA.</w:t>
            </w:r>
          </w:p>
        </w:tc>
        <w:tc>
          <w:tcPr>
            <w:tcW w:w="3183" w:type="dxa"/>
            <w:tcMar>
              <w:top w:w="29" w:type="dxa"/>
              <w:left w:w="72" w:type="dxa"/>
              <w:bottom w:w="29" w:type="dxa"/>
              <w:right w:w="72" w:type="dxa"/>
            </w:tcMar>
          </w:tcPr>
          <w:p w14:paraId="14EB8508" w14:textId="77777777" w:rsidR="007C3307" w:rsidRPr="006656B5" w:rsidRDefault="007C3307" w:rsidP="006656B5">
            <w:pPr>
              <w:rPr>
                <w:sz w:val="20"/>
                <w:szCs w:val="20"/>
                <w:lang w:val="fr-FR"/>
              </w:rPr>
            </w:pPr>
            <w:r w:rsidRPr="006656B5">
              <w:rPr>
                <w:sz w:val="20"/>
                <w:szCs w:val="20"/>
                <w:lang w:val="fr-FR"/>
              </w:rPr>
              <w:t>Des données de référence sont disponibles pour Daraina-Loky-Manambato et Menabe-Antimena.  Les références doivent être établies pour toutes les MRPA cibles (0 recettes,  mis à part celles des sites ci-dessus) et des objectifs projetés fixés sur la base des occasions favorables.  Ces dernières impliqueront les partenaires du secteur privé.</w:t>
            </w:r>
          </w:p>
        </w:tc>
        <w:tc>
          <w:tcPr>
            <w:tcW w:w="2737" w:type="dxa"/>
            <w:tcMar>
              <w:top w:w="29" w:type="dxa"/>
              <w:left w:w="72" w:type="dxa"/>
              <w:bottom w:w="29" w:type="dxa"/>
              <w:right w:w="72" w:type="dxa"/>
            </w:tcMar>
          </w:tcPr>
          <w:p w14:paraId="2A5B3DC1" w14:textId="77777777" w:rsidR="007C3307" w:rsidRPr="006656B5" w:rsidRDefault="007C3307" w:rsidP="006656B5">
            <w:pPr>
              <w:rPr>
                <w:bCs/>
                <w:sz w:val="20"/>
                <w:szCs w:val="20"/>
                <w:lang w:val="fr-FR"/>
              </w:rPr>
            </w:pPr>
            <w:r w:rsidRPr="006656B5">
              <w:rPr>
                <w:bCs/>
                <w:sz w:val="20"/>
                <w:szCs w:val="20"/>
                <w:lang w:val="fr-FR"/>
              </w:rPr>
              <w:t>Valeurs à déterminer sur la base des évaluations et des projections de référence pendant le début du projet.</w:t>
            </w:r>
          </w:p>
        </w:tc>
        <w:tc>
          <w:tcPr>
            <w:tcW w:w="1547" w:type="dxa"/>
            <w:tcMar>
              <w:top w:w="29" w:type="dxa"/>
              <w:left w:w="72" w:type="dxa"/>
              <w:bottom w:w="29" w:type="dxa"/>
              <w:right w:w="72" w:type="dxa"/>
            </w:tcMar>
          </w:tcPr>
          <w:p w14:paraId="095CD149" w14:textId="77777777" w:rsidR="007C3307" w:rsidRPr="006656B5" w:rsidRDefault="007C3307" w:rsidP="006656B5">
            <w:pPr>
              <w:rPr>
                <w:sz w:val="20"/>
                <w:szCs w:val="20"/>
                <w:lang w:val="fr-FR"/>
              </w:rPr>
            </w:pPr>
            <w:r w:rsidRPr="006656B5">
              <w:rPr>
                <w:sz w:val="20"/>
                <w:szCs w:val="20"/>
                <w:lang w:val="fr-FR"/>
              </w:rPr>
              <w:t>Rapports relatifs</w:t>
            </w:r>
            <w:r w:rsidR="00C376AD" w:rsidRPr="006656B5">
              <w:rPr>
                <w:sz w:val="20"/>
                <w:szCs w:val="20"/>
                <w:lang w:val="fr-FR"/>
              </w:rPr>
              <w:t xml:space="preserve"> au Projet, au site MRPA et à l’</w:t>
            </w:r>
            <w:r w:rsidRPr="006656B5">
              <w:rPr>
                <w:sz w:val="20"/>
                <w:szCs w:val="20"/>
                <w:lang w:val="fr-FR"/>
              </w:rPr>
              <w:t>UPCE.</w:t>
            </w:r>
          </w:p>
        </w:tc>
        <w:tc>
          <w:tcPr>
            <w:tcW w:w="2023" w:type="dxa"/>
            <w:vMerge/>
            <w:tcMar>
              <w:top w:w="29" w:type="dxa"/>
              <w:left w:w="72" w:type="dxa"/>
              <w:bottom w:w="29" w:type="dxa"/>
              <w:right w:w="72" w:type="dxa"/>
            </w:tcMar>
          </w:tcPr>
          <w:p w14:paraId="48D58B86" w14:textId="77777777" w:rsidR="007C3307" w:rsidRPr="006656B5" w:rsidRDefault="007C3307" w:rsidP="006656B5">
            <w:pPr>
              <w:rPr>
                <w:iCs/>
                <w:sz w:val="20"/>
                <w:szCs w:val="20"/>
                <w:u w:val="single"/>
                <w:lang w:val="fr-FR"/>
              </w:rPr>
            </w:pPr>
          </w:p>
        </w:tc>
      </w:tr>
    </w:tbl>
    <w:p w14:paraId="68BC7611" w14:textId="77777777" w:rsidR="007C3307" w:rsidRPr="006656B5" w:rsidRDefault="007C3307" w:rsidP="006656B5">
      <w:pPr>
        <w:spacing w:before="200"/>
        <w:rPr>
          <w:rFonts w:ascii="Calibri" w:hAnsi="Calibri"/>
          <w:i/>
          <w:sz w:val="20"/>
          <w:lang w:val="fr-FR"/>
        </w:rPr>
        <w:sectPr w:rsidR="007C3307" w:rsidRPr="006656B5" w:rsidSect="007C3307">
          <w:pgSz w:w="15840" w:h="12240" w:orient="landscape"/>
          <w:pgMar w:top="1440" w:right="1440" w:bottom="1325" w:left="1440" w:header="708" w:footer="708" w:gutter="0"/>
          <w:cols w:space="708"/>
          <w:docGrid w:linePitch="360"/>
        </w:sectPr>
      </w:pPr>
    </w:p>
    <w:p w14:paraId="210A69C8" w14:textId="77777777" w:rsidR="00D6638C" w:rsidRPr="006656B5" w:rsidRDefault="00D6638C" w:rsidP="006656B5">
      <w:pPr>
        <w:pStyle w:val="Heading31"/>
        <w:rPr>
          <w:lang w:val="fr-FR"/>
        </w:rPr>
      </w:pPr>
      <w:bookmarkStart w:id="57" w:name="_TOR_Annex_B:"/>
      <w:bookmarkStart w:id="58" w:name="_Toc299122845"/>
      <w:bookmarkStart w:id="59" w:name="_Toc299122867"/>
      <w:bookmarkStart w:id="60" w:name="_Toc299126631"/>
      <w:bookmarkStart w:id="61" w:name="_Toc299133054"/>
      <w:bookmarkStart w:id="62" w:name="_Toc321341563"/>
      <w:bookmarkEnd w:id="57"/>
      <w:r w:rsidRPr="006656B5">
        <w:rPr>
          <w:lang w:val="fr-FR"/>
        </w:rPr>
        <w:lastRenderedPageBreak/>
        <w:t>Annexe B : Liste des documents à examiner par les évaluateurs</w:t>
      </w:r>
      <w:bookmarkEnd w:id="58"/>
      <w:bookmarkEnd w:id="59"/>
      <w:bookmarkEnd w:id="60"/>
      <w:bookmarkEnd w:id="61"/>
      <w:bookmarkEnd w:id="62"/>
    </w:p>
    <w:p w14:paraId="2788DDF2" w14:textId="77777777" w:rsidR="005A0F1A" w:rsidRPr="006656B5" w:rsidRDefault="00D6638C" w:rsidP="006656B5">
      <w:pPr>
        <w:spacing w:before="200"/>
        <w:rPr>
          <w:rFonts w:ascii="Calibri" w:hAnsi="Calibri"/>
          <w:i/>
          <w:sz w:val="20"/>
          <w:lang w:val="fr-FR"/>
        </w:rPr>
      </w:pPr>
      <w:r w:rsidRPr="006656B5">
        <w:rPr>
          <w:rFonts w:ascii="Calibri" w:hAnsi="Calibri"/>
          <w:i/>
          <w:sz w:val="20"/>
          <w:lang w:val="fr-FR"/>
        </w:rPr>
        <w:t>(à ajouter</w:t>
      </w:r>
      <w:r w:rsidR="005A0F1A" w:rsidRPr="006656B5">
        <w:rPr>
          <w:rFonts w:ascii="Calibri" w:hAnsi="Calibri"/>
          <w:i/>
          <w:sz w:val="20"/>
          <w:lang w:val="fr-FR"/>
        </w:rPr>
        <w:t>)</w:t>
      </w:r>
    </w:p>
    <w:p w14:paraId="48B760E9"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Document de projet du PNUD  </w:t>
      </w:r>
    </w:p>
    <w:p w14:paraId="3E0D95DF"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Rapport d’initiation de projet </w:t>
      </w:r>
    </w:p>
    <w:p w14:paraId="2A3B73F0" w14:textId="77777777" w:rsidR="00366A80" w:rsidRPr="006656B5" w:rsidRDefault="00366A80"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Rapport de la revue à mi-parcours du projet</w:t>
      </w:r>
    </w:p>
    <w:p w14:paraId="45DB958E"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Tous les rapports de mise en œuvre de projets (PIR) </w:t>
      </w:r>
    </w:p>
    <w:p w14:paraId="14053A7C"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Rapports d’activité et plans de travail trimestriels des différentes équipes de travail </w:t>
      </w:r>
    </w:p>
    <w:p w14:paraId="27A16EFB"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Rapports d’audit interne</w:t>
      </w:r>
    </w:p>
    <w:p w14:paraId="772B550B"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Outils de suivi du GEF : Management Effectiveness Tracking Tool (METT)</w:t>
      </w:r>
    </w:p>
    <w:p w14:paraId="546A7A3C"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Tous les rapports de suivi élaborés dans le cadre du projet </w:t>
      </w:r>
    </w:p>
    <w:p w14:paraId="13E037BA" w14:textId="77777777" w:rsidR="005A0F1A" w:rsidRPr="006656B5" w:rsidRDefault="005A0F1A" w:rsidP="006656B5">
      <w:pPr>
        <w:pStyle w:val="Corpsdetexte"/>
        <w:numPr>
          <w:ilvl w:val="0"/>
          <w:numId w:val="35"/>
        </w:numPr>
        <w:spacing w:after="0"/>
        <w:jc w:val="lowKashida"/>
        <w:rPr>
          <w:rFonts w:ascii="Arial Narrow" w:hAnsi="Arial Narrow"/>
          <w:sz w:val="20"/>
          <w:szCs w:val="20"/>
          <w:lang w:val="fr-FR"/>
        </w:rPr>
      </w:pPr>
      <w:r w:rsidRPr="006656B5">
        <w:rPr>
          <w:rFonts w:ascii="Arial Narrow" w:hAnsi="Arial Narrow"/>
          <w:sz w:val="20"/>
          <w:szCs w:val="20"/>
          <w:lang w:val="fr-FR"/>
        </w:rPr>
        <w:t xml:space="preserve">Manuel de procédures administratives et financières du projet </w:t>
      </w:r>
    </w:p>
    <w:p w14:paraId="1BC68B93" w14:textId="77777777" w:rsidR="005A0F1A" w:rsidRPr="006656B5" w:rsidRDefault="005A0F1A" w:rsidP="006656B5">
      <w:pPr>
        <w:pStyle w:val="Corpsdetexte"/>
        <w:numPr>
          <w:ilvl w:val="0"/>
          <w:numId w:val="35"/>
        </w:numPr>
        <w:spacing w:after="0"/>
        <w:jc w:val="lowKashida"/>
        <w:rPr>
          <w:rFonts w:ascii="Arial Narrow" w:hAnsi="Arial Narrow"/>
          <w:sz w:val="20"/>
          <w:szCs w:val="20"/>
          <w:lang w:val="fr-FR"/>
        </w:rPr>
      </w:pPr>
      <w:r w:rsidRPr="006656B5">
        <w:rPr>
          <w:rFonts w:ascii="Arial Narrow" w:hAnsi="Arial Narrow"/>
          <w:sz w:val="20"/>
          <w:szCs w:val="20"/>
          <w:lang w:val="fr-FR"/>
        </w:rPr>
        <w:t>Manuel de procédures comptables du projet</w:t>
      </w:r>
    </w:p>
    <w:p w14:paraId="2AE5584D" w14:textId="77777777" w:rsidR="00366A80"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Procès-verbaux des réunions du Comité de pilotage du projet MRPA </w:t>
      </w:r>
    </w:p>
    <w:p w14:paraId="3B7949E8" w14:textId="77777777" w:rsidR="005A0F1A" w:rsidRPr="006656B5" w:rsidRDefault="005A0F1A"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 xml:space="preserve">Carte indiquant le lieu du projet </w:t>
      </w:r>
    </w:p>
    <w:p w14:paraId="37150B25" w14:textId="77777777" w:rsidR="00EA5B3C" w:rsidRPr="006656B5" w:rsidRDefault="00EA5B3C" w:rsidP="006656B5">
      <w:pPr>
        <w:pStyle w:val="Corpsdetexte"/>
        <w:numPr>
          <w:ilvl w:val="0"/>
          <w:numId w:val="35"/>
        </w:numPr>
        <w:spacing w:after="0"/>
        <w:jc w:val="both"/>
        <w:rPr>
          <w:rFonts w:ascii="Arial Narrow" w:hAnsi="Arial Narrow"/>
          <w:sz w:val="20"/>
          <w:szCs w:val="20"/>
          <w:lang w:val="fr-FR"/>
        </w:rPr>
      </w:pPr>
      <w:r w:rsidRPr="006656B5">
        <w:rPr>
          <w:rFonts w:ascii="Arial Narrow" w:hAnsi="Arial Narrow"/>
          <w:sz w:val="20"/>
          <w:szCs w:val="20"/>
          <w:lang w:val="fr-FR"/>
        </w:rPr>
        <w:t>Rapport de capitalisation final du projet (</w:t>
      </w:r>
      <w:r w:rsidRPr="006656B5">
        <w:rPr>
          <w:rFonts w:ascii="Arial Narrow" w:hAnsi="Arial Narrow"/>
          <w:i/>
          <w:sz w:val="20"/>
          <w:szCs w:val="20"/>
          <w:lang w:val="fr-FR"/>
        </w:rPr>
        <w:t>en cours processus de passation de marché)</w:t>
      </w:r>
    </w:p>
    <w:p w14:paraId="3D595751" w14:textId="77777777" w:rsidR="005A0F1A" w:rsidRPr="006656B5" w:rsidRDefault="005A0F1A" w:rsidP="006656B5">
      <w:pPr>
        <w:pStyle w:val="Corpsdetexte"/>
        <w:spacing w:after="0"/>
        <w:ind w:left="360"/>
        <w:jc w:val="lowKashida"/>
        <w:rPr>
          <w:rFonts w:ascii="Arial Narrow" w:hAnsi="Arial Narrow"/>
          <w:sz w:val="20"/>
          <w:szCs w:val="20"/>
          <w:lang w:val="fr-FR"/>
        </w:rPr>
      </w:pPr>
    </w:p>
    <w:p w14:paraId="2777A634" w14:textId="77777777" w:rsidR="005A0F1A" w:rsidRPr="006656B5" w:rsidRDefault="005A0F1A" w:rsidP="006656B5">
      <w:pPr>
        <w:pStyle w:val="Corpsdetexte"/>
        <w:spacing w:after="0"/>
        <w:ind w:left="360"/>
        <w:jc w:val="lowKashida"/>
        <w:rPr>
          <w:rFonts w:ascii="Arial Narrow" w:hAnsi="Arial Narrow"/>
          <w:sz w:val="20"/>
          <w:szCs w:val="20"/>
          <w:lang w:val="fr-FR"/>
        </w:rPr>
      </w:pPr>
    </w:p>
    <w:p w14:paraId="342FE252" w14:textId="77777777" w:rsidR="00D6638C" w:rsidRPr="006656B5" w:rsidRDefault="00D6638C" w:rsidP="006656B5">
      <w:pPr>
        <w:spacing w:before="200"/>
        <w:rPr>
          <w:rFonts w:ascii="Calibri" w:hAnsi="Calibri"/>
          <w:i/>
          <w:sz w:val="20"/>
          <w:lang w:val="fr-FR"/>
        </w:rPr>
      </w:pPr>
    </w:p>
    <w:p w14:paraId="2C0A3DEE" w14:textId="77777777" w:rsidR="00E37CF3" w:rsidRPr="006656B5" w:rsidRDefault="00E37CF3" w:rsidP="006656B5">
      <w:pPr>
        <w:spacing w:before="200"/>
        <w:rPr>
          <w:rFonts w:ascii="Calibri" w:eastAsia="Times New Roman" w:hAnsi="Calibri" w:cs="Times New Roman"/>
          <w:i/>
          <w:sz w:val="20"/>
          <w:szCs w:val="20"/>
          <w:lang w:val="fr-FR"/>
        </w:rPr>
        <w:sectPr w:rsidR="00E37CF3" w:rsidRPr="006656B5" w:rsidSect="00224F9C">
          <w:pgSz w:w="12240" w:h="15840"/>
          <w:pgMar w:top="1440" w:right="1325" w:bottom="1440" w:left="1440" w:header="708" w:footer="708" w:gutter="0"/>
          <w:cols w:space="708"/>
          <w:docGrid w:linePitch="360"/>
        </w:sectPr>
      </w:pPr>
    </w:p>
    <w:p w14:paraId="1FF69AA5" w14:textId="77777777" w:rsidR="00D6638C" w:rsidRPr="006656B5" w:rsidRDefault="00D6638C" w:rsidP="006656B5">
      <w:pPr>
        <w:pStyle w:val="Heading31"/>
        <w:rPr>
          <w:lang w:val="fr-FR"/>
        </w:rPr>
      </w:pPr>
      <w:bookmarkStart w:id="63" w:name="_TOR_Annex_C:"/>
      <w:bookmarkStart w:id="64" w:name="_Toc321341564"/>
      <w:bookmarkStart w:id="65" w:name="_Toc299122846"/>
      <w:bookmarkStart w:id="66" w:name="_Toc299122868"/>
      <w:bookmarkStart w:id="67" w:name="_Toc299126632"/>
      <w:bookmarkEnd w:id="63"/>
      <w:r w:rsidRPr="006656B5">
        <w:rPr>
          <w:lang w:val="fr-FR"/>
        </w:rPr>
        <w:lastRenderedPageBreak/>
        <w:t>Annexe C : Questions d'évaluation</w:t>
      </w:r>
      <w:bookmarkEnd w:id="64"/>
    </w:p>
    <w:p w14:paraId="529774D9" w14:textId="77777777" w:rsidR="00E23201" w:rsidRPr="006656B5" w:rsidRDefault="00E23201" w:rsidP="006656B5">
      <w:pPr>
        <w:spacing w:after="0"/>
        <w:rPr>
          <w:lang w:val="fr-FR"/>
        </w:rPr>
      </w:pPr>
      <w:r w:rsidRPr="006656B5">
        <w:rPr>
          <w:i/>
          <w:lang w:val="fr-FR"/>
        </w:rPr>
        <w:t xml:space="preserve">Il s'agit d'une liste générique, devant être détaillé par l'ajout de questions par le bureau de pays et le </w:t>
      </w:r>
      <w:r w:rsidRPr="006656B5">
        <w:rPr>
          <w:rFonts w:ascii="Calibri" w:hAnsi="Calibri"/>
          <w:i/>
          <w:sz w:val="20"/>
          <w:lang w:val="fr-FR"/>
        </w:rPr>
        <w:t>Conseiller technique</w:t>
      </w:r>
      <w:r w:rsidRPr="006656B5">
        <w:rPr>
          <w:i/>
          <w:lang w:val="fr-FR"/>
        </w:rPr>
        <w:t xml:space="preserve"> FEM du PNUD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6656B5" w:rsidRPr="006656B5" w14:paraId="658A9E4E" w14:textId="77777777" w:rsidTr="00DC7D5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76A788F" w14:textId="77777777" w:rsidR="00310398" w:rsidRPr="006656B5" w:rsidRDefault="00310398" w:rsidP="006656B5">
            <w:pPr>
              <w:spacing w:after="0"/>
              <w:jc w:val="center"/>
              <w:rPr>
                <w:rFonts w:ascii="Calibri" w:eastAsia="Times New Roman" w:hAnsi="Calibri" w:cs="Calibri"/>
                <w:b/>
                <w:sz w:val="20"/>
                <w:szCs w:val="20"/>
              </w:rPr>
            </w:pPr>
            <w:r w:rsidRPr="006656B5">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6A9FC39D" w14:textId="77777777" w:rsidR="00310398" w:rsidRPr="006656B5" w:rsidRDefault="00310398" w:rsidP="006656B5">
            <w:pPr>
              <w:spacing w:after="0"/>
              <w:jc w:val="center"/>
              <w:rPr>
                <w:rFonts w:ascii="Calibri" w:eastAsia="Times New Roman" w:hAnsi="Calibri" w:cs="Calibri"/>
                <w:b/>
                <w:sz w:val="20"/>
                <w:szCs w:val="20"/>
              </w:rPr>
            </w:pPr>
            <w:r w:rsidRPr="006656B5">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0E204AAF" w14:textId="77777777" w:rsidR="00310398" w:rsidRPr="006656B5" w:rsidRDefault="00310398" w:rsidP="006656B5">
            <w:pPr>
              <w:spacing w:after="0"/>
              <w:jc w:val="center"/>
              <w:rPr>
                <w:rFonts w:ascii="Calibri" w:eastAsia="Times New Roman" w:hAnsi="Calibri" w:cs="Calibri"/>
                <w:b/>
                <w:sz w:val="20"/>
                <w:szCs w:val="20"/>
              </w:rPr>
            </w:pPr>
            <w:r w:rsidRPr="006656B5">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7DDDD97" w14:textId="77777777" w:rsidR="00310398" w:rsidRPr="006656B5" w:rsidRDefault="00310398" w:rsidP="006656B5">
            <w:pPr>
              <w:spacing w:after="0"/>
              <w:jc w:val="center"/>
              <w:rPr>
                <w:rFonts w:ascii="Calibri" w:eastAsia="Times New Roman" w:hAnsi="Calibri" w:cs="Calibri"/>
                <w:b/>
                <w:sz w:val="20"/>
                <w:szCs w:val="20"/>
              </w:rPr>
            </w:pPr>
            <w:r w:rsidRPr="006656B5">
              <w:rPr>
                <w:rFonts w:ascii="Calibri" w:hAnsi="Calibri"/>
                <w:b/>
                <w:sz w:val="20"/>
              </w:rPr>
              <w:t>Méthodologie</w:t>
            </w:r>
          </w:p>
        </w:tc>
      </w:tr>
      <w:tr w:rsidR="006656B5" w:rsidRPr="006656B5" w14:paraId="0AD03632"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1E7F5DF" w14:textId="77777777" w:rsidR="00D6638C" w:rsidRPr="006656B5" w:rsidRDefault="00D6638C" w:rsidP="006656B5">
            <w:pPr>
              <w:numPr>
                <w:ilvl w:val="12"/>
                <w:numId w:val="0"/>
              </w:numPr>
              <w:spacing w:after="0"/>
              <w:rPr>
                <w:rFonts w:ascii="Calibri" w:eastAsia="Times New Roman" w:hAnsi="Calibri" w:cs="Calibri"/>
                <w:iCs/>
                <w:sz w:val="20"/>
                <w:szCs w:val="20"/>
                <w:lang w:val="fr-FR"/>
              </w:rPr>
            </w:pPr>
            <w:r w:rsidRPr="006656B5">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6656B5" w:rsidRPr="006656B5" w14:paraId="6782844B" w14:textId="77777777" w:rsidTr="00310398">
        <w:trPr>
          <w:gridAfter w:val="1"/>
          <w:wAfter w:w="21" w:type="dxa"/>
        </w:trPr>
        <w:tc>
          <w:tcPr>
            <w:tcW w:w="199" w:type="dxa"/>
            <w:tcBorders>
              <w:top w:val="nil"/>
              <w:left w:val="nil"/>
              <w:bottom w:val="nil"/>
              <w:right w:val="nil"/>
            </w:tcBorders>
            <w:shd w:val="pct12" w:color="auto" w:fill="FFFFFF"/>
          </w:tcPr>
          <w:p w14:paraId="70BBC8E5"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6F16E3E3"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C316E7A"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6F6837A0"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0C2AF841"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1EB8119C" w14:textId="77777777" w:rsidTr="00310398">
        <w:trPr>
          <w:gridAfter w:val="1"/>
          <w:wAfter w:w="21" w:type="dxa"/>
        </w:trPr>
        <w:tc>
          <w:tcPr>
            <w:tcW w:w="199" w:type="dxa"/>
            <w:tcBorders>
              <w:top w:val="nil"/>
              <w:left w:val="nil"/>
              <w:bottom w:val="nil"/>
              <w:right w:val="nil"/>
            </w:tcBorders>
            <w:shd w:val="pct12" w:color="auto" w:fill="FFFFFF"/>
          </w:tcPr>
          <w:p w14:paraId="151A114F"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416B1EF"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5B4D413"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5538A3DC"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78F30948"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37E80FC5" w14:textId="77777777" w:rsidTr="00310398">
        <w:trPr>
          <w:gridAfter w:val="1"/>
          <w:wAfter w:w="21" w:type="dxa"/>
        </w:trPr>
        <w:tc>
          <w:tcPr>
            <w:tcW w:w="199" w:type="dxa"/>
            <w:tcBorders>
              <w:top w:val="nil"/>
              <w:left w:val="nil"/>
              <w:bottom w:val="nil"/>
              <w:right w:val="nil"/>
            </w:tcBorders>
            <w:shd w:val="pct12" w:color="auto" w:fill="FFFFFF"/>
          </w:tcPr>
          <w:p w14:paraId="16884A4B"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0596D0B4"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5D13860"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466C6A14"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482E6BBD"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2DB0A825"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5CB1D7CD" w14:textId="77777777" w:rsidR="00D6638C" w:rsidRPr="006656B5" w:rsidRDefault="00D6638C" w:rsidP="006656B5">
            <w:pPr>
              <w:numPr>
                <w:ilvl w:val="12"/>
                <w:numId w:val="0"/>
              </w:numPr>
              <w:spacing w:after="0"/>
              <w:jc w:val="both"/>
              <w:rPr>
                <w:rFonts w:ascii="Calibri" w:eastAsia="Times New Roman" w:hAnsi="Calibri" w:cs="Calibri"/>
                <w:sz w:val="20"/>
                <w:szCs w:val="20"/>
                <w:lang w:val="fr-FR"/>
              </w:rPr>
            </w:pPr>
            <w:r w:rsidRPr="006656B5">
              <w:rPr>
                <w:rFonts w:ascii="Calibri" w:hAnsi="Calibri"/>
                <w:sz w:val="20"/>
                <w:lang w:val="fr-FR"/>
              </w:rPr>
              <w:t>Efficacité : Dans quelle mesure les résultats escomptés et les objectifs du projet ont-ils été atteints ?</w:t>
            </w:r>
          </w:p>
        </w:tc>
      </w:tr>
      <w:tr w:rsidR="006656B5" w:rsidRPr="006656B5" w14:paraId="4CE2EA24" w14:textId="77777777" w:rsidTr="00310398">
        <w:tc>
          <w:tcPr>
            <w:tcW w:w="199" w:type="dxa"/>
            <w:tcBorders>
              <w:top w:val="nil"/>
              <w:left w:val="nil"/>
              <w:bottom w:val="nil"/>
              <w:right w:val="nil"/>
            </w:tcBorders>
            <w:shd w:val="pct12" w:color="auto" w:fill="FFFFFF"/>
          </w:tcPr>
          <w:p w14:paraId="6D2F50A8"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4B36263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765802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BF2F08E"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02031FAD"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78103FAF" w14:textId="77777777" w:rsidTr="00310398">
        <w:tc>
          <w:tcPr>
            <w:tcW w:w="199" w:type="dxa"/>
            <w:tcBorders>
              <w:top w:val="nil"/>
              <w:left w:val="nil"/>
              <w:bottom w:val="nil"/>
              <w:right w:val="nil"/>
            </w:tcBorders>
            <w:shd w:val="pct12" w:color="auto" w:fill="FFFFFF"/>
          </w:tcPr>
          <w:p w14:paraId="383D4D0F"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2C20B19"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9307EF9"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483D579"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0A15394"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334EC2E0" w14:textId="77777777" w:rsidTr="00310398">
        <w:tc>
          <w:tcPr>
            <w:tcW w:w="199" w:type="dxa"/>
            <w:tcBorders>
              <w:top w:val="nil"/>
              <w:left w:val="nil"/>
              <w:bottom w:val="nil"/>
              <w:right w:val="nil"/>
            </w:tcBorders>
            <w:shd w:val="pct12" w:color="auto" w:fill="FFFFFF"/>
          </w:tcPr>
          <w:p w14:paraId="22682492"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104FC298"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EE8F49E" w14:textId="77777777" w:rsidR="00D6638C" w:rsidRPr="006656B5" w:rsidRDefault="00D6638C" w:rsidP="006656B5">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14:paraId="29FD4278"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3EBACBD"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0951D2C3"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F96DAB9" w14:textId="77777777" w:rsidR="00D6638C" w:rsidRPr="006656B5" w:rsidRDefault="00D6638C" w:rsidP="006656B5">
            <w:pPr>
              <w:numPr>
                <w:ilvl w:val="12"/>
                <w:numId w:val="0"/>
              </w:numPr>
              <w:spacing w:after="0"/>
              <w:rPr>
                <w:rFonts w:ascii="Calibri" w:eastAsia="Times New Roman" w:hAnsi="Calibri" w:cs="Calibri"/>
                <w:sz w:val="20"/>
                <w:szCs w:val="20"/>
                <w:lang w:val="fr-FR"/>
              </w:rPr>
            </w:pPr>
            <w:r w:rsidRPr="006656B5">
              <w:rPr>
                <w:rFonts w:ascii="Calibri" w:hAnsi="Calibri"/>
                <w:sz w:val="20"/>
                <w:lang w:val="fr-FR"/>
              </w:rPr>
              <w:t>Efficience : Le projet a-t-il été mis en œuvre de façon efficiente, conformément aux normes et standards nationaux et internationaux ?</w:t>
            </w:r>
          </w:p>
        </w:tc>
      </w:tr>
      <w:tr w:rsidR="006656B5" w:rsidRPr="006656B5" w14:paraId="00C6E880" w14:textId="77777777" w:rsidTr="00310398">
        <w:tc>
          <w:tcPr>
            <w:tcW w:w="199" w:type="dxa"/>
            <w:tcBorders>
              <w:top w:val="nil"/>
              <w:left w:val="nil"/>
              <w:bottom w:val="nil"/>
              <w:right w:val="nil"/>
            </w:tcBorders>
            <w:shd w:val="pct12" w:color="auto" w:fill="FFFFFF"/>
          </w:tcPr>
          <w:p w14:paraId="230F3784"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19D19108"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7B59DBA"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D70966E"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5347B3B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0F17A429" w14:textId="77777777" w:rsidTr="00310398">
        <w:tc>
          <w:tcPr>
            <w:tcW w:w="199" w:type="dxa"/>
            <w:tcBorders>
              <w:top w:val="nil"/>
              <w:left w:val="nil"/>
              <w:bottom w:val="nil"/>
              <w:right w:val="nil"/>
            </w:tcBorders>
            <w:shd w:val="pct12" w:color="auto" w:fill="FFFFFF"/>
          </w:tcPr>
          <w:p w14:paraId="69D228A0"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14:paraId="3E6D6FD2"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14:paraId="0767AD99"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14:paraId="2F7B860C"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14:paraId="30D24E6E"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73F5CF82" w14:textId="77777777" w:rsidTr="00310398">
        <w:tc>
          <w:tcPr>
            <w:tcW w:w="199" w:type="dxa"/>
            <w:tcBorders>
              <w:top w:val="nil"/>
              <w:left w:val="nil"/>
              <w:bottom w:val="nil"/>
              <w:right w:val="nil"/>
            </w:tcBorders>
            <w:shd w:val="pct12" w:color="auto" w:fill="FFFFFF"/>
          </w:tcPr>
          <w:p w14:paraId="19017657"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682598F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56AC9ED" w14:textId="77777777" w:rsidR="00D6638C" w:rsidRPr="006656B5" w:rsidRDefault="00D6638C" w:rsidP="006656B5">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14:paraId="6CD13C6C"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3207E556"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3D24391F"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826A211" w14:textId="77777777" w:rsidR="00D6638C" w:rsidRPr="006656B5" w:rsidRDefault="00D6638C" w:rsidP="006656B5">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6656B5">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6656B5" w:rsidRPr="006656B5" w14:paraId="4EFF7A6D" w14:textId="77777777" w:rsidTr="00310398">
        <w:tc>
          <w:tcPr>
            <w:tcW w:w="199" w:type="dxa"/>
            <w:tcBorders>
              <w:top w:val="nil"/>
              <w:left w:val="nil"/>
              <w:bottom w:val="nil"/>
              <w:right w:val="nil"/>
            </w:tcBorders>
            <w:shd w:val="pct12" w:color="auto" w:fill="FFFFFF"/>
          </w:tcPr>
          <w:p w14:paraId="31B03706"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03BB613"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DC4C907"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160C805"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18E61D51"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56F0A043" w14:textId="77777777" w:rsidTr="00310398">
        <w:tc>
          <w:tcPr>
            <w:tcW w:w="199" w:type="dxa"/>
            <w:tcBorders>
              <w:top w:val="nil"/>
              <w:left w:val="nil"/>
              <w:bottom w:val="nil"/>
              <w:right w:val="nil"/>
            </w:tcBorders>
            <w:shd w:val="pct12" w:color="auto" w:fill="FFFFFF"/>
          </w:tcPr>
          <w:p w14:paraId="3A0884CF"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73DBD189"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3027AE4"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1315C10"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DA5A67A"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68323222" w14:textId="77777777" w:rsidTr="00310398">
        <w:tc>
          <w:tcPr>
            <w:tcW w:w="199" w:type="dxa"/>
            <w:tcBorders>
              <w:top w:val="nil"/>
              <w:left w:val="nil"/>
              <w:bottom w:val="nil"/>
              <w:right w:val="nil"/>
            </w:tcBorders>
            <w:shd w:val="pct12" w:color="auto" w:fill="FFFFFF"/>
          </w:tcPr>
          <w:p w14:paraId="6841139D"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39A4FBE"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1F20077"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6C08CA44"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2844886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480BE7A2"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8BA2435" w14:textId="77777777" w:rsidR="00D6638C" w:rsidRPr="006656B5" w:rsidRDefault="00D6638C" w:rsidP="006656B5">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val="fr-FR"/>
              </w:rPr>
            </w:pPr>
            <w:r w:rsidRPr="006656B5">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6656B5" w:rsidRPr="006656B5" w14:paraId="30F7C312" w14:textId="77777777" w:rsidTr="00310398">
        <w:tc>
          <w:tcPr>
            <w:tcW w:w="199" w:type="dxa"/>
            <w:tcBorders>
              <w:top w:val="nil"/>
              <w:left w:val="nil"/>
              <w:bottom w:val="nil"/>
              <w:right w:val="nil"/>
            </w:tcBorders>
            <w:shd w:val="pct12" w:color="auto" w:fill="FFFFFF"/>
          </w:tcPr>
          <w:p w14:paraId="0BC21EA7"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11E9641"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D770E2E"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5B68015B"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008E9A2"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6656B5" w:rsidRPr="006656B5" w14:paraId="31C3E120" w14:textId="77777777" w:rsidTr="00310398">
        <w:tc>
          <w:tcPr>
            <w:tcW w:w="199" w:type="dxa"/>
            <w:tcBorders>
              <w:top w:val="nil"/>
              <w:left w:val="nil"/>
              <w:bottom w:val="nil"/>
              <w:right w:val="nil"/>
            </w:tcBorders>
            <w:shd w:val="pct12" w:color="auto" w:fill="FFFFFF"/>
          </w:tcPr>
          <w:p w14:paraId="2C034D80" w14:textId="77777777" w:rsidR="00D6638C" w:rsidRPr="006656B5" w:rsidRDefault="00D6638C" w:rsidP="006656B5">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14:paraId="15C0F7AD"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14:paraId="26EA68F6"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14:paraId="09C9794A"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14:paraId="113ED025" w14:textId="77777777" w:rsidR="00D6638C" w:rsidRPr="006656B5" w:rsidRDefault="00D6638C" w:rsidP="006656B5">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14:paraId="42A05F9E" w14:textId="77777777" w:rsidR="00D6638C" w:rsidRPr="006656B5" w:rsidRDefault="00D6638C" w:rsidP="006656B5">
      <w:pPr>
        <w:spacing w:before="200"/>
        <w:rPr>
          <w:rFonts w:ascii="Calibri" w:eastAsia="Times New Roman" w:hAnsi="Calibri" w:cs="Times New Roman"/>
          <w:sz w:val="20"/>
          <w:szCs w:val="20"/>
          <w:lang w:val="fr-FR"/>
        </w:rPr>
        <w:sectPr w:rsidR="00D6638C" w:rsidRPr="006656B5" w:rsidSect="006C1964">
          <w:pgSz w:w="15840" w:h="12240" w:orient="landscape"/>
          <w:pgMar w:top="1440" w:right="900" w:bottom="1440" w:left="1440" w:header="708" w:footer="708" w:gutter="0"/>
          <w:cols w:space="708"/>
          <w:docGrid w:linePitch="360"/>
        </w:sectPr>
      </w:pPr>
    </w:p>
    <w:p w14:paraId="1D8105D2" w14:textId="77777777" w:rsidR="00D6638C" w:rsidRPr="006656B5" w:rsidRDefault="00D6638C" w:rsidP="006656B5">
      <w:pPr>
        <w:pStyle w:val="Heading31"/>
      </w:pPr>
      <w:bookmarkStart w:id="68" w:name="_TOR_Annex_D:"/>
      <w:bookmarkStart w:id="69" w:name="_Toc321341565"/>
      <w:bookmarkEnd w:id="68"/>
      <w:r w:rsidRPr="006656B5">
        <w:lastRenderedPageBreak/>
        <w:t>Annexe D : Échelles de notations</w:t>
      </w:r>
      <w:bookmarkEnd w:id="69"/>
    </w:p>
    <w:p w14:paraId="79C8FF76" w14:textId="77777777" w:rsidR="00E77635" w:rsidRPr="006656B5" w:rsidRDefault="00E77635" w:rsidP="006656B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6656B5" w:rsidRPr="006656B5" w14:paraId="7C3FEF7E" w14:textId="77777777" w:rsidTr="00E77635">
        <w:trPr>
          <w:trHeight w:val="548"/>
        </w:trPr>
        <w:tc>
          <w:tcPr>
            <w:tcW w:w="2009" w:type="pct"/>
            <w:shd w:val="clear" w:color="auto" w:fill="auto"/>
            <w:hideMark/>
          </w:tcPr>
          <w:p w14:paraId="2EFD3838" w14:textId="77777777" w:rsidR="00D6638C" w:rsidRPr="006656B5" w:rsidRDefault="00D6638C" w:rsidP="006656B5">
            <w:pPr>
              <w:spacing w:after="0" w:line="240" w:lineRule="auto"/>
              <w:rPr>
                <w:rFonts w:ascii="Calibri" w:eastAsia="Calibri" w:hAnsi="Calibri" w:cs="Times New Roman"/>
                <w:b/>
                <w:i/>
                <w:sz w:val="20"/>
                <w:szCs w:val="20"/>
                <w:lang w:val="fr-FR"/>
              </w:rPr>
            </w:pPr>
            <w:r w:rsidRPr="006656B5">
              <w:rPr>
                <w:rFonts w:ascii="Calibri" w:hAnsi="Calibri"/>
                <w:b/>
                <w:i/>
                <w:sz w:val="20"/>
                <w:lang w:val="fr-FR"/>
              </w:rPr>
              <w:t>Notations pour les résultats, l’efficacité, l’efficience, le suivi et l’évaluation et les enquêtes</w:t>
            </w:r>
          </w:p>
        </w:tc>
        <w:tc>
          <w:tcPr>
            <w:tcW w:w="2010" w:type="pct"/>
            <w:shd w:val="clear" w:color="auto" w:fill="auto"/>
          </w:tcPr>
          <w:p w14:paraId="43629AFA" w14:textId="77777777" w:rsidR="00D6638C" w:rsidRPr="006656B5" w:rsidRDefault="00D6638C" w:rsidP="006656B5">
            <w:pPr>
              <w:spacing w:after="0" w:line="240" w:lineRule="auto"/>
              <w:rPr>
                <w:rFonts w:ascii="Calibri" w:eastAsia="Calibri" w:hAnsi="Calibri" w:cs="Times New Roman"/>
                <w:b/>
                <w:i/>
                <w:sz w:val="20"/>
                <w:szCs w:val="20"/>
              </w:rPr>
            </w:pPr>
            <w:r w:rsidRPr="006656B5">
              <w:rPr>
                <w:rFonts w:ascii="Calibri" w:hAnsi="Calibri"/>
                <w:b/>
                <w:i/>
                <w:sz w:val="20"/>
              </w:rPr>
              <w:t xml:space="preserve">Notations de durabilité : </w:t>
            </w:r>
          </w:p>
          <w:p w14:paraId="38E05278" w14:textId="77777777" w:rsidR="00D6638C" w:rsidRPr="006656B5" w:rsidRDefault="00D6638C" w:rsidP="006656B5">
            <w:pPr>
              <w:spacing w:after="0" w:line="240" w:lineRule="auto"/>
              <w:rPr>
                <w:rFonts w:ascii="Calibri" w:eastAsia="Times New Roman" w:hAnsi="Calibri" w:cs="Times New Roman"/>
                <w:b/>
                <w:i/>
                <w:sz w:val="20"/>
                <w:szCs w:val="20"/>
              </w:rPr>
            </w:pPr>
          </w:p>
        </w:tc>
        <w:tc>
          <w:tcPr>
            <w:tcW w:w="981" w:type="pct"/>
            <w:shd w:val="clear" w:color="auto" w:fill="auto"/>
          </w:tcPr>
          <w:p w14:paraId="10C8A3C8" w14:textId="77777777" w:rsidR="00D6638C" w:rsidRPr="006656B5" w:rsidRDefault="00D6638C" w:rsidP="006656B5">
            <w:pPr>
              <w:spacing w:after="0" w:line="240" w:lineRule="auto"/>
              <w:rPr>
                <w:rFonts w:ascii="Calibri" w:eastAsia="Times New Roman" w:hAnsi="Calibri" w:cs="Times New Roman"/>
                <w:b/>
                <w:i/>
                <w:sz w:val="20"/>
                <w:szCs w:val="20"/>
              </w:rPr>
            </w:pPr>
            <w:r w:rsidRPr="006656B5">
              <w:rPr>
                <w:rFonts w:ascii="Calibri" w:hAnsi="Calibri"/>
                <w:b/>
                <w:i/>
                <w:sz w:val="20"/>
              </w:rPr>
              <w:t>Notations de la pertinence</w:t>
            </w:r>
          </w:p>
        </w:tc>
      </w:tr>
      <w:tr w:rsidR="006656B5" w:rsidRPr="006656B5" w14:paraId="01680D8B" w14:textId="77777777" w:rsidTr="00E77635">
        <w:trPr>
          <w:trHeight w:val="269"/>
        </w:trPr>
        <w:tc>
          <w:tcPr>
            <w:tcW w:w="2009" w:type="pct"/>
            <w:vMerge w:val="restart"/>
            <w:shd w:val="clear" w:color="auto" w:fill="auto"/>
            <w:hideMark/>
          </w:tcPr>
          <w:p w14:paraId="3BD3ABAF"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 xml:space="preserve">6 Très satisfaisant (HS) : pas de lacunes </w:t>
            </w:r>
          </w:p>
          <w:p w14:paraId="426E3C9B"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5 Satisfaisant (S) : lacunes mineures</w:t>
            </w:r>
          </w:p>
          <w:p w14:paraId="1A17CC98"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4 Modérément satisfaisant (MS)</w:t>
            </w:r>
          </w:p>
          <w:p w14:paraId="1E10A53C"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3 Modérément Insatisfaisant (MU) : des lacunes importantes</w:t>
            </w:r>
          </w:p>
          <w:p w14:paraId="7F9FA33E"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2 Insatisfaisant (U) : problèmes majeurs</w:t>
            </w:r>
          </w:p>
          <w:p w14:paraId="2A46876C" w14:textId="77777777" w:rsidR="00D6638C" w:rsidRPr="006656B5" w:rsidRDefault="00D6638C" w:rsidP="006656B5">
            <w:pPr>
              <w:spacing w:after="0" w:line="240" w:lineRule="auto"/>
              <w:ind w:left="162"/>
              <w:rPr>
                <w:rFonts w:ascii="Calibri" w:eastAsia="Times New Roman" w:hAnsi="Calibri" w:cs="Times New Roman"/>
                <w:sz w:val="20"/>
                <w:szCs w:val="20"/>
                <w:lang w:val="fr-FR"/>
              </w:rPr>
            </w:pPr>
            <w:r w:rsidRPr="006656B5">
              <w:rPr>
                <w:rFonts w:ascii="Calibri" w:hAnsi="Calibri"/>
                <w:sz w:val="20"/>
                <w:lang w:val="fr-FR"/>
              </w:rPr>
              <w:t>1 Très insatisfaisant (HU) : de graves problèmes</w:t>
            </w:r>
          </w:p>
          <w:p w14:paraId="6EC6047C" w14:textId="77777777" w:rsidR="00D6638C" w:rsidRPr="006656B5" w:rsidRDefault="00D6638C" w:rsidP="006656B5">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14:paraId="3DA70979" w14:textId="77777777" w:rsidR="00D6638C" w:rsidRPr="006656B5" w:rsidRDefault="00D6638C" w:rsidP="006656B5">
            <w:pPr>
              <w:spacing w:after="0" w:line="240" w:lineRule="auto"/>
              <w:rPr>
                <w:rFonts w:ascii="Calibri" w:eastAsia="Times New Roman" w:hAnsi="Calibri" w:cs="Times New Roman"/>
                <w:sz w:val="20"/>
                <w:szCs w:val="20"/>
                <w:lang w:val="fr-FR"/>
              </w:rPr>
            </w:pPr>
            <w:r w:rsidRPr="006656B5">
              <w:rPr>
                <w:rFonts w:ascii="Calibri" w:hAnsi="Calibri"/>
                <w:sz w:val="20"/>
                <w:lang w:val="fr-FR"/>
              </w:rPr>
              <w:t>4 Probables (L) : risques négligeables pour la durabilité</w:t>
            </w:r>
          </w:p>
        </w:tc>
        <w:tc>
          <w:tcPr>
            <w:tcW w:w="981" w:type="pct"/>
            <w:tcBorders>
              <w:bottom w:val="nil"/>
            </w:tcBorders>
            <w:shd w:val="clear" w:color="auto" w:fill="auto"/>
          </w:tcPr>
          <w:p w14:paraId="4C234DAF" w14:textId="77777777" w:rsidR="00D6638C" w:rsidRPr="006656B5" w:rsidRDefault="00D6638C" w:rsidP="006656B5">
            <w:pPr>
              <w:spacing w:after="0" w:line="240" w:lineRule="auto"/>
              <w:rPr>
                <w:rFonts w:ascii="Calibri" w:eastAsia="Times New Roman" w:hAnsi="Calibri" w:cs="Times New Roman"/>
                <w:sz w:val="20"/>
                <w:szCs w:val="20"/>
              </w:rPr>
            </w:pPr>
            <w:r w:rsidRPr="006656B5">
              <w:rPr>
                <w:rFonts w:ascii="Calibri" w:hAnsi="Calibri"/>
                <w:sz w:val="20"/>
              </w:rPr>
              <w:t>2 Pertinent (P)</w:t>
            </w:r>
          </w:p>
        </w:tc>
      </w:tr>
      <w:tr w:rsidR="006656B5" w:rsidRPr="006656B5" w14:paraId="3AAAF1EC" w14:textId="77777777" w:rsidTr="00E77635">
        <w:trPr>
          <w:trHeight w:val="251"/>
        </w:trPr>
        <w:tc>
          <w:tcPr>
            <w:tcW w:w="2009" w:type="pct"/>
            <w:vMerge/>
            <w:shd w:val="clear" w:color="auto" w:fill="auto"/>
            <w:hideMark/>
          </w:tcPr>
          <w:p w14:paraId="0FDC2E3E" w14:textId="77777777" w:rsidR="00D6638C" w:rsidRPr="006656B5" w:rsidRDefault="00D6638C" w:rsidP="006656B5">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0CE6C277" w14:textId="77777777" w:rsidR="00D6638C" w:rsidRPr="006656B5" w:rsidRDefault="00D6638C" w:rsidP="006656B5">
            <w:pPr>
              <w:spacing w:after="0" w:line="240" w:lineRule="auto"/>
              <w:rPr>
                <w:rFonts w:ascii="Calibri" w:eastAsia="Times New Roman" w:hAnsi="Calibri" w:cs="Times New Roman"/>
                <w:sz w:val="20"/>
                <w:szCs w:val="20"/>
                <w:lang w:val="fr-FR"/>
              </w:rPr>
            </w:pPr>
            <w:r w:rsidRPr="006656B5">
              <w:rPr>
                <w:rFonts w:ascii="Calibri" w:hAnsi="Calibri"/>
                <w:sz w:val="20"/>
                <w:lang w:val="fr-FR"/>
              </w:rPr>
              <w:t>3 Moyennement probable (MP) : risques modérés</w:t>
            </w:r>
          </w:p>
        </w:tc>
        <w:tc>
          <w:tcPr>
            <w:tcW w:w="981" w:type="pct"/>
            <w:tcBorders>
              <w:top w:val="nil"/>
              <w:bottom w:val="nil"/>
            </w:tcBorders>
            <w:shd w:val="clear" w:color="auto" w:fill="auto"/>
          </w:tcPr>
          <w:p w14:paraId="0BBF0838" w14:textId="77777777" w:rsidR="00D6638C" w:rsidRPr="006656B5" w:rsidRDefault="00D6638C" w:rsidP="006656B5">
            <w:pPr>
              <w:spacing w:after="0" w:line="240" w:lineRule="auto"/>
              <w:rPr>
                <w:rFonts w:ascii="Calibri" w:eastAsia="Times New Roman" w:hAnsi="Calibri" w:cs="Times New Roman"/>
                <w:sz w:val="20"/>
                <w:szCs w:val="20"/>
              </w:rPr>
            </w:pPr>
            <w:r w:rsidRPr="006656B5">
              <w:rPr>
                <w:rFonts w:ascii="Calibri" w:hAnsi="Calibri"/>
                <w:sz w:val="20"/>
              </w:rPr>
              <w:t>1 Pas pertinent (PP)</w:t>
            </w:r>
          </w:p>
        </w:tc>
      </w:tr>
      <w:tr w:rsidR="006656B5" w:rsidRPr="006656B5" w14:paraId="22CB1AA4" w14:textId="77777777" w:rsidTr="00E77635">
        <w:tc>
          <w:tcPr>
            <w:tcW w:w="2009" w:type="pct"/>
            <w:vMerge/>
            <w:tcBorders>
              <w:bottom w:val="single" w:sz="4" w:space="0" w:color="auto"/>
            </w:tcBorders>
            <w:shd w:val="clear" w:color="auto" w:fill="auto"/>
            <w:hideMark/>
          </w:tcPr>
          <w:p w14:paraId="4B0FB4F3" w14:textId="77777777" w:rsidR="00D6638C" w:rsidRPr="006656B5" w:rsidRDefault="00D6638C" w:rsidP="006656B5">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349DB814" w14:textId="77777777" w:rsidR="00D6638C" w:rsidRPr="006656B5" w:rsidRDefault="00D6638C" w:rsidP="006656B5">
            <w:pPr>
              <w:spacing w:after="0" w:line="240" w:lineRule="auto"/>
              <w:rPr>
                <w:rFonts w:ascii="Calibri" w:eastAsia="Times New Roman" w:hAnsi="Calibri" w:cs="Times New Roman"/>
                <w:sz w:val="20"/>
                <w:szCs w:val="20"/>
                <w:lang w:val="fr-FR"/>
              </w:rPr>
            </w:pPr>
            <w:r w:rsidRPr="006656B5">
              <w:rPr>
                <w:rFonts w:ascii="Calibri" w:hAnsi="Calibri"/>
                <w:sz w:val="20"/>
                <w:lang w:val="fr-FR"/>
              </w:rPr>
              <w:t>2 Moyennement peu probable (MU) : des risques importants</w:t>
            </w:r>
          </w:p>
          <w:p w14:paraId="21AB9D07" w14:textId="77777777" w:rsidR="00D6638C" w:rsidRPr="006656B5" w:rsidRDefault="00D6638C" w:rsidP="006656B5">
            <w:pPr>
              <w:spacing w:after="0" w:line="240" w:lineRule="auto"/>
              <w:rPr>
                <w:rFonts w:ascii="Calibri" w:eastAsia="Times New Roman" w:hAnsi="Calibri" w:cs="Times New Roman"/>
                <w:sz w:val="20"/>
                <w:szCs w:val="20"/>
              </w:rPr>
            </w:pPr>
            <w:r w:rsidRPr="006656B5">
              <w:rPr>
                <w:rFonts w:ascii="Calibri" w:hAnsi="Calibri"/>
                <w:sz w:val="20"/>
              </w:rPr>
              <w:t>1 Improbable (U) : risques graves</w:t>
            </w:r>
          </w:p>
        </w:tc>
        <w:tc>
          <w:tcPr>
            <w:tcW w:w="981" w:type="pct"/>
            <w:tcBorders>
              <w:top w:val="nil"/>
              <w:bottom w:val="single" w:sz="4" w:space="0" w:color="auto"/>
            </w:tcBorders>
            <w:shd w:val="clear" w:color="auto" w:fill="auto"/>
          </w:tcPr>
          <w:p w14:paraId="4FB3CD24" w14:textId="77777777" w:rsidR="00D6638C" w:rsidRPr="006656B5" w:rsidRDefault="00D6638C" w:rsidP="006656B5">
            <w:pPr>
              <w:spacing w:after="0" w:line="240" w:lineRule="auto"/>
              <w:rPr>
                <w:rFonts w:ascii="Calibri" w:eastAsia="Times New Roman" w:hAnsi="Calibri" w:cs="Times New Roman"/>
                <w:sz w:val="20"/>
                <w:szCs w:val="20"/>
                <w:lang w:val="fr-FR"/>
              </w:rPr>
            </w:pPr>
          </w:p>
          <w:p w14:paraId="3FD1AF60" w14:textId="77777777" w:rsidR="00D6638C" w:rsidRPr="006656B5" w:rsidRDefault="00D6638C" w:rsidP="006656B5">
            <w:pPr>
              <w:spacing w:after="0" w:line="240" w:lineRule="auto"/>
              <w:rPr>
                <w:rFonts w:ascii="Calibri" w:eastAsia="Times New Roman" w:hAnsi="Calibri" w:cs="Times New Roman"/>
                <w:b/>
                <w:i/>
                <w:sz w:val="20"/>
                <w:szCs w:val="20"/>
                <w:lang w:val="fr-FR"/>
              </w:rPr>
            </w:pPr>
            <w:r w:rsidRPr="006656B5">
              <w:rPr>
                <w:rFonts w:ascii="Calibri" w:hAnsi="Calibri"/>
                <w:b/>
                <w:i/>
                <w:sz w:val="20"/>
                <w:lang w:val="fr-FR"/>
              </w:rPr>
              <w:t>Notations de l’impact :</w:t>
            </w:r>
          </w:p>
          <w:p w14:paraId="6A41D2C9" w14:textId="77777777" w:rsidR="00D6638C" w:rsidRPr="006656B5" w:rsidRDefault="00D6638C" w:rsidP="006656B5">
            <w:pPr>
              <w:spacing w:after="0" w:line="240" w:lineRule="auto"/>
              <w:rPr>
                <w:rFonts w:ascii="Calibri" w:eastAsia="Times New Roman" w:hAnsi="Calibri" w:cs="Times New Roman"/>
                <w:sz w:val="20"/>
                <w:szCs w:val="20"/>
                <w:lang w:val="fr-FR"/>
              </w:rPr>
            </w:pPr>
            <w:r w:rsidRPr="006656B5">
              <w:rPr>
                <w:rFonts w:ascii="Calibri" w:hAnsi="Calibri"/>
                <w:sz w:val="20"/>
                <w:lang w:val="fr-FR"/>
              </w:rPr>
              <w:t>3 Satisfaisant (S)</w:t>
            </w:r>
          </w:p>
          <w:p w14:paraId="7A404BD9" w14:textId="77777777" w:rsidR="00D6638C" w:rsidRPr="006656B5" w:rsidRDefault="00D6638C" w:rsidP="006656B5">
            <w:pPr>
              <w:spacing w:after="0" w:line="240" w:lineRule="auto"/>
              <w:rPr>
                <w:rFonts w:ascii="Calibri" w:eastAsia="Times New Roman" w:hAnsi="Calibri" w:cs="Times New Roman"/>
                <w:sz w:val="20"/>
                <w:szCs w:val="20"/>
              </w:rPr>
            </w:pPr>
            <w:r w:rsidRPr="006656B5">
              <w:rPr>
                <w:rFonts w:ascii="Calibri" w:hAnsi="Calibri"/>
                <w:sz w:val="20"/>
              </w:rPr>
              <w:t>2 Minime (M)</w:t>
            </w:r>
          </w:p>
          <w:p w14:paraId="0FAAB414" w14:textId="77777777" w:rsidR="00D6638C" w:rsidRPr="006656B5" w:rsidRDefault="00D6638C" w:rsidP="006656B5">
            <w:pPr>
              <w:spacing w:after="0" w:line="240" w:lineRule="auto"/>
              <w:rPr>
                <w:rFonts w:ascii="Calibri" w:eastAsia="Times New Roman" w:hAnsi="Calibri" w:cs="Times New Roman"/>
                <w:sz w:val="20"/>
                <w:szCs w:val="20"/>
              </w:rPr>
            </w:pPr>
            <w:r w:rsidRPr="006656B5">
              <w:rPr>
                <w:rFonts w:ascii="Calibri" w:hAnsi="Calibri"/>
                <w:sz w:val="20"/>
              </w:rPr>
              <w:t>1 Négligeable (N)</w:t>
            </w:r>
          </w:p>
        </w:tc>
      </w:tr>
      <w:tr w:rsidR="006656B5" w:rsidRPr="006656B5" w14:paraId="1DB41101"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C9C1F8" w14:textId="77777777" w:rsidR="00D6638C" w:rsidRPr="006656B5" w:rsidRDefault="00D6638C" w:rsidP="006656B5">
            <w:pPr>
              <w:spacing w:after="0" w:line="240" w:lineRule="auto"/>
              <w:rPr>
                <w:rFonts w:ascii="Calibri" w:eastAsia="Times New Roman" w:hAnsi="Calibri" w:cs="Times New Roman"/>
                <w:i/>
                <w:sz w:val="20"/>
                <w:szCs w:val="20"/>
                <w:lang w:val="fr-FR"/>
              </w:rPr>
            </w:pPr>
            <w:r w:rsidRPr="006656B5">
              <w:rPr>
                <w:rFonts w:ascii="Calibri" w:hAnsi="Calibri"/>
                <w:i/>
                <w:sz w:val="20"/>
                <w:lang w:val="fr-FR"/>
              </w:rPr>
              <w:t>Notations supplémentaires le cas échéant :</w:t>
            </w:r>
          </w:p>
          <w:p w14:paraId="2B23305F" w14:textId="77777777" w:rsidR="00D6638C" w:rsidRPr="006656B5" w:rsidRDefault="00D6638C" w:rsidP="006656B5">
            <w:pPr>
              <w:spacing w:after="0" w:line="240" w:lineRule="auto"/>
              <w:rPr>
                <w:rFonts w:ascii="Calibri" w:eastAsia="Times New Roman" w:hAnsi="Calibri" w:cs="Calibri"/>
                <w:sz w:val="20"/>
                <w:szCs w:val="20"/>
                <w:lang w:val="fr-FR"/>
              </w:rPr>
            </w:pPr>
            <w:r w:rsidRPr="006656B5">
              <w:rPr>
                <w:rFonts w:ascii="Calibri" w:hAnsi="Calibri"/>
                <w:sz w:val="20"/>
                <w:lang w:val="fr-FR"/>
              </w:rPr>
              <w:t xml:space="preserve">Sans objet (S.O.) </w:t>
            </w:r>
          </w:p>
          <w:p w14:paraId="000367DC" w14:textId="77777777" w:rsidR="00D6638C" w:rsidRPr="006656B5" w:rsidRDefault="00D6638C" w:rsidP="006656B5">
            <w:pPr>
              <w:spacing w:after="0" w:line="240" w:lineRule="auto"/>
              <w:rPr>
                <w:rFonts w:ascii="Calibri" w:eastAsia="Times New Roman" w:hAnsi="Calibri" w:cs="Times New Roman"/>
                <w:sz w:val="20"/>
                <w:szCs w:val="20"/>
                <w:lang w:val="fr-FR"/>
              </w:rPr>
            </w:pPr>
            <w:r w:rsidRPr="006656B5">
              <w:rPr>
                <w:rFonts w:ascii="Calibri" w:hAnsi="Calibri"/>
                <w:sz w:val="20"/>
                <w:lang w:val="fr-FR"/>
              </w:rPr>
              <w:t>Évaluation impossible (E.I.)</w:t>
            </w:r>
          </w:p>
        </w:tc>
      </w:tr>
    </w:tbl>
    <w:p w14:paraId="1FFD220B" w14:textId="77777777" w:rsidR="00D6638C" w:rsidRPr="006656B5" w:rsidRDefault="00D6638C" w:rsidP="006656B5">
      <w:pPr>
        <w:pStyle w:val="Heading31"/>
        <w:rPr>
          <w:lang w:val="fr-FR"/>
        </w:rPr>
      </w:pPr>
      <w:r w:rsidRPr="006656B5">
        <w:rPr>
          <w:lang w:val="fr-FR"/>
        </w:rPr>
        <w:br w:type="page"/>
      </w:r>
      <w:bookmarkStart w:id="70" w:name="_Toc299133056"/>
      <w:bookmarkStart w:id="71" w:name="_Toc321341566"/>
      <w:r w:rsidRPr="006656B5">
        <w:rPr>
          <w:lang w:val="fr-FR"/>
        </w:rPr>
        <w:lastRenderedPageBreak/>
        <w:t>Annexe E : Formulaire d’acceptation du code de conduite du consultant en évaluation</w:t>
      </w:r>
      <w:bookmarkEnd w:id="65"/>
      <w:bookmarkEnd w:id="66"/>
      <w:bookmarkEnd w:id="67"/>
      <w:bookmarkEnd w:id="70"/>
      <w:bookmarkEnd w:id="71"/>
    </w:p>
    <w:p w14:paraId="4D0FB6A8" w14:textId="77777777" w:rsidR="00B913F1" w:rsidRPr="006656B5" w:rsidRDefault="00B913F1" w:rsidP="006656B5">
      <w:pPr>
        <w:autoSpaceDE w:val="0"/>
        <w:autoSpaceDN w:val="0"/>
        <w:adjustRightInd w:val="0"/>
        <w:spacing w:after="0" w:line="240" w:lineRule="auto"/>
        <w:rPr>
          <w:rFonts w:ascii="Myriad-Bold" w:hAnsi="Myriad-Bold" w:cs="Myriad-Bold"/>
          <w:b/>
          <w:bCs/>
          <w:lang w:val="fr-FR"/>
        </w:rPr>
      </w:pPr>
    </w:p>
    <w:p w14:paraId="6EDF2521" w14:textId="77777777" w:rsidR="00B913F1" w:rsidRPr="006656B5" w:rsidRDefault="00B913F1" w:rsidP="006656B5">
      <w:pPr>
        <w:autoSpaceDE w:val="0"/>
        <w:autoSpaceDN w:val="0"/>
        <w:adjustRightInd w:val="0"/>
        <w:spacing w:after="0" w:line="240" w:lineRule="auto"/>
        <w:rPr>
          <w:rFonts w:cstheme="minorHAnsi"/>
          <w:b/>
          <w:bCs/>
          <w:sz w:val="24"/>
          <w:szCs w:val="24"/>
        </w:rPr>
      </w:pPr>
      <w:r w:rsidRPr="006656B5">
        <w:rPr>
          <w:rFonts w:cstheme="minorHAnsi"/>
          <w:b/>
          <w:sz w:val="24"/>
        </w:rPr>
        <w:t>Les évaluateurs :</w:t>
      </w:r>
    </w:p>
    <w:p w14:paraId="01A06046" w14:textId="77777777" w:rsidR="00B913F1" w:rsidRPr="006656B5" w:rsidRDefault="00B913F1" w:rsidP="006656B5">
      <w:pPr>
        <w:pStyle w:val="Paragraphedeliste"/>
        <w:numPr>
          <w:ilvl w:val="0"/>
          <w:numId w:val="31"/>
        </w:numPr>
        <w:rPr>
          <w:rFonts w:eastAsia="ACaslon-Regular"/>
          <w:lang w:val="fr-FR"/>
        </w:rPr>
      </w:pPr>
      <w:r w:rsidRPr="006656B5">
        <w:rPr>
          <w:lang w:val="fr-FR"/>
        </w:rPr>
        <w:t xml:space="preserve">Doivent présenter des informations complètes et équitables dans leur évaluation des forces et des faiblesses afin que les décisions ou les mesures prises soient bien fondées ;  </w:t>
      </w:r>
    </w:p>
    <w:p w14:paraId="009A0585" w14:textId="77777777" w:rsidR="00B913F1" w:rsidRPr="006656B5" w:rsidRDefault="00B913F1" w:rsidP="006656B5">
      <w:pPr>
        <w:pStyle w:val="Paragraphedeliste"/>
        <w:numPr>
          <w:ilvl w:val="0"/>
          <w:numId w:val="31"/>
        </w:numPr>
        <w:rPr>
          <w:rFonts w:eastAsia="ACaslon-Regular"/>
          <w:lang w:val="fr-FR"/>
        </w:rPr>
      </w:pPr>
      <w:r w:rsidRPr="006656B5">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2FD2799D" w14:textId="77777777" w:rsidR="00B913F1" w:rsidRPr="006656B5" w:rsidRDefault="00B913F1" w:rsidP="006656B5">
      <w:pPr>
        <w:pStyle w:val="Paragraphedeliste"/>
        <w:numPr>
          <w:ilvl w:val="0"/>
          <w:numId w:val="31"/>
        </w:numPr>
        <w:rPr>
          <w:rFonts w:eastAsia="ACaslon-Regular"/>
          <w:lang w:val="fr-FR"/>
        </w:rPr>
      </w:pPr>
      <w:r w:rsidRPr="006656B5">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8904726" w14:textId="77777777" w:rsidR="00B913F1" w:rsidRPr="006656B5" w:rsidRDefault="00B913F1" w:rsidP="006656B5">
      <w:pPr>
        <w:pStyle w:val="Paragraphedeliste"/>
        <w:numPr>
          <w:ilvl w:val="0"/>
          <w:numId w:val="31"/>
        </w:numPr>
        <w:rPr>
          <w:rFonts w:eastAsia="ACaslon-Regular"/>
          <w:lang w:val="fr-FR"/>
        </w:rPr>
      </w:pPr>
      <w:r w:rsidRPr="006656B5">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12065676" w14:textId="77777777" w:rsidR="00B913F1" w:rsidRPr="006656B5" w:rsidRDefault="00B913F1" w:rsidP="006656B5">
      <w:pPr>
        <w:pStyle w:val="Paragraphedeliste"/>
        <w:numPr>
          <w:ilvl w:val="0"/>
          <w:numId w:val="31"/>
        </w:numPr>
        <w:rPr>
          <w:rFonts w:eastAsia="ACaslon-Regular"/>
          <w:lang w:val="fr-FR"/>
        </w:rPr>
      </w:pPr>
      <w:r w:rsidRPr="006656B5">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182F99FA" w14:textId="77777777" w:rsidR="00B913F1" w:rsidRPr="006656B5" w:rsidRDefault="00B913F1" w:rsidP="006656B5">
      <w:pPr>
        <w:pStyle w:val="Paragraphedeliste"/>
        <w:numPr>
          <w:ilvl w:val="0"/>
          <w:numId w:val="31"/>
        </w:numPr>
        <w:rPr>
          <w:rFonts w:eastAsia="ACaslon-Regular"/>
          <w:lang w:val="fr-FR"/>
        </w:rPr>
      </w:pPr>
      <w:r w:rsidRPr="006656B5">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7532CCA1" w14:textId="77777777" w:rsidR="00D6638C" w:rsidRPr="006656B5" w:rsidRDefault="00B913F1" w:rsidP="006656B5">
      <w:pPr>
        <w:pStyle w:val="Paragraphedeliste"/>
        <w:numPr>
          <w:ilvl w:val="0"/>
          <w:numId w:val="31"/>
        </w:numPr>
        <w:rPr>
          <w:lang w:val="fr-FR"/>
        </w:rPr>
      </w:pPr>
      <w:r w:rsidRPr="006656B5">
        <w:rPr>
          <w:lang w:val="fr-FR"/>
        </w:rPr>
        <w:t>Doivent respecter des procédures comptables reconnues et faire preuve de prudence dans l’utilisation des ressources de l’évaluation.</w:t>
      </w:r>
    </w:p>
    <w:p w14:paraId="38E14143"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lang w:val="fr-FR"/>
        </w:rPr>
      </w:pPr>
      <w:r w:rsidRPr="006656B5">
        <w:rPr>
          <w:rFonts w:ascii="Calibri" w:hAnsi="Calibri"/>
          <w:b/>
          <w:lang w:val="fr-FR"/>
        </w:rPr>
        <w:t>Formulaire d’acceptation du consultant en évaluation</w:t>
      </w:r>
      <w:r w:rsidRPr="006656B5">
        <w:rPr>
          <w:rFonts w:ascii="Calibri" w:hAnsi="Calibri"/>
          <w:b/>
          <w:sz w:val="24"/>
          <w:vertAlign w:val="superscript"/>
        </w:rPr>
        <w:footnoteReference w:id="3"/>
      </w:r>
    </w:p>
    <w:p w14:paraId="34917C16"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lang w:val="fr-FR"/>
        </w:rPr>
      </w:pPr>
      <w:r w:rsidRPr="006656B5">
        <w:rPr>
          <w:rFonts w:ascii="Calibri" w:hAnsi="Calibri"/>
          <w:b/>
          <w:lang w:val="fr-FR"/>
        </w:rPr>
        <w:t xml:space="preserve">Engagement à respecter le Code de conduite des évaluateurs du système des Nations Unies </w:t>
      </w:r>
    </w:p>
    <w:p w14:paraId="4C521C2D"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lang w:val="fr-FR"/>
        </w:rPr>
      </w:pPr>
      <w:r w:rsidRPr="006656B5">
        <w:rPr>
          <w:rFonts w:ascii="Calibri" w:hAnsi="Calibri"/>
          <w:b/>
          <w:lang w:val="fr-FR"/>
        </w:rPr>
        <w:t xml:space="preserve">Nom du consultant : </w:t>
      </w:r>
      <w:r w:rsidRPr="006656B5">
        <w:rPr>
          <w:rFonts w:ascii="Calibri" w:hAnsi="Calibri"/>
          <w:lang w:val="fr-FR"/>
        </w:rPr>
        <w:t>__</w:t>
      </w:r>
      <w:r w:rsidR="00E70FBE" w:rsidRPr="006656B5">
        <w:rPr>
          <w:rFonts w:ascii="Calibri" w:eastAsia="Times New Roman" w:hAnsi="Calibri" w:cs="Calibri"/>
          <w:u w:val="single"/>
        </w:rPr>
        <w:fldChar w:fldCharType="begin">
          <w:ffData>
            <w:name w:val="Text2"/>
            <w:enabled/>
            <w:calcOnExit w:val="0"/>
            <w:textInput/>
          </w:ffData>
        </w:fldChar>
      </w:r>
      <w:r w:rsidRPr="006656B5">
        <w:rPr>
          <w:rFonts w:ascii="Calibri" w:eastAsia="Times New Roman" w:hAnsi="Calibri" w:cs="Calibri"/>
          <w:u w:val="single"/>
          <w:lang w:val="fr-FR"/>
        </w:rPr>
        <w:instrText xml:space="preserve"> FORMTEXT </w:instrText>
      </w:r>
      <w:r w:rsidR="00E70FBE" w:rsidRPr="006656B5">
        <w:rPr>
          <w:rFonts w:ascii="Calibri" w:eastAsia="Times New Roman" w:hAnsi="Calibri" w:cs="Calibri"/>
          <w:u w:val="single"/>
        </w:rPr>
      </w:r>
      <w:r w:rsidR="00E70FBE" w:rsidRPr="006656B5">
        <w:rPr>
          <w:rFonts w:ascii="Calibri" w:eastAsia="Times New Roman" w:hAnsi="Calibri" w:cs="Calibri"/>
          <w:u w:val="single"/>
        </w:rPr>
        <w:fldChar w:fldCharType="separate"/>
      </w:r>
      <w:r w:rsidRPr="006656B5">
        <w:rPr>
          <w:rFonts w:ascii="Calibri" w:hAnsi="Calibri"/>
          <w:noProof/>
          <w:u w:val="single"/>
          <w:lang w:val="fr-FR"/>
        </w:rPr>
        <w:t>     </w:t>
      </w:r>
      <w:r w:rsidR="00E70FBE" w:rsidRPr="006656B5">
        <w:fldChar w:fldCharType="end"/>
      </w:r>
      <w:r w:rsidRPr="006656B5">
        <w:rPr>
          <w:rFonts w:ascii="Calibri" w:hAnsi="Calibri"/>
          <w:lang w:val="fr-FR"/>
        </w:rPr>
        <w:t xml:space="preserve">_________________________________________________ </w:t>
      </w:r>
    </w:p>
    <w:p w14:paraId="050FCF6E"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lang w:val="fr-FR"/>
        </w:rPr>
      </w:pPr>
      <w:r w:rsidRPr="006656B5">
        <w:rPr>
          <w:b/>
          <w:lang w:val="fr-FR"/>
        </w:rPr>
        <w:t xml:space="preserve">Nom de l’organisation de consultation </w:t>
      </w:r>
      <w:r w:rsidRPr="006656B5">
        <w:rPr>
          <w:lang w:val="fr-FR"/>
        </w:rPr>
        <w:t>(le cas échéant) :</w:t>
      </w:r>
      <w:r w:rsidRPr="006656B5">
        <w:rPr>
          <w:rFonts w:ascii="Calibri" w:hAnsi="Calibri"/>
          <w:b/>
          <w:lang w:val="fr-FR"/>
        </w:rPr>
        <w:t xml:space="preserve"> </w:t>
      </w:r>
      <w:r w:rsidRPr="006656B5">
        <w:rPr>
          <w:rFonts w:ascii="Calibri" w:hAnsi="Calibri"/>
          <w:lang w:val="fr-FR"/>
        </w:rPr>
        <w:t xml:space="preserve">________________________ </w:t>
      </w:r>
    </w:p>
    <w:p w14:paraId="4A9563B6"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lang w:val="fr-FR"/>
        </w:rPr>
      </w:pPr>
      <w:r w:rsidRPr="006656B5">
        <w:rPr>
          <w:rFonts w:ascii="Calibri" w:hAnsi="Calibri"/>
          <w:b/>
          <w:lang w:val="fr-FR"/>
        </w:rPr>
        <w:lastRenderedPageBreak/>
        <w:t xml:space="preserve">Je confirme avoir reçu et compris le Code de conduite des évaluateurs des Nations Unies et je m’engage à le respecter. </w:t>
      </w:r>
    </w:p>
    <w:p w14:paraId="601F1229"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lang w:val="fr-FR"/>
        </w:rPr>
      </w:pPr>
      <w:r w:rsidRPr="006656B5">
        <w:rPr>
          <w:rFonts w:ascii="Calibri" w:hAnsi="Calibri"/>
          <w:lang w:val="fr-FR"/>
        </w:rPr>
        <w:t xml:space="preserve">Signé à </w:t>
      </w:r>
      <w:r w:rsidRPr="006656B5">
        <w:rPr>
          <w:rFonts w:ascii="Calibri" w:hAnsi="Calibri"/>
          <w:i/>
          <w:lang w:val="fr-FR"/>
        </w:rPr>
        <w:t xml:space="preserve">lieu </w:t>
      </w:r>
      <w:r w:rsidRPr="006656B5">
        <w:rPr>
          <w:rFonts w:ascii="Calibri" w:hAnsi="Calibri"/>
          <w:lang w:val="fr-FR"/>
        </w:rPr>
        <w:t xml:space="preserve">le </w:t>
      </w:r>
      <w:r w:rsidRPr="006656B5">
        <w:rPr>
          <w:rFonts w:ascii="Calibri" w:hAnsi="Calibri"/>
          <w:i/>
          <w:lang w:val="fr-FR"/>
        </w:rPr>
        <w:t>date</w:t>
      </w:r>
    </w:p>
    <w:p w14:paraId="23088EF4" w14:textId="77777777" w:rsidR="00D6638C" w:rsidRPr="006656B5" w:rsidRDefault="00D6638C" w:rsidP="006656B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lang w:val="fr-FR"/>
        </w:rPr>
      </w:pPr>
      <w:r w:rsidRPr="006656B5">
        <w:rPr>
          <w:lang w:val="fr-FR"/>
        </w:rPr>
        <w:t>Signature :</w:t>
      </w:r>
      <w:r w:rsidRPr="006656B5">
        <w:rPr>
          <w:rFonts w:ascii="HIDDJN+TimesNewRoman,Bold" w:hAnsi="HIDDJN+TimesNewRoman,Bold"/>
          <w:lang w:val="fr-FR"/>
        </w:rPr>
        <w:t xml:space="preserve"> ________________________________________</w:t>
      </w:r>
    </w:p>
    <w:p w14:paraId="1A60FB3D" w14:textId="77777777" w:rsidR="00D6638C" w:rsidRPr="006656B5" w:rsidRDefault="00D6638C" w:rsidP="006656B5">
      <w:pPr>
        <w:pStyle w:val="Heading31"/>
        <w:rPr>
          <w:lang w:val="fr-FR"/>
        </w:rPr>
      </w:pPr>
      <w:r w:rsidRPr="006656B5">
        <w:rPr>
          <w:lang w:val="fr-FR"/>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6656B5">
        <w:rPr>
          <w:lang w:val="fr-FR"/>
        </w:rPr>
        <w:lastRenderedPageBreak/>
        <w:t>Annexe F : Grandes lignes du rapport d'évaluation</w:t>
      </w:r>
      <w:bookmarkEnd w:id="73"/>
      <w:bookmarkEnd w:id="74"/>
      <w:bookmarkEnd w:id="75"/>
      <w:bookmarkEnd w:id="76"/>
      <w:r w:rsidRPr="006656B5">
        <w:rPr>
          <w:vertAlign w:val="superscript"/>
        </w:rPr>
        <w:footnoteReference w:id="4"/>
      </w:r>
      <w:bookmarkEnd w:id="77"/>
    </w:p>
    <w:tbl>
      <w:tblPr>
        <w:tblW w:w="0" w:type="auto"/>
        <w:tblInd w:w="108" w:type="dxa"/>
        <w:tblLook w:val="04A0" w:firstRow="1" w:lastRow="0" w:firstColumn="1" w:lastColumn="0" w:noHBand="0" w:noVBand="1"/>
      </w:tblPr>
      <w:tblGrid>
        <w:gridCol w:w="967"/>
        <w:gridCol w:w="8285"/>
      </w:tblGrid>
      <w:tr w:rsidR="006656B5" w:rsidRPr="006656B5" w14:paraId="657199EB" w14:textId="77777777" w:rsidTr="006C1964">
        <w:tc>
          <w:tcPr>
            <w:tcW w:w="985" w:type="dxa"/>
          </w:tcPr>
          <w:p w14:paraId="15930969"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i.</w:t>
            </w:r>
          </w:p>
        </w:tc>
        <w:tc>
          <w:tcPr>
            <w:tcW w:w="8483" w:type="dxa"/>
          </w:tcPr>
          <w:p w14:paraId="44DCC81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Page d’introduction :</w:t>
            </w:r>
          </w:p>
          <w:p w14:paraId="64F567CF"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 xml:space="preserve">Titre du projet financé par le FEM et soutenu par le PNUD </w:t>
            </w:r>
          </w:p>
          <w:p w14:paraId="359C4C49"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 xml:space="preserve">Nº d’identification des projets du PNUD et du FEM  </w:t>
            </w:r>
          </w:p>
          <w:p w14:paraId="48276F6D"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Calendrier de l’évaluation et date du rapport d’évaluation</w:t>
            </w:r>
          </w:p>
          <w:p w14:paraId="2BEA7972"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Région et pays inclus dans le projet</w:t>
            </w:r>
          </w:p>
          <w:p w14:paraId="5D41E3E1"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Programme opérationnel/stratégique du FEM</w:t>
            </w:r>
          </w:p>
          <w:p w14:paraId="43D003EF"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Partenaire de mise en œuvre et autres partenaires de projet</w:t>
            </w:r>
          </w:p>
          <w:p w14:paraId="1E33AF75"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 xml:space="preserve">Membres de l’équipe d’évaluation </w:t>
            </w:r>
          </w:p>
          <w:p w14:paraId="3FDEE7DB"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Remerciements</w:t>
            </w:r>
          </w:p>
        </w:tc>
      </w:tr>
      <w:tr w:rsidR="006656B5" w:rsidRPr="006656B5" w14:paraId="0A8E9D08" w14:textId="77777777" w:rsidTr="006C1964">
        <w:tc>
          <w:tcPr>
            <w:tcW w:w="985" w:type="dxa"/>
          </w:tcPr>
          <w:p w14:paraId="522AB2A6"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ii.</w:t>
            </w:r>
          </w:p>
        </w:tc>
        <w:tc>
          <w:tcPr>
            <w:tcW w:w="8483" w:type="dxa"/>
          </w:tcPr>
          <w:p w14:paraId="4B1461D2"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Résumé</w:t>
            </w:r>
          </w:p>
          <w:p w14:paraId="67F9951F"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Tableau de résumé du projet</w:t>
            </w:r>
          </w:p>
          <w:p w14:paraId="6CDAAC50"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Description du projet (brève)</w:t>
            </w:r>
          </w:p>
          <w:p w14:paraId="1C11620A"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Tableau de notations d’évaluation</w:t>
            </w:r>
          </w:p>
          <w:p w14:paraId="61EADF8A"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Résumé des conclusions, des recommandations et des enseignements</w:t>
            </w:r>
          </w:p>
        </w:tc>
      </w:tr>
      <w:tr w:rsidR="006656B5" w:rsidRPr="006656B5" w14:paraId="09A8B2EA" w14:textId="77777777" w:rsidTr="006C1964">
        <w:tc>
          <w:tcPr>
            <w:tcW w:w="985" w:type="dxa"/>
          </w:tcPr>
          <w:p w14:paraId="1C2B04F7"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iii.</w:t>
            </w:r>
          </w:p>
        </w:tc>
        <w:tc>
          <w:tcPr>
            <w:tcW w:w="8483" w:type="dxa"/>
          </w:tcPr>
          <w:p w14:paraId="396A2F07"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Acronymes et abréviations</w:t>
            </w:r>
          </w:p>
          <w:p w14:paraId="399AFB55" w14:textId="77777777" w:rsidR="00D6638C" w:rsidRPr="006656B5" w:rsidRDefault="00D6638C" w:rsidP="006656B5">
            <w:pPr>
              <w:spacing w:after="0"/>
              <w:rPr>
                <w:rFonts w:ascii="Calibri" w:eastAsia="Times New Roman" w:hAnsi="Calibri" w:cs="Times New Roman"/>
                <w:bCs/>
                <w:sz w:val="20"/>
                <w:lang w:val="fr-FR"/>
              </w:rPr>
            </w:pPr>
            <w:r w:rsidRPr="006656B5">
              <w:rPr>
                <w:rFonts w:ascii="Calibri" w:hAnsi="Calibri"/>
                <w:sz w:val="20"/>
                <w:lang w:val="fr-FR"/>
              </w:rPr>
              <w:t>(Voir : Manuel de rédaction du PNUD</w:t>
            </w:r>
            <w:r w:rsidRPr="006656B5">
              <w:rPr>
                <w:rFonts w:ascii="Calibri" w:hAnsi="Calibri"/>
                <w:sz w:val="20"/>
                <w:vertAlign w:val="superscript"/>
              </w:rPr>
              <w:footnoteReference w:id="5"/>
            </w:r>
            <w:r w:rsidRPr="006656B5">
              <w:rPr>
                <w:rFonts w:ascii="Calibri" w:hAnsi="Calibri"/>
                <w:sz w:val="20"/>
                <w:lang w:val="fr-FR"/>
              </w:rPr>
              <w:t>)</w:t>
            </w:r>
          </w:p>
        </w:tc>
      </w:tr>
      <w:tr w:rsidR="006656B5" w:rsidRPr="006656B5" w14:paraId="6CA5E8BD" w14:textId="77777777" w:rsidTr="006C1964">
        <w:tc>
          <w:tcPr>
            <w:tcW w:w="985" w:type="dxa"/>
          </w:tcPr>
          <w:p w14:paraId="27E475FA"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1</w:t>
            </w:r>
          </w:p>
        </w:tc>
        <w:tc>
          <w:tcPr>
            <w:tcW w:w="8483" w:type="dxa"/>
          </w:tcPr>
          <w:p w14:paraId="028ECFC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Introduction</w:t>
            </w:r>
          </w:p>
          <w:p w14:paraId="3BC6354D"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 xml:space="preserve">Objectif de l’évaluation </w:t>
            </w:r>
          </w:p>
          <w:p w14:paraId="3DF7984D"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 xml:space="preserve">Champ d’application et méthodologie </w:t>
            </w:r>
          </w:p>
          <w:p w14:paraId="5E9A9DD5"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Structure du rapport d’évaluation</w:t>
            </w:r>
          </w:p>
        </w:tc>
      </w:tr>
      <w:tr w:rsidR="006656B5" w:rsidRPr="006656B5" w14:paraId="52AA8C20" w14:textId="77777777" w:rsidTr="006C1964">
        <w:tc>
          <w:tcPr>
            <w:tcW w:w="985" w:type="dxa"/>
          </w:tcPr>
          <w:p w14:paraId="33DE9E3C"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2</w:t>
            </w:r>
          </w:p>
        </w:tc>
        <w:tc>
          <w:tcPr>
            <w:tcW w:w="8483" w:type="dxa"/>
          </w:tcPr>
          <w:p w14:paraId="7E693C22" w14:textId="77777777" w:rsidR="00D6638C" w:rsidRPr="006656B5" w:rsidRDefault="00D6638C" w:rsidP="006656B5">
            <w:pPr>
              <w:spacing w:after="0"/>
              <w:rPr>
                <w:rFonts w:ascii="Calibri" w:eastAsia="Times New Roman" w:hAnsi="Calibri" w:cs="Times New Roman"/>
                <w:sz w:val="20"/>
                <w:szCs w:val="20"/>
                <w:lang w:val="fr-FR"/>
              </w:rPr>
            </w:pPr>
            <w:r w:rsidRPr="006656B5">
              <w:rPr>
                <w:rFonts w:ascii="Calibri" w:hAnsi="Calibri"/>
                <w:sz w:val="20"/>
                <w:lang w:val="fr-FR"/>
              </w:rPr>
              <w:t>Description et contexte de développement du projet</w:t>
            </w:r>
          </w:p>
          <w:p w14:paraId="2634EA7A"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rPr>
            </w:pPr>
            <w:r w:rsidRPr="006656B5">
              <w:rPr>
                <w:rFonts w:ascii="Calibri" w:hAnsi="Calibri"/>
                <w:sz w:val="20"/>
              </w:rPr>
              <w:t>Démarrage et durée du projet</w:t>
            </w:r>
          </w:p>
          <w:p w14:paraId="57140331"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lang w:val="fr-FR"/>
              </w:rPr>
            </w:pPr>
            <w:r w:rsidRPr="006656B5">
              <w:rPr>
                <w:rFonts w:ascii="Calibri" w:hAnsi="Calibri"/>
                <w:sz w:val="20"/>
                <w:lang w:val="fr-FR"/>
              </w:rPr>
              <w:t>Problèmes que le projet visait à régler</w:t>
            </w:r>
          </w:p>
          <w:p w14:paraId="35CB4378"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lang w:val="fr-FR"/>
              </w:rPr>
            </w:pPr>
            <w:r w:rsidRPr="006656B5">
              <w:rPr>
                <w:rFonts w:ascii="Calibri" w:hAnsi="Calibri"/>
                <w:sz w:val="20"/>
                <w:lang w:val="fr-FR"/>
              </w:rPr>
              <w:t>Objectifs immédiats et de développement du projet</w:t>
            </w:r>
          </w:p>
          <w:p w14:paraId="51E8362C"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lang w:val="fr-FR"/>
              </w:rPr>
            </w:pPr>
            <w:r w:rsidRPr="006656B5">
              <w:rPr>
                <w:rFonts w:ascii="Calibri" w:hAnsi="Calibri"/>
                <w:sz w:val="20"/>
                <w:lang w:val="fr-FR"/>
              </w:rPr>
              <w:t>Indicateurs de base mis en place</w:t>
            </w:r>
          </w:p>
          <w:p w14:paraId="54731F2F"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rPr>
            </w:pPr>
            <w:r w:rsidRPr="006656B5">
              <w:rPr>
                <w:rFonts w:ascii="Calibri" w:hAnsi="Calibri"/>
                <w:sz w:val="20"/>
              </w:rPr>
              <w:t>Principales parties prenantes</w:t>
            </w:r>
          </w:p>
          <w:p w14:paraId="5F8028D0" w14:textId="77777777" w:rsidR="00D6638C" w:rsidRPr="006656B5" w:rsidRDefault="00D6638C" w:rsidP="006656B5">
            <w:pPr>
              <w:numPr>
                <w:ilvl w:val="0"/>
                <w:numId w:val="19"/>
              </w:numPr>
              <w:spacing w:after="0" w:line="240" w:lineRule="auto"/>
              <w:rPr>
                <w:rFonts w:ascii="Calibri" w:eastAsia="Times New Roman" w:hAnsi="Calibri" w:cs="Times New Roman"/>
                <w:sz w:val="20"/>
                <w:szCs w:val="20"/>
              </w:rPr>
            </w:pPr>
            <w:r w:rsidRPr="006656B5">
              <w:rPr>
                <w:rFonts w:ascii="Calibri" w:hAnsi="Calibri"/>
                <w:sz w:val="20"/>
              </w:rPr>
              <w:t>Résultats escomptés</w:t>
            </w:r>
          </w:p>
        </w:tc>
      </w:tr>
      <w:tr w:rsidR="006656B5" w:rsidRPr="006656B5" w14:paraId="5427E384" w14:textId="77777777" w:rsidTr="006C1964">
        <w:tc>
          <w:tcPr>
            <w:tcW w:w="985" w:type="dxa"/>
          </w:tcPr>
          <w:p w14:paraId="73CE9C49"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3</w:t>
            </w:r>
          </w:p>
        </w:tc>
        <w:tc>
          <w:tcPr>
            <w:tcW w:w="8483" w:type="dxa"/>
          </w:tcPr>
          <w:p w14:paraId="584E959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 xml:space="preserve">Conclusions </w:t>
            </w:r>
          </w:p>
          <w:p w14:paraId="59CE232A" w14:textId="77777777" w:rsidR="00D6638C" w:rsidRPr="006656B5" w:rsidRDefault="00D6638C" w:rsidP="006656B5">
            <w:pPr>
              <w:spacing w:after="0"/>
              <w:rPr>
                <w:rFonts w:ascii="Calibri" w:eastAsia="Times New Roman" w:hAnsi="Calibri" w:cs="Times New Roman"/>
                <w:sz w:val="20"/>
                <w:lang w:val="fr-FR"/>
              </w:rPr>
            </w:pPr>
            <w:r w:rsidRPr="006656B5">
              <w:rPr>
                <w:rFonts w:ascii="Calibri" w:hAnsi="Calibri"/>
                <w:sz w:val="20"/>
                <w:lang w:val="fr-FR"/>
              </w:rPr>
              <w:t>(Outre une appréciation descriptive, tous les critères marqués d’un (*) doivent être notés</w:t>
            </w:r>
            <w:r w:rsidRPr="006656B5">
              <w:rPr>
                <w:rFonts w:ascii="Calibri" w:hAnsi="Calibri"/>
                <w:sz w:val="20"/>
                <w:vertAlign w:val="superscript"/>
              </w:rPr>
              <w:footnoteReference w:id="6"/>
            </w:r>
            <w:r w:rsidRPr="006656B5">
              <w:rPr>
                <w:rFonts w:ascii="Calibri" w:hAnsi="Calibri"/>
                <w:sz w:val="20"/>
                <w:lang w:val="fr-FR"/>
              </w:rPr>
              <w:t xml:space="preserve">) </w:t>
            </w:r>
          </w:p>
        </w:tc>
      </w:tr>
      <w:tr w:rsidR="006656B5" w:rsidRPr="006656B5" w14:paraId="69DE0312" w14:textId="77777777" w:rsidTr="006C1964">
        <w:tc>
          <w:tcPr>
            <w:tcW w:w="985" w:type="dxa"/>
          </w:tcPr>
          <w:p w14:paraId="19500FF4"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3.1</w:t>
            </w:r>
          </w:p>
        </w:tc>
        <w:tc>
          <w:tcPr>
            <w:tcW w:w="8483" w:type="dxa"/>
          </w:tcPr>
          <w:p w14:paraId="2F80C4AE"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Conception/Formulation du projet</w:t>
            </w:r>
          </w:p>
          <w:p w14:paraId="7A061429"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Analyse ACL/du cadre des résultats (Logique/stratégie du projet ; indicateurs)</w:t>
            </w:r>
          </w:p>
          <w:p w14:paraId="564057A3"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Hypothèses et risques</w:t>
            </w:r>
          </w:p>
          <w:p w14:paraId="7D6EF409"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 xml:space="preserve">Enseignements tirés des autres projets pertinents (par exemple, dans le même domaine focal) incorporés dans la conception du projet </w:t>
            </w:r>
          </w:p>
          <w:p w14:paraId="2494E5B9"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 xml:space="preserve">Participation prévue des parties prenantes </w:t>
            </w:r>
          </w:p>
          <w:p w14:paraId="7F3DA5C6"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 xml:space="preserve">Approche de réplication </w:t>
            </w:r>
          </w:p>
          <w:p w14:paraId="7B0D8647"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Avantage comparatif du PNUD</w:t>
            </w:r>
          </w:p>
          <w:p w14:paraId="50E53A9E"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Les liens entre le projet et d’autres interventions au sein du secteur</w:t>
            </w:r>
          </w:p>
          <w:p w14:paraId="05069DBD"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Modalités de gestion</w:t>
            </w:r>
          </w:p>
        </w:tc>
      </w:tr>
      <w:tr w:rsidR="006656B5" w:rsidRPr="006656B5" w14:paraId="079BE72B" w14:textId="77777777" w:rsidTr="006C1964">
        <w:tc>
          <w:tcPr>
            <w:tcW w:w="985" w:type="dxa"/>
          </w:tcPr>
          <w:p w14:paraId="0528B836"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3.2</w:t>
            </w:r>
          </w:p>
        </w:tc>
        <w:tc>
          <w:tcPr>
            <w:tcW w:w="8483" w:type="dxa"/>
          </w:tcPr>
          <w:p w14:paraId="062FADF6"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Mise en œuvre du projet</w:t>
            </w:r>
          </w:p>
          <w:p w14:paraId="6E316EA3"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Gestion adaptative (modifications apportées à la conception du projet et résultats du projet lors de la mise en œuvre)</w:t>
            </w:r>
          </w:p>
          <w:p w14:paraId="796E4CDC"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lastRenderedPageBreak/>
              <w:t>Accords de partenariat (avec les parties prenantes pertinentes impliquées dans le pays/la région)</w:t>
            </w:r>
          </w:p>
          <w:p w14:paraId="1787989F"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Commentaires provenant des activités de suivi et d’évaluation utilisés dans le cadre de la gestion adaptative</w:t>
            </w:r>
          </w:p>
          <w:p w14:paraId="47F6D99D"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rPr>
            </w:pPr>
            <w:r w:rsidRPr="006656B5">
              <w:rPr>
                <w:rFonts w:ascii="Calibri" w:hAnsi="Calibri"/>
                <w:sz w:val="20"/>
              </w:rPr>
              <w:t xml:space="preserve">Financement du projet :  </w:t>
            </w:r>
          </w:p>
          <w:p w14:paraId="64072B4F"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lang w:val="fr-FR"/>
              </w:rPr>
            </w:pPr>
            <w:r w:rsidRPr="006656B5">
              <w:rPr>
                <w:rFonts w:ascii="Calibri" w:hAnsi="Calibri"/>
                <w:sz w:val="20"/>
                <w:lang w:val="fr-FR"/>
              </w:rPr>
              <w:t>Suivi et évaluation : conception  à l'entrée et mise en œuvre (*)</w:t>
            </w:r>
          </w:p>
          <w:p w14:paraId="02155649" w14:textId="77777777" w:rsidR="00D6638C" w:rsidRPr="006656B5" w:rsidRDefault="00D6638C" w:rsidP="006656B5">
            <w:pPr>
              <w:numPr>
                <w:ilvl w:val="0"/>
                <w:numId w:val="17"/>
              </w:numPr>
              <w:spacing w:after="0" w:line="240" w:lineRule="auto"/>
              <w:rPr>
                <w:rFonts w:ascii="Calibri" w:eastAsia="Times New Roman" w:hAnsi="Calibri" w:cs="Times New Roman"/>
                <w:b/>
                <w:bCs/>
                <w:sz w:val="20"/>
                <w:szCs w:val="20"/>
                <w:lang w:val="fr-FR"/>
              </w:rPr>
            </w:pPr>
            <w:r w:rsidRPr="006656B5">
              <w:rPr>
                <w:rFonts w:ascii="Calibri" w:hAnsi="Calibri"/>
                <w:sz w:val="20"/>
                <w:lang w:val="fr-FR"/>
              </w:rPr>
              <w:t>Coordination au niveau de la mise en œuvre et de l’exécution avec PNUD et le partenaire de mise en œuvre (*) et questions opérationnelles</w:t>
            </w:r>
          </w:p>
        </w:tc>
      </w:tr>
      <w:tr w:rsidR="006656B5" w:rsidRPr="006656B5" w14:paraId="79F8057E" w14:textId="77777777" w:rsidTr="006C1964">
        <w:trPr>
          <w:trHeight w:val="74"/>
        </w:trPr>
        <w:tc>
          <w:tcPr>
            <w:tcW w:w="985" w:type="dxa"/>
          </w:tcPr>
          <w:p w14:paraId="03001C64"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3.3</w:t>
            </w:r>
          </w:p>
        </w:tc>
        <w:tc>
          <w:tcPr>
            <w:tcW w:w="8483" w:type="dxa"/>
          </w:tcPr>
          <w:p w14:paraId="364DE28A"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Résultats des projets</w:t>
            </w:r>
          </w:p>
          <w:p w14:paraId="64F897E3"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lang w:val="fr-FR"/>
              </w:rPr>
            </w:pPr>
            <w:r w:rsidRPr="006656B5">
              <w:rPr>
                <w:rFonts w:ascii="Calibri" w:hAnsi="Calibri"/>
                <w:sz w:val="20"/>
                <w:lang w:val="fr-FR"/>
              </w:rPr>
              <w:t>Résultats globaux (réalisation des objectifs) (*)</w:t>
            </w:r>
          </w:p>
          <w:p w14:paraId="2FE7BB8E"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rPr>
            </w:pPr>
            <w:r w:rsidRPr="006656B5">
              <w:rPr>
                <w:rFonts w:ascii="Calibri" w:hAnsi="Calibri"/>
                <w:sz w:val="20"/>
              </w:rPr>
              <w:t>Pertinence(*)</w:t>
            </w:r>
          </w:p>
          <w:p w14:paraId="6812F320"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rPr>
            </w:pPr>
            <w:r w:rsidRPr="006656B5">
              <w:rPr>
                <w:rFonts w:ascii="Calibri" w:hAnsi="Calibri"/>
                <w:sz w:val="20"/>
              </w:rPr>
              <w:t>Efficacité et efficience (*)</w:t>
            </w:r>
          </w:p>
          <w:p w14:paraId="3A0609D6"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 xml:space="preserve">Appropriation par le pays </w:t>
            </w:r>
          </w:p>
          <w:p w14:paraId="14B43036"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Intégration</w:t>
            </w:r>
          </w:p>
          <w:p w14:paraId="5FAA3672" w14:textId="77777777" w:rsidR="00D6638C" w:rsidRPr="006656B5" w:rsidRDefault="00D6638C" w:rsidP="006656B5">
            <w:pPr>
              <w:numPr>
                <w:ilvl w:val="0"/>
                <w:numId w:val="17"/>
              </w:numPr>
              <w:spacing w:after="0" w:line="240" w:lineRule="auto"/>
              <w:rPr>
                <w:rFonts w:ascii="Calibri" w:eastAsia="Times New Roman" w:hAnsi="Calibri" w:cs="Times New Roman"/>
                <w:bCs/>
                <w:sz w:val="20"/>
                <w:szCs w:val="20"/>
              </w:rPr>
            </w:pPr>
            <w:r w:rsidRPr="006656B5">
              <w:rPr>
                <w:rFonts w:ascii="Calibri" w:hAnsi="Calibri"/>
                <w:sz w:val="20"/>
              </w:rPr>
              <w:t xml:space="preserve">Durabilité (*) </w:t>
            </w:r>
          </w:p>
          <w:p w14:paraId="1FF7A169"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rPr>
            </w:pPr>
            <w:r w:rsidRPr="006656B5">
              <w:rPr>
                <w:rFonts w:ascii="Calibri" w:hAnsi="Calibri"/>
                <w:sz w:val="20"/>
              </w:rPr>
              <w:t xml:space="preserve">Impact </w:t>
            </w:r>
          </w:p>
        </w:tc>
      </w:tr>
      <w:tr w:rsidR="006656B5" w:rsidRPr="006656B5" w14:paraId="0CEC6FCF" w14:textId="77777777" w:rsidTr="006C1964">
        <w:tc>
          <w:tcPr>
            <w:tcW w:w="985" w:type="dxa"/>
          </w:tcPr>
          <w:p w14:paraId="3AF7B67F"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 xml:space="preserve">4 </w:t>
            </w:r>
          </w:p>
        </w:tc>
        <w:tc>
          <w:tcPr>
            <w:tcW w:w="8483" w:type="dxa"/>
          </w:tcPr>
          <w:p w14:paraId="4C210C90"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Conclusions, recommandations et enseignements</w:t>
            </w:r>
          </w:p>
          <w:p w14:paraId="2AEBD5C4"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Mesures correctives pour la conception, la mise en œuvre, le suivi et l’évaluation du projet</w:t>
            </w:r>
          </w:p>
          <w:p w14:paraId="347497CC"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Mesures visant à assurer le suivi ou à renforcer les avantages initiaux du projet</w:t>
            </w:r>
          </w:p>
          <w:p w14:paraId="77F02D8B"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Propositions relatives aux orientations futures favorisant les principaux objectifs</w:t>
            </w:r>
          </w:p>
          <w:p w14:paraId="541035CA"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Les meilleures et les pires pratiques lors du traitement des questions concernant la pertinence, la performance et la réussite</w:t>
            </w:r>
          </w:p>
        </w:tc>
      </w:tr>
      <w:tr w:rsidR="00D6638C" w:rsidRPr="006656B5" w14:paraId="2644DB8E" w14:textId="77777777" w:rsidTr="006C1964">
        <w:tc>
          <w:tcPr>
            <w:tcW w:w="985" w:type="dxa"/>
          </w:tcPr>
          <w:p w14:paraId="658A217A" w14:textId="77777777" w:rsidR="00D6638C" w:rsidRPr="006656B5" w:rsidRDefault="00D6638C" w:rsidP="006656B5">
            <w:pPr>
              <w:spacing w:after="0"/>
              <w:rPr>
                <w:rFonts w:ascii="Calibri" w:eastAsia="Times New Roman" w:hAnsi="Calibri" w:cs="Times New Roman"/>
                <w:b/>
                <w:bCs/>
                <w:sz w:val="20"/>
              </w:rPr>
            </w:pPr>
            <w:r w:rsidRPr="006656B5">
              <w:rPr>
                <w:rFonts w:ascii="Calibri" w:hAnsi="Calibri"/>
                <w:b/>
                <w:sz w:val="20"/>
              </w:rPr>
              <w:t xml:space="preserve">5 </w:t>
            </w:r>
          </w:p>
        </w:tc>
        <w:tc>
          <w:tcPr>
            <w:tcW w:w="8483" w:type="dxa"/>
          </w:tcPr>
          <w:p w14:paraId="7F3337E2" w14:textId="77777777" w:rsidR="00D6638C" w:rsidRPr="006656B5" w:rsidRDefault="00D6638C" w:rsidP="006656B5">
            <w:pPr>
              <w:spacing w:after="0"/>
              <w:rPr>
                <w:rFonts w:ascii="Calibri" w:eastAsia="Times New Roman" w:hAnsi="Calibri" w:cs="Times New Roman"/>
                <w:sz w:val="20"/>
                <w:szCs w:val="20"/>
              </w:rPr>
            </w:pPr>
            <w:r w:rsidRPr="006656B5">
              <w:rPr>
                <w:rFonts w:ascii="Calibri" w:hAnsi="Calibri"/>
                <w:sz w:val="20"/>
              </w:rPr>
              <w:t>Annexes</w:t>
            </w:r>
          </w:p>
          <w:p w14:paraId="6AF3CEE3"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TR</w:t>
            </w:r>
          </w:p>
          <w:p w14:paraId="2654C8FC"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Itinéraire</w:t>
            </w:r>
          </w:p>
          <w:p w14:paraId="1DAF4264"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Liste des personnes interrogées</w:t>
            </w:r>
          </w:p>
          <w:p w14:paraId="6792BDCF"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Résumé des visites sur le terrain</w:t>
            </w:r>
          </w:p>
          <w:p w14:paraId="038892FB"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Liste des documents examinés</w:t>
            </w:r>
          </w:p>
          <w:p w14:paraId="297B666D"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rPr>
            </w:pPr>
            <w:r w:rsidRPr="006656B5">
              <w:rPr>
                <w:rFonts w:ascii="Calibri" w:hAnsi="Calibri"/>
                <w:sz w:val="20"/>
              </w:rPr>
              <w:t>Tableau des questions d’évaluation</w:t>
            </w:r>
          </w:p>
          <w:p w14:paraId="7E1522C2" w14:textId="77777777" w:rsidR="00D6638C" w:rsidRPr="006656B5" w:rsidRDefault="00D6638C" w:rsidP="006656B5">
            <w:pPr>
              <w:numPr>
                <w:ilvl w:val="0"/>
                <w:numId w:val="17"/>
              </w:numPr>
              <w:spacing w:after="0" w:line="240" w:lineRule="auto"/>
              <w:rPr>
                <w:rFonts w:ascii="Calibri" w:eastAsia="Times New Roman" w:hAnsi="Calibri" w:cs="Times New Roman"/>
                <w:b/>
                <w:sz w:val="20"/>
                <w:szCs w:val="20"/>
                <w:lang w:val="fr-FR"/>
              </w:rPr>
            </w:pPr>
            <w:r w:rsidRPr="006656B5">
              <w:rPr>
                <w:rFonts w:ascii="Calibri" w:hAnsi="Calibri"/>
                <w:sz w:val="20"/>
                <w:lang w:val="fr-FR"/>
              </w:rPr>
              <w:t>Questionnaire utilisé et résumé des résultats</w:t>
            </w:r>
          </w:p>
          <w:p w14:paraId="0BE37167" w14:textId="77777777" w:rsidR="00D6638C" w:rsidRPr="006656B5" w:rsidRDefault="00D6638C" w:rsidP="006656B5">
            <w:pPr>
              <w:numPr>
                <w:ilvl w:val="0"/>
                <w:numId w:val="17"/>
              </w:numPr>
              <w:spacing w:after="0" w:line="240" w:lineRule="auto"/>
              <w:rPr>
                <w:rFonts w:ascii="Calibri" w:eastAsia="Times New Roman" w:hAnsi="Calibri" w:cs="Times New Roman"/>
                <w:sz w:val="20"/>
                <w:szCs w:val="20"/>
                <w:lang w:val="fr-FR"/>
              </w:rPr>
            </w:pPr>
            <w:r w:rsidRPr="006656B5">
              <w:rPr>
                <w:rFonts w:ascii="Calibri" w:hAnsi="Calibri"/>
                <w:sz w:val="20"/>
                <w:lang w:val="fr-FR"/>
              </w:rPr>
              <w:t xml:space="preserve">Formulaire d’acceptation du consultant en évaluation  </w:t>
            </w:r>
          </w:p>
          <w:p w14:paraId="2F8238E3" w14:textId="77777777" w:rsidR="00D6638C" w:rsidRPr="006656B5" w:rsidRDefault="00D6638C" w:rsidP="006656B5">
            <w:pPr>
              <w:spacing w:after="0"/>
              <w:rPr>
                <w:rFonts w:ascii="Calibri" w:eastAsia="Times New Roman" w:hAnsi="Calibri" w:cs="Times New Roman"/>
                <w:sz w:val="20"/>
                <w:szCs w:val="20"/>
                <w:lang w:val="fr-FR"/>
              </w:rPr>
            </w:pPr>
          </w:p>
          <w:p w14:paraId="31CD2658" w14:textId="77777777" w:rsidR="00D6638C" w:rsidRPr="006656B5" w:rsidRDefault="00D6638C" w:rsidP="006656B5">
            <w:pPr>
              <w:spacing w:after="0"/>
              <w:rPr>
                <w:rFonts w:ascii="Calibri" w:eastAsia="Times New Roman" w:hAnsi="Calibri" w:cs="Times New Roman"/>
                <w:sz w:val="20"/>
                <w:szCs w:val="20"/>
                <w:lang w:val="fr-FR"/>
              </w:rPr>
            </w:pPr>
          </w:p>
        </w:tc>
      </w:tr>
    </w:tbl>
    <w:p w14:paraId="3AA7AB68" w14:textId="77777777" w:rsidR="00D6638C" w:rsidRPr="006656B5" w:rsidRDefault="00D6638C" w:rsidP="006656B5">
      <w:pPr>
        <w:spacing w:before="200"/>
        <w:rPr>
          <w:rFonts w:ascii="Calibri" w:eastAsia="Times New Roman" w:hAnsi="Calibri" w:cs="Times New Roman"/>
          <w:sz w:val="20"/>
          <w:szCs w:val="20"/>
          <w:lang w:val="fr-FR"/>
        </w:rPr>
      </w:pPr>
      <w:bookmarkStart w:id="78" w:name="_TOR_Annex_G:"/>
      <w:bookmarkStart w:id="79" w:name="_Toc299133058"/>
      <w:bookmarkStart w:id="80" w:name="_Toc299122848"/>
      <w:bookmarkStart w:id="81" w:name="_Toc299122870"/>
      <w:bookmarkStart w:id="82" w:name="_Toc299126634"/>
      <w:bookmarkEnd w:id="78"/>
    </w:p>
    <w:p w14:paraId="4D677FEF" w14:textId="77777777" w:rsidR="00D6638C" w:rsidRPr="006656B5" w:rsidRDefault="00D6638C" w:rsidP="006656B5">
      <w:pPr>
        <w:spacing w:before="200"/>
        <w:rPr>
          <w:rFonts w:ascii="Calibri" w:eastAsia="Times New Roman" w:hAnsi="Calibri" w:cs="Times New Roman"/>
          <w:spacing w:val="15"/>
          <w:lang w:val="fr-FR"/>
        </w:rPr>
      </w:pPr>
      <w:r w:rsidRPr="006656B5">
        <w:rPr>
          <w:lang w:val="fr-FR"/>
        </w:rPr>
        <w:br w:type="page"/>
      </w:r>
    </w:p>
    <w:p w14:paraId="16A3D4C9" w14:textId="77777777" w:rsidR="00D6638C" w:rsidRPr="006656B5" w:rsidRDefault="00D6638C" w:rsidP="006656B5">
      <w:pPr>
        <w:pStyle w:val="Heading31"/>
        <w:rPr>
          <w:lang w:val="fr-FR"/>
        </w:rPr>
      </w:pPr>
      <w:bookmarkStart w:id="83" w:name="_TOR_Annex_G:_1"/>
      <w:bookmarkStart w:id="84" w:name="_Toc321341568"/>
      <w:bookmarkEnd w:id="83"/>
      <w:r w:rsidRPr="006656B5">
        <w:rPr>
          <w:lang w:val="fr-FR"/>
        </w:rPr>
        <w:lastRenderedPageBreak/>
        <w:t>Annexe G : Formulaire d'autorisation du rapport d'évaluation</w:t>
      </w:r>
      <w:bookmarkEnd w:id="79"/>
      <w:bookmarkEnd w:id="84"/>
    </w:p>
    <w:p w14:paraId="2626D825" w14:textId="77777777" w:rsidR="00D6638C" w:rsidRPr="006656B5" w:rsidRDefault="00B9640B" w:rsidP="006656B5">
      <w:pPr>
        <w:spacing w:before="200"/>
        <w:rPr>
          <w:rFonts w:ascii="Calibri" w:eastAsia="Times New Roman" w:hAnsi="Calibri" w:cs="Times New Roman"/>
          <w:i/>
          <w:sz w:val="20"/>
          <w:szCs w:val="20"/>
          <w:lang w:val="fr-FR"/>
        </w:rPr>
      </w:pPr>
      <w:r w:rsidRPr="006656B5">
        <w:rPr>
          <w:rFonts w:ascii="Calibri" w:eastAsia="Times New Roman" w:hAnsi="Calibri" w:cs="Times New Roman"/>
          <w:noProof/>
          <w:sz w:val="20"/>
          <w:szCs w:val="20"/>
          <w:lang w:val="fr-FR" w:eastAsia="fr-FR" w:bidi="ar-SA"/>
        </w:rPr>
        <mc:AlternateContent>
          <mc:Choice Requires="wps">
            <w:drawing>
              <wp:anchor distT="0" distB="0" distL="114300" distR="114300" simplePos="0" relativeHeight="251659264" behindDoc="0" locked="0" layoutInCell="1" allowOverlap="1" wp14:anchorId="1397EFCB" wp14:editId="46D702EE">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7AD83BD1" w14:textId="77777777" w:rsidR="00125DEF" w:rsidRPr="00C73200" w:rsidRDefault="00125DEF" w:rsidP="00D6638C">
                            <w:pPr>
                              <w:rPr>
                                <w:rFonts w:eastAsia="Batang"/>
                                <w:lang w:val="fr-FR"/>
                              </w:rPr>
                            </w:pPr>
                            <w:r w:rsidRPr="00C73200">
                              <w:rPr>
                                <w:lang w:val="fr-FR"/>
                              </w:rPr>
                              <w:t>Rapport d’évaluation examiné et approuvé par</w:t>
                            </w:r>
                          </w:p>
                          <w:p w14:paraId="547BA7A7" w14:textId="77777777" w:rsidR="00125DEF" w:rsidRPr="00C73200" w:rsidRDefault="00125DEF" w:rsidP="00D6638C">
                            <w:pPr>
                              <w:rPr>
                                <w:lang w:val="fr-FR"/>
                              </w:rPr>
                            </w:pPr>
                            <w:r w:rsidRPr="00C73200">
                              <w:rPr>
                                <w:lang w:val="fr-FR"/>
                              </w:rPr>
                              <w:t>Bureau de pays du PNUD</w:t>
                            </w:r>
                          </w:p>
                          <w:p w14:paraId="26DB8CB5" w14:textId="77777777" w:rsidR="00125DEF" w:rsidRPr="00C73200" w:rsidRDefault="00125DEF" w:rsidP="00D6638C">
                            <w:pPr>
                              <w:rPr>
                                <w:lang w:val="fr-FR"/>
                              </w:rPr>
                            </w:pPr>
                            <w:r w:rsidRPr="00C73200">
                              <w:rPr>
                                <w:lang w:val="fr-FR"/>
                              </w:rPr>
                              <w:t>Nom :  ___________________________________________________</w:t>
                            </w:r>
                          </w:p>
                          <w:p w14:paraId="4FB1C9D4" w14:textId="77777777" w:rsidR="00125DEF" w:rsidRPr="00C73200" w:rsidRDefault="00125DEF" w:rsidP="00D6638C">
                            <w:pPr>
                              <w:rPr>
                                <w:lang w:val="fr-FR"/>
                              </w:rPr>
                            </w:pPr>
                            <w:r w:rsidRPr="00C73200">
                              <w:rPr>
                                <w:lang w:val="fr-FR"/>
                              </w:rPr>
                              <w:t>Signature : ______________________________ Date : _________________________________</w:t>
                            </w:r>
                          </w:p>
                          <w:p w14:paraId="7298AE31" w14:textId="77777777" w:rsidR="00125DEF" w:rsidRPr="00C73200" w:rsidRDefault="00125DEF" w:rsidP="00D6638C">
                            <w:pPr>
                              <w:rPr>
                                <w:lang w:val="fr-FR"/>
                              </w:rPr>
                            </w:pPr>
                            <w:r w:rsidRPr="00C73200">
                              <w:rPr>
                                <w:lang w:val="fr-FR"/>
                              </w:rPr>
                              <w:t>CTR du PNUD-FEM</w:t>
                            </w:r>
                          </w:p>
                          <w:p w14:paraId="665F8862" w14:textId="77777777" w:rsidR="00125DEF" w:rsidRPr="0084083F" w:rsidRDefault="00125DEF" w:rsidP="00D6638C">
                            <w:r>
                              <w:t>Nom :  ___________________________________________________</w:t>
                            </w:r>
                          </w:p>
                          <w:p w14:paraId="79FFF7BB" w14:textId="77777777" w:rsidR="00125DEF" w:rsidRPr="0084083F" w:rsidRDefault="00125DEF"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7EFCB"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7AD83BD1" w14:textId="77777777" w:rsidR="00125DEF" w:rsidRPr="00C73200" w:rsidRDefault="00125DEF" w:rsidP="00D6638C">
                      <w:pPr>
                        <w:rPr>
                          <w:rFonts w:eastAsia="Batang"/>
                          <w:lang w:val="fr-FR"/>
                        </w:rPr>
                      </w:pPr>
                      <w:r w:rsidRPr="00C73200">
                        <w:rPr>
                          <w:lang w:val="fr-FR"/>
                        </w:rPr>
                        <w:t>Rapport d’évaluation examiné et approuvé par</w:t>
                      </w:r>
                    </w:p>
                    <w:p w14:paraId="547BA7A7" w14:textId="77777777" w:rsidR="00125DEF" w:rsidRPr="00C73200" w:rsidRDefault="00125DEF" w:rsidP="00D6638C">
                      <w:pPr>
                        <w:rPr>
                          <w:lang w:val="fr-FR"/>
                        </w:rPr>
                      </w:pPr>
                      <w:r w:rsidRPr="00C73200">
                        <w:rPr>
                          <w:lang w:val="fr-FR"/>
                        </w:rPr>
                        <w:t>Bureau de pays du PNUD</w:t>
                      </w:r>
                    </w:p>
                    <w:p w14:paraId="26DB8CB5" w14:textId="77777777" w:rsidR="00125DEF" w:rsidRPr="00C73200" w:rsidRDefault="00125DEF" w:rsidP="00D6638C">
                      <w:pPr>
                        <w:rPr>
                          <w:lang w:val="fr-FR"/>
                        </w:rPr>
                      </w:pPr>
                      <w:r w:rsidRPr="00C73200">
                        <w:rPr>
                          <w:lang w:val="fr-FR"/>
                        </w:rPr>
                        <w:t>Nom :  ___________________________________________________</w:t>
                      </w:r>
                    </w:p>
                    <w:p w14:paraId="4FB1C9D4" w14:textId="77777777" w:rsidR="00125DEF" w:rsidRPr="00C73200" w:rsidRDefault="00125DEF" w:rsidP="00D6638C">
                      <w:pPr>
                        <w:rPr>
                          <w:lang w:val="fr-FR"/>
                        </w:rPr>
                      </w:pPr>
                      <w:r w:rsidRPr="00C73200">
                        <w:rPr>
                          <w:lang w:val="fr-FR"/>
                        </w:rPr>
                        <w:t>Signature : ______________________________ Date : _________________________________</w:t>
                      </w:r>
                    </w:p>
                    <w:p w14:paraId="7298AE31" w14:textId="77777777" w:rsidR="00125DEF" w:rsidRPr="00C73200" w:rsidRDefault="00125DEF" w:rsidP="00D6638C">
                      <w:pPr>
                        <w:rPr>
                          <w:lang w:val="fr-FR"/>
                        </w:rPr>
                      </w:pPr>
                      <w:r w:rsidRPr="00C73200">
                        <w:rPr>
                          <w:lang w:val="fr-FR"/>
                        </w:rPr>
                        <w:t>CTR du PNUD-FEM</w:t>
                      </w:r>
                    </w:p>
                    <w:p w14:paraId="665F8862" w14:textId="77777777" w:rsidR="00125DEF" w:rsidRPr="0084083F" w:rsidRDefault="00125DEF" w:rsidP="00D6638C">
                      <w:r>
                        <w:t>Nom :  ___________________________________________________</w:t>
                      </w:r>
                    </w:p>
                    <w:p w14:paraId="79FFF7BB" w14:textId="77777777" w:rsidR="00125DEF" w:rsidRPr="0084083F" w:rsidRDefault="00125DEF" w:rsidP="00D6638C">
                      <w:r>
                        <w:t>Signature : ______________________________ Date : _________________________________</w:t>
                      </w:r>
                    </w:p>
                  </w:txbxContent>
                </v:textbox>
              </v:shape>
            </w:pict>
          </mc:Fallback>
        </mc:AlternateContent>
      </w:r>
      <w:r w:rsidR="00D6638C" w:rsidRPr="006656B5">
        <w:rPr>
          <w:rFonts w:ascii="Calibri" w:hAnsi="Calibri"/>
          <w:i/>
          <w:sz w:val="20"/>
          <w:lang w:val="fr-FR"/>
        </w:rPr>
        <w:t>(à remplir par le BP et le conseiller technique du PNUD-FEM affecté dans la région et à inclure dans le document final)</w:t>
      </w:r>
      <w:bookmarkEnd w:id="80"/>
      <w:bookmarkEnd w:id="81"/>
      <w:bookmarkEnd w:id="82"/>
    </w:p>
    <w:p w14:paraId="3B3ED4F7" w14:textId="77777777" w:rsidR="00D6638C" w:rsidRPr="006656B5" w:rsidRDefault="00D6638C" w:rsidP="006656B5">
      <w:pPr>
        <w:spacing w:before="200"/>
        <w:rPr>
          <w:rFonts w:ascii="Calibri" w:eastAsia="Times New Roman" w:hAnsi="Calibri" w:cs="Times New Roman"/>
          <w:i/>
          <w:sz w:val="20"/>
          <w:szCs w:val="20"/>
          <w:lang w:val="fr-FR"/>
        </w:rPr>
      </w:pPr>
    </w:p>
    <w:p w14:paraId="747CD32E" w14:textId="77777777" w:rsidR="00D6638C" w:rsidRPr="006656B5" w:rsidRDefault="00D6638C" w:rsidP="006656B5">
      <w:pPr>
        <w:spacing w:before="200"/>
        <w:rPr>
          <w:rFonts w:ascii="Calibri" w:eastAsia="Times New Roman" w:hAnsi="Calibri" w:cs="Times New Roman"/>
          <w:i/>
          <w:sz w:val="20"/>
          <w:szCs w:val="20"/>
          <w:lang w:val="fr-FR"/>
        </w:rPr>
      </w:pPr>
    </w:p>
    <w:p w14:paraId="73BE888A" w14:textId="77777777" w:rsidR="00D6638C" w:rsidRPr="006656B5" w:rsidRDefault="00D6638C" w:rsidP="006656B5">
      <w:pPr>
        <w:spacing w:before="200"/>
        <w:rPr>
          <w:rFonts w:ascii="Calibri" w:eastAsia="Times New Roman" w:hAnsi="Calibri" w:cs="Times New Roman"/>
          <w:i/>
          <w:sz w:val="20"/>
          <w:szCs w:val="20"/>
          <w:lang w:val="fr-FR"/>
        </w:rPr>
      </w:pPr>
    </w:p>
    <w:p w14:paraId="6F8907A6" w14:textId="77777777" w:rsidR="00D6638C" w:rsidRPr="006656B5" w:rsidRDefault="00D6638C" w:rsidP="006656B5">
      <w:pPr>
        <w:spacing w:before="200"/>
        <w:rPr>
          <w:rFonts w:ascii="Calibri" w:eastAsia="Times New Roman" w:hAnsi="Calibri" w:cs="Times New Roman"/>
          <w:sz w:val="20"/>
          <w:szCs w:val="20"/>
          <w:lang w:val="fr-FR"/>
        </w:rPr>
      </w:pPr>
    </w:p>
    <w:p w14:paraId="76F74C55" w14:textId="77777777" w:rsidR="00D6638C" w:rsidRPr="006656B5" w:rsidRDefault="00D6638C" w:rsidP="006656B5">
      <w:pPr>
        <w:spacing w:before="200"/>
        <w:rPr>
          <w:rFonts w:ascii="Calibri" w:eastAsia="Times New Roman" w:hAnsi="Calibri" w:cs="Times New Roman"/>
          <w:sz w:val="20"/>
          <w:szCs w:val="20"/>
          <w:lang w:val="fr-FR"/>
        </w:rPr>
      </w:pPr>
    </w:p>
    <w:p w14:paraId="083861C7" w14:textId="77777777" w:rsidR="00D6638C" w:rsidRPr="006656B5" w:rsidRDefault="00D6638C" w:rsidP="006656B5">
      <w:pPr>
        <w:spacing w:before="200"/>
        <w:rPr>
          <w:rFonts w:ascii="Calibri" w:eastAsia="Times New Roman" w:hAnsi="Calibri" w:cs="Times New Roman"/>
          <w:sz w:val="20"/>
          <w:szCs w:val="20"/>
          <w:lang w:val="fr-FR"/>
        </w:rPr>
      </w:pPr>
    </w:p>
    <w:p w14:paraId="760BBD5F" w14:textId="77777777" w:rsidR="00D6638C" w:rsidRPr="006656B5" w:rsidRDefault="00D6638C" w:rsidP="006656B5">
      <w:pPr>
        <w:spacing w:before="200"/>
        <w:rPr>
          <w:rFonts w:ascii="Calibri" w:eastAsia="Times New Roman" w:hAnsi="Calibri" w:cs="Times New Roman"/>
          <w:sz w:val="20"/>
          <w:szCs w:val="20"/>
          <w:lang w:val="fr-FR"/>
        </w:rPr>
      </w:pPr>
    </w:p>
    <w:p w14:paraId="3B6CDA8D" w14:textId="77777777" w:rsidR="00D6638C" w:rsidRPr="006656B5" w:rsidRDefault="00D6638C" w:rsidP="006656B5">
      <w:pPr>
        <w:spacing w:before="200"/>
        <w:rPr>
          <w:rFonts w:ascii="Calibri" w:eastAsia="Times New Roman" w:hAnsi="Calibri" w:cs="Times New Roman"/>
          <w:sz w:val="20"/>
          <w:szCs w:val="20"/>
          <w:lang w:val="fr-FR"/>
        </w:rPr>
      </w:pPr>
    </w:p>
    <w:p w14:paraId="5A092292" w14:textId="77777777" w:rsidR="00D6638C" w:rsidRPr="006656B5" w:rsidRDefault="00D6638C" w:rsidP="006656B5">
      <w:pPr>
        <w:spacing w:before="200"/>
        <w:rPr>
          <w:rFonts w:ascii="Calibri" w:eastAsia="Times New Roman" w:hAnsi="Calibri" w:cs="Times New Roman"/>
          <w:sz w:val="20"/>
          <w:szCs w:val="20"/>
          <w:lang w:val="fr-FR"/>
        </w:rPr>
      </w:pPr>
    </w:p>
    <w:p w14:paraId="2B802297" w14:textId="77777777" w:rsidR="00D6638C" w:rsidRPr="006656B5" w:rsidRDefault="00D6638C" w:rsidP="006656B5">
      <w:pPr>
        <w:spacing w:before="200"/>
        <w:rPr>
          <w:rFonts w:ascii="Calibri" w:eastAsia="Times New Roman" w:hAnsi="Calibri" w:cs="Times New Roman"/>
          <w:sz w:val="20"/>
          <w:szCs w:val="20"/>
          <w:lang w:val="fr-FR"/>
        </w:rPr>
      </w:pPr>
    </w:p>
    <w:p w14:paraId="6DBBD5BE" w14:textId="77777777" w:rsidR="00D6638C" w:rsidRPr="006656B5" w:rsidRDefault="00D6638C" w:rsidP="006656B5">
      <w:pPr>
        <w:spacing w:before="200"/>
        <w:rPr>
          <w:rFonts w:ascii="Calibri" w:eastAsia="Times New Roman" w:hAnsi="Calibri" w:cs="Times New Roman"/>
          <w:sz w:val="20"/>
          <w:szCs w:val="20"/>
          <w:lang w:val="fr-FR"/>
        </w:rPr>
      </w:pPr>
    </w:p>
    <w:p w14:paraId="5A03C086" w14:textId="77777777" w:rsidR="00D6638C" w:rsidRPr="006656B5" w:rsidRDefault="00D6638C" w:rsidP="006656B5">
      <w:pPr>
        <w:spacing w:before="200"/>
        <w:rPr>
          <w:rFonts w:ascii="Calibri" w:eastAsia="Times New Roman" w:hAnsi="Calibri" w:cs="Times New Roman"/>
          <w:sz w:val="20"/>
          <w:szCs w:val="20"/>
          <w:lang w:val="fr-FR"/>
        </w:rPr>
      </w:pPr>
    </w:p>
    <w:p w14:paraId="5CFDC119" w14:textId="77777777" w:rsidR="00D6638C" w:rsidRPr="006656B5" w:rsidRDefault="00D6638C" w:rsidP="006656B5">
      <w:pPr>
        <w:spacing w:before="200"/>
        <w:rPr>
          <w:rFonts w:ascii="Calibri" w:eastAsia="Times New Roman" w:hAnsi="Calibri" w:cs="Times New Roman"/>
          <w:sz w:val="20"/>
          <w:szCs w:val="20"/>
          <w:lang w:val="fr-FR"/>
        </w:rPr>
      </w:pPr>
    </w:p>
    <w:p w14:paraId="0DE5D5EB" w14:textId="77777777" w:rsidR="00D6638C" w:rsidRPr="006656B5" w:rsidRDefault="00D6638C" w:rsidP="006656B5">
      <w:pPr>
        <w:spacing w:before="200"/>
        <w:rPr>
          <w:rFonts w:ascii="Calibri" w:eastAsia="Times New Roman" w:hAnsi="Calibri" w:cs="Times New Roman"/>
          <w:sz w:val="20"/>
          <w:szCs w:val="20"/>
          <w:lang w:val="fr-FR"/>
        </w:rPr>
      </w:pPr>
    </w:p>
    <w:p w14:paraId="454C592F" w14:textId="77777777" w:rsidR="00303541" w:rsidRPr="006656B5" w:rsidRDefault="00303541" w:rsidP="006656B5">
      <w:pPr>
        <w:spacing w:before="200"/>
        <w:rPr>
          <w:lang w:val="fr-FR"/>
        </w:rPr>
      </w:pPr>
      <w:bookmarkStart w:id="85" w:name="_Annex_3._Sample"/>
      <w:bookmarkEnd w:id="85"/>
    </w:p>
    <w:sectPr w:rsidR="00303541" w:rsidRPr="006656B5"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0192" w14:textId="77777777" w:rsidR="006D116E" w:rsidRDefault="006D116E" w:rsidP="00D6638C">
      <w:pPr>
        <w:spacing w:after="0" w:line="240" w:lineRule="auto"/>
      </w:pPr>
      <w:r>
        <w:separator/>
      </w:r>
    </w:p>
  </w:endnote>
  <w:endnote w:type="continuationSeparator" w:id="0">
    <w:p w14:paraId="136CD1D9" w14:textId="77777777" w:rsidR="006D116E" w:rsidRDefault="006D116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Calibr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14:paraId="367EFA47" w14:textId="40A85C8A" w:rsidR="00125DEF" w:rsidRDefault="00125DEF">
        <w:pPr>
          <w:pStyle w:val="Pieddepage"/>
          <w:jc w:val="right"/>
        </w:pPr>
        <w:r>
          <w:fldChar w:fldCharType="begin"/>
        </w:r>
        <w:r>
          <w:instrText xml:space="preserve"> PAGE   \* MERGEFORMAT </w:instrText>
        </w:r>
        <w:r>
          <w:fldChar w:fldCharType="separate"/>
        </w:r>
        <w:r w:rsidR="006656B5">
          <w:rPr>
            <w:noProof/>
          </w:rPr>
          <w:t>10</w:t>
        </w:r>
        <w:r>
          <w:rPr>
            <w:noProof/>
          </w:rPr>
          <w:fldChar w:fldCharType="end"/>
        </w:r>
      </w:p>
    </w:sdtContent>
  </w:sdt>
  <w:p w14:paraId="405445AB" w14:textId="77777777" w:rsidR="00125DEF" w:rsidRDefault="00125D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8706" w14:textId="77777777" w:rsidR="006D116E" w:rsidRDefault="006D116E" w:rsidP="00D6638C">
      <w:pPr>
        <w:spacing w:after="0" w:line="240" w:lineRule="auto"/>
      </w:pPr>
      <w:r>
        <w:separator/>
      </w:r>
    </w:p>
  </w:footnote>
  <w:footnote w:type="continuationSeparator" w:id="0">
    <w:p w14:paraId="68F8F64E" w14:textId="77777777" w:rsidR="006D116E" w:rsidRDefault="006D116E" w:rsidP="00D6638C">
      <w:pPr>
        <w:spacing w:after="0" w:line="240" w:lineRule="auto"/>
      </w:pPr>
      <w:r>
        <w:continuationSeparator/>
      </w:r>
    </w:p>
  </w:footnote>
  <w:footnote w:id="1">
    <w:p w14:paraId="79E9AECB" w14:textId="77777777" w:rsidR="00125DEF" w:rsidRPr="00C73200" w:rsidRDefault="00125DEF" w:rsidP="00D6638C">
      <w:pPr>
        <w:pStyle w:val="Notedebasdepage"/>
        <w:rPr>
          <w:lang w:val="fr-FR"/>
        </w:rPr>
      </w:pPr>
      <w:r>
        <w:rPr>
          <w:rStyle w:val="Appelnotedebasdep"/>
          <w:rFonts w:cstheme="minorHAnsi"/>
        </w:rPr>
        <w:footnoteRef/>
      </w:r>
      <w:r w:rsidRPr="00C73200">
        <w:rPr>
          <w:lang w:val="fr-FR"/>
        </w:rPr>
        <w:t xml:space="preserve"> Pour de plus amples informations sur les méthodes, lire le chapitre 7 du </w:t>
      </w:r>
      <w:hyperlink r:id="rId1">
        <w:r w:rsidRPr="00C73200">
          <w:rPr>
            <w:rStyle w:val="Lienhypertexte"/>
            <w:rFonts w:cstheme="minorHAnsi"/>
            <w:lang w:val="fr-FR"/>
          </w:rPr>
          <w:t>Guide de la planification, du suivi et de l’évaluation axés sur les résultats de développement</w:t>
        </w:r>
      </w:hyperlink>
      <w:r w:rsidRPr="00C73200">
        <w:rPr>
          <w:lang w:val="fr-FR"/>
        </w:rPr>
        <w:t>,  à la page  163</w:t>
      </w:r>
    </w:p>
  </w:footnote>
  <w:footnote w:id="2">
    <w:p w14:paraId="14E39BE2" w14:textId="77777777" w:rsidR="00125DEF" w:rsidRPr="00C73200" w:rsidRDefault="00125DEF">
      <w:pPr>
        <w:pStyle w:val="Notedebasdepage"/>
        <w:rPr>
          <w:lang w:val="fr-FR"/>
        </w:rPr>
      </w:pPr>
      <w:r>
        <w:rPr>
          <w:rStyle w:val="Appelnotedebasdep"/>
        </w:rPr>
        <w:footnoteRef/>
      </w:r>
      <w:r w:rsidRPr="00C73200">
        <w:rPr>
          <w:lang w:val="fr-FR"/>
        </w:rPr>
        <w:t xml:space="preserve"> Un outil utile pour mesurer les progrès par rapport aux impacts est la méthode ROtI (Review of Outcomes to Impacts) mise au point par le Bureau de l'évaluation du FEM : </w:t>
      </w:r>
      <w:hyperlink r:id="rId2">
        <w:r w:rsidRPr="00C73200">
          <w:rPr>
            <w:rStyle w:val="Lienhypertexte"/>
            <w:lang w:val="fr-FR"/>
          </w:rPr>
          <w:t xml:space="preserve"> ROTI Handbook 2009</w:t>
        </w:r>
      </w:hyperlink>
    </w:p>
  </w:footnote>
  <w:footnote w:id="3">
    <w:p w14:paraId="7ADFE392" w14:textId="77777777" w:rsidR="00125DEF" w:rsidRPr="00C73200" w:rsidRDefault="00125DEF" w:rsidP="00D6638C">
      <w:pPr>
        <w:pStyle w:val="Notedebasdepage"/>
        <w:rPr>
          <w:lang w:val="fr-FR"/>
        </w:rPr>
      </w:pPr>
      <w:r>
        <w:rPr>
          <w:rStyle w:val="Appelnotedebasdep"/>
        </w:rPr>
        <w:footnoteRef/>
      </w:r>
      <w:r w:rsidRPr="00C73200">
        <w:rPr>
          <w:lang w:val="fr-FR"/>
        </w:rPr>
        <w:t>www.unevaluation.org/unegcodeofconduct</w:t>
      </w:r>
    </w:p>
    <w:p w14:paraId="7A2A5A43" w14:textId="77777777" w:rsidR="00125DEF" w:rsidRPr="00C73200" w:rsidRDefault="00125DEF" w:rsidP="00D6638C">
      <w:pPr>
        <w:pStyle w:val="Notedebasdepage"/>
        <w:rPr>
          <w:lang w:val="fr-FR"/>
        </w:rPr>
      </w:pPr>
    </w:p>
  </w:footnote>
  <w:footnote w:id="4">
    <w:p w14:paraId="45D5B0DA" w14:textId="77777777" w:rsidR="00125DEF" w:rsidRPr="00C73200" w:rsidRDefault="00125DEF" w:rsidP="00D6638C">
      <w:pPr>
        <w:spacing w:after="0"/>
        <w:rPr>
          <w:sz w:val="18"/>
          <w:szCs w:val="18"/>
          <w:lang w:val="fr-FR"/>
        </w:rPr>
      </w:pPr>
      <w:r>
        <w:rPr>
          <w:rStyle w:val="Appelnotedebasdep"/>
          <w:sz w:val="18"/>
        </w:rPr>
        <w:footnoteRef/>
      </w:r>
      <w:r w:rsidRPr="00C73200">
        <w:rPr>
          <w:sz w:val="18"/>
          <w:lang w:val="fr-FR"/>
        </w:rPr>
        <w:t xml:space="preserve">Le rapport ne doit pas dépasser </w:t>
      </w:r>
      <w:r w:rsidRPr="00C73200">
        <w:rPr>
          <w:i/>
          <w:sz w:val="18"/>
          <w:highlight w:val="lightGray"/>
          <w:lang w:val="fr-FR"/>
        </w:rPr>
        <w:t>40</w:t>
      </w:r>
      <w:r w:rsidRPr="00C73200">
        <w:rPr>
          <w:sz w:val="18"/>
          <w:lang w:val="fr-FR"/>
        </w:rPr>
        <w:t> pages au total (en excluant les annexes).</w:t>
      </w:r>
    </w:p>
  </w:footnote>
  <w:footnote w:id="5">
    <w:p w14:paraId="31EE866B" w14:textId="77777777" w:rsidR="00125DEF" w:rsidRPr="00C73200" w:rsidRDefault="00125DEF" w:rsidP="00D6638C">
      <w:pPr>
        <w:pStyle w:val="Notedebasdepage"/>
        <w:rPr>
          <w:szCs w:val="18"/>
          <w:lang w:val="fr-FR"/>
        </w:rPr>
      </w:pPr>
      <w:r>
        <w:rPr>
          <w:rStyle w:val="Appelnotedebasdep"/>
        </w:rPr>
        <w:footnoteRef/>
      </w:r>
      <w:r w:rsidRPr="00C73200">
        <w:rPr>
          <w:lang w:val="fr-FR"/>
        </w:rPr>
        <w:t xml:space="preserve"> Manuel de style du PNUD, Bureau des communications, Bureau des partenariats, mis à jour en novembre 2008</w:t>
      </w:r>
    </w:p>
  </w:footnote>
  <w:footnote w:id="6">
    <w:p w14:paraId="26A78DF1" w14:textId="77777777" w:rsidR="00125DEF" w:rsidRPr="00C73200" w:rsidRDefault="00125DEF" w:rsidP="00D6638C">
      <w:pPr>
        <w:pStyle w:val="Notedebasdepage"/>
        <w:rPr>
          <w:szCs w:val="18"/>
          <w:lang w:val="fr-FR"/>
        </w:rPr>
      </w:pPr>
      <w:r>
        <w:rPr>
          <w:rStyle w:val="Appelnotedebasdep"/>
        </w:rPr>
        <w:footnoteRef/>
      </w:r>
      <w:r w:rsidRPr="00C73200">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64"/>
    <w:multiLevelType w:val="hybridMultilevel"/>
    <w:tmpl w:val="8976E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F1489"/>
    <w:multiLevelType w:val="hybridMultilevel"/>
    <w:tmpl w:val="C8FCDEBC"/>
    <w:lvl w:ilvl="0" w:tplc="859C44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50CFD"/>
    <w:multiLevelType w:val="hybridMultilevel"/>
    <w:tmpl w:val="FF7004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17BA5"/>
    <w:multiLevelType w:val="hybridMultilevel"/>
    <w:tmpl w:val="5CE4FAFA"/>
    <w:lvl w:ilvl="0" w:tplc="DCC288D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EB1105"/>
    <w:multiLevelType w:val="hybridMultilevel"/>
    <w:tmpl w:val="30C67AC2"/>
    <w:lvl w:ilvl="0" w:tplc="040C000F">
      <w:start w:val="1"/>
      <w:numFmt w:val="decimal"/>
      <w:lvlText w:val="%1."/>
      <w:lvlJc w:val="left"/>
      <w:pPr>
        <w:ind w:left="588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385845FB"/>
    <w:multiLevelType w:val="hybridMultilevel"/>
    <w:tmpl w:val="D4A69E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3D847E1"/>
    <w:multiLevelType w:val="hybridMultilevel"/>
    <w:tmpl w:val="15581874"/>
    <w:lvl w:ilvl="0" w:tplc="76E0EA3E">
      <w:numFmt w:val="bullet"/>
      <w:lvlText w:val=""/>
      <w:lvlJc w:val="left"/>
      <w:pPr>
        <w:ind w:left="1080" w:hanging="360"/>
      </w:pPr>
      <w:rPr>
        <w:rFonts w:ascii="Symbol" w:eastAsia="Times New Roman"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9A23D3"/>
    <w:multiLevelType w:val="hybridMultilevel"/>
    <w:tmpl w:val="2ACC3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041C0E"/>
    <w:multiLevelType w:val="hybridMultilevel"/>
    <w:tmpl w:val="52C4806A"/>
    <w:lvl w:ilvl="0" w:tplc="EFDA1B0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1"/>
  </w:num>
  <w:num w:numId="4">
    <w:abstractNumId w:val="23"/>
  </w:num>
  <w:num w:numId="5">
    <w:abstractNumId w:val="3"/>
  </w:num>
  <w:num w:numId="6">
    <w:abstractNumId w:val="28"/>
  </w:num>
  <w:num w:numId="7">
    <w:abstractNumId w:val="2"/>
  </w:num>
  <w:num w:numId="8">
    <w:abstractNumId w:val="33"/>
  </w:num>
  <w:num w:numId="9">
    <w:abstractNumId w:val="16"/>
  </w:num>
  <w:num w:numId="10">
    <w:abstractNumId w:val="32"/>
  </w:num>
  <w:num w:numId="11">
    <w:abstractNumId w:val="14"/>
  </w:num>
  <w:num w:numId="12">
    <w:abstractNumId w:val="29"/>
  </w:num>
  <w:num w:numId="13">
    <w:abstractNumId w:val="26"/>
  </w:num>
  <w:num w:numId="14">
    <w:abstractNumId w:val="4"/>
  </w:num>
  <w:num w:numId="15">
    <w:abstractNumId w:val="25"/>
  </w:num>
  <w:num w:numId="16">
    <w:abstractNumId w:val="18"/>
  </w:num>
  <w:num w:numId="17">
    <w:abstractNumId w:val="5"/>
  </w:num>
  <w:num w:numId="18">
    <w:abstractNumId w:val="17"/>
  </w:num>
  <w:num w:numId="19">
    <w:abstractNumId w:val="38"/>
  </w:num>
  <w:num w:numId="20">
    <w:abstractNumId w:val="21"/>
  </w:num>
  <w:num w:numId="21">
    <w:abstractNumId w:val="15"/>
  </w:num>
  <w:num w:numId="22">
    <w:abstractNumId w:val="8"/>
  </w:num>
  <w:num w:numId="23">
    <w:abstractNumId w:val="9"/>
  </w:num>
  <w:num w:numId="24">
    <w:abstractNumId w:val="36"/>
  </w:num>
  <w:num w:numId="25">
    <w:abstractNumId w:val="1"/>
  </w:num>
  <w:num w:numId="26">
    <w:abstractNumId w:val="40"/>
  </w:num>
  <w:num w:numId="27">
    <w:abstractNumId w:val="13"/>
  </w:num>
  <w:num w:numId="28">
    <w:abstractNumId w:val="37"/>
  </w:num>
  <w:num w:numId="29">
    <w:abstractNumId w:val="24"/>
  </w:num>
  <w:num w:numId="30">
    <w:abstractNumId w:val="22"/>
  </w:num>
  <w:num w:numId="31">
    <w:abstractNumId w:val="30"/>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27"/>
  </w:num>
  <w:num w:numId="37">
    <w:abstractNumId w:val="0"/>
  </w:num>
  <w:num w:numId="38">
    <w:abstractNumId w:val="19"/>
  </w:num>
  <w:num w:numId="39">
    <w:abstractNumId w:val="10"/>
  </w:num>
  <w:num w:numId="40">
    <w:abstractNumId w:val="7"/>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E019E"/>
    <w:rsid w:val="00125DEF"/>
    <w:rsid w:val="00176BF7"/>
    <w:rsid w:val="002068AA"/>
    <w:rsid w:val="00224F9C"/>
    <w:rsid w:val="002B14B5"/>
    <w:rsid w:val="002D57C5"/>
    <w:rsid w:val="00303541"/>
    <w:rsid w:val="00310398"/>
    <w:rsid w:val="00366A80"/>
    <w:rsid w:val="003A1C86"/>
    <w:rsid w:val="003A4A81"/>
    <w:rsid w:val="003A5A44"/>
    <w:rsid w:val="003B080D"/>
    <w:rsid w:val="00401096"/>
    <w:rsid w:val="0041016B"/>
    <w:rsid w:val="00466C4A"/>
    <w:rsid w:val="004816F7"/>
    <w:rsid w:val="004B16E5"/>
    <w:rsid w:val="00536D2E"/>
    <w:rsid w:val="0055487F"/>
    <w:rsid w:val="005719D7"/>
    <w:rsid w:val="005A0F1A"/>
    <w:rsid w:val="005B09D3"/>
    <w:rsid w:val="0065707B"/>
    <w:rsid w:val="006571A1"/>
    <w:rsid w:val="006656B5"/>
    <w:rsid w:val="006845B4"/>
    <w:rsid w:val="006C1964"/>
    <w:rsid w:val="006D116E"/>
    <w:rsid w:val="006D4ADA"/>
    <w:rsid w:val="007239BD"/>
    <w:rsid w:val="007C3307"/>
    <w:rsid w:val="007D0C46"/>
    <w:rsid w:val="00813D4B"/>
    <w:rsid w:val="008308E6"/>
    <w:rsid w:val="00836EBD"/>
    <w:rsid w:val="00863D8E"/>
    <w:rsid w:val="00867A65"/>
    <w:rsid w:val="00887364"/>
    <w:rsid w:val="00890EC4"/>
    <w:rsid w:val="00936482"/>
    <w:rsid w:val="0095229C"/>
    <w:rsid w:val="00977C74"/>
    <w:rsid w:val="009C6DB3"/>
    <w:rsid w:val="00A41899"/>
    <w:rsid w:val="00A4555F"/>
    <w:rsid w:val="00A66EAB"/>
    <w:rsid w:val="00A77F42"/>
    <w:rsid w:val="00AC7993"/>
    <w:rsid w:val="00B913F1"/>
    <w:rsid w:val="00B9640B"/>
    <w:rsid w:val="00C376AD"/>
    <w:rsid w:val="00C45338"/>
    <w:rsid w:val="00C56308"/>
    <w:rsid w:val="00C63616"/>
    <w:rsid w:val="00C73200"/>
    <w:rsid w:val="00CA4A04"/>
    <w:rsid w:val="00D6638C"/>
    <w:rsid w:val="00D73B6B"/>
    <w:rsid w:val="00DC7D54"/>
    <w:rsid w:val="00E23201"/>
    <w:rsid w:val="00E37CF3"/>
    <w:rsid w:val="00E70FBE"/>
    <w:rsid w:val="00E77635"/>
    <w:rsid w:val="00EA5B3C"/>
    <w:rsid w:val="00F05366"/>
    <w:rsid w:val="00F07166"/>
    <w:rsid w:val="00F25C17"/>
    <w:rsid w:val="00F9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3419A"/>
  <w15:docId w15:val="{F88296D4-4069-4934-B03D-E449C4E7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Bibliographie1,Bullet List,Bullets,List Paragraph1,- List tir,liste 1,Table/Figure Heading"/>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Bibliographie1 Car,Bullet List Car,Bullets Car,List Paragraph1 Car,- List tir Car,liste 1 Car,Table/Figure Heading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Emphaseple">
    <w:name w:val="Subtle Emphasis"/>
    <w:basedOn w:val="Policepardfaut"/>
    <w:uiPriority w:val="19"/>
    <w:qFormat/>
    <w:rsid w:val="00D6638C"/>
    <w:rPr>
      <w:i/>
      <w:iCs/>
      <w:color w:val="808080" w:themeColor="text1" w:themeTint="7F"/>
    </w:rPr>
  </w:style>
  <w:style w:type="character" w:styleId="Emphase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graphedeliste2">
    <w:name w:val="Paragraphe de liste2"/>
    <w:basedOn w:val="Normal"/>
    <w:uiPriority w:val="34"/>
    <w:qFormat/>
    <w:rsid w:val="007C3307"/>
    <w:pPr>
      <w:spacing w:after="0" w:line="240" w:lineRule="auto"/>
      <w:ind w:left="720"/>
      <w:jc w:val="both"/>
    </w:pPr>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C995-6FBF-49AF-9099-B5FC11F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6325</Words>
  <Characters>34791</Characters>
  <Application>Microsoft Office Word</Application>
  <DocSecurity>0</DocSecurity>
  <Lines>289</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Patrick Solomampionona</cp:lastModifiedBy>
  <cp:revision>3</cp:revision>
  <cp:lastPrinted>2017-06-16T09:44:00Z</cp:lastPrinted>
  <dcterms:created xsi:type="dcterms:W3CDTF">2017-12-21T11:08:00Z</dcterms:created>
  <dcterms:modified xsi:type="dcterms:W3CDTF">2017-12-21T11:09:00Z</dcterms:modified>
</cp:coreProperties>
</file>