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6CECF" w14:textId="77777777" w:rsidR="0090447C" w:rsidRDefault="00D6638C" w:rsidP="0090447C">
      <w:pPr>
        <w:pBdr>
          <w:top w:val="single" w:sz="24" w:space="0" w:color="DBE5F1"/>
          <w:left w:val="single" w:sz="24" w:space="0" w:color="DBE5F1"/>
          <w:bottom w:val="single" w:sz="24" w:space="0" w:color="DBE5F1"/>
          <w:right w:val="single" w:sz="24" w:space="0" w:color="DBE5F1"/>
        </w:pBdr>
        <w:shd w:val="clear" w:color="auto" w:fill="DBE5F1"/>
        <w:spacing w:after="0" w:line="240" w:lineRule="auto"/>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p w14:paraId="11B89832" w14:textId="77777777" w:rsidR="0090447C" w:rsidRDefault="0090447C" w:rsidP="0090447C">
      <w:pPr>
        <w:spacing w:after="0" w:line="240" w:lineRule="auto"/>
        <w:rPr>
          <w:rFonts w:ascii="Calibri" w:eastAsia="Times New Roman" w:hAnsi="Calibri" w:cs="Times New Roman"/>
          <w:sz w:val="20"/>
          <w:szCs w:val="20"/>
        </w:rPr>
      </w:pPr>
      <w:bookmarkStart w:id="2" w:name="_Toc299126613"/>
    </w:p>
    <w:p w14:paraId="71B36418" w14:textId="77777777" w:rsidR="0090447C" w:rsidRDefault="0090447C" w:rsidP="0090447C">
      <w:pPr>
        <w:pStyle w:val="Heading51"/>
        <w:spacing w:before="0" w:line="240" w:lineRule="auto"/>
      </w:pPr>
      <w:r>
        <w:t>INTRODUCTION</w:t>
      </w:r>
    </w:p>
    <w:p w14:paraId="0A13D3D3" w14:textId="77777777" w:rsidR="0090447C" w:rsidRPr="00D6638C" w:rsidRDefault="0090447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Pr>
          <w:rFonts w:ascii="Calibri" w:eastAsia="Times New Roman" w:hAnsi="Calibri" w:cs="Times New Roman"/>
          <w:i/>
          <w:sz w:val="20"/>
          <w:szCs w:val="20"/>
        </w:rPr>
        <w:t>“</w:t>
      </w:r>
      <w:r w:rsidRPr="00235FED">
        <w:rPr>
          <w:rFonts w:ascii="Calibri" w:eastAsia="Times New Roman" w:hAnsi="Calibri" w:cs="Times New Roman"/>
          <w:i/>
          <w:sz w:val="20"/>
          <w:szCs w:val="20"/>
        </w:rPr>
        <w:t>Initial Implementation of Accelerated HCFC Phase Out in the CEIT Region (Belarus, Tajikistan, Ukraine and Uzbekistan)</w:t>
      </w:r>
      <w:r>
        <w:rPr>
          <w:rFonts w:ascii="Calibri" w:eastAsia="Times New Roman" w:hAnsi="Calibri" w:cs="Times New Roman"/>
          <w:i/>
          <w:sz w:val="20"/>
          <w:szCs w:val="20"/>
        </w:rPr>
        <w:t>”</w:t>
      </w:r>
      <w:r>
        <w:rPr>
          <w:rFonts w:ascii="Calibri" w:eastAsia="Times New Roman" w:hAnsi="Calibri" w:cs="Times New Roman"/>
          <w:sz w:val="20"/>
          <w:szCs w:val="20"/>
        </w:rPr>
        <w:t xml:space="preserve"> (PIMS #4309.)</w:t>
      </w:r>
    </w:p>
    <w:p w14:paraId="35B1F6BB" w14:textId="77777777" w:rsidR="0090447C" w:rsidRDefault="0090447C" w:rsidP="0090447C">
      <w:pPr>
        <w:spacing w:after="0" w:line="240" w:lineRule="auto"/>
        <w:rPr>
          <w:rFonts w:ascii="Calibri" w:eastAsia="Times New Roman" w:hAnsi="Calibri" w:cs="Times New Roman"/>
          <w:sz w:val="20"/>
          <w:szCs w:val="20"/>
        </w:rPr>
      </w:pPr>
    </w:p>
    <w:p w14:paraId="07533CCD" w14:textId="77777777" w:rsidR="0090447C" w:rsidRDefault="0090447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The essentials of the project t</w:t>
      </w:r>
      <w:r>
        <w:rPr>
          <w:rFonts w:ascii="Calibri" w:eastAsia="Times New Roman" w:hAnsi="Calibri" w:cs="Times New Roman"/>
          <w:sz w:val="20"/>
          <w:szCs w:val="20"/>
        </w:rPr>
        <w:t>o be evaluated are as follows:</w:t>
      </w:r>
      <w:r w:rsidRPr="00D6638C">
        <w:rPr>
          <w:rFonts w:ascii="Calibri" w:eastAsia="Times New Roman" w:hAnsi="Calibri" w:cs="Times New Roman"/>
          <w:sz w:val="20"/>
          <w:szCs w:val="20"/>
        </w:rPr>
        <w:t xml:space="preserve">   </w:t>
      </w:r>
    </w:p>
    <w:p w14:paraId="1F504849" w14:textId="77777777" w:rsidR="0090447C" w:rsidRPr="00D6638C" w:rsidRDefault="0090447C" w:rsidP="0090447C">
      <w:pPr>
        <w:spacing w:after="0" w:line="240" w:lineRule="auto"/>
        <w:rPr>
          <w:rFonts w:ascii="Calibri" w:eastAsia="Times New Roman" w:hAnsi="Calibri" w:cs="Times New Roman"/>
          <w:sz w:val="20"/>
          <w:szCs w:val="20"/>
        </w:rPr>
      </w:pPr>
    </w:p>
    <w:p w14:paraId="65F1DAC1" w14:textId="77777777" w:rsidR="00D6638C" w:rsidRPr="00D6638C" w:rsidRDefault="00D6638C" w:rsidP="0090447C">
      <w:pPr>
        <w:pStyle w:val="Heading51"/>
        <w:spacing w:before="0" w:line="240" w:lineRule="auto"/>
      </w:pPr>
      <w:bookmarkStart w:id="3" w:name="_Toc321341548"/>
      <w:r w:rsidRPr="006D1317">
        <w:t>Project Summary Table</w:t>
      </w:r>
      <w:bookmarkEnd w:id="3"/>
    </w:p>
    <w:p w14:paraId="0A620DD6" w14:textId="77777777" w:rsidR="006D1317" w:rsidRDefault="006D1317" w:rsidP="006D1317">
      <w:bookmarkStart w:id="4" w:name="_Toc321341549"/>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610"/>
        <w:gridCol w:w="355"/>
        <w:gridCol w:w="1642"/>
        <w:gridCol w:w="1825"/>
      </w:tblGrid>
      <w:tr w:rsidR="006D1317" w:rsidRPr="00D6638C" w14:paraId="24F52EA7" w14:textId="77777777" w:rsidTr="00C57A4E">
        <w:trPr>
          <w:trHeight w:val="359"/>
        </w:trPr>
        <w:tc>
          <w:tcPr>
            <w:tcW w:w="455" w:type="pct"/>
            <w:shd w:val="clear" w:color="auto" w:fill="7F7F7F"/>
          </w:tcPr>
          <w:p w14:paraId="6EB9778C" w14:textId="77777777" w:rsidR="006D1317" w:rsidRPr="00D6638C" w:rsidRDefault="006D1317" w:rsidP="00557657">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tcPr>
          <w:p w14:paraId="5C2C2786" w14:textId="56E30366" w:rsidR="006D1317" w:rsidRPr="00D6638C" w:rsidRDefault="006D1317" w:rsidP="00557657">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9480" w:dyaOrig="360" w14:anchorId="2FB31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6D1317" w:rsidRPr="00D6638C" w14:paraId="3108DBC2" w14:textId="77777777" w:rsidTr="00C57A4E">
        <w:tblPrEx>
          <w:shd w:val="clear" w:color="auto" w:fill="auto"/>
        </w:tblPrEx>
        <w:trPr>
          <w:trHeight w:val="553"/>
        </w:trPr>
        <w:tc>
          <w:tcPr>
            <w:tcW w:w="799" w:type="pct"/>
            <w:gridSpan w:val="2"/>
          </w:tcPr>
          <w:p w14:paraId="6D0B7084" w14:textId="77777777" w:rsidR="006D1317" w:rsidRPr="00D6638C" w:rsidRDefault="006D1317" w:rsidP="00557657">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tcPr>
          <w:p w14:paraId="6AE86C77" w14:textId="77777777" w:rsidR="006D1317" w:rsidRPr="00D6638C" w:rsidRDefault="006D1317" w:rsidP="00557657">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4309</w:t>
            </w:r>
          </w:p>
        </w:tc>
        <w:tc>
          <w:tcPr>
            <w:tcW w:w="1403" w:type="pct"/>
          </w:tcPr>
          <w:p w14:paraId="7195FC73" w14:textId="77777777" w:rsidR="006D1317" w:rsidRPr="00D6638C" w:rsidRDefault="006D1317" w:rsidP="00557657">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14:paraId="2202C549" w14:textId="77777777" w:rsidR="006D1317" w:rsidRPr="00D6638C" w:rsidRDefault="006D1317" w:rsidP="00557657">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14:paraId="5F573E96" w14:textId="77777777" w:rsidR="006D1317" w:rsidRPr="00D6638C" w:rsidRDefault="006D1317" w:rsidP="00557657">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6D1317" w:rsidRPr="00D6638C" w14:paraId="73C8AD7A" w14:textId="77777777" w:rsidTr="00C57A4E">
        <w:tblPrEx>
          <w:shd w:val="clear" w:color="auto" w:fill="auto"/>
        </w:tblPrEx>
        <w:trPr>
          <w:trHeight w:val="278"/>
        </w:trPr>
        <w:tc>
          <w:tcPr>
            <w:tcW w:w="799" w:type="pct"/>
            <w:gridSpan w:val="2"/>
          </w:tcPr>
          <w:p w14:paraId="3BE35E18" w14:textId="77777777" w:rsidR="006D1317" w:rsidRPr="00D6638C" w:rsidRDefault="006D1317" w:rsidP="00557657">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tcPr>
          <w:p w14:paraId="1C9D968A" w14:textId="26269F73" w:rsidR="004D7C8D" w:rsidRPr="00D6638C" w:rsidRDefault="004D7C8D" w:rsidP="00557657">
            <w:pPr>
              <w:tabs>
                <w:tab w:val="right" w:pos="0"/>
              </w:tabs>
              <w:spacing w:after="0"/>
              <w:rPr>
                <w:rFonts w:ascii="Calibri" w:eastAsia="Times New Roman" w:hAnsi="Calibri" w:cs="Times New Roman"/>
                <w:bCs/>
                <w:color w:val="000000"/>
                <w:sz w:val="20"/>
                <w:szCs w:val="20"/>
              </w:rPr>
            </w:pPr>
            <w:r w:rsidRPr="004D7C8D">
              <w:rPr>
                <w:rFonts w:ascii="Calibri" w:eastAsia="Times New Roman" w:hAnsi="Calibri" w:cs="Times New Roman"/>
                <w:bCs/>
                <w:color w:val="000000"/>
                <w:sz w:val="20"/>
                <w:szCs w:val="20"/>
              </w:rPr>
              <w:t>SVK10, 00066255, 00082456; BLR10, 00070086, 00084272; TJK10, 00066625, 00082745; UKR10, 00066300,00082497; UZB10, 00063869, 00080735</w:t>
            </w:r>
          </w:p>
        </w:tc>
        <w:tc>
          <w:tcPr>
            <w:tcW w:w="1403" w:type="pct"/>
          </w:tcPr>
          <w:p w14:paraId="64A4DB1C" w14:textId="77777777" w:rsidR="006D1317" w:rsidRPr="00D6638C" w:rsidRDefault="006D1317" w:rsidP="00557657">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tcPr>
          <w:p w14:paraId="2376BD1B" w14:textId="77777777" w:rsidR="006D1317" w:rsidRPr="00D6638C" w:rsidRDefault="006D1317" w:rsidP="00557657">
            <w:pPr>
              <w:spacing w:after="0"/>
              <w:rPr>
                <w:rFonts w:ascii="Calibri" w:eastAsia="Arial Unicode MS" w:hAnsi="Calibri" w:cs="Times New Roman"/>
                <w:sz w:val="20"/>
                <w:szCs w:val="20"/>
              </w:rPr>
            </w:pPr>
            <w:r>
              <w:rPr>
                <w:rFonts w:ascii="Calibri" w:eastAsia="Times New Roman" w:hAnsi="Calibri" w:cs="Times New Roman"/>
                <w:sz w:val="20"/>
                <w:szCs w:val="20"/>
              </w:rPr>
              <w:t>US$ 9,000,000</w:t>
            </w:r>
          </w:p>
        </w:tc>
        <w:tc>
          <w:tcPr>
            <w:tcW w:w="981" w:type="pct"/>
          </w:tcPr>
          <w:p w14:paraId="1D4178EC" w14:textId="76D63A4F" w:rsidR="006D1317" w:rsidRPr="00D6638C" w:rsidRDefault="00C57A4E" w:rsidP="00C57A4E">
            <w:pPr>
              <w:spacing w:after="0"/>
              <w:rPr>
                <w:rFonts w:ascii="Calibri" w:eastAsia="Arial Unicode MS" w:hAnsi="Calibri" w:cs="Times New Roman"/>
                <w:sz w:val="20"/>
                <w:szCs w:val="20"/>
              </w:rPr>
            </w:pPr>
            <w:r>
              <w:rPr>
                <w:rFonts w:ascii="Calibri" w:eastAsia="Times New Roman" w:hAnsi="Calibri" w:cs="Times New Roman"/>
                <w:sz w:val="20"/>
                <w:szCs w:val="20"/>
              </w:rPr>
              <w:t xml:space="preserve">TBC </w:t>
            </w:r>
            <w:r w:rsidR="00B30B2F">
              <w:rPr>
                <w:rFonts w:ascii="Calibri" w:eastAsia="Times New Roman" w:hAnsi="Calibri" w:cs="Times New Roman"/>
                <w:sz w:val="20"/>
                <w:szCs w:val="20"/>
              </w:rPr>
              <w:t>at</w:t>
            </w:r>
            <w:r>
              <w:rPr>
                <w:rFonts w:ascii="Calibri" w:eastAsia="Times New Roman" w:hAnsi="Calibri" w:cs="Times New Roman"/>
                <w:sz w:val="20"/>
                <w:szCs w:val="20"/>
              </w:rPr>
              <w:t xml:space="preserve"> completion</w:t>
            </w:r>
          </w:p>
        </w:tc>
      </w:tr>
      <w:tr w:rsidR="006D1317" w:rsidRPr="00D6638C" w14:paraId="66815EE5" w14:textId="77777777" w:rsidTr="00C57A4E">
        <w:tblPrEx>
          <w:shd w:val="clear" w:color="auto" w:fill="auto"/>
        </w:tblPrEx>
        <w:trPr>
          <w:trHeight w:val="269"/>
        </w:trPr>
        <w:tc>
          <w:tcPr>
            <w:tcW w:w="799" w:type="pct"/>
            <w:gridSpan w:val="2"/>
          </w:tcPr>
          <w:p w14:paraId="74B426EA" w14:textId="77777777" w:rsidR="006D1317" w:rsidRPr="00D6638C" w:rsidRDefault="006D1317" w:rsidP="00557657">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tcPr>
          <w:p w14:paraId="3E45DA1E" w14:textId="77777777" w:rsidR="006D1317" w:rsidRPr="00D6638C" w:rsidRDefault="006D1317" w:rsidP="00557657">
            <w:pPr>
              <w:tabs>
                <w:tab w:val="right" w:pos="0"/>
              </w:tabs>
              <w:spacing w:after="0"/>
              <w:rPr>
                <w:rFonts w:ascii="Calibri" w:eastAsia="Times New Roman" w:hAnsi="Calibri" w:cs="Times New Roman"/>
                <w:color w:val="000000"/>
                <w:sz w:val="20"/>
                <w:szCs w:val="20"/>
              </w:rPr>
            </w:pPr>
            <w:r w:rsidRPr="00235FED">
              <w:rPr>
                <w:rFonts w:ascii="Calibri" w:eastAsia="Times New Roman" w:hAnsi="Calibri" w:cs="Times New Roman"/>
                <w:i/>
                <w:sz w:val="20"/>
                <w:szCs w:val="20"/>
              </w:rPr>
              <w:t>Belarus, Tajikistan, Ukraine and Uzbekistan</w:t>
            </w:r>
          </w:p>
        </w:tc>
        <w:tc>
          <w:tcPr>
            <w:tcW w:w="1403" w:type="pct"/>
          </w:tcPr>
          <w:p w14:paraId="18CD7529" w14:textId="77777777" w:rsidR="006D1317" w:rsidRPr="00D6638C" w:rsidRDefault="006D1317" w:rsidP="00557657">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tcPr>
          <w:p w14:paraId="1D146B95" w14:textId="1E9C67AB" w:rsidR="006D1317" w:rsidRPr="001105E9" w:rsidRDefault="005C3FE8" w:rsidP="00557657">
            <w:pPr>
              <w:spacing w:after="0"/>
              <w:rPr>
                <w:rFonts w:eastAsia="Arial Unicode MS" w:cstheme="minorHAnsi"/>
                <w:sz w:val="20"/>
                <w:szCs w:val="20"/>
              </w:rPr>
            </w:pPr>
            <w:r w:rsidRPr="001105E9">
              <w:rPr>
                <w:rFonts w:eastAsia="Times New Roman" w:cstheme="minorHAnsi"/>
                <w:sz w:val="20"/>
                <w:szCs w:val="20"/>
              </w:rPr>
              <w:t>N/A</w:t>
            </w:r>
          </w:p>
        </w:tc>
        <w:tc>
          <w:tcPr>
            <w:tcW w:w="981" w:type="pct"/>
          </w:tcPr>
          <w:p w14:paraId="336FE3C2" w14:textId="4403AB50" w:rsidR="006D1317" w:rsidRPr="00D6638C" w:rsidRDefault="00C57A4E" w:rsidP="00C57A4E">
            <w:pPr>
              <w:spacing w:after="0"/>
              <w:rPr>
                <w:rFonts w:ascii="Calibri" w:eastAsia="Arial Unicode MS" w:hAnsi="Calibri" w:cs="Times New Roman"/>
                <w:sz w:val="20"/>
                <w:szCs w:val="20"/>
              </w:rPr>
            </w:pPr>
            <w:r>
              <w:rPr>
                <w:rFonts w:ascii="Calibri" w:eastAsia="Times New Roman" w:hAnsi="Calibri" w:cs="Times New Roman"/>
                <w:sz w:val="20"/>
                <w:szCs w:val="20"/>
              </w:rPr>
              <w:t xml:space="preserve">TBC </w:t>
            </w:r>
            <w:r w:rsidR="00B30B2F">
              <w:rPr>
                <w:rFonts w:ascii="Calibri" w:eastAsia="Times New Roman" w:hAnsi="Calibri" w:cs="Times New Roman"/>
                <w:sz w:val="20"/>
                <w:szCs w:val="20"/>
              </w:rPr>
              <w:t xml:space="preserve">at </w:t>
            </w:r>
            <w:r>
              <w:rPr>
                <w:rFonts w:ascii="Calibri" w:eastAsia="Times New Roman" w:hAnsi="Calibri" w:cs="Times New Roman"/>
                <w:sz w:val="20"/>
                <w:szCs w:val="20"/>
              </w:rPr>
              <w:t>completion</w:t>
            </w:r>
          </w:p>
        </w:tc>
      </w:tr>
      <w:tr w:rsidR="006D1317" w:rsidRPr="00D6638C" w14:paraId="1674420C" w14:textId="77777777" w:rsidTr="00C57A4E">
        <w:tblPrEx>
          <w:shd w:val="clear" w:color="auto" w:fill="auto"/>
        </w:tblPrEx>
        <w:trPr>
          <w:trHeight w:val="296"/>
        </w:trPr>
        <w:tc>
          <w:tcPr>
            <w:tcW w:w="799" w:type="pct"/>
            <w:gridSpan w:val="2"/>
          </w:tcPr>
          <w:p w14:paraId="0C2253BB" w14:textId="77777777" w:rsidR="006D1317" w:rsidRPr="00D6638C" w:rsidRDefault="006D1317" w:rsidP="00557657">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tcPr>
          <w:p w14:paraId="1BF2ECED" w14:textId="77777777" w:rsidR="006D1317" w:rsidRPr="00D6638C" w:rsidRDefault="006D1317" w:rsidP="00557657">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Europe and Central Asia</w:t>
            </w:r>
          </w:p>
        </w:tc>
        <w:tc>
          <w:tcPr>
            <w:tcW w:w="1403" w:type="pct"/>
          </w:tcPr>
          <w:p w14:paraId="5177F838" w14:textId="77777777" w:rsidR="006D1317" w:rsidRPr="00D6638C" w:rsidRDefault="006D1317" w:rsidP="00557657">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tcPr>
          <w:p w14:paraId="027A580F" w14:textId="6180F3AE" w:rsidR="006D1317" w:rsidRPr="001105E9" w:rsidRDefault="005C3FE8" w:rsidP="00557657">
            <w:pPr>
              <w:spacing w:after="0"/>
              <w:rPr>
                <w:rFonts w:eastAsia="Arial Unicode MS" w:cstheme="minorHAnsi"/>
                <w:sz w:val="20"/>
                <w:szCs w:val="20"/>
              </w:rPr>
            </w:pPr>
            <w:r w:rsidRPr="001105E9">
              <w:rPr>
                <w:rFonts w:cstheme="minorHAnsi"/>
                <w:sz w:val="20"/>
                <w:szCs w:val="20"/>
              </w:rPr>
              <w:t>US$ 5,400,000</w:t>
            </w:r>
          </w:p>
        </w:tc>
        <w:tc>
          <w:tcPr>
            <w:tcW w:w="981" w:type="pct"/>
          </w:tcPr>
          <w:p w14:paraId="2A90F784" w14:textId="718AAE61" w:rsidR="006D1317" w:rsidRPr="00D6638C" w:rsidRDefault="00C57A4E" w:rsidP="00C57A4E">
            <w:pPr>
              <w:spacing w:after="0"/>
              <w:rPr>
                <w:rFonts w:ascii="Calibri" w:eastAsia="Times New Roman" w:hAnsi="Calibri" w:cs="Times New Roman"/>
                <w:sz w:val="20"/>
                <w:szCs w:val="20"/>
              </w:rPr>
            </w:pPr>
            <w:r>
              <w:rPr>
                <w:rFonts w:ascii="Calibri" w:eastAsia="Times New Roman" w:hAnsi="Calibri" w:cs="Times New Roman"/>
                <w:sz w:val="20"/>
                <w:szCs w:val="20"/>
              </w:rPr>
              <w:t xml:space="preserve">TBC </w:t>
            </w:r>
            <w:r w:rsidR="00B30B2F">
              <w:rPr>
                <w:rFonts w:ascii="Calibri" w:eastAsia="Times New Roman" w:hAnsi="Calibri" w:cs="Times New Roman"/>
                <w:sz w:val="20"/>
                <w:szCs w:val="20"/>
              </w:rPr>
              <w:t>at</w:t>
            </w:r>
            <w:r>
              <w:rPr>
                <w:rFonts w:ascii="Calibri" w:eastAsia="Times New Roman" w:hAnsi="Calibri" w:cs="Times New Roman"/>
                <w:sz w:val="20"/>
                <w:szCs w:val="20"/>
              </w:rPr>
              <w:t xml:space="preserve"> completion</w:t>
            </w:r>
          </w:p>
        </w:tc>
      </w:tr>
      <w:tr w:rsidR="00C57A4E" w:rsidRPr="00D6638C" w14:paraId="10BE4D36" w14:textId="77777777" w:rsidTr="00C57A4E">
        <w:tblPrEx>
          <w:shd w:val="clear" w:color="auto" w:fill="auto"/>
        </w:tblPrEx>
        <w:trPr>
          <w:trHeight w:val="314"/>
        </w:trPr>
        <w:tc>
          <w:tcPr>
            <w:tcW w:w="799" w:type="pct"/>
            <w:gridSpan w:val="2"/>
          </w:tcPr>
          <w:p w14:paraId="05168E98" w14:textId="77777777" w:rsidR="00C57A4E" w:rsidRPr="00D6638C" w:rsidRDefault="00C57A4E" w:rsidP="00C57A4E">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tcPr>
          <w:p w14:paraId="4D691497" w14:textId="77777777" w:rsidR="00C57A4E" w:rsidRPr="00D6638C" w:rsidRDefault="00C57A4E" w:rsidP="00C57A4E">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GEF/Ozone</w:t>
            </w:r>
          </w:p>
        </w:tc>
        <w:tc>
          <w:tcPr>
            <w:tcW w:w="1403" w:type="pct"/>
          </w:tcPr>
          <w:p w14:paraId="5347C79C" w14:textId="77777777" w:rsidR="00C57A4E" w:rsidRPr="00D6638C" w:rsidRDefault="00C57A4E" w:rsidP="00C57A4E">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tcPr>
          <w:p w14:paraId="03C194F3" w14:textId="30A100B6" w:rsidR="00C57A4E" w:rsidRPr="001105E9" w:rsidRDefault="00C57A4E" w:rsidP="00C57A4E">
            <w:pPr>
              <w:spacing w:after="0"/>
              <w:rPr>
                <w:rFonts w:eastAsia="Times New Roman" w:cstheme="minorHAnsi"/>
                <w:sz w:val="20"/>
                <w:szCs w:val="20"/>
              </w:rPr>
            </w:pPr>
            <w:r w:rsidRPr="001105E9">
              <w:rPr>
                <w:rFonts w:cstheme="minorHAnsi"/>
                <w:sz w:val="20"/>
                <w:szCs w:val="20"/>
              </w:rPr>
              <w:t>US$ 23,740,000</w:t>
            </w:r>
          </w:p>
        </w:tc>
        <w:tc>
          <w:tcPr>
            <w:tcW w:w="981" w:type="pct"/>
          </w:tcPr>
          <w:p w14:paraId="347BE99F" w14:textId="3CB024A0" w:rsidR="00C57A4E" w:rsidRPr="00D6638C" w:rsidRDefault="00C57A4E" w:rsidP="00C57A4E">
            <w:pPr>
              <w:spacing w:after="0"/>
              <w:rPr>
                <w:rFonts w:ascii="Calibri" w:eastAsia="Times New Roman" w:hAnsi="Calibri" w:cs="Times New Roman"/>
                <w:sz w:val="20"/>
                <w:szCs w:val="20"/>
              </w:rPr>
            </w:pPr>
            <w:r w:rsidRPr="002D426A">
              <w:rPr>
                <w:rFonts w:ascii="Calibri" w:eastAsia="Times New Roman" w:hAnsi="Calibri" w:cs="Times New Roman"/>
                <w:sz w:val="20"/>
                <w:szCs w:val="20"/>
              </w:rPr>
              <w:t xml:space="preserve">TBC </w:t>
            </w:r>
            <w:r w:rsidR="00B30B2F">
              <w:rPr>
                <w:rFonts w:ascii="Calibri" w:eastAsia="Times New Roman" w:hAnsi="Calibri" w:cs="Times New Roman"/>
                <w:sz w:val="20"/>
                <w:szCs w:val="20"/>
              </w:rPr>
              <w:t>at</w:t>
            </w:r>
            <w:r w:rsidRPr="002D426A">
              <w:rPr>
                <w:rFonts w:ascii="Calibri" w:eastAsia="Times New Roman" w:hAnsi="Calibri" w:cs="Times New Roman"/>
                <w:sz w:val="20"/>
                <w:szCs w:val="20"/>
              </w:rPr>
              <w:t xml:space="preserve"> completion</w:t>
            </w:r>
          </w:p>
        </w:tc>
      </w:tr>
      <w:tr w:rsidR="00C57A4E" w:rsidRPr="00D6638C" w14:paraId="78FE7E5D" w14:textId="77777777" w:rsidTr="00C57A4E">
        <w:tblPrEx>
          <w:shd w:val="clear" w:color="auto" w:fill="auto"/>
        </w:tblPrEx>
        <w:trPr>
          <w:trHeight w:val="553"/>
        </w:trPr>
        <w:tc>
          <w:tcPr>
            <w:tcW w:w="799" w:type="pct"/>
            <w:gridSpan w:val="2"/>
          </w:tcPr>
          <w:p w14:paraId="6FA4B8ED" w14:textId="77777777" w:rsidR="00C57A4E" w:rsidRPr="00D6638C" w:rsidRDefault="00C57A4E" w:rsidP="00C57A4E">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743" w:type="pct"/>
          </w:tcPr>
          <w:p w14:paraId="1D5751AA" w14:textId="77777777" w:rsidR="00C57A4E" w:rsidRPr="00D6638C" w:rsidRDefault="00C57A4E" w:rsidP="00C57A4E">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ODS/SP1</w:t>
            </w:r>
          </w:p>
        </w:tc>
        <w:tc>
          <w:tcPr>
            <w:tcW w:w="1403" w:type="pct"/>
          </w:tcPr>
          <w:p w14:paraId="39E49A16" w14:textId="77777777" w:rsidR="00C57A4E" w:rsidRPr="00D6638C" w:rsidRDefault="00C57A4E" w:rsidP="00C57A4E">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tcPr>
          <w:p w14:paraId="11F801BB" w14:textId="72724EFE" w:rsidR="00C57A4E" w:rsidRPr="001105E9" w:rsidRDefault="00C57A4E" w:rsidP="00C57A4E">
            <w:pPr>
              <w:spacing w:after="0"/>
              <w:rPr>
                <w:rFonts w:eastAsia="Arial Unicode MS" w:cstheme="minorHAnsi"/>
                <w:sz w:val="20"/>
                <w:szCs w:val="20"/>
              </w:rPr>
            </w:pPr>
            <w:r w:rsidRPr="001105E9">
              <w:rPr>
                <w:rFonts w:eastAsia="Times New Roman" w:cstheme="minorHAnsi"/>
                <w:sz w:val="20"/>
                <w:szCs w:val="20"/>
              </w:rPr>
              <w:t>US $25,445,000</w:t>
            </w:r>
          </w:p>
        </w:tc>
        <w:tc>
          <w:tcPr>
            <w:tcW w:w="981" w:type="pct"/>
          </w:tcPr>
          <w:p w14:paraId="72671E33" w14:textId="15BB96D6" w:rsidR="00C57A4E" w:rsidRPr="00D6638C" w:rsidRDefault="00C57A4E" w:rsidP="00C57A4E">
            <w:pPr>
              <w:spacing w:after="0"/>
              <w:rPr>
                <w:rFonts w:ascii="Calibri" w:eastAsia="Times New Roman" w:hAnsi="Calibri" w:cs="Times New Roman"/>
                <w:sz w:val="20"/>
                <w:szCs w:val="20"/>
              </w:rPr>
            </w:pPr>
            <w:r w:rsidRPr="002D426A">
              <w:rPr>
                <w:rFonts w:ascii="Calibri" w:eastAsia="Times New Roman" w:hAnsi="Calibri" w:cs="Times New Roman"/>
                <w:sz w:val="20"/>
                <w:szCs w:val="20"/>
              </w:rPr>
              <w:t xml:space="preserve">TBC </w:t>
            </w:r>
            <w:r w:rsidR="00B30B2F">
              <w:rPr>
                <w:rFonts w:ascii="Calibri" w:eastAsia="Times New Roman" w:hAnsi="Calibri" w:cs="Times New Roman"/>
                <w:sz w:val="20"/>
                <w:szCs w:val="20"/>
              </w:rPr>
              <w:t>at</w:t>
            </w:r>
            <w:r w:rsidRPr="002D426A">
              <w:rPr>
                <w:rFonts w:ascii="Calibri" w:eastAsia="Times New Roman" w:hAnsi="Calibri" w:cs="Times New Roman"/>
                <w:sz w:val="20"/>
                <w:szCs w:val="20"/>
              </w:rPr>
              <w:t xml:space="preserve"> completion</w:t>
            </w:r>
          </w:p>
        </w:tc>
      </w:tr>
      <w:tr w:rsidR="00C57A4E" w:rsidRPr="00D6638C" w14:paraId="279B0835" w14:textId="77777777" w:rsidTr="00C57A4E">
        <w:tblPrEx>
          <w:shd w:val="clear" w:color="auto" w:fill="auto"/>
        </w:tblPrEx>
        <w:trPr>
          <w:trHeight w:val="341"/>
        </w:trPr>
        <w:tc>
          <w:tcPr>
            <w:tcW w:w="799" w:type="pct"/>
            <w:gridSpan w:val="2"/>
          </w:tcPr>
          <w:p w14:paraId="5642AF18" w14:textId="77777777" w:rsidR="00C57A4E" w:rsidRPr="00D6638C" w:rsidRDefault="00C57A4E" w:rsidP="00C57A4E">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tcPr>
          <w:p w14:paraId="5744088E" w14:textId="77777777" w:rsidR="00C57A4E" w:rsidRPr="00D6638C" w:rsidRDefault="00C57A4E" w:rsidP="00C57A4E">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UNDP</w:t>
            </w:r>
          </w:p>
        </w:tc>
        <w:tc>
          <w:tcPr>
            <w:tcW w:w="1403" w:type="pct"/>
          </w:tcPr>
          <w:p w14:paraId="68090B72" w14:textId="77777777" w:rsidR="00C57A4E" w:rsidRPr="00D6638C" w:rsidRDefault="00C57A4E" w:rsidP="00C57A4E">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tcPr>
          <w:p w14:paraId="3E0908C7" w14:textId="67CA4E1D" w:rsidR="00C57A4E" w:rsidRPr="001105E9" w:rsidRDefault="00C57A4E" w:rsidP="00C57A4E">
            <w:pPr>
              <w:spacing w:after="0"/>
              <w:rPr>
                <w:rFonts w:eastAsia="Arial Unicode MS" w:cstheme="minorHAnsi"/>
                <w:sz w:val="20"/>
                <w:szCs w:val="20"/>
              </w:rPr>
            </w:pPr>
            <w:r w:rsidRPr="001105E9">
              <w:rPr>
                <w:rFonts w:eastAsia="Times New Roman" w:cstheme="minorHAnsi"/>
                <w:sz w:val="20"/>
                <w:szCs w:val="20"/>
              </w:rPr>
              <w:t>US $34,445,000</w:t>
            </w:r>
          </w:p>
        </w:tc>
        <w:tc>
          <w:tcPr>
            <w:tcW w:w="981" w:type="pct"/>
          </w:tcPr>
          <w:p w14:paraId="7BA29780" w14:textId="5A7BEEBD" w:rsidR="00C57A4E" w:rsidRPr="00D6638C" w:rsidRDefault="00C57A4E" w:rsidP="00C57A4E">
            <w:pPr>
              <w:spacing w:after="0"/>
              <w:rPr>
                <w:rFonts w:ascii="Calibri" w:eastAsia="Arial Unicode MS" w:hAnsi="Calibri" w:cs="Times New Roman"/>
                <w:sz w:val="20"/>
                <w:szCs w:val="20"/>
              </w:rPr>
            </w:pPr>
            <w:r w:rsidRPr="002D426A">
              <w:rPr>
                <w:rFonts w:ascii="Calibri" w:eastAsia="Times New Roman" w:hAnsi="Calibri" w:cs="Times New Roman"/>
                <w:sz w:val="20"/>
                <w:szCs w:val="20"/>
              </w:rPr>
              <w:t xml:space="preserve">TBC </w:t>
            </w:r>
            <w:r w:rsidR="00B30B2F">
              <w:rPr>
                <w:rFonts w:ascii="Calibri" w:eastAsia="Times New Roman" w:hAnsi="Calibri" w:cs="Times New Roman"/>
                <w:sz w:val="20"/>
                <w:szCs w:val="20"/>
              </w:rPr>
              <w:t>at</w:t>
            </w:r>
            <w:r w:rsidRPr="002D426A">
              <w:rPr>
                <w:rFonts w:ascii="Calibri" w:eastAsia="Times New Roman" w:hAnsi="Calibri" w:cs="Times New Roman"/>
                <w:sz w:val="20"/>
                <w:szCs w:val="20"/>
              </w:rPr>
              <w:t xml:space="preserve"> completion</w:t>
            </w:r>
          </w:p>
        </w:tc>
      </w:tr>
      <w:tr w:rsidR="006D1317" w:rsidRPr="00D6638C" w14:paraId="0FB8FA00" w14:textId="77777777" w:rsidTr="00C57A4E">
        <w:tblPrEx>
          <w:shd w:val="clear" w:color="auto" w:fill="auto"/>
        </w:tblPrEx>
        <w:trPr>
          <w:trHeight w:val="368"/>
        </w:trPr>
        <w:tc>
          <w:tcPr>
            <w:tcW w:w="799" w:type="pct"/>
            <w:gridSpan w:val="2"/>
            <w:vMerge w:val="restart"/>
          </w:tcPr>
          <w:p w14:paraId="019692BA" w14:textId="77777777" w:rsidR="006D1317" w:rsidRPr="00D6638C" w:rsidRDefault="006D1317" w:rsidP="00557657">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tcPr>
          <w:p w14:paraId="0887A943" w14:textId="77777777" w:rsidR="006D1317" w:rsidRPr="00D6638C" w:rsidRDefault="006D1317" w:rsidP="00557657">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 xml:space="preserve">Ministry of Environments </w:t>
            </w:r>
            <w:r>
              <w:rPr>
                <w:rFonts w:ascii="Calibri" w:eastAsia="Times New Roman" w:hAnsi="Calibri" w:cs="Times New Roman"/>
                <w:sz w:val="20"/>
                <w:szCs w:val="20"/>
              </w:rPr>
              <w:lastRenderedPageBreak/>
              <w:t>of respective countries</w:t>
            </w:r>
          </w:p>
        </w:tc>
        <w:tc>
          <w:tcPr>
            <w:tcW w:w="2477" w:type="pct"/>
            <w:gridSpan w:val="3"/>
          </w:tcPr>
          <w:p w14:paraId="577531F3" w14:textId="77777777" w:rsidR="006D1317" w:rsidRPr="00D6638C" w:rsidRDefault="006D1317" w:rsidP="00557657">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lastRenderedPageBreak/>
              <w:t xml:space="preserve">ProDoc Signature (date project began): </w:t>
            </w:r>
          </w:p>
        </w:tc>
        <w:tc>
          <w:tcPr>
            <w:tcW w:w="981" w:type="pct"/>
          </w:tcPr>
          <w:p w14:paraId="460A2EFA" w14:textId="77777777" w:rsidR="006D1317" w:rsidRPr="00D6638C" w:rsidRDefault="006D1317" w:rsidP="00557657">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31.07.2013</w:t>
            </w:r>
          </w:p>
        </w:tc>
      </w:tr>
      <w:tr w:rsidR="006D1317" w:rsidRPr="00D6638C" w14:paraId="2812391A" w14:textId="77777777" w:rsidTr="00C57A4E">
        <w:tblPrEx>
          <w:shd w:val="clear" w:color="auto" w:fill="auto"/>
        </w:tblPrEx>
        <w:trPr>
          <w:trHeight w:val="144"/>
        </w:trPr>
        <w:tc>
          <w:tcPr>
            <w:tcW w:w="799" w:type="pct"/>
            <w:gridSpan w:val="2"/>
            <w:vMerge/>
          </w:tcPr>
          <w:p w14:paraId="465B88EC" w14:textId="77777777" w:rsidR="006D1317" w:rsidRPr="00D6638C" w:rsidRDefault="006D1317" w:rsidP="00557657">
            <w:pPr>
              <w:spacing w:after="0"/>
              <w:rPr>
                <w:rFonts w:ascii="Calibri" w:eastAsia="Arial Unicode MS" w:hAnsi="Calibri" w:cs="Times New Roman"/>
                <w:sz w:val="20"/>
                <w:szCs w:val="20"/>
              </w:rPr>
            </w:pPr>
          </w:p>
        </w:tc>
        <w:tc>
          <w:tcPr>
            <w:tcW w:w="743" w:type="pct"/>
            <w:vMerge/>
          </w:tcPr>
          <w:p w14:paraId="40A0A50B" w14:textId="77777777" w:rsidR="006D1317" w:rsidRPr="00D6638C" w:rsidRDefault="006D1317" w:rsidP="00557657">
            <w:pPr>
              <w:tabs>
                <w:tab w:val="right" w:pos="0"/>
              </w:tabs>
              <w:spacing w:after="0"/>
              <w:jc w:val="center"/>
              <w:rPr>
                <w:rFonts w:ascii="Calibri" w:eastAsia="Times New Roman" w:hAnsi="Calibri" w:cs="Times New Roman"/>
                <w:sz w:val="20"/>
                <w:szCs w:val="20"/>
              </w:rPr>
            </w:pPr>
          </w:p>
        </w:tc>
        <w:tc>
          <w:tcPr>
            <w:tcW w:w="1594" w:type="pct"/>
            <w:gridSpan w:val="2"/>
          </w:tcPr>
          <w:p w14:paraId="6DE872A2" w14:textId="77777777" w:rsidR="006D1317" w:rsidRPr="00D6638C" w:rsidRDefault="006D1317" w:rsidP="00557657">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14:paraId="09829050" w14:textId="77777777" w:rsidR="006D1317" w:rsidRPr="00D6638C" w:rsidRDefault="006D1317" w:rsidP="00557657">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14:paraId="70E7106C" w14:textId="77777777" w:rsidR="006D1317" w:rsidRPr="00D6638C" w:rsidRDefault="006D1317" w:rsidP="00557657">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31.07.2016</w:t>
            </w:r>
          </w:p>
        </w:tc>
        <w:tc>
          <w:tcPr>
            <w:tcW w:w="981" w:type="pct"/>
          </w:tcPr>
          <w:p w14:paraId="6B6DE463" w14:textId="77777777" w:rsidR="006D1317" w:rsidRPr="00D6638C" w:rsidRDefault="006D1317" w:rsidP="00557657">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71DF8C31" w14:textId="77777777" w:rsidR="006D1317" w:rsidRPr="00D6638C" w:rsidRDefault="006D1317" w:rsidP="00557657">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31.07.2018</w:t>
            </w:r>
          </w:p>
        </w:tc>
      </w:tr>
    </w:tbl>
    <w:p w14:paraId="5E255350" w14:textId="77777777" w:rsidR="006D1317" w:rsidRDefault="006D1317" w:rsidP="0090447C">
      <w:pPr>
        <w:pStyle w:val="Heading51"/>
        <w:spacing w:before="0" w:line="240" w:lineRule="auto"/>
      </w:pPr>
    </w:p>
    <w:p w14:paraId="58FA1F18" w14:textId="77777777" w:rsidR="00D6638C" w:rsidRPr="00B913F1" w:rsidRDefault="00D6638C" w:rsidP="0090447C">
      <w:pPr>
        <w:pStyle w:val="Heading51"/>
        <w:spacing w:before="0" w:line="240" w:lineRule="auto"/>
      </w:pPr>
      <w:r w:rsidRPr="00B913F1">
        <w:t>Objective and Scope</w:t>
      </w:r>
      <w:bookmarkEnd w:id="4"/>
    </w:p>
    <w:p w14:paraId="0E87BF4D" w14:textId="77777777" w:rsidR="0090447C" w:rsidRDefault="0090447C" w:rsidP="0090447C">
      <w:pPr>
        <w:spacing w:after="0" w:line="240" w:lineRule="auto"/>
        <w:rPr>
          <w:rFonts w:ascii="Calibri" w:eastAsia="Times New Roman" w:hAnsi="Calibri" w:cs="Times New Roman"/>
          <w:sz w:val="20"/>
          <w:szCs w:val="20"/>
        </w:rPr>
      </w:pPr>
    </w:p>
    <w:p w14:paraId="08C2AFD0" w14:textId="77777777" w:rsidR="00FD48F2" w:rsidRDefault="00FD48F2" w:rsidP="00EA332D">
      <w:pPr>
        <w:spacing w:after="0" w:line="240" w:lineRule="auto"/>
        <w:jc w:val="both"/>
        <w:rPr>
          <w:rFonts w:ascii="Calibri" w:eastAsia="Times New Roman" w:hAnsi="Calibri" w:cs="Times New Roman"/>
          <w:sz w:val="20"/>
          <w:szCs w:val="20"/>
        </w:rPr>
      </w:pPr>
      <w:r w:rsidRPr="00FD48F2">
        <w:rPr>
          <w:rFonts w:ascii="Calibri" w:eastAsia="Times New Roman" w:hAnsi="Calibri" w:cs="Times New Roman"/>
          <w:sz w:val="20"/>
          <w:szCs w:val="20"/>
        </w:rPr>
        <w:t>The project was designed to respond to the obligations incurred by participating countries (Belarus, Tajikistan, Ukraine and Uzbekistan) under their respective phase out schedule for HCFCs of the Montreal Protocol. It is a timely capacity building effort (with investment elements for the manufacturing, where existing, and servicing sectors) designed to improve regulatory measures to help address the accelerated HCFC phase-out in the medium and longer term, and to strengthen the preparedness for the complete phase-out of HCFCs from current use. The project document has been designed to address the following two main components (regional and national):</w:t>
      </w:r>
    </w:p>
    <w:p w14:paraId="2FDF72F0" w14:textId="77777777" w:rsidR="00211948" w:rsidRPr="00FD48F2" w:rsidRDefault="00211948" w:rsidP="0090447C">
      <w:pPr>
        <w:spacing w:after="0" w:line="240" w:lineRule="auto"/>
        <w:rPr>
          <w:rFonts w:ascii="Calibri" w:eastAsia="Times New Roman" w:hAnsi="Calibri" w:cs="Times New Roman"/>
          <w:sz w:val="20"/>
          <w:szCs w:val="20"/>
        </w:rPr>
      </w:pPr>
    </w:p>
    <w:p w14:paraId="2A4939C1" w14:textId="77777777" w:rsidR="00FD48F2" w:rsidRPr="00FD48F2" w:rsidRDefault="00FD48F2" w:rsidP="00EA332D">
      <w:pPr>
        <w:pStyle w:val="ListParagraph"/>
        <w:numPr>
          <w:ilvl w:val="0"/>
          <w:numId w:val="32"/>
        </w:numPr>
        <w:spacing w:before="0" w:after="0" w:line="240" w:lineRule="auto"/>
        <w:jc w:val="both"/>
        <w:rPr>
          <w:rFonts w:ascii="Calibri" w:hAnsi="Calibri" w:cs="Times New Roman"/>
        </w:rPr>
      </w:pPr>
      <w:r w:rsidRPr="00FD48F2">
        <w:rPr>
          <w:rFonts w:ascii="Calibri" w:hAnsi="Calibri" w:cs="Times New Roman"/>
        </w:rPr>
        <w:t>Component 1 (Regional information exchange and networking component), addressing barriers associated with incomplete knowledge and awareness and which is aligned with PIF Component 1; Outcomes 1(a-d) - the component to be implemented on UNDP regional level (initially out of UNDP Bratislava Regional Center, and later on from a new UNDP Istanbul Regional Hub);</w:t>
      </w:r>
    </w:p>
    <w:p w14:paraId="56396F6A" w14:textId="77777777" w:rsidR="00FD48F2" w:rsidRDefault="00FD48F2" w:rsidP="00EA332D">
      <w:pPr>
        <w:pStyle w:val="ListParagraph"/>
        <w:numPr>
          <w:ilvl w:val="0"/>
          <w:numId w:val="32"/>
        </w:numPr>
        <w:spacing w:before="0" w:after="0" w:line="240" w:lineRule="auto"/>
        <w:jc w:val="both"/>
        <w:rPr>
          <w:rFonts w:ascii="Calibri" w:hAnsi="Calibri" w:cs="Times New Roman"/>
        </w:rPr>
      </w:pPr>
      <w:r w:rsidRPr="00FD48F2">
        <w:rPr>
          <w:rFonts w:ascii="Calibri" w:hAnsi="Calibri" w:cs="Times New Roman"/>
        </w:rPr>
        <w:t>Component 2 (National capacity building and technical assistance component), targeting support to the adoption of the fully completed HCFC phase-out strategy (with selected legislative options to control HCFC import/use), capacity building and supply of analytical and servicing equipment/tools for the Environmental Inspectorate and Customs Departments and refrigeration technicians, technological conversions for solvents and rigid foams, modernization of HCFC re-use scheme in the country and demonstration of alternative technologies in refrigeration equipment and A/C sectors, pilot small-scale ODS destruction.</w:t>
      </w:r>
    </w:p>
    <w:p w14:paraId="7474083A" w14:textId="77777777" w:rsidR="00211948" w:rsidRPr="00FD48F2" w:rsidRDefault="00211948" w:rsidP="00211948">
      <w:pPr>
        <w:pStyle w:val="ListParagraph"/>
        <w:spacing w:before="0" w:after="0" w:line="240" w:lineRule="auto"/>
        <w:rPr>
          <w:rFonts w:ascii="Calibri" w:hAnsi="Calibri" w:cs="Times New Roman"/>
        </w:rPr>
      </w:pPr>
    </w:p>
    <w:p w14:paraId="226C874B" w14:textId="77777777" w:rsidR="00FD48F2"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388F0337" w14:textId="77777777" w:rsidR="00211948" w:rsidRDefault="00211948" w:rsidP="0090447C">
      <w:pPr>
        <w:spacing w:after="0" w:line="240" w:lineRule="auto"/>
        <w:rPr>
          <w:rFonts w:ascii="Calibri" w:eastAsia="Times New Roman" w:hAnsi="Calibri" w:cs="Times New Roman"/>
          <w:i/>
          <w:sz w:val="20"/>
          <w:szCs w:val="20"/>
        </w:rPr>
      </w:pPr>
    </w:p>
    <w:p w14:paraId="617B2CF2" w14:textId="77777777" w:rsidR="00211948"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4D782332" w14:textId="77777777" w:rsid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 </w:t>
      </w:r>
    </w:p>
    <w:p w14:paraId="14EB027E" w14:textId="77777777" w:rsidR="00D6638C" w:rsidRPr="00D6638C" w:rsidRDefault="00D6638C" w:rsidP="0090447C">
      <w:pPr>
        <w:pStyle w:val="Heading51"/>
        <w:spacing w:before="0" w:line="240" w:lineRule="auto"/>
      </w:pPr>
      <w:bookmarkStart w:id="5" w:name="_Toc299133043"/>
      <w:bookmarkStart w:id="6" w:name="_Toc321341550"/>
      <w:r w:rsidRPr="00D6638C">
        <w:t>Evaluation approach and method</w:t>
      </w:r>
      <w:bookmarkEnd w:id="5"/>
      <w:bookmarkEnd w:id="6"/>
    </w:p>
    <w:p w14:paraId="16CB60A3" w14:textId="77777777" w:rsidR="00211948" w:rsidRDefault="00211948" w:rsidP="0090447C">
      <w:pPr>
        <w:spacing w:after="0" w:line="240" w:lineRule="auto"/>
        <w:rPr>
          <w:rFonts w:ascii="Calibri" w:eastAsia="Times New Roman" w:hAnsi="Calibri" w:cs="Times New Roman"/>
          <w:sz w:val="20"/>
          <w:szCs w:val="20"/>
        </w:rPr>
      </w:pPr>
    </w:p>
    <w:p w14:paraId="1346FDEC" w14:textId="6C668E0F"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hyperlink r:id="rId10" w:history="1">
        <w:r w:rsidRPr="00EA332D">
          <w:rPr>
            <w:rStyle w:val="Hyperlink"/>
            <w:rFonts w:ascii="Calibri" w:eastAsia="Times New Roman" w:hAnsi="Calibri" w:cs="Times New Roman"/>
            <w:sz w:val="20"/>
            <w:szCs w:val="20"/>
          </w:rPr>
          <w:t>UNDP Guidance for Cond</w:t>
        </w:r>
        <w:r w:rsidR="00FD48F2" w:rsidRPr="00EA332D">
          <w:rPr>
            <w:rStyle w:val="Hyperlink"/>
            <w:rFonts w:ascii="Calibri" w:eastAsia="Times New Roman" w:hAnsi="Calibri" w:cs="Times New Roman"/>
            <w:sz w:val="20"/>
            <w:szCs w:val="20"/>
          </w:rPr>
          <w:t xml:space="preserve">ucting Terminal Evaluations of </w:t>
        </w:r>
        <w:r w:rsidRPr="00EA332D">
          <w:rPr>
            <w:rStyle w:val="Hyperlink"/>
            <w:rFonts w:ascii="Calibri" w:eastAsia="Times New Roman" w:hAnsi="Calibri" w:cs="Times New Roman"/>
            <w:sz w:val="20"/>
            <w:szCs w:val="20"/>
          </w:rPr>
          <w:t>UNDP-supported, GEF-financed Projects</w:t>
        </w:r>
      </w:hyperlink>
      <w:r w:rsidR="00FD48F2">
        <w:rPr>
          <w:rFonts w:ascii="Calibri" w:eastAsia="Times New Roman" w:hAnsi="Calibri" w:cs="Times New Roman"/>
          <w:sz w:val="20"/>
          <w:szCs w:val="20"/>
          <w:u w:val="single"/>
        </w:rPr>
        <w:t xml:space="preserve"> </w:t>
      </w:r>
      <w:r w:rsidRPr="00A9031A">
        <w:rPr>
          <w:rFonts w:ascii="Calibri" w:eastAsia="Times New Roman" w:hAnsi="Calibri" w:cs="Times New Roman"/>
          <w:sz w:val="20"/>
          <w:szCs w:val="20"/>
        </w:rPr>
        <w:t>.</w:t>
      </w:r>
      <w:r w:rsidR="00FD48F2">
        <w:rPr>
          <w:rFonts w:ascii="Calibri" w:eastAsia="Times New Roman" w:hAnsi="Calibri" w:cs="Times New Roman"/>
          <w:sz w:val="20"/>
          <w:szCs w:val="20"/>
        </w:rPr>
        <w:t xml:space="preserve"> A </w:t>
      </w:r>
      <w:r w:rsidRPr="00D6638C">
        <w:rPr>
          <w:rFonts w:ascii="Calibri" w:eastAsia="Times New Roman" w:hAnsi="Calibri" w:cs="Times New Roman"/>
          <w:sz w:val="20"/>
          <w:szCs w:val="20"/>
        </w:rPr>
        <w:t>set of questions covering each of these criteria have been drafted and are included with this TOR</w:t>
      </w:r>
      <w:r w:rsidR="00475833">
        <w:rPr>
          <w:rFonts w:ascii="Calibri" w:eastAsia="Times New Roman" w:hAnsi="Calibri" w:cs="Times New Roman"/>
          <w:sz w:val="20"/>
          <w:szCs w:val="20"/>
        </w:rPr>
        <w:t xml:space="preserve"> </w:t>
      </w:r>
      <w:r w:rsidR="00475833" w:rsidRPr="00475833">
        <w:rPr>
          <w:rFonts w:ascii="Calibri" w:eastAsia="Times New Roman" w:hAnsi="Calibri" w:cs="Times New Roman"/>
          <w:sz w:val="20"/>
          <w:szCs w:val="20"/>
        </w:rPr>
        <w:t>(see</w:t>
      </w:r>
      <w:r w:rsidR="00A77F92">
        <w:rPr>
          <w:rFonts w:ascii="Calibri" w:eastAsia="Times New Roman" w:hAnsi="Calibri" w:cs="Times New Roman"/>
          <w:sz w:val="20"/>
          <w:szCs w:val="20"/>
        </w:rPr>
        <w:t xml:space="preserve"> Annex A</w:t>
      </w:r>
      <w:r w:rsidR="00475833">
        <w:rPr>
          <w:rFonts w:ascii="Calibri" w:eastAsia="Times New Roman" w:hAnsi="Calibri" w:cs="Times New Roman"/>
          <w:sz w:val="20"/>
          <w:szCs w:val="20"/>
        </w:rPr>
        <w:t xml:space="preserve">). </w:t>
      </w:r>
      <w:r w:rsidRPr="00D6638C">
        <w:rPr>
          <w:rFonts w:ascii="Calibri" w:eastAsia="Times New Roman" w:hAnsi="Calibri" w:cs="Times New Roman"/>
          <w:sz w:val="20"/>
          <w:szCs w:val="20"/>
        </w:rPr>
        <w:t>The evaluator is expected to amend, complete and submit this matrix as part o</w:t>
      </w:r>
      <w:r w:rsidR="00FD48F2">
        <w:rPr>
          <w:rFonts w:ascii="Calibri" w:eastAsia="Times New Roman" w:hAnsi="Calibri" w:cs="Times New Roman"/>
          <w:sz w:val="20"/>
          <w:szCs w:val="20"/>
        </w:rPr>
        <w:t xml:space="preserve">f </w:t>
      </w:r>
      <w:r w:rsidRPr="00D6638C">
        <w:rPr>
          <w:rFonts w:ascii="Calibri" w:eastAsia="Times New Roman" w:hAnsi="Calibri" w:cs="Times New Roman"/>
          <w:sz w:val="20"/>
          <w:szCs w:val="20"/>
        </w:rPr>
        <w:t>an evaluation inception report, and shall include it as</w:t>
      </w:r>
      <w:r w:rsidR="00475833">
        <w:rPr>
          <w:rFonts w:ascii="Calibri" w:eastAsia="Times New Roman" w:hAnsi="Calibri" w:cs="Times New Roman"/>
          <w:sz w:val="20"/>
          <w:szCs w:val="20"/>
        </w:rPr>
        <w:t xml:space="preserve"> an annex to the final report. </w:t>
      </w:r>
    </w:p>
    <w:p w14:paraId="2587FCC2" w14:textId="77777777" w:rsidR="00211948" w:rsidRDefault="00211948" w:rsidP="0090447C">
      <w:pPr>
        <w:spacing w:after="0" w:line="240" w:lineRule="auto"/>
        <w:rPr>
          <w:rFonts w:ascii="Calibri" w:eastAsia="Times New Roman" w:hAnsi="Calibri" w:cs="Times New Roman"/>
          <w:sz w:val="20"/>
          <w:szCs w:val="20"/>
        </w:rPr>
      </w:pPr>
    </w:p>
    <w:p w14:paraId="6CF876E4" w14:textId="2791A980" w:rsidR="00085CD7" w:rsidRPr="00085CD7" w:rsidRDefault="00D6638C" w:rsidP="00085CD7">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w:t>
      </w:r>
      <w:r w:rsidR="001A534D">
        <w:rPr>
          <w:rFonts w:ascii="Calibri" w:eastAsia="Times New Roman" w:hAnsi="Calibri" w:cs="Times New Roman"/>
          <w:sz w:val="20"/>
          <w:szCs w:val="20"/>
        </w:rPr>
        <w:t xml:space="preserve">IRH and </w:t>
      </w:r>
      <w:r w:rsidRPr="00D6638C">
        <w:rPr>
          <w:rFonts w:ascii="Calibri" w:eastAsia="Times New Roman" w:hAnsi="Calibri" w:cs="Times New Roman"/>
          <w:sz w:val="20"/>
          <w:szCs w:val="20"/>
        </w:rPr>
        <w:t>Country Office</w:t>
      </w:r>
      <w:r w:rsidR="001A534D">
        <w:rPr>
          <w:rFonts w:ascii="Calibri" w:eastAsia="Times New Roman" w:hAnsi="Calibri" w:cs="Times New Roman"/>
          <w:sz w:val="20"/>
          <w:szCs w:val="20"/>
        </w:rPr>
        <w:t>s</w:t>
      </w:r>
      <w:r w:rsidRPr="00D6638C">
        <w:rPr>
          <w:rFonts w:ascii="Calibri" w:eastAsia="Times New Roman" w:hAnsi="Calibri" w:cs="Times New Roman"/>
          <w:sz w:val="20"/>
          <w:szCs w:val="20"/>
        </w:rPr>
        <w:t xml:space="preserve">, project team, UNDP GEF Technical Adviser based in the region and key stakeholders. The evaluator is expected to conduct a field mission to </w:t>
      </w:r>
      <w:r w:rsidR="00475833" w:rsidRPr="00475833">
        <w:rPr>
          <w:rFonts w:ascii="Calibri" w:eastAsia="Times New Roman" w:hAnsi="Calibri" w:cs="Times New Roman"/>
          <w:sz w:val="20"/>
          <w:szCs w:val="20"/>
        </w:rPr>
        <w:t>Dushanbe</w:t>
      </w:r>
      <w:r w:rsidR="001A534D">
        <w:rPr>
          <w:rFonts w:ascii="Calibri" w:eastAsia="Times New Roman" w:hAnsi="Calibri" w:cs="Times New Roman"/>
          <w:sz w:val="20"/>
          <w:szCs w:val="20"/>
        </w:rPr>
        <w:t>-Tajikistan</w:t>
      </w:r>
      <w:r w:rsidR="00475833" w:rsidRPr="00475833">
        <w:rPr>
          <w:rFonts w:ascii="Calibri" w:eastAsia="Times New Roman" w:hAnsi="Calibri" w:cs="Times New Roman"/>
          <w:sz w:val="20"/>
          <w:szCs w:val="20"/>
        </w:rPr>
        <w:t xml:space="preserve">, </w:t>
      </w:r>
      <w:r w:rsidR="00EC5A05">
        <w:rPr>
          <w:rFonts w:ascii="Calibri" w:eastAsia="Times New Roman" w:hAnsi="Calibri" w:cs="Times New Roman"/>
          <w:sz w:val="20"/>
          <w:szCs w:val="20"/>
        </w:rPr>
        <w:t xml:space="preserve">Istanbul-Turkey, </w:t>
      </w:r>
      <w:r w:rsidR="00475833" w:rsidRPr="00475833">
        <w:rPr>
          <w:rFonts w:ascii="Calibri" w:eastAsia="Times New Roman" w:hAnsi="Calibri" w:cs="Times New Roman"/>
          <w:sz w:val="20"/>
          <w:szCs w:val="20"/>
        </w:rPr>
        <w:t>Kiev</w:t>
      </w:r>
      <w:r w:rsidR="001A534D">
        <w:rPr>
          <w:rFonts w:ascii="Calibri" w:eastAsia="Times New Roman" w:hAnsi="Calibri" w:cs="Times New Roman"/>
          <w:sz w:val="20"/>
          <w:szCs w:val="20"/>
        </w:rPr>
        <w:t>-Ukraine</w:t>
      </w:r>
      <w:r w:rsidR="00475833" w:rsidRPr="00475833">
        <w:rPr>
          <w:rFonts w:ascii="Calibri" w:eastAsia="Times New Roman" w:hAnsi="Calibri" w:cs="Times New Roman"/>
          <w:sz w:val="20"/>
          <w:szCs w:val="20"/>
        </w:rPr>
        <w:t>, Minsk</w:t>
      </w:r>
      <w:r w:rsidR="001A534D">
        <w:rPr>
          <w:rFonts w:ascii="Calibri" w:eastAsia="Times New Roman" w:hAnsi="Calibri" w:cs="Times New Roman"/>
          <w:sz w:val="20"/>
          <w:szCs w:val="20"/>
        </w:rPr>
        <w:t>-Belarus</w:t>
      </w:r>
      <w:r w:rsidR="00EC5A05">
        <w:rPr>
          <w:rFonts w:ascii="Calibri" w:eastAsia="Times New Roman" w:hAnsi="Calibri" w:cs="Times New Roman"/>
          <w:sz w:val="20"/>
          <w:szCs w:val="20"/>
        </w:rPr>
        <w:t xml:space="preserve">, </w:t>
      </w:r>
      <w:r w:rsidR="00475833" w:rsidRPr="00475833">
        <w:rPr>
          <w:rFonts w:ascii="Calibri" w:eastAsia="Times New Roman" w:hAnsi="Calibri" w:cs="Times New Roman"/>
          <w:sz w:val="20"/>
          <w:szCs w:val="20"/>
        </w:rPr>
        <w:t>Tashkent</w:t>
      </w:r>
      <w:r w:rsidR="001A534D">
        <w:rPr>
          <w:rFonts w:ascii="Calibri" w:eastAsia="Times New Roman" w:hAnsi="Calibri" w:cs="Times New Roman"/>
          <w:sz w:val="20"/>
          <w:szCs w:val="20"/>
        </w:rPr>
        <w:t>-Uzbekistan</w:t>
      </w:r>
      <w:r w:rsidR="00475833" w:rsidRPr="00475833">
        <w:rPr>
          <w:rFonts w:ascii="Calibri" w:eastAsia="Times New Roman" w:hAnsi="Calibri" w:cs="Times New Roman"/>
          <w:sz w:val="20"/>
          <w:szCs w:val="20"/>
        </w:rPr>
        <w:t xml:space="preserve"> as primary locations with additional visits to projects sites as d</w:t>
      </w:r>
      <w:r w:rsidR="00EC5A05">
        <w:rPr>
          <w:rFonts w:ascii="Calibri" w:eastAsia="Times New Roman" w:hAnsi="Calibri" w:cs="Times New Roman"/>
          <w:sz w:val="20"/>
          <w:szCs w:val="20"/>
        </w:rPr>
        <w:t xml:space="preserve">eemed necessary in each country; and to Uzbekistan to present final TE report during the regional project </w:t>
      </w:r>
      <w:r w:rsidR="00762AD9">
        <w:rPr>
          <w:rFonts w:ascii="Calibri" w:eastAsia="Times New Roman" w:hAnsi="Calibri" w:cs="Times New Roman"/>
          <w:sz w:val="20"/>
          <w:szCs w:val="20"/>
        </w:rPr>
        <w:t>closure meeting in May-June 2018</w:t>
      </w:r>
      <w:r w:rsidR="00EC5A05">
        <w:rPr>
          <w:rFonts w:ascii="Calibri" w:eastAsia="Times New Roman" w:hAnsi="Calibri" w:cs="Times New Roman"/>
          <w:sz w:val="20"/>
          <w:szCs w:val="20"/>
        </w:rPr>
        <w:t>.</w:t>
      </w:r>
      <w:r w:rsidR="00085CD7">
        <w:rPr>
          <w:rFonts w:ascii="Calibri" w:eastAsia="Times New Roman" w:hAnsi="Calibri" w:cs="Times New Roman"/>
          <w:sz w:val="20"/>
          <w:szCs w:val="20"/>
        </w:rPr>
        <w:t xml:space="preserve"> </w:t>
      </w:r>
      <w:r w:rsidR="00085CD7" w:rsidRPr="00085CD7">
        <w:rPr>
          <w:rFonts w:ascii="Calibri" w:eastAsia="Times New Roman" w:hAnsi="Calibri" w:cs="Times New Roman"/>
          <w:sz w:val="20"/>
          <w:szCs w:val="20"/>
        </w:rPr>
        <w:t>Interviews will be held with the following organization</w:t>
      </w:r>
      <w:r w:rsidR="00600202">
        <w:rPr>
          <w:rFonts w:ascii="Calibri" w:eastAsia="Times New Roman" w:hAnsi="Calibri" w:cs="Times New Roman"/>
          <w:sz w:val="20"/>
          <w:szCs w:val="20"/>
        </w:rPr>
        <w:t xml:space="preserve">s and individuals at a minimum: Ministry of Environments, UNDP Country Offices and project teams of </w:t>
      </w:r>
      <w:r w:rsidR="00600202">
        <w:rPr>
          <w:rFonts w:ascii="Calibri" w:eastAsia="Times New Roman" w:hAnsi="Calibri" w:cs="Times New Roman"/>
          <w:sz w:val="20"/>
          <w:szCs w:val="20"/>
        </w:rPr>
        <w:lastRenderedPageBreak/>
        <w:t>respective project countries (Belarus, Tajikistan, Ukraine and Uzbekistan) and other key stakeholders in the project countries as well as regional project team and MPU/Chemicals team based in UNDP Istanbul Regional Hub.</w:t>
      </w:r>
    </w:p>
    <w:p w14:paraId="12F5EF8F" w14:textId="77777777" w:rsidR="00211948" w:rsidRDefault="00211948" w:rsidP="0090447C">
      <w:pPr>
        <w:spacing w:after="0" w:line="240" w:lineRule="auto"/>
        <w:rPr>
          <w:rFonts w:ascii="Calibri" w:eastAsia="Times New Roman" w:hAnsi="Calibri" w:cs="Times New Roman"/>
          <w:sz w:val="20"/>
          <w:szCs w:val="20"/>
        </w:rPr>
      </w:pPr>
    </w:p>
    <w:p w14:paraId="7FF3F59F" w14:textId="77777777" w:rsidR="00EC5A05" w:rsidRDefault="00EC5A05" w:rsidP="0090447C">
      <w:pPr>
        <w:spacing w:after="0" w:line="240" w:lineRule="auto"/>
        <w:rPr>
          <w:rFonts w:ascii="Calibri" w:eastAsia="Times New Roman" w:hAnsi="Calibri" w:cs="Times New Roman"/>
          <w:sz w:val="20"/>
          <w:szCs w:val="20"/>
        </w:rPr>
      </w:pPr>
    </w:p>
    <w:p w14:paraId="4D22C933" w14:textId="7494D239" w:rsid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w:t>
      </w:r>
      <w:r w:rsidR="00475833">
        <w:rPr>
          <w:rFonts w:ascii="Calibri" w:eastAsia="Times New Roman" w:hAnsi="Calibri" w:cs="Times New Roman"/>
          <w:sz w:val="20"/>
          <w:szCs w:val="20"/>
        </w:rPr>
        <w:t>this evidence-based assessment.</w:t>
      </w:r>
      <w:r w:rsidR="00085CD7" w:rsidRPr="00085CD7">
        <w:rPr>
          <w:rFonts w:ascii="Calibri" w:eastAsia="Times New Roman" w:hAnsi="Calibri" w:cs="Times New Roman"/>
          <w:sz w:val="20"/>
          <w:szCs w:val="20"/>
        </w:rPr>
        <w:t xml:space="preserve"> </w:t>
      </w:r>
      <w:r w:rsidR="00085CD7" w:rsidRPr="00D6638C">
        <w:rPr>
          <w:rFonts w:ascii="Calibri" w:eastAsia="Times New Roman" w:hAnsi="Calibri" w:cs="Times New Roman"/>
          <w:sz w:val="20"/>
          <w:szCs w:val="20"/>
        </w:rPr>
        <w:t xml:space="preserve">A list of documents that the project team will provide to the evaluator for review is included in </w:t>
      </w:r>
      <w:r w:rsidR="00085CD7" w:rsidRPr="00600202">
        <w:rPr>
          <w:rFonts w:ascii="Calibri" w:eastAsia="Times New Roman" w:hAnsi="Calibri" w:cs="Times New Roman"/>
          <w:sz w:val="20"/>
          <w:szCs w:val="20"/>
          <w:shd w:val="clear" w:color="auto" w:fill="FFFFFF"/>
        </w:rPr>
        <w:t xml:space="preserve">Annex </w:t>
      </w:r>
      <w:r w:rsidR="00A77F92">
        <w:rPr>
          <w:rFonts w:ascii="Calibri" w:eastAsia="Times New Roman" w:hAnsi="Calibri" w:cs="Times New Roman"/>
          <w:sz w:val="20"/>
          <w:szCs w:val="20"/>
          <w:shd w:val="clear" w:color="auto" w:fill="FFFFFF"/>
        </w:rPr>
        <w:t>B</w:t>
      </w:r>
      <w:r w:rsidR="00600202">
        <w:rPr>
          <w:rFonts w:ascii="Calibri" w:eastAsia="Times New Roman" w:hAnsi="Calibri" w:cs="Times New Roman"/>
          <w:color w:val="0000FF"/>
          <w:sz w:val="20"/>
          <w:szCs w:val="20"/>
          <w:shd w:val="clear" w:color="auto" w:fill="FFFFFF"/>
        </w:rPr>
        <w:t xml:space="preserve"> </w:t>
      </w:r>
      <w:r w:rsidR="00085CD7" w:rsidRPr="00600202">
        <w:rPr>
          <w:rFonts w:ascii="Calibri" w:eastAsia="Times New Roman" w:hAnsi="Calibri" w:cs="Times New Roman"/>
          <w:sz w:val="20"/>
          <w:szCs w:val="20"/>
        </w:rPr>
        <w:t>of</w:t>
      </w:r>
      <w:r w:rsidR="00085CD7" w:rsidRPr="00D6638C">
        <w:rPr>
          <w:rFonts w:ascii="Calibri" w:eastAsia="Times New Roman" w:hAnsi="Calibri" w:cs="Times New Roman"/>
          <w:sz w:val="20"/>
          <w:szCs w:val="20"/>
        </w:rPr>
        <w:t xml:space="preserve"> this Terms of Reference.</w:t>
      </w:r>
    </w:p>
    <w:p w14:paraId="4A8D8DDB" w14:textId="77777777" w:rsidR="00211948" w:rsidRDefault="00211948" w:rsidP="0090447C">
      <w:pPr>
        <w:pStyle w:val="Heading51"/>
        <w:spacing w:before="0" w:line="240" w:lineRule="auto"/>
      </w:pPr>
      <w:bookmarkStart w:id="7" w:name="_Toc321341551"/>
    </w:p>
    <w:p w14:paraId="3387ECB7" w14:textId="77777777" w:rsidR="00D6638C" w:rsidRPr="00D6638C" w:rsidRDefault="00D6638C" w:rsidP="0090447C">
      <w:pPr>
        <w:pStyle w:val="Heading51"/>
        <w:spacing w:before="0" w:line="240" w:lineRule="auto"/>
      </w:pPr>
      <w:r w:rsidRPr="00D6638C">
        <w:t>Evaluation Criteria &amp; Ratings</w:t>
      </w:r>
      <w:bookmarkEnd w:id="7"/>
    </w:p>
    <w:p w14:paraId="00910060" w14:textId="77777777" w:rsidR="00211948" w:rsidRDefault="00211948" w:rsidP="0090447C">
      <w:pPr>
        <w:autoSpaceDE w:val="0"/>
        <w:autoSpaceDN w:val="0"/>
        <w:adjustRightInd w:val="0"/>
        <w:spacing w:after="0" w:line="240" w:lineRule="auto"/>
        <w:rPr>
          <w:rFonts w:ascii="Calibri" w:eastAsia="Times New Roman" w:hAnsi="Calibri" w:cs="Times New Roman"/>
          <w:sz w:val="20"/>
          <w:szCs w:val="20"/>
        </w:rPr>
      </w:pPr>
    </w:p>
    <w:p w14:paraId="55C818D3" w14:textId="0B4F5879" w:rsidR="00D6638C" w:rsidRPr="00D6638C" w:rsidRDefault="00D6638C" w:rsidP="0090447C">
      <w:pPr>
        <w:autoSpaceDE w:val="0"/>
        <w:autoSpaceDN w:val="0"/>
        <w:adjustRightInd w:val="0"/>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00475833">
        <w:rPr>
          <w:rFonts w:ascii="Calibri" w:eastAsia="Times New Roman" w:hAnsi="Calibri" w:cs="Times New Roman"/>
          <w:sz w:val="20"/>
          <w:szCs w:val="20"/>
        </w:rPr>
        <w:t>(see</w:t>
      </w:r>
      <w:r w:rsidRPr="00475833">
        <w:rPr>
          <w:rFonts w:ascii="Calibri" w:eastAsia="Times New Roman" w:hAnsi="Calibri" w:cs="Times New Roman"/>
          <w:color w:val="0000FF"/>
          <w:sz w:val="20"/>
          <w:szCs w:val="20"/>
        </w:rPr>
        <w:t xml:space="preserve"> </w:t>
      </w:r>
      <w:r w:rsidR="00A77F92">
        <w:rPr>
          <w:rFonts w:ascii="Calibri" w:eastAsia="Times New Roman" w:hAnsi="Calibri" w:cs="Times New Roman"/>
          <w:sz w:val="20"/>
          <w:szCs w:val="20"/>
        </w:rPr>
        <w:t>Annex C</w:t>
      </w:r>
      <w:r w:rsidR="00475833">
        <w:rPr>
          <w:rFonts w:ascii="Calibri" w:eastAsia="Times New Roman" w:hAnsi="Calibri" w:cs="Times New Roman"/>
          <w:sz w:val="20"/>
          <w:szCs w:val="20"/>
        </w:rPr>
        <w:t>),</w:t>
      </w:r>
      <w:r w:rsidRPr="00D6638C">
        <w:rPr>
          <w:rFonts w:ascii="Calibri" w:eastAsia="Times New Roman" w:hAnsi="Calibri" w:cs="Times New Roman"/>
          <w:sz w:val="20"/>
          <w:szCs w:val="20"/>
        </w:rPr>
        <w:t xml:space="preserve">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w:t>
      </w:r>
      <w:r w:rsidRPr="00475833">
        <w:rPr>
          <w:rFonts w:ascii="Calibri" w:eastAsia="Times New Roman" w:hAnsi="Calibri" w:cs="Times New Roman"/>
          <w:sz w:val="20"/>
          <w:szCs w:val="20"/>
        </w:rPr>
        <w:t xml:space="preserve">in </w:t>
      </w:r>
      <w:r w:rsidR="00A77F92">
        <w:rPr>
          <w:rFonts w:ascii="Calibri" w:eastAsia="Times New Roman" w:hAnsi="Calibri" w:cs="Times New Roman"/>
          <w:sz w:val="20"/>
          <w:szCs w:val="20"/>
        </w:rPr>
        <w:t>Annex D</w:t>
      </w:r>
      <w:r w:rsidRPr="00475833">
        <w:rPr>
          <w:rFonts w:ascii="Calibri" w:eastAsia="Times New Roman" w:hAnsi="Calibri" w:cs="Times New Roman"/>
          <w:sz w:val="20"/>
          <w:szCs w:val="20"/>
        </w:rPr>
        <w:t>.</w:t>
      </w:r>
    </w:p>
    <w:p w14:paraId="786D2819" w14:textId="77777777" w:rsidR="00D6638C" w:rsidRPr="00D6638C" w:rsidRDefault="00D6638C" w:rsidP="0090447C">
      <w:pPr>
        <w:autoSpaceDE w:val="0"/>
        <w:autoSpaceDN w:val="0"/>
        <w:adjustRightInd w:val="0"/>
        <w:spacing w:after="0" w:line="240" w:lineRule="auto"/>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64"/>
        <w:gridCol w:w="4757"/>
        <w:gridCol w:w="722"/>
      </w:tblGrid>
      <w:tr w:rsidR="00D6638C" w:rsidRPr="00D6638C" w14:paraId="67481E56" w14:textId="77777777" w:rsidTr="006C1964">
        <w:trPr>
          <w:trHeight w:val="206"/>
        </w:trPr>
        <w:tc>
          <w:tcPr>
            <w:tcW w:w="5000" w:type="pct"/>
            <w:gridSpan w:val="4"/>
            <w:vAlign w:val="center"/>
          </w:tcPr>
          <w:p w14:paraId="0EA83D66" w14:textId="77777777" w:rsidR="00D6638C" w:rsidRPr="00D6638C" w:rsidRDefault="00D6638C" w:rsidP="0090447C">
            <w:pPr>
              <w:tabs>
                <w:tab w:val="right" w:pos="0"/>
              </w:tabs>
              <w:spacing w:after="0" w:line="240" w:lineRule="auto"/>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5ACD7CE4" w14:textId="77777777" w:rsidTr="006C1964">
        <w:tblPrEx>
          <w:shd w:val="clear" w:color="auto" w:fill="4F81BD"/>
        </w:tblPrEx>
        <w:tc>
          <w:tcPr>
            <w:tcW w:w="1652" w:type="pct"/>
            <w:shd w:val="clear" w:color="auto" w:fill="7F7F7F"/>
          </w:tcPr>
          <w:p w14:paraId="54C0B07E" w14:textId="77777777" w:rsidR="00D6638C" w:rsidRPr="00D6638C" w:rsidRDefault="00D6638C" w:rsidP="0090447C">
            <w:pPr>
              <w:spacing w:after="0" w:line="240" w:lineRule="auto"/>
              <w:rPr>
                <w:rFonts w:ascii="Calibri" w:eastAsia="Times New Roman" w:hAnsi="Calibri" w:cs="Times New Roman"/>
                <w:b/>
                <w:bCs/>
                <w:color w:val="FFFFFF"/>
                <w:sz w:val="20"/>
                <w:szCs w:val="20"/>
              </w:rPr>
            </w:pPr>
            <w:bookmarkStart w:id="8"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7F3FB726" w14:textId="77777777" w:rsidR="00D6638C" w:rsidRPr="00D6638C" w:rsidRDefault="00D045D1" w:rsidP="0090447C">
            <w:pPr>
              <w:spacing w:after="0" w:line="240" w:lineRule="auto"/>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w:t>
            </w:r>
            <w:r w:rsidR="00D6638C" w:rsidRPr="00D6638C">
              <w:rPr>
                <w:rFonts w:ascii="Calibri" w:eastAsia="Times New Roman" w:hAnsi="Calibri" w:cs="Times New Roman"/>
                <w:b/>
                <w:i/>
                <w:color w:val="FFFFFF"/>
                <w:sz w:val="20"/>
                <w:szCs w:val="20"/>
              </w:rPr>
              <w:t>ating</w:t>
            </w:r>
          </w:p>
        </w:tc>
        <w:tc>
          <w:tcPr>
            <w:tcW w:w="2598" w:type="pct"/>
            <w:shd w:val="clear" w:color="auto" w:fill="7F7F7F"/>
          </w:tcPr>
          <w:p w14:paraId="4A6223CA" w14:textId="77777777" w:rsidR="00D6638C" w:rsidRPr="00D6638C" w:rsidRDefault="00D6638C" w:rsidP="0090447C">
            <w:pPr>
              <w:spacing w:after="0" w:line="240" w:lineRule="auto"/>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3203E74F" w14:textId="77777777" w:rsidR="00D6638C" w:rsidRPr="00D6638C" w:rsidRDefault="00D6638C" w:rsidP="0090447C">
            <w:pPr>
              <w:spacing w:after="0" w:line="240" w:lineRule="auto"/>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025C46E7"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83D23B4"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7C8F60F1"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2386F25E"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0B0CBA85"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E089D83"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918C371"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360E9062"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67C5D145"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2AFA43D2"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718420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B8F9CB6"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1F7B97BC"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6378C1D0"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2AB04372"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D3C187E" w14:textId="77777777" w:rsidTr="006C1964">
        <w:tblPrEx>
          <w:shd w:val="clear" w:color="auto" w:fill="4F81BD"/>
        </w:tblPrEx>
        <w:tc>
          <w:tcPr>
            <w:tcW w:w="1652" w:type="pct"/>
            <w:shd w:val="clear" w:color="auto" w:fill="7F7F7F"/>
          </w:tcPr>
          <w:p w14:paraId="08AB0488" w14:textId="77777777" w:rsidR="00D6638C" w:rsidRPr="00D6638C" w:rsidRDefault="00D6638C" w:rsidP="0090447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23D98909" w14:textId="77777777" w:rsidR="00D6638C" w:rsidRPr="00D6638C" w:rsidRDefault="00D045D1" w:rsidP="0090447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w:t>
            </w:r>
            <w:r w:rsidR="00D6638C" w:rsidRPr="00D6638C">
              <w:rPr>
                <w:rFonts w:ascii="Calibri" w:eastAsia="Times New Roman" w:hAnsi="Calibri" w:cs="Calibri"/>
                <w:b/>
                <w:bCs/>
                <w:color w:val="FFFFFF"/>
                <w:sz w:val="20"/>
                <w:szCs w:val="20"/>
              </w:rPr>
              <w:t>ating</w:t>
            </w:r>
          </w:p>
        </w:tc>
        <w:tc>
          <w:tcPr>
            <w:tcW w:w="2598" w:type="pct"/>
            <w:shd w:val="clear" w:color="auto" w:fill="7F7F7F"/>
          </w:tcPr>
          <w:p w14:paraId="6B6AD783" w14:textId="77777777" w:rsidR="00D6638C" w:rsidRPr="00D6638C" w:rsidRDefault="00D6638C" w:rsidP="0090447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7CDAB419" w14:textId="77777777" w:rsidR="00D6638C" w:rsidRPr="00D6638C" w:rsidRDefault="00D6638C" w:rsidP="0090447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7CF7C0A1"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5848BE4"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38F775E2"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08722098"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1D591142"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4C7005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7A5CE68"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3EEC579A"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0BE99766"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1B61DF7A"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27BF24E7"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1660711"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3229E6C0"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0C8629D9"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120011FF"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8BA278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AF76D69"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312D3787"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2EB7FC8D"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14:paraId="63608423"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923F2DB"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88B46B3" w14:textId="77777777" w:rsidR="00D6638C" w:rsidRPr="00D6638C" w:rsidRDefault="00D6638C" w:rsidP="0090447C">
            <w:pPr>
              <w:spacing w:after="0" w:line="240" w:lineRule="auto"/>
              <w:rPr>
                <w:rFonts w:ascii="Calibri" w:eastAsia="Times New Roman" w:hAnsi="Calibri" w:cs="Times New Roman"/>
                <w:sz w:val="20"/>
                <w:szCs w:val="20"/>
              </w:rPr>
            </w:pPr>
          </w:p>
        </w:tc>
        <w:tc>
          <w:tcPr>
            <w:tcW w:w="375" w:type="pct"/>
          </w:tcPr>
          <w:p w14:paraId="42242701" w14:textId="77777777" w:rsidR="00D6638C" w:rsidRPr="00D6638C" w:rsidRDefault="00D6638C" w:rsidP="0090447C">
            <w:pPr>
              <w:spacing w:after="0" w:line="240" w:lineRule="auto"/>
              <w:rPr>
                <w:rFonts w:ascii="Calibri" w:eastAsia="Times New Roman" w:hAnsi="Calibri" w:cs="Times New Roman"/>
                <w:sz w:val="20"/>
                <w:szCs w:val="20"/>
              </w:rPr>
            </w:pPr>
          </w:p>
        </w:tc>
        <w:tc>
          <w:tcPr>
            <w:tcW w:w="2598" w:type="pct"/>
          </w:tcPr>
          <w:p w14:paraId="7FF9335E"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16348D78"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7328B996" w14:textId="77777777" w:rsidR="00211948" w:rsidRDefault="00211948" w:rsidP="0090447C">
      <w:pPr>
        <w:pStyle w:val="Heading51"/>
        <w:spacing w:before="0" w:line="240" w:lineRule="auto"/>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p>
    <w:p w14:paraId="7C649D69" w14:textId="77777777" w:rsidR="00D6638C" w:rsidRPr="00D6638C" w:rsidRDefault="00D6638C" w:rsidP="0090447C">
      <w:pPr>
        <w:pStyle w:val="Heading51"/>
        <w:spacing w:before="0" w:line="240" w:lineRule="auto"/>
      </w:pPr>
      <w:r w:rsidRPr="00D6638C">
        <w:t>Project finance / cofinance</w:t>
      </w:r>
      <w:bookmarkEnd w:id="9"/>
    </w:p>
    <w:p w14:paraId="3AF7B0F8" w14:textId="77777777" w:rsidR="00211948" w:rsidRDefault="00211948" w:rsidP="0090447C">
      <w:pPr>
        <w:spacing w:after="0" w:line="240" w:lineRule="auto"/>
        <w:rPr>
          <w:rFonts w:ascii="Calibri" w:eastAsia="Times New Roman" w:hAnsi="Calibri" w:cs="Times New Roman"/>
          <w:sz w:val="20"/>
          <w:szCs w:val="20"/>
          <w:lang w:val="en-GB"/>
        </w:rPr>
      </w:pPr>
    </w:p>
    <w:p w14:paraId="4B4CDC41" w14:textId="77777777" w:rsidR="00D6638C" w:rsidRDefault="00D6638C" w:rsidP="0090447C">
      <w:pPr>
        <w:spacing w:after="0" w:line="240" w:lineRule="auto"/>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14:paraId="5EAA925D" w14:textId="77777777" w:rsidR="00211948" w:rsidRPr="00D6638C" w:rsidRDefault="00211948" w:rsidP="0090447C">
      <w:pPr>
        <w:spacing w:after="0" w:line="240" w:lineRule="auto"/>
        <w:rPr>
          <w:rFonts w:ascii="Calibri" w:eastAsia="Times New Roman" w:hAnsi="Calibri" w:cs="Times New Roman"/>
          <w:sz w:val="20"/>
          <w:szCs w:val="20"/>
          <w:lang w:val="en-GB"/>
        </w:rPr>
      </w:pPr>
    </w:p>
    <w:tbl>
      <w:tblPr>
        <w:tblpPr w:leftFromText="180" w:rightFromText="180" w:vertAnchor="text" w:horzAnchor="margin" w:tblpY="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876"/>
        <w:gridCol w:w="960"/>
        <w:gridCol w:w="960"/>
        <w:gridCol w:w="961"/>
        <w:gridCol w:w="961"/>
        <w:gridCol w:w="880"/>
        <w:gridCol w:w="1043"/>
        <w:gridCol w:w="959"/>
      </w:tblGrid>
      <w:tr w:rsidR="00D6638C" w:rsidRPr="00D6638C" w14:paraId="7D2481A2" w14:textId="77777777" w:rsidTr="00211948">
        <w:tc>
          <w:tcPr>
            <w:tcW w:w="990" w:type="pct"/>
            <w:vMerge w:val="restart"/>
          </w:tcPr>
          <w:p w14:paraId="50BDD113"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1D0AB732"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939" w:type="pct"/>
            <w:gridSpan w:val="2"/>
          </w:tcPr>
          <w:p w14:paraId="3F22C537"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1024" w:type="pct"/>
            <w:gridSpan w:val="2"/>
          </w:tcPr>
          <w:p w14:paraId="33F4B6D5"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4E16D9C7"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981" w:type="pct"/>
            <w:gridSpan w:val="2"/>
          </w:tcPr>
          <w:p w14:paraId="5DAD7D4F"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63AD2D9E"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1067" w:type="pct"/>
            <w:gridSpan w:val="2"/>
          </w:tcPr>
          <w:p w14:paraId="05BBF226"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164556ED"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14:paraId="364659FF" w14:textId="77777777" w:rsidTr="00211948">
        <w:trPr>
          <w:trHeight w:val="143"/>
        </w:trPr>
        <w:tc>
          <w:tcPr>
            <w:tcW w:w="990" w:type="pct"/>
            <w:vMerge/>
          </w:tcPr>
          <w:p w14:paraId="7C8E2540" w14:textId="77777777" w:rsidR="00D6638C" w:rsidRPr="00D6638C" w:rsidRDefault="00D6638C" w:rsidP="0090447C">
            <w:pPr>
              <w:spacing w:after="0" w:line="240" w:lineRule="auto"/>
              <w:rPr>
                <w:rFonts w:ascii="Calibri" w:eastAsia="Times New Roman" w:hAnsi="Calibri" w:cs="Times New Roman"/>
                <w:sz w:val="20"/>
                <w:szCs w:val="20"/>
              </w:rPr>
            </w:pPr>
          </w:p>
        </w:tc>
        <w:tc>
          <w:tcPr>
            <w:tcW w:w="427" w:type="pct"/>
          </w:tcPr>
          <w:p w14:paraId="7437FCC3"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512" w:type="pct"/>
          </w:tcPr>
          <w:p w14:paraId="22E8B010"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512" w:type="pct"/>
          </w:tcPr>
          <w:p w14:paraId="53B72CF4"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512" w:type="pct"/>
          </w:tcPr>
          <w:p w14:paraId="35446FFF"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512" w:type="pct"/>
          </w:tcPr>
          <w:p w14:paraId="1D895DEF"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469" w:type="pct"/>
          </w:tcPr>
          <w:p w14:paraId="39E55A90"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555" w:type="pct"/>
          </w:tcPr>
          <w:p w14:paraId="2ED01DC1"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512" w:type="pct"/>
          </w:tcPr>
          <w:p w14:paraId="01124DFB"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14:paraId="191AEB1E" w14:textId="77777777" w:rsidTr="00211948">
        <w:tc>
          <w:tcPr>
            <w:tcW w:w="990" w:type="pct"/>
          </w:tcPr>
          <w:p w14:paraId="43F74DE0"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427" w:type="pct"/>
          </w:tcPr>
          <w:p w14:paraId="01735F33"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4217CC51"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26062063"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5415368D"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4CDAAF17" w14:textId="77777777" w:rsidR="00D6638C" w:rsidRPr="00D6638C" w:rsidRDefault="00D6638C" w:rsidP="0090447C">
            <w:pPr>
              <w:spacing w:after="0" w:line="240" w:lineRule="auto"/>
              <w:rPr>
                <w:rFonts w:ascii="Calibri" w:eastAsia="Times New Roman" w:hAnsi="Calibri" w:cs="Times New Roman"/>
                <w:sz w:val="20"/>
                <w:szCs w:val="20"/>
              </w:rPr>
            </w:pPr>
          </w:p>
        </w:tc>
        <w:tc>
          <w:tcPr>
            <w:tcW w:w="469" w:type="pct"/>
          </w:tcPr>
          <w:p w14:paraId="7C7BE676" w14:textId="77777777" w:rsidR="00D6638C" w:rsidRPr="00D6638C" w:rsidRDefault="00D6638C" w:rsidP="0090447C">
            <w:pPr>
              <w:spacing w:after="0" w:line="240" w:lineRule="auto"/>
              <w:rPr>
                <w:rFonts w:ascii="Calibri" w:eastAsia="Times New Roman" w:hAnsi="Calibri" w:cs="Times New Roman"/>
                <w:sz w:val="20"/>
                <w:szCs w:val="20"/>
              </w:rPr>
            </w:pPr>
          </w:p>
        </w:tc>
        <w:tc>
          <w:tcPr>
            <w:tcW w:w="555" w:type="pct"/>
          </w:tcPr>
          <w:p w14:paraId="3845264B"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4FDAD49A" w14:textId="77777777" w:rsidR="00D6638C" w:rsidRPr="00D6638C" w:rsidRDefault="00D6638C" w:rsidP="0090447C">
            <w:pPr>
              <w:spacing w:after="0" w:line="240" w:lineRule="auto"/>
              <w:rPr>
                <w:rFonts w:ascii="Calibri" w:eastAsia="Times New Roman" w:hAnsi="Calibri" w:cs="Times New Roman"/>
                <w:sz w:val="20"/>
                <w:szCs w:val="20"/>
              </w:rPr>
            </w:pPr>
          </w:p>
        </w:tc>
      </w:tr>
      <w:tr w:rsidR="00D6638C" w:rsidRPr="00D6638C" w14:paraId="0B71BCB0" w14:textId="77777777" w:rsidTr="00211948">
        <w:trPr>
          <w:trHeight w:val="332"/>
        </w:trPr>
        <w:tc>
          <w:tcPr>
            <w:tcW w:w="990" w:type="pct"/>
          </w:tcPr>
          <w:p w14:paraId="38BAA934"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427" w:type="pct"/>
          </w:tcPr>
          <w:p w14:paraId="6BF9F86B"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6FBC1A7A"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1E50B308"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18F1055D"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716770E3" w14:textId="77777777" w:rsidR="00D6638C" w:rsidRPr="00D6638C" w:rsidRDefault="00D6638C" w:rsidP="0090447C">
            <w:pPr>
              <w:spacing w:after="0" w:line="240" w:lineRule="auto"/>
              <w:rPr>
                <w:rFonts w:ascii="Calibri" w:eastAsia="Times New Roman" w:hAnsi="Calibri" w:cs="Times New Roman"/>
                <w:sz w:val="20"/>
                <w:szCs w:val="20"/>
              </w:rPr>
            </w:pPr>
          </w:p>
        </w:tc>
        <w:tc>
          <w:tcPr>
            <w:tcW w:w="469" w:type="pct"/>
          </w:tcPr>
          <w:p w14:paraId="2862A5D5" w14:textId="77777777" w:rsidR="00D6638C" w:rsidRPr="00D6638C" w:rsidRDefault="00D6638C" w:rsidP="0090447C">
            <w:pPr>
              <w:spacing w:after="0" w:line="240" w:lineRule="auto"/>
              <w:rPr>
                <w:rFonts w:ascii="Calibri" w:eastAsia="Times New Roman" w:hAnsi="Calibri" w:cs="Times New Roman"/>
                <w:sz w:val="20"/>
                <w:szCs w:val="20"/>
              </w:rPr>
            </w:pPr>
          </w:p>
        </w:tc>
        <w:tc>
          <w:tcPr>
            <w:tcW w:w="555" w:type="pct"/>
          </w:tcPr>
          <w:p w14:paraId="6B80AF79"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42D89FA8" w14:textId="77777777" w:rsidR="00D6638C" w:rsidRPr="00D6638C" w:rsidRDefault="00D6638C" w:rsidP="0090447C">
            <w:pPr>
              <w:spacing w:after="0" w:line="240" w:lineRule="auto"/>
              <w:rPr>
                <w:rFonts w:ascii="Calibri" w:eastAsia="Times New Roman" w:hAnsi="Calibri" w:cs="Times New Roman"/>
                <w:sz w:val="20"/>
                <w:szCs w:val="20"/>
              </w:rPr>
            </w:pPr>
          </w:p>
        </w:tc>
      </w:tr>
      <w:tr w:rsidR="00D6638C" w:rsidRPr="00D6638C" w14:paraId="630B7317" w14:textId="77777777" w:rsidTr="00211948">
        <w:tc>
          <w:tcPr>
            <w:tcW w:w="990" w:type="pct"/>
          </w:tcPr>
          <w:p w14:paraId="25605872"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427" w:type="pct"/>
          </w:tcPr>
          <w:p w14:paraId="7C2DE334"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07724146"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453EC5D0"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14379CEC"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348BD3D7" w14:textId="77777777" w:rsidR="00D6638C" w:rsidRPr="00D6638C" w:rsidRDefault="00D6638C" w:rsidP="0090447C">
            <w:pPr>
              <w:spacing w:after="0" w:line="240" w:lineRule="auto"/>
              <w:rPr>
                <w:rFonts w:ascii="Calibri" w:eastAsia="Times New Roman" w:hAnsi="Calibri" w:cs="Times New Roman"/>
                <w:sz w:val="20"/>
                <w:szCs w:val="20"/>
              </w:rPr>
            </w:pPr>
          </w:p>
        </w:tc>
        <w:tc>
          <w:tcPr>
            <w:tcW w:w="469" w:type="pct"/>
          </w:tcPr>
          <w:p w14:paraId="734AAB3B" w14:textId="77777777" w:rsidR="00D6638C" w:rsidRPr="00D6638C" w:rsidRDefault="00D6638C" w:rsidP="0090447C">
            <w:pPr>
              <w:spacing w:after="0" w:line="240" w:lineRule="auto"/>
              <w:rPr>
                <w:rFonts w:ascii="Calibri" w:eastAsia="Times New Roman" w:hAnsi="Calibri" w:cs="Times New Roman"/>
                <w:sz w:val="20"/>
                <w:szCs w:val="20"/>
              </w:rPr>
            </w:pPr>
          </w:p>
        </w:tc>
        <w:tc>
          <w:tcPr>
            <w:tcW w:w="555" w:type="pct"/>
          </w:tcPr>
          <w:p w14:paraId="1297E541"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6842BAF7" w14:textId="77777777" w:rsidR="00D6638C" w:rsidRPr="00D6638C" w:rsidRDefault="00D6638C" w:rsidP="0090447C">
            <w:pPr>
              <w:spacing w:after="0" w:line="240" w:lineRule="auto"/>
              <w:rPr>
                <w:rFonts w:ascii="Calibri" w:eastAsia="Times New Roman" w:hAnsi="Calibri" w:cs="Times New Roman"/>
                <w:sz w:val="20"/>
                <w:szCs w:val="20"/>
              </w:rPr>
            </w:pPr>
          </w:p>
        </w:tc>
      </w:tr>
      <w:tr w:rsidR="00D6638C" w:rsidRPr="00D6638C" w14:paraId="265EBAC0" w14:textId="77777777" w:rsidTr="00211948">
        <w:tc>
          <w:tcPr>
            <w:tcW w:w="990" w:type="pct"/>
          </w:tcPr>
          <w:p w14:paraId="494B1FA2"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427" w:type="pct"/>
          </w:tcPr>
          <w:p w14:paraId="6209615E"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1CE932FC"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3955AD3D"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26E3BFC6"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0A40D4C4" w14:textId="77777777" w:rsidR="00D6638C" w:rsidRPr="00D6638C" w:rsidRDefault="00D6638C" w:rsidP="0090447C">
            <w:pPr>
              <w:spacing w:after="0" w:line="240" w:lineRule="auto"/>
              <w:rPr>
                <w:rFonts w:ascii="Calibri" w:eastAsia="Times New Roman" w:hAnsi="Calibri" w:cs="Times New Roman"/>
                <w:sz w:val="20"/>
                <w:szCs w:val="20"/>
              </w:rPr>
            </w:pPr>
          </w:p>
        </w:tc>
        <w:tc>
          <w:tcPr>
            <w:tcW w:w="469" w:type="pct"/>
          </w:tcPr>
          <w:p w14:paraId="742F21C4" w14:textId="77777777" w:rsidR="00D6638C" w:rsidRPr="00D6638C" w:rsidRDefault="00D6638C" w:rsidP="0090447C">
            <w:pPr>
              <w:spacing w:after="0" w:line="240" w:lineRule="auto"/>
              <w:rPr>
                <w:rFonts w:ascii="Calibri" w:eastAsia="Times New Roman" w:hAnsi="Calibri" w:cs="Times New Roman"/>
                <w:sz w:val="20"/>
                <w:szCs w:val="20"/>
              </w:rPr>
            </w:pPr>
          </w:p>
        </w:tc>
        <w:tc>
          <w:tcPr>
            <w:tcW w:w="555" w:type="pct"/>
          </w:tcPr>
          <w:p w14:paraId="4F2F4FBE"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65130975" w14:textId="77777777" w:rsidR="00D6638C" w:rsidRPr="00D6638C" w:rsidRDefault="00D6638C" w:rsidP="0090447C">
            <w:pPr>
              <w:spacing w:after="0" w:line="240" w:lineRule="auto"/>
              <w:rPr>
                <w:rFonts w:ascii="Calibri" w:eastAsia="Times New Roman" w:hAnsi="Calibri" w:cs="Times New Roman"/>
                <w:sz w:val="20"/>
                <w:szCs w:val="20"/>
              </w:rPr>
            </w:pPr>
          </w:p>
        </w:tc>
      </w:tr>
      <w:tr w:rsidR="00D6638C" w:rsidRPr="00D6638C" w14:paraId="22FC85A9" w14:textId="77777777" w:rsidTr="00211948">
        <w:trPr>
          <w:trHeight w:val="215"/>
        </w:trPr>
        <w:tc>
          <w:tcPr>
            <w:tcW w:w="990" w:type="pct"/>
          </w:tcPr>
          <w:p w14:paraId="1B2F2B26"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427" w:type="pct"/>
          </w:tcPr>
          <w:p w14:paraId="7B970AA5"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6C8064D5"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14A93A30"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3B2A1230"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5808919B" w14:textId="77777777" w:rsidR="00D6638C" w:rsidRPr="00D6638C" w:rsidRDefault="00D6638C" w:rsidP="0090447C">
            <w:pPr>
              <w:spacing w:after="0" w:line="240" w:lineRule="auto"/>
              <w:rPr>
                <w:rFonts w:ascii="Calibri" w:eastAsia="Times New Roman" w:hAnsi="Calibri" w:cs="Times New Roman"/>
                <w:sz w:val="20"/>
                <w:szCs w:val="20"/>
              </w:rPr>
            </w:pPr>
          </w:p>
        </w:tc>
        <w:tc>
          <w:tcPr>
            <w:tcW w:w="469" w:type="pct"/>
          </w:tcPr>
          <w:p w14:paraId="5BC6BCCD" w14:textId="77777777" w:rsidR="00D6638C" w:rsidRPr="00D6638C" w:rsidRDefault="00D6638C" w:rsidP="0090447C">
            <w:pPr>
              <w:spacing w:after="0" w:line="240" w:lineRule="auto"/>
              <w:rPr>
                <w:rFonts w:ascii="Calibri" w:eastAsia="Times New Roman" w:hAnsi="Calibri" w:cs="Times New Roman"/>
                <w:sz w:val="20"/>
                <w:szCs w:val="20"/>
              </w:rPr>
            </w:pPr>
          </w:p>
        </w:tc>
        <w:tc>
          <w:tcPr>
            <w:tcW w:w="555" w:type="pct"/>
          </w:tcPr>
          <w:p w14:paraId="7245E7FA" w14:textId="77777777" w:rsidR="00D6638C" w:rsidRPr="00D6638C" w:rsidRDefault="00D6638C" w:rsidP="0090447C">
            <w:pPr>
              <w:spacing w:after="0" w:line="240" w:lineRule="auto"/>
              <w:rPr>
                <w:rFonts w:ascii="Calibri" w:eastAsia="Times New Roman" w:hAnsi="Calibri" w:cs="Times New Roman"/>
                <w:sz w:val="20"/>
                <w:szCs w:val="20"/>
              </w:rPr>
            </w:pPr>
          </w:p>
        </w:tc>
        <w:tc>
          <w:tcPr>
            <w:tcW w:w="512" w:type="pct"/>
          </w:tcPr>
          <w:p w14:paraId="7EE1440C" w14:textId="77777777" w:rsidR="00D6638C" w:rsidRPr="00D6638C" w:rsidRDefault="00D6638C" w:rsidP="0090447C">
            <w:pPr>
              <w:spacing w:after="0" w:line="240" w:lineRule="auto"/>
              <w:rPr>
                <w:rFonts w:ascii="Calibri" w:eastAsia="Times New Roman" w:hAnsi="Calibri" w:cs="Times New Roman"/>
                <w:sz w:val="20"/>
                <w:szCs w:val="20"/>
              </w:rPr>
            </w:pPr>
          </w:p>
        </w:tc>
      </w:tr>
    </w:tbl>
    <w:p w14:paraId="4CA05D44" w14:textId="77777777" w:rsidR="00211948" w:rsidRDefault="00211948" w:rsidP="0090447C">
      <w:pPr>
        <w:pStyle w:val="Heading51"/>
        <w:spacing w:before="0" w:line="240" w:lineRule="auto"/>
      </w:pPr>
      <w:bookmarkStart w:id="16" w:name="_Toc321341553"/>
    </w:p>
    <w:p w14:paraId="3F26CE5F" w14:textId="77777777" w:rsidR="00D6638C" w:rsidRPr="00D6638C" w:rsidRDefault="00D6638C" w:rsidP="0090447C">
      <w:pPr>
        <w:pStyle w:val="Heading51"/>
        <w:spacing w:before="0" w:line="240" w:lineRule="auto"/>
      </w:pPr>
      <w:r w:rsidRPr="00D6638C">
        <w:t>Mainstreaming</w:t>
      </w:r>
      <w:bookmarkEnd w:id="10"/>
      <w:bookmarkEnd w:id="16"/>
    </w:p>
    <w:p w14:paraId="4EC7F617" w14:textId="77777777" w:rsidR="00211948" w:rsidRDefault="00211948" w:rsidP="0090447C">
      <w:pPr>
        <w:spacing w:after="0" w:line="240" w:lineRule="auto"/>
        <w:rPr>
          <w:rFonts w:ascii="Calibri" w:eastAsia="Times New Roman" w:hAnsi="Calibri" w:cs="Times New Roman"/>
          <w:sz w:val="20"/>
          <w:szCs w:val="20"/>
        </w:rPr>
      </w:pPr>
    </w:p>
    <w:p w14:paraId="6838B98D"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63335753" w14:textId="77777777" w:rsidR="00211948" w:rsidRDefault="00211948" w:rsidP="0090447C">
      <w:pPr>
        <w:pStyle w:val="Heading51"/>
        <w:spacing w:before="0" w:line="240" w:lineRule="auto"/>
      </w:pPr>
      <w:bookmarkStart w:id="17" w:name="_Toc277677980"/>
      <w:bookmarkStart w:id="18" w:name="_Toc321341554"/>
    </w:p>
    <w:p w14:paraId="43A9E3B8" w14:textId="77777777" w:rsidR="00D6638C" w:rsidRPr="00D6638C" w:rsidRDefault="00D6638C" w:rsidP="0090447C">
      <w:pPr>
        <w:pStyle w:val="Heading51"/>
        <w:spacing w:before="0" w:line="240" w:lineRule="auto"/>
      </w:pPr>
      <w:r w:rsidRPr="00D6638C">
        <w:t>Impact</w:t>
      </w:r>
      <w:bookmarkEnd w:id="17"/>
      <w:bookmarkEnd w:id="18"/>
    </w:p>
    <w:p w14:paraId="6791D824" w14:textId="77777777" w:rsidR="00211948" w:rsidRDefault="00211948" w:rsidP="0090447C">
      <w:pPr>
        <w:spacing w:after="0" w:line="240" w:lineRule="auto"/>
        <w:rPr>
          <w:rFonts w:ascii="Calibri" w:eastAsia="Times New Roman" w:hAnsi="Calibri" w:cs="Times New Roman"/>
          <w:sz w:val="20"/>
          <w:szCs w:val="20"/>
        </w:rPr>
      </w:pPr>
    </w:p>
    <w:p w14:paraId="611DD629"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50ADD11D" w14:textId="77777777" w:rsidR="00211948" w:rsidRDefault="00211948" w:rsidP="0090447C">
      <w:pPr>
        <w:pStyle w:val="Heading51"/>
        <w:spacing w:before="0" w:line="240" w:lineRule="auto"/>
      </w:pPr>
      <w:bookmarkStart w:id="19" w:name="_Toc278193982"/>
      <w:bookmarkStart w:id="20" w:name="_Toc299133042"/>
      <w:bookmarkStart w:id="21" w:name="_Toc321341555"/>
      <w:bookmarkStart w:id="22" w:name="_Toc299126621"/>
      <w:bookmarkEnd w:id="11"/>
      <w:bookmarkEnd w:id="12"/>
      <w:bookmarkEnd w:id="13"/>
      <w:bookmarkEnd w:id="14"/>
      <w:bookmarkEnd w:id="15"/>
    </w:p>
    <w:p w14:paraId="373C26CB" w14:textId="77777777" w:rsidR="001364B8" w:rsidRDefault="001364B8" w:rsidP="0090447C">
      <w:pPr>
        <w:pStyle w:val="Heading51"/>
        <w:spacing w:before="0" w:line="240" w:lineRule="auto"/>
      </w:pPr>
    </w:p>
    <w:p w14:paraId="19A90ABF" w14:textId="77777777" w:rsidR="00D6638C" w:rsidRPr="00D6638C" w:rsidRDefault="00D6638C" w:rsidP="0090447C">
      <w:pPr>
        <w:pStyle w:val="Heading51"/>
        <w:spacing w:before="0" w:line="240" w:lineRule="auto"/>
      </w:pPr>
      <w:r w:rsidRPr="00D6638C">
        <w:t>Conclusions</w:t>
      </w:r>
      <w:bookmarkStart w:id="23" w:name="_Toc277677982"/>
      <w:r w:rsidRPr="00D6638C">
        <w:t>, recommendations &amp; lessons</w:t>
      </w:r>
      <w:bookmarkEnd w:id="19"/>
      <w:bookmarkEnd w:id="20"/>
      <w:bookmarkEnd w:id="21"/>
      <w:bookmarkEnd w:id="23"/>
    </w:p>
    <w:p w14:paraId="050E026E" w14:textId="77777777" w:rsidR="00211948" w:rsidRDefault="00211948" w:rsidP="0090447C">
      <w:pPr>
        <w:spacing w:after="0" w:line="240" w:lineRule="auto"/>
        <w:rPr>
          <w:rFonts w:ascii="Calibri" w:eastAsia="Times New Roman" w:hAnsi="Calibri" w:cs="Times New Roman"/>
          <w:sz w:val="20"/>
          <w:szCs w:val="20"/>
        </w:rPr>
      </w:pPr>
    </w:p>
    <w:p w14:paraId="057FDC8E" w14:textId="77777777" w:rsid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r w:rsidR="00670690">
        <w:rPr>
          <w:rFonts w:ascii="Calibri" w:eastAsia="Times New Roman" w:hAnsi="Calibri" w:cs="Times New Roman"/>
          <w:sz w:val="20"/>
          <w:szCs w:val="20"/>
        </w:rPr>
        <w:t>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w:t>
      </w:r>
      <w:r w:rsidR="00670690" w:rsidRPr="00D6638C">
        <w:rPr>
          <w:rFonts w:ascii="Calibri" w:eastAsia="Times New Roman" w:hAnsi="Calibri" w:cs="Times New Roman"/>
          <w:sz w:val="20"/>
          <w:szCs w:val="20"/>
        </w:rPr>
        <w:t xml:space="preserve">  </w:t>
      </w:r>
    </w:p>
    <w:p w14:paraId="153CD59B" w14:textId="77777777" w:rsidR="00716363" w:rsidRPr="00D6638C" w:rsidRDefault="00716363" w:rsidP="0090447C">
      <w:pPr>
        <w:spacing w:after="0" w:line="240" w:lineRule="auto"/>
        <w:rPr>
          <w:rFonts w:ascii="Calibri" w:eastAsia="Times New Roman" w:hAnsi="Calibri" w:cs="Times New Roman"/>
          <w:sz w:val="20"/>
          <w:szCs w:val="20"/>
        </w:rPr>
      </w:pPr>
    </w:p>
    <w:p w14:paraId="59DB609E" w14:textId="77777777" w:rsidR="00D6638C" w:rsidRPr="00D6638C" w:rsidRDefault="00D6638C" w:rsidP="0090447C">
      <w:pPr>
        <w:pStyle w:val="Heading51"/>
        <w:spacing w:before="0" w:line="240" w:lineRule="auto"/>
      </w:pPr>
      <w:bookmarkStart w:id="24" w:name="_Toc299126625"/>
      <w:bookmarkStart w:id="25" w:name="_Toc299133044"/>
      <w:bookmarkStart w:id="26" w:name="_Toc321341556"/>
      <w:r w:rsidRPr="00D6638C">
        <w:t>Implementation arrangements</w:t>
      </w:r>
      <w:bookmarkEnd w:id="24"/>
      <w:bookmarkEnd w:id="25"/>
      <w:bookmarkEnd w:id="26"/>
    </w:p>
    <w:p w14:paraId="501667E9" w14:textId="77777777" w:rsidR="00211948" w:rsidRDefault="00211948" w:rsidP="0090447C">
      <w:pPr>
        <w:spacing w:after="0" w:line="240" w:lineRule="auto"/>
        <w:rPr>
          <w:rFonts w:ascii="Calibri" w:eastAsia="Times New Roman" w:hAnsi="Calibri" w:cs="Times New Roman"/>
          <w:sz w:val="20"/>
          <w:szCs w:val="20"/>
        </w:rPr>
      </w:pPr>
    </w:p>
    <w:p w14:paraId="069D3FAC" w14:textId="77777777" w:rsidR="00022F8E"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w:t>
      </w:r>
      <w:r w:rsidR="00D045D1">
        <w:rPr>
          <w:rFonts w:ascii="Calibri" w:eastAsia="Times New Roman" w:hAnsi="Calibri" w:cs="Times New Roman"/>
          <w:sz w:val="20"/>
          <w:szCs w:val="20"/>
        </w:rPr>
        <w:t>Istanbul Regional (IRH)</w:t>
      </w:r>
      <w:r w:rsidR="00475833">
        <w:rPr>
          <w:rFonts w:ascii="Calibri" w:eastAsia="Times New Roman" w:hAnsi="Calibri" w:cs="Times New Roman"/>
          <w:sz w:val="20"/>
          <w:szCs w:val="20"/>
        </w:rPr>
        <w:t xml:space="preserve">. </w:t>
      </w:r>
      <w:r w:rsidR="00D045D1">
        <w:rPr>
          <w:rFonts w:ascii="Calibri" w:eastAsia="Times New Roman" w:hAnsi="Calibri" w:cs="Times New Roman"/>
          <w:sz w:val="20"/>
          <w:szCs w:val="20"/>
        </w:rPr>
        <w:t>The UNDP IRH</w:t>
      </w:r>
      <w:r w:rsidRPr="00D6638C">
        <w:rPr>
          <w:rFonts w:ascii="Calibri" w:eastAsia="Times New Roman" w:hAnsi="Calibri" w:cs="Times New Roman"/>
          <w:sz w:val="20"/>
          <w:szCs w:val="20"/>
        </w:rPr>
        <w:t xml:space="preserve"> will contract the evaluators and ensure the timely provision of per diems and</w:t>
      </w:r>
      <w:r w:rsidR="00475833">
        <w:rPr>
          <w:rFonts w:ascii="Calibri" w:eastAsia="Times New Roman" w:hAnsi="Calibri" w:cs="Times New Roman"/>
          <w:sz w:val="20"/>
          <w:szCs w:val="20"/>
        </w:rPr>
        <w:t xml:space="preserve"> travel arrangements within</w:t>
      </w:r>
      <w:r w:rsidR="00D045D1">
        <w:rPr>
          <w:rFonts w:ascii="Calibri" w:eastAsia="Times New Roman" w:hAnsi="Calibri" w:cs="Times New Roman"/>
          <w:sz w:val="20"/>
          <w:szCs w:val="20"/>
        </w:rPr>
        <w:t xml:space="preserve"> countries for the evaluation team. The </w:t>
      </w:r>
      <w:r w:rsidRPr="00D6638C">
        <w:rPr>
          <w:rFonts w:ascii="Calibri" w:eastAsia="Times New Roman" w:hAnsi="Calibri" w:cs="Times New Roman"/>
          <w:sz w:val="20"/>
          <w:szCs w:val="20"/>
        </w:rPr>
        <w:t xml:space="preserve">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14:paraId="59A05DC8" w14:textId="77777777" w:rsidR="00211948" w:rsidRDefault="00211948" w:rsidP="0090447C">
      <w:pPr>
        <w:pStyle w:val="Heading51"/>
        <w:spacing w:before="0" w:line="240" w:lineRule="auto"/>
      </w:pPr>
    </w:p>
    <w:p w14:paraId="783AB99D" w14:textId="77777777" w:rsidR="00D6638C" w:rsidRPr="00D6638C" w:rsidRDefault="00D6638C" w:rsidP="0090447C">
      <w:pPr>
        <w:pStyle w:val="Heading51"/>
        <w:spacing w:before="0" w:line="240" w:lineRule="auto"/>
      </w:pPr>
      <w:r w:rsidRPr="00D6638C">
        <w:t>Evaluation timeframe</w:t>
      </w:r>
      <w:bookmarkEnd w:id="27"/>
      <w:bookmarkEnd w:id="28"/>
      <w:bookmarkEnd w:id="29"/>
      <w:bookmarkEnd w:id="30"/>
    </w:p>
    <w:p w14:paraId="7FEFB4D1" w14:textId="77777777" w:rsidR="00211948" w:rsidRDefault="00211948" w:rsidP="0090447C">
      <w:pPr>
        <w:spacing w:after="0" w:line="240" w:lineRule="auto"/>
        <w:rPr>
          <w:rFonts w:ascii="Calibri" w:eastAsia="Times New Roman" w:hAnsi="Calibri" w:cs="Times New Roman"/>
          <w:sz w:val="20"/>
          <w:szCs w:val="20"/>
        </w:rPr>
      </w:pPr>
    </w:p>
    <w:p w14:paraId="29F8AEA3" w14:textId="77777777" w:rsid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643B3C">
        <w:rPr>
          <w:rFonts w:ascii="Calibri" w:eastAsia="Times New Roman" w:hAnsi="Calibri" w:cs="Times New Roman"/>
          <w:sz w:val="20"/>
          <w:szCs w:val="20"/>
        </w:rPr>
        <w:t>4</w:t>
      </w:r>
      <w:r w:rsidR="008F3E91">
        <w:rPr>
          <w:rFonts w:ascii="Calibri" w:eastAsia="Times New Roman" w:hAnsi="Calibri" w:cs="Times New Roman"/>
          <w:sz w:val="20"/>
          <w:szCs w:val="20"/>
        </w:rPr>
        <w:t>5</w:t>
      </w:r>
      <w:r w:rsidR="001A534D">
        <w:rPr>
          <w:rFonts w:ascii="Calibri" w:eastAsia="Times New Roman" w:hAnsi="Calibri" w:cs="Times New Roman"/>
          <w:i/>
          <w:sz w:val="20"/>
          <w:szCs w:val="20"/>
        </w:rPr>
        <w:t xml:space="preserve"> </w:t>
      </w:r>
      <w:r w:rsidRPr="00D6638C">
        <w:rPr>
          <w:rFonts w:ascii="Calibri" w:eastAsia="Times New Roman" w:hAnsi="Calibri" w:cs="Times New Roman"/>
          <w:sz w:val="20"/>
          <w:szCs w:val="20"/>
        </w:rPr>
        <w:t xml:space="preserve">days according to the following plan: </w:t>
      </w:r>
    </w:p>
    <w:p w14:paraId="44506EAB" w14:textId="77777777" w:rsidR="00211948" w:rsidRPr="00D6638C" w:rsidRDefault="00211948" w:rsidP="0090447C">
      <w:pPr>
        <w:spacing w:after="0" w:line="240" w:lineRule="auto"/>
        <w:rPr>
          <w:rFonts w:ascii="Calibri" w:eastAsia="Times New Roman" w:hAnsi="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3463"/>
        <w:gridCol w:w="3042"/>
      </w:tblGrid>
      <w:tr w:rsidR="00D6638C" w:rsidRPr="00D6638C" w14:paraId="48798248" w14:textId="77777777" w:rsidTr="0096312E">
        <w:trPr>
          <w:trHeight w:val="440"/>
        </w:trPr>
        <w:tc>
          <w:tcPr>
            <w:tcW w:w="2960" w:type="dxa"/>
            <w:shd w:val="clear" w:color="auto" w:fill="7F7F7F"/>
          </w:tcPr>
          <w:p w14:paraId="5CB26C96" w14:textId="77777777" w:rsidR="00D6638C" w:rsidRPr="00D6638C" w:rsidRDefault="00D6638C" w:rsidP="0090447C">
            <w:pPr>
              <w:spacing w:after="0" w:line="240" w:lineRule="auto"/>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63" w:type="dxa"/>
            <w:shd w:val="clear" w:color="auto" w:fill="7F7F7F"/>
          </w:tcPr>
          <w:p w14:paraId="43FCA7DC" w14:textId="33667B47" w:rsidR="00D6638C" w:rsidRPr="00D6638C" w:rsidRDefault="00D6638C" w:rsidP="0090447C">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42" w:type="dxa"/>
            <w:shd w:val="clear" w:color="auto" w:fill="7F7F7F"/>
          </w:tcPr>
          <w:p w14:paraId="4EC075F1" w14:textId="77777777" w:rsidR="00D6638C" w:rsidRPr="00D6638C" w:rsidRDefault="00D6638C" w:rsidP="0090447C">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14:paraId="2532C320" w14:textId="77777777" w:rsidTr="0096312E">
        <w:tc>
          <w:tcPr>
            <w:tcW w:w="2960" w:type="dxa"/>
          </w:tcPr>
          <w:p w14:paraId="7887D4ED" w14:textId="77777777" w:rsidR="00D6638C" w:rsidRPr="00D6638C" w:rsidRDefault="00D6638C" w:rsidP="0090447C">
            <w:pPr>
              <w:spacing w:after="0" w:line="240" w:lineRule="auto"/>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63" w:type="dxa"/>
          </w:tcPr>
          <w:p w14:paraId="0E0080F6" w14:textId="77777777" w:rsidR="00D6638C" w:rsidRPr="00D6638C" w:rsidRDefault="00635958" w:rsidP="0090447C">
            <w:pPr>
              <w:spacing w:after="0" w:line="240" w:lineRule="auto"/>
              <w:rPr>
                <w:rFonts w:ascii="Calibri" w:eastAsia="Times New Roman" w:hAnsi="Calibri" w:cs="Times New Roman"/>
                <w:b/>
                <w:sz w:val="20"/>
                <w:szCs w:val="20"/>
              </w:rPr>
            </w:pPr>
            <w:r>
              <w:rPr>
                <w:rFonts w:ascii="Calibri" w:eastAsia="Times New Roman" w:hAnsi="Calibri" w:cs="Times New Roman"/>
                <w:sz w:val="20"/>
                <w:szCs w:val="20"/>
              </w:rPr>
              <w:t>4</w:t>
            </w:r>
            <w:r w:rsidR="001A534D">
              <w:rPr>
                <w:rFonts w:ascii="Calibri" w:eastAsia="Times New Roman" w:hAnsi="Calibri" w:cs="Times New Roman"/>
                <w:sz w:val="20"/>
                <w:szCs w:val="20"/>
              </w:rPr>
              <w:t xml:space="preserve"> days</w:t>
            </w:r>
          </w:p>
        </w:tc>
        <w:tc>
          <w:tcPr>
            <w:tcW w:w="3042" w:type="dxa"/>
          </w:tcPr>
          <w:p w14:paraId="44601065" w14:textId="53AF67ED" w:rsidR="00D6638C" w:rsidRDefault="00E602E7" w:rsidP="0090447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15 January 2018</w:t>
            </w:r>
          </w:p>
          <w:p w14:paraId="3461C0EB" w14:textId="77777777" w:rsidR="00944ADC" w:rsidRPr="0096312E" w:rsidRDefault="00944ADC" w:rsidP="0090447C">
            <w:pPr>
              <w:spacing w:after="0" w:line="240" w:lineRule="auto"/>
              <w:rPr>
                <w:rFonts w:ascii="Calibri" w:eastAsia="Times New Roman" w:hAnsi="Calibri" w:cs="Times New Roman"/>
                <w:sz w:val="20"/>
                <w:szCs w:val="20"/>
              </w:rPr>
            </w:pPr>
          </w:p>
        </w:tc>
      </w:tr>
      <w:tr w:rsidR="0096312E" w:rsidRPr="00D6638C" w14:paraId="1A8E62AB" w14:textId="77777777" w:rsidTr="0096312E">
        <w:tc>
          <w:tcPr>
            <w:tcW w:w="2960" w:type="dxa"/>
          </w:tcPr>
          <w:p w14:paraId="27746E9B" w14:textId="6D25D771" w:rsidR="0096312E" w:rsidRPr="00D6638C" w:rsidRDefault="0096312E" w:rsidP="0096312E">
            <w:pPr>
              <w:spacing w:after="0" w:line="240" w:lineRule="auto"/>
              <w:rPr>
                <w:rFonts w:ascii="Calibri" w:eastAsia="Times New Roman" w:hAnsi="Calibri" w:cs="Times New Roman"/>
                <w:b/>
                <w:sz w:val="20"/>
                <w:szCs w:val="20"/>
              </w:rPr>
            </w:pPr>
            <w:bookmarkStart w:id="31" w:name="_Hlk495589586"/>
            <w:r w:rsidRPr="00D6638C">
              <w:rPr>
                <w:rFonts w:ascii="Calibri" w:eastAsia="Times New Roman" w:hAnsi="Calibri" w:cs="Times New Roman"/>
                <w:b/>
                <w:sz w:val="20"/>
                <w:szCs w:val="20"/>
              </w:rPr>
              <w:t>Evaluation Mission</w:t>
            </w:r>
            <w:r w:rsidR="00F06155">
              <w:rPr>
                <w:rFonts w:ascii="Calibri" w:eastAsia="Times New Roman" w:hAnsi="Calibri" w:cs="Times New Roman"/>
                <w:b/>
                <w:sz w:val="20"/>
                <w:szCs w:val="20"/>
              </w:rPr>
              <w:t>s</w:t>
            </w:r>
          </w:p>
        </w:tc>
        <w:tc>
          <w:tcPr>
            <w:tcW w:w="3463" w:type="dxa"/>
          </w:tcPr>
          <w:p w14:paraId="38C3EAD4" w14:textId="273D83E2" w:rsidR="0096312E" w:rsidRDefault="00182DAE" w:rsidP="0096312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20</w:t>
            </w:r>
            <w:r w:rsidR="00B30B2F">
              <w:rPr>
                <w:rStyle w:val="FootnoteReference"/>
                <w:rFonts w:ascii="Calibri" w:eastAsia="Times New Roman" w:hAnsi="Calibri" w:cs="Times New Roman"/>
                <w:sz w:val="20"/>
                <w:szCs w:val="20"/>
              </w:rPr>
              <w:footnoteReference w:id="3"/>
            </w:r>
            <w:r w:rsidR="0096312E">
              <w:rPr>
                <w:rFonts w:ascii="Calibri" w:eastAsia="Times New Roman" w:hAnsi="Calibri" w:cs="Times New Roman"/>
                <w:i/>
                <w:sz w:val="20"/>
                <w:szCs w:val="20"/>
              </w:rPr>
              <w:t xml:space="preserve"> </w:t>
            </w:r>
            <w:r w:rsidR="0096312E">
              <w:rPr>
                <w:rFonts w:ascii="Calibri" w:eastAsia="Times New Roman" w:hAnsi="Calibri" w:cs="Times New Roman"/>
                <w:sz w:val="20"/>
                <w:szCs w:val="20"/>
              </w:rPr>
              <w:t>days</w:t>
            </w:r>
            <w:r>
              <w:rPr>
                <w:rFonts w:ascii="Calibri" w:eastAsia="Times New Roman" w:hAnsi="Calibri" w:cs="Times New Roman"/>
                <w:sz w:val="20"/>
                <w:szCs w:val="20"/>
              </w:rPr>
              <w:t xml:space="preserve"> </w:t>
            </w:r>
            <w:r w:rsidR="0096312E">
              <w:rPr>
                <w:rFonts w:ascii="Calibri" w:eastAsia="Times New Roman" w:hAnsi="Calibri" w:cs="Times New Roman"/>
                <w:sz w:val="20"/>
                <w:szCs w:val="20"/>
              </w:rPr>
              <w:t>as follows:</w:t>
            </w:r>
          </w:p>
          <w:p w14:paraId="4F149B89" w14:textId="77777777" w:rsidR="00944ADC" w:rsidRDefault="00944ADC" w:rsidP="0096312E">
            <w:pPr>
              <w:spacing w:after="0" w:line="240" w:lineRule="auto"/>
              <w:rPr>
                <w:rFonts w:ascii="Calibri" w:eastAsia="Times New Roman" w:hAnsi="Calibri" w:cs="Times New Roman"/>
                <w:sz w:val="20"/>
                <w:szCs w:val="20"/>
              </w:rPr>
            </w:pPr>
          </w:p>
          <w:p w14:paraId="649FAC69" w14:textId="2C7ADE18" w:rsidR="0096312E" w:rsidRDefault="00557657" w:rsidP="0096312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4</w:t>
            </w:r>
            <w:r w:rsidR="0096312E">
              <w:rPr>
                <w:rFonts w:ascii="Calibri" w:eastAsia="Times New Roman" w:hAnsi="Calibri" w:cs="Times New Roman"/>
                <w:sz w:val="20"/>
                <w:szCs w:val="20"/>
              </w:rPr>
              <w:t xml:space="preserve"> days mission to each of </w:t>
            </w:r>
            <w:r w:rsidR="00E602E7">
              <w:rPr>
                <w:rFonts w:ascii="Calibri" w:eastAsia="Times New Roman" w:hAnsi="Calibri" w:cs="Times New Roman"/>
                <w:sz w:val="20"/>
                <w:szCs w:val="20"/>
              </w:rPr>
              <w:t>Minsk</w:t>
            </w:r>
            <w:r w:rsidR="0096312E">
              <w:rPr>
                <w:rFonts w:ascii="Calibri" w:eastAsia="Times New Roman" w:hAnsi="Calibri" w:cs="Times New Roman"/>
                <w:sz w:val="20"/>
                <w:szCs w:val="20"/>
              </w:rPr>
              <w:t>-</w:t>
            </w:r>
            <w:r w:rsidR="00E602E7">
              <w:rPr>
                <w:rFonts w:ascii="Calibri" w:eastAsia="Times New Roman" w:hAnsi="Calibri" w:cs="Times New Roman"/>
                <w:sz w:val="20"/>
                <w:szCs w:val="20"/>
              </w:rPr>
              <w:t>Belarus</w:t>
            </w:r>
            <w:r w:rsidR="0096312E">
              <w:rPr>
                <w:rFonts w:ascii="Calibri" w:eastAsia="Times New Roman" w:hAnsi="Calibri" w:cs="Times New Roman"/>
                <w:sz w:val="20"/>
                <w:szCs w:val="20"/>
              </w:rPr>
              <w:t xml:space="preserve"> and </w:t>
            </w:r>
            <w:r w:rsidR="0096312E" w:rsidRPr="00475833">
              <w:rPr>
                <w:rFonts w:ascii="Calibri" w:eastAsia="Times New Roman" w:hAnsi="Calibri" w:cs="Times New Roman"/>
                <w:sz w:val="20"/>
                <w:szCs w:val="20"/>
              </w:rPr>
              <w:t>Tashkent</w:t>
            </w:r>
            <w:r w:rsidR="0096312E">
              <w:rPr>
                <w:rFonts w:ascii="Calibri" w:eastAsia="Times New Roman" w:hAnsi="Calibri" w:cs="Times New Roman"/>
                <w:sz w:val="20"/>
                <w:szCs w:val="20"/>
              </w:rPr>
              <w:t xml:space="preserve">-Uzbekistan </w:t>
            </w:r>
            <w:r w:rsidR="0096312E" w:rsidRPr="00475833">
              <w:rPr>
                <w:rFonts w:ascii="Calibri" w:eastAsia="Times New Roman" w:hAnsi="Calibri" w:cs="Times New Roman"/>
                <w:sz w:val="20"/>
                <w:szCs w:val="20"/>
              </w:rPr>
              <w:t>as primary locations with additional visits to projects sites as d</w:t>
            </w:r>
            <w:r w:rsidR="0096312E">
              <w:rPr>
                <w:rFonts w:ascii="Calibri" w:eastAsia="Times New Roman" w:hAnsi="Calibri" w:cs="Times New Roman"/>
                <w:sz w:val="20"/>
                <w:szCs w:val="20"/>
              </w:rPr>
              <w:t>eemed necessary in each country;</w:t>
            </w:r>
          </w:p>
          <w:p w14:paraId="5CA62996" w14:textId="4FB540D5" w:rsidR="0096312E" w:rsidRDefault="0096312E" w:rsidP="0096312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3 days mission to each of </w:t>
            </w:r>
            <w:r w:rsidR="00E602E7">
              <w:rPr>
                <w:rFonts w:ascii="Calibri" w:eastAsia="Times New Roman" w:hAnsi="Calibri" w:cs="Times New Roman"/>
                <w:sz w:val="20"/>
                <w:szCs w:val="20"/>
              </w:rPr>
              <w:t xml:space="preserve">Kiev-Ukraine and </w:t>
            </w:r>
            <w:r w:rsidRPr="00475833">
              <w:rPr>
                <w:rFonts w:ascii="Calibri" w:eastAsia="Times New Roman" w:hAnsi="Calibri" w:cs="Times New Roman"/>
                <w:sz w:val="20"/>
                <w:szCs w:val="20"/>
              </w:rPr>
              <w:t>Dushanbe</w:t>
            </w:r>
            <w:r w:rsidR="00E602E7">
              <w:rPr>
                <w:rFonts w:ascii="Calibri" w:eastAsia="Times New Roman" w:hAnsi="Calibri" w:cs="Times New Roman"/>
                <w:sz w:val="20"/>
                <w:szCs w:val="20"/>
              </w:rPr>
              <w:t xml:space="preserve">-Tajikistan </w:t>
            </w:r>
            <w:r w:rsidRPr="00475833">
              <w:rPr>
                <w:rFonts w:ascii="Calibri" w:eastAsia="Times New Roman" w:hAnsi="Calibri" w:cs="Times New Roman"/>
                <w:sz w:val="20"/>
                <w:szCs w:val="20"/>
              </w:rPr>
              <w:t xml:space="preserve">as primary </w:t>
            </w:r>
            <w:r w:rsidRPr="00475833">
              <w:rPr>
                <w:rFonts w:ascii="Calibri" w:eastAsia="Times New Roman" w:hAnsi="Calibri" w:cs="Times New Roman"/>
                <w:sz w:val="20"/>
                <w:szCs w:val="20"/>
              </w:rPr>
              <w:lastRenderedPageBreak/>
              <w:t>locations with additional visits to projects sites as d</w:t>
            </w:r>
            <w:r>
              <w:rPr>
                <w:rFonts w:ascii="Calibri" w:eastAsia="Times New Roman" w:hAnsi="Calibri" w:cs="Times New Roman"/>
                <w:sz w:val="20"/>
                <w:szCs w:val="20"/>
              </w:rPr>
              <w:t>eemed necessary in each country;</w:t>
            </w:r>
          </w:p>
          <w:p w14:paraId="6D96397B" w14:textId="42706792" w:rsidR="0096312E" w:rsidRDefault="0096312E" w:rsidP="0096312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2 </w:t>
            </w:r>
            <w:r w:rsidR="00944ADC">
              <w:rPr>
                <w:rFonts w:ascii="Calibri" w:eastAsia="Times New Roman" w:hAnsi="Calibri" w:cs="Times New Roman"/>
                <w:sz w:val="20"/>
                <w:szCs w:val="20"/>
              </w:rPr>
              <w:t>days mission to Istanbul-Turkey.</w:t>
            </w:r>
          </w:p>
          <w:p w14:paraId="6D42268D" w14:textId="7B963909" w:rsidR="00182DAE" w:rsidRDefault="00182DAE" w:rsidP="0096312E">
            <w:pPr>
              <w:spacing w:after="0" w:line="240" w:lineRule="auto"/>
              <w:rPr>
                <w:rFonts w:ascii="Calibri" w:eastAsia="Times New Roman" w:hAnsi="Calibri" w:cs="Times New Roman"/>
                <w:sz w:val="20"/>
                <w:szCs w:val="20"/>
              </w:rPr>
            </w:pPr>
          </w:p>
          <w:p w14:paraId="4D171597" w14:textId="1AB8B012" w:rsidR="00182DAE" w:rsidRDefault="00182DAE" w:rsidP="0096312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4 days for mission reports.</w:t>
            </w:r>
          </w:p>
          <w:p w14:paraId="3728034B" w14:textId="1441E350" w:rsidR="007C1314" w:rsidRPr="001A534D" w:rsidRDefault="007C1314" w:rsidP="0096312E">
            <w:pPr>
              <w:spacing w:after="0" w:line="240" w:lineRule="auto"/>
              <w:rPr>
                <w:rFonts w:ascii="Calibri" w:eastAsia="Times New Roman" w:hAnsi="Calibri" w:cs="Times New Roman"/>
                <w:sz w:val="20"/>
                <w:szCs w:val="20"/>
              </w:rPr>
            </w:pPr>
          </w:p>
        </w:tc>
        <w:tc>
          <w:tcPr>
            <w:tcW w:w="3042" w:type="dxa"/>
          </w:tcPr>
          <w:p w14:paraId="15132565" w14:textId="090E591F" w:rsidR="0096312E" w:rsidRDefault="00E602E7" w:rsidP="0096312E">
            <w:r>
              <w:rPr>
                <w:rFonts w:ascii="Calibri" w:eastAsia="Times New Roman" w:hAnsi="Calibri" w:cs="Times New Roman"/>
                <w:sz w:val="20"/>
                <w:szCs w:val="20"/>
              </w:rPr>
              <w:lastRenderedPageBreak/>
              <w:t>1</w:t>
            </w:r>
            <w:r w:rsidR="00C44071">
              <w:rPr>
                <w:rFonts w:ascii="Calibri" w:eastAsia="Times New Roman" w:hAnsi="Calibri" w:cs="Times New Roman"/>
                <w:sz w:val="20"/>
                <w:szCs w:val="20"/>
              </w:rPr>
              <w:t>2</w:t>
            </w:r>
            <w:r>
              <w:rPr>
                <w:rFonts w:ascii="Calibri" w:eastAsia="Times New Roman" w:hAnsi="Calibri" w:cs="Times New Roman"/>
                <w:sz w:val="20"/>
                <w:szCs w:val="20"/>
              </w:rPr>
              <w:t xml:space="preserve"> March 2018</w:t>
            </w:r>
          </w:p>
        </w:tc>
      </w:tr>
      <w:bookmarkEnd w:id="31"/>
      <w:tr w:rsidR="0096312E" w:rsidRPr="00D6638C" w14:paraId="1093763A" w14:textId="77777777" w:rsidTr="0096312E">
        <w:tc>
          <w:tcPr>
            <w:tcW w:w="2960" w:type="dxa"/>
          </w:tcPr>
          <w:p w14:paraId="636BFED4" w14:textId="77777777" w:rsidR="0096312E" w:rsidRPr="00D6638C" w:rsidRDefault="0096312E" w:rsidP="0096312E">
            <w:pPr>
              <w:spacing w:after="0" w:line="240" w:lineRule="auto"/>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63" w:type="dxa"/>
          </w:tcPr>
          <w:p w14:paraId="411BFA82" w14:textId="4E7E60C5" w:rsidR="0096312E" w:rsidRPr="001A534D" w:rsidRDefault="00182DAE" w:rsidP="0096312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16</w:t>
            </w:r>
            <w:r w:rsidR="0096312E">
              <w:rPr>
                <w:rFonts w:ascii="Calibri" w:eastAsia="Times New Roman" w:hAnsi="Calibri" w:cs="Times New Roman"/>
                <w:sz w:val="20"/>
                <w:szCs w:val="20"/>
              </w:rPr>
              <w:t xml:space="preserve"> </w:t>
            </w:r>
            <w:r w:rsidR="0096312E" w:rsidRPr="00D6638C">
              <w:rPr>
                <w:rFonts w:ascii="Calibri" w:eastAsia="Times New Roman" w:hAnsi="Calibri" w:cs="Times New Roman"/>
                <w:sz w:val="20"/>
                <w:szCs w:val="20"/>
              </w:rPr>
              <w:t>days</w:t>
            </w:r>
          </w:p>
        </w:tc>
        <w:tc>
          <w:tcPr>
            <w:tcW w:w="3042" w:type="dxa"/>
          </w:tcPr>
          <w:p w14:paraId="696631DA" w14:textId="16FDB56E" w:rsidR="0096312E" w:rsidRDefault="00C44071" w:rsidP="0096312E">
            <w:r>
              <w:rPr>
                <w:rFonts w:ascii="Calibri" w:eastAsia="Times New Roman" w:hAnsi="Calibri" w:cs="Times New Roman"/>
                <w:sz w:val="20"/>
                <w:szCs w:val="20"/>
              </w:rPr>
              <w:t>16</w:t>
            </w:r>
            <w:r w:rsidR="00E602E7">
              <w:rPr>
                <w:rFonts w:ascii="Calibri" w:eastAsia="Times New Roman" w:hAnsi="Calibri" w:cs="Times New Roman"/>
                <w:sz w:val="20"/>
                <w:szCs w:val="20"/>
              </w:rPr>
              <w:t xml:space="preserve"> April </w:t>
            </w:r>
            <w:r w:rsidR="0096312E" w:rsidRPr="0009701A">
              <w:rPr>
                <w:rFonts w:ascii="Calibri" w:eastAsia="Times New Roman" w:hAnsi="Calibri" w:cs="Times New Roman"/>
                <w:sz w:val="20"/>
                <w:szCs w:val="20"/>
              </w:rPr>
              <w:t xml:space="preserve">2018 </w:t>
            </w:r>
          </w:p>
        </w:tc>
      </w:tr>
      <w:tr w:rsidR="0096312E" w:rsidRPr="00D6638C" w14:paraId="0DB23E46" w14:textId="77777777" w:rsidTr="0096312E">
        <w:tc>
          <w:tcPr>
            <w:tcW w:w="2960" w:type="dxa"/>
          </w:tcPr>
          <w:p w14:paraId="042B567B" w14:textId="77777777" w:rsidR="0096312E" w:rsidRPr="00D6638C" w:rsidRDefault="0096312E" w:rsidP="0096312E">
            <w:pPr>
              <w:spacing w:after="0" w:line="240" w:lineRule="auto"/>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63" w:type="dxa"/>
          </w:tcPr>
          <w:p w14:paraId="0DA16422" w14:textId="77777777" w:rsidR="0096312E" w:rsidRPr="00D6638C" w:rsidRDefault="00C736F6" w:rsidP="0096312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3</w:t>
            </w:r>
            <w:r w:rsidR="0096312E">
              <w:rPr>
                <w:rFonts w:ascii="Calibri" w:eastAsia="Times New Roman" w:hAnsi="Calibri" w:cs="Times New Roman"/>
                <w:sz w:val="20"/>
                <w:szCs w:val="20"/>
              </w:rPr>
              <w:t xml:space="preserve"> </w:t>
            </w:r>
            <w:r w:rsidR="0096312E" w:rsidRPr="00D6638C">
              <w:rPr>
                <w:rFonts w:ascii="Calibri" w:eastAsia="Times New Roman" w:hAnsi="Calibri" w:cs="Times New Roman"/>
                <w:sz w:val="20"/>
                <w:szCs w:val="20"/>
              </w:rPr>
              <w:t xml:space="preserve">days </w:t>
            </w:r>
          </w:p>
        </w:tc>
        <w:tc>
          <w:tcPr>
            <w:tcW w:w="3042" w:type="dxa"/>
          </w:tcPr>
          <w:p w14:paraId="038B2FB7" w14:textId="04F664AD" w:rsidR="0096312E" w:rsidRDefault="00E602E7" w:rsidP="0096312E">
            <w:r>
              <w:rPr>
                <w:rFonts w:ascii="Calibri" w:eastAsia="Times New Roman" w:hAnsi="Calibri" w:cs="Times New Roman"/>
                <w:sz w:val="20"/>
                <w:szCs w:val="20"/>
              </w:rPr>
              <w:t>30</w:t>
            </w:r>
            <w:r w:rsidR="0096312E" w:rsidRPr="0009701A">
              <w:rPr>
                <w:rFonts w:ascii="Calibri" w:eastAsia="Times New Roman" w:hAnsi="Calibri" w:cs="Times New Roman"/>
                <w:sz w:val="20"/>
                <w:szCs w:val="20"/>
              </w:rPr>
              <w:t xml:space="preserve"> </w:t>
            </w:r>
            <w:r w:rsidR="0096312E">
              <w:rPr>
                <w:rFonts w:ascii="Calibri" w:eastAsia="Times New Roman" w:hAnsi="Calibri" w:cs="Times New Roman"/>
                <w:sz w:val="20"/>
                <w:szCs w:val="20"/>
              </w:rPr>
              <w:t>April</w:t>
            </w:r>
            <w:r w:rsidR="0096312E" w:rsidRPr="0009701A">
              <w:rPr>
                <w:rFonts w:ascii="Calibri" w:eastAsia="Times New Roman" w:hAnsi="Calibri" w:cs="Times New Roman"/>
                <w:sz w:val="20"/>
                <w:szCs w:val="20"/>
              </w:rPr>
              <w:t xml:space="preserve"> 2018 </w:t>
            </w:r>
          </w:p>
        </w:tc>
      </w:tr>
      <w:tr w:rsidR="0096312E" w:rsidRPr="00D6638C" w14:paraId="749B6490" w14:textId="77777777" w:rsidTr="0096312E">
        <w:tc>
          <w:tcPr>
            <w:tcW w:w="2960" w:type="dxa"/>
          </w:tcPr>
          <w:p w14:paraId="0A0BBF27" w14:textId="77777777" w:rsidR="0096312E" w:rsidRPr="00D6638C" w:rsidRDefault="0096312E" w:rsidP="0096312E">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Presentation Mission</w:t>
            </w:r>
          </w:p>
        </w:tc>
        <w:tc>
          <w:tcPr>
            <w:tcW w:w="3463" w:type="dxa"/>
          </w:tcPr>
          <w:p w14:paraId="7FB0E5B9" w14:textId="77777777" w:rsidR="0096312E" w:rsidRDefault="0096312E" w:rsidP="0096312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 days mission to regional project closure meeting in Uzbekistan.</w:t>
            </w:r>
          </w:p>
          <w:p w14:paraId="4069F101" w14:textId="77777777" w:rsidR="00944ADC" w:rsidRDefault="00944ADC" w:rsidP="0096312E">
            <w:pPr>
              <w:spacing w:after="0" w:line="240" w:lineRule="auto"/>
              <w:rPr>
                <w:rFonts w:ascii="Calibri" w:eastAsia="Times New Roman" w:hAnsi="Calibri" w:cs="Times New Roman"/>
                <w:sz w:val="20"/>
                <w:szCs w:val="20"/>
              </w:rPr>
            </w:pPr>
          </w:p>
        </w:tc>
        <w:tc>
          <w:tcPr>
            <w:tcW w:w="3042" w:type="dxa"/>
          </w:tcPr>
          <w:p w14:paraId="3B4F8483" w14:textId="1CF2413E" w:rsidR="0096312E" w:rsidRPr="0009701A" w:rsidRDefault="00944ADC" w:rsidP="0096312E">
            <w:pPr>
              <w:rPr>
                <w:rFonts w:ascii="Calibri" w:eastAsia="Times New Roman" w:hAnsi="Calibri" w:cs="Times New Roman"/>
                <w:sz w:val="20"/>
                <w:szCs w:val="20"/>
              </w:rPr>
            </w:pPr>
            <w:r>
              <w:rPr>
                <w:rFonts w:ascii="Calibri" w:eastAsia="Times New Roman" w:hAnsi="Calibri" w:cs="Times New Roman"/>
                <w:sz w:val="20"/>
                <w:szCs w:val="20"/>
              </w:rPr>
              <w:t>May-June 2018 (exact date to be confirmed</w:t>
            </w:r>
            <w:r w:rsidR="00CC1775">
              <w:rPr>
                <w:rFonts w:ascii="Calibri" w:eastAsia="Times New Roman" w:hAnsi="Calibri" w:cs="Times New Roman"/>
                <w:sz w:val="20"/>
                <w:szCs w:val="20"/>
              </w:rPr>
              <w:t xml:space="preserve"> but not later than 30 June 2018</w:t>
            </w:r>
            <w:r>
              <w:rPr>
                <w:rFonts w:ascii="Calibri" w:eastAsia="Times New Roman" w:hAnsi="Calibri" w:cs="Times New Roman"/>
                <w:sz w:val="20"/>
                <w:szCs w:val="20"/>
              </w:rPr>
              <w:t>)</w:t>
            </w:r>
          </w:p>
        </w:tc>
      </w:tr>
    </w:tbl>
    <w:p w14:paraId="086DD364" w14:textId="19B59E72" w:rsidR="00211948" w:rsidRDefault="00211948" w:rsidP="0090447C">
      <w:pPr>
        <w:pStyle w:val="Heading31"/>
        <w:spacing w:before="0" w:line="240" w:lineRule="auto"/>
      </w:pPr>
      <w:bookmarkStart w:id="32" w:name="_Toc299133045"/>
      <w:bookmarkStart w:id="33" w:name="_Toc321341557"/>
      <w:bookmarkStart w:id="34" w:name="_Toc299126622"/>
      <w:bookmarkStart w:id="35" w:name="_Toc299133048"/>
    </w:p>
    <w:p w14:paraId="7853462B" w14:textId="77777777" w:rsidR="00D6638C" w:rsidRPr="00F05366" w:rsidRDefault="00D6638C" w:rsidP="0090447C">
      <w:pPr>
        <w:pStyle w:val="Heading31"/>
        <w:spacing w:before="0" w:line="240" w:lineRule="auto"/>
      </w:pPr>
      <w:r w:rsidRPr="00F05366">
        <w:t>Evaluation deliverables</w:t>
      </w:r>
      <w:bookmarkEnd w:id="32"/>
      <w:bookmarkEnd w:id="33"/>
    </w:p>
    <w:p w14:paraId="2DB7CB38" w14:textId="77777777" w:rsidR="00211948" w:rsidRDefault="00211948" w:rsidP="0090447C">
      <w:pPr>
        <w:spacing w:after="0" w:line="240" w:lineRule="auto"/>
        <w:rPr>
          <w:rFonts w:ascii="Calibri" w:eastAsia="Times New Roman" w:hAnsi="Calibri" w:cs="Times New Roman"/>
          <w:sz w:val="20"/>
          <w:szCs w:val="20"/>
        </w:rPr>
      </w:pPr>
    </w:p>
    <w:p w14:paraId="7EFBF6E3" w14:textId="7FE8C7EC" w:rsidR="00D6638C" w:rsidRDefault="005908DD" w:rsidP="0090447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The evaluator</w:t>
      </w:r>
      <w:r w:rsidR="00D6638C" w:rsidRPr="00D6638C">
        <w:rPr>
          <w:rFonts w:ascii="Calibri" w:eastAsia="Times New Roman" w:hAnsi="Calibri" w:cs="Times New Roman"/>
          <w:sz w:val="20"/>
          <w:szCs w:val="20"/>
        </w:rPr>
        <w:t xml:space="preserve"> is expected to deliver the following: </w:t>
      </w:r>
    </w:p>
    <w:p w14:paraId="233B509D" w14:textId="77777777" w:rsidR="00211948" w:rsidRPr="00D6638C" w:rsidRDefault="00211948" w:rsidP="0090447C">
      <w:pPr>
        <w:spacing w:after="0" w:line="240" w:lineRule="auto"/>
        <w:rPr>
          <w:rFonts w:ascii="Calibri" w:eastAsia="Times New Roman" w:hAnsi="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317"/>
        <w:gridCol w:w="2579"/>
        <w:gridCol w:w="3027"/>
      </w:tblGrid>
      <w:tr w:rsidR="00D6638C" w:rsidRPr="00D6638C" w14:paraId="78057377" w14:textId="77777777" w:rsidTr="008C7BB8">
        <w:tc>
          <w:tcPr>
            <w:tcW w:w="1542" w:type="dxa"/>
            <w:shd w:val="clear" w:color="auto" w:fill="7F7F7F"/>
          </w:tcPr>
          <w:p w14:paraId="35904B1C" w14:textId="77777777" w:rsidR="00D6638C" w:rsidRPr="00D6638C" w:rsidRDefault="00D6638C" w:rsidP="0090447C">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17" w:type="dxa"/>
            <w:shd w:val="clear" w:color="auto" w:fill="7F7F7F"/>
          </w:tcPr>
          <w:p w14:paraId="7B9E5439" w14:textId="77777777" w:rsidR="00D6638C" w:rsidRPr="00D6638C" w:rsidRDefault="00D6638C" w:rsidP="0090447C">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579" w:type="dxa"/>
            <w:shd w:val="clear" w:color="auto" w:fill="7F7F7F"/>
          </w:tcPr>
          <w:p w14:paraId="041213DC" w14:textId="77777777" w:rsidR="00D6638C" w:rsidRPr="00D6638C" w:rsidRDefault="00D6638C" w:rsidP="0090447C">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27" w:type="dxa"/>
            <w:shd w:val="clear" w:color="auto" w:fill="7F7F7F"/>
          </w:tcPr>
          <w:p w14:paraId="449089DB" w14:textId="77777777" w:rsidR="00D6638C" w:rsidRPr="00D6638C" w:rsidRDefault="00D6638C" w:rsidP="0090447C">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5FF0F2CD" w14:textId="77777777" w:rsidTr="008C7BB8">
        <w:tc>
          <w:tcPr>
            <w:tcW w:w="1542" w:type="dxa"/>
          </w:tcPr>
          <w:p w14:paraId="042BA56E" w14:textId="77777777" w:rsidR="00D6638C" w:rsidRPr="00D6638C" w:rsidRDefault="00D6638C" w:rsidP="0090447C">
            <w:pPr>
              <w:spacing w:after="0" w:line="240" w:lineRule="auto"/>
              <w:rPr>
                <w:rFonts w:ascii="Calibri" w:eastAsia="Times New Roman" w:hAnsi="Calibri" w:cs="Times New Roman"/>
                <w:b/>
                <w:sz w:val="20"/>
                <w:szCs w:val="20"/>
              </w:rPr>
            </w:pPr>
            <w:bookmarkStart w:id="36" w:name="_Hlk495588986"/>
            <w:r w:rsidRPr="00D6638C">
              <w:rPr>
                <w:rFonts w:ascii="Calibri" w:eastAsia="Times New Roman" w:hAnsi="Calibri" w:cs="Times New Roman"/>
                <w:b/>
                <w:sz w:val="20"/>
                <w:szCs w:val="20"/>
              </w:rPr>
              <w:t>Inception Report</w:t>
            </w:r>
          </w:p>
        </w:tc>
        <w:tc>
          <w:tcPr>
            <w:tcW w:w="2317" w:type="dxa"/>
          </w:tcPr>
          <w:p w14:paraId="1976108E"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579" w:type="dxa"/>
          </w:tcPr>
          <w:p w14:paraId="6165D5C6" w14:textId="54B504A6"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No later than 2 weeks</w:t>
            </w:r>
            <w:r w:rsidR="00635958">
              <w:rPr>
                <w:rFonts w:ascii="Calibri" w:eastAsia="Times New Roman" w:hAnsi="Calibri" w:cs="Times New Roman"/>
                <w:sz w:val="20"/>
                <w:szCs w:val="20"/>
              </w:rPr>
              <w:t xml:space="preserve"> before the evaluation missions</w:t>
            </w:r>
            <w:r w:rsidR="003027D6">
              <w:rPr>
                <w:rFonts w:ascii="Calibri" w:eastAsia="Times New Roman" w:hAnsi="Calibri" w:cs="Times New Roman"/>
                <w:sz w:val="20"/>
                <w:szCs w:val="20"/>
              </w:rPr>
              <w:t xml:space="preserve"> (</w:t>
            </w:r>
            <w:r w:rsidR="0034301E">
              <w:rPr>
                <w:rFonts w:ascii="Calibri" w:eastAsia="Times New Roman" w:hAnsi="Calibri" w:cs="Times New Roman"/>
                <w:sz w:val="20"/>
                <w:szCs w:val="20"/>
              </w:rPr>
              <w:t xml:space="preserve">due </w:t>
            </w:r>
            <w:r w:rsidR="003027D6">
              <w:rPr>
                <w:rFonts w:ascii="Calibri" w:eastAsia="Times New Roman" w:hAnsi="Calibri" w:cs="Times New Roman"/>
                <w:sz w:val="20"/>
                <w:szCs w:val="20"/>
              </w:rPr>
              <w:t>date</w:t>
            </w:r>
            <w:r w:rsidR="008C7BB8">
              <w:rPr>
                <w:rFonts w:ascii="Calibri" w:eastAsia="Times New Roman" w:hAnsi="Calibri" w:cs="Times New Roman"/>
                <w:sz w:val="20"/>
                <w:szCs w:val="20"/>
              </w:rPr>
              <w:t xml:space="preserve"> </w:t>
            </w:r>
            <w:r w:rsidR="00606A12">
              <w:rPr>
                <w:rFonts w:ascii="Calibri" w:eastAsia="Times New Roman" w:hAnsi="Calibri" w:cs="Times New Roman"/>
                <w:sz w:val="20"/>
                <w:szCs w:val="20"/>
              </w:rPr>
              <w:t>–</w:t>
            </w:r>
            <w:r w:rsidR="008C7BB8">
              <w:rPr>
                <w:rFonts w:ascii="Calibri" w:eastAsia="Times New Roman" w:hAnsi="Calibri" w:cs="Times New Roman"/>
                <w:sz w:val="20"/>
                <w:szCs w:val="20"/>
              </w:rPr>
              <w:t xml:space="preserve"> </w:t>
            </w:r>
            <w:r w:rsidR="00606A12">
              <w:rPr>
                <w:rFonts w:ascii="Calibri" w:eastAsia="Times New Roman" w:hAnsi="Calibri" w:cs="Times New Roman"/>
                <w:sz w:val="20"/>
                <w:szCs w:val="20"/>
              </w:rPr>
              <w:t>15 January 2018</w:t>
            </w:r>
            <w:r w:rsidR="008C7BB8">
              <w:rPr>
                <w:rFonts w:ascii="Calibri" w:eastAsia="Times New Roman" w:hAnsi="Calibri" w:cs="Times New Roman"/>
                <w:sz w:val="20"/>
                <w:szCs w:val="20"/>
              </w:rPr>
              <w:t>)</w:t>
            </w:r>
          </w:p>
        </w:tc>
        <w:tc>
          <w:tcPr>
            <w:tcW w:w="3027" w:type="dxa"/>
          </w:tcPr>
          <w:p w14:paraId="1AC703FE" w14:textId="77777777" w:rsidR="00D6638C" w:rsidRPr="00D6638C" w:rsidRDefault="00D045D1" w:rsidP="0090447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Evaluator submits to UNDP IRH</w:t>
            </w:r>
          </w:p>
        </w:tc>
      </w:tr>
      <w:tr w:rsidR="005908DD" w:rsidRPr="00D6638C" w14:paraId="1829D2B2" w14:textId="77777777" w:rsidTr="008C7BB8">
        <w:tc>
          <w:tcPr>
            <w:tcW w:w="1542" w:type="dxa"/>
          </w:tcPr>
          <w:p w14:paraId="4E119046" w14:textId="77777777" w:rsidR="005908DD" w:rsidRDefault="005908DD" w:rsidP="0090447C">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Mission Reports</w:t>
            </w:r>
          </w:p>
          <w:p w14:paraId="1B3F5E68" w14:textId="1A3067FA" w:rsidR="007C1314" w:rsidRPr="00D6638C" w:rsidRDefault="007C1314" w:rsidP="0090447C">
            <w:pPr>
              <w:spacing w:after="0" w:line="240" w:lineRule="auto"/>
              <w:rPr>
                <w:rFonts w:ascii="Calibri" w:eastAsia="Times New Roman" w:hAnsi="Calibri" w:cs="Times New Roman"/>
                <w:b/>
                <w:sz w:val="20"/>
                <w:szCs w:val="20"/>
              </w:rPr>
            </w:pPr>
          </w:p>
        </w:tc>
        <w:tc>
          <w:tcPr>
            <w:tcW w:w="2317" w:type="dxa"/>
          </w:tcPr>
          <w:p w14:paraId="69156D4F" w14:textId="372DB785" w:rsidR="005908DD" w:rsidRPr="00D6638C" w:rsidRDefault="007C1314" w:rsidP="0090447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Short summary of TE findings</w:t>
            </w:r>
          </w:p>
        </w:tc>
        <w:tc>
          <w:tcPr>
            <w:tcW w:w="2579" w:type="dxa"/>
          </w:tcPr>
          <w:p w14:paraId="760F4C02" w14:textId="3316166F" w:rsidR="005908DD" w:rsidRPr="00D6638C" w:rsidRDefault="00F06155"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w:t>
            </w:r>
            <w:r>
              <w:rPr>
                <w:rFonts w:ascii="Calibri" w:eastAsia="Times New Roman" w:hAnsi="Calibri" w:cs="Times New Roman"/>
                <w:sz w:val="20"/>
                <w:szCs w:val="20"/>
              </w:rPr>
              <w:t>1 week</w:t>
            </w:r>
            <w:r w:rsidRPr="00D6638C">
              <w:rPr>
                <w:rFonts w:ascii="Calibri" w:eastAsia="Times New Roman" w:hAnsi="Calibri" w:cs="Times New Roman"/>
                <w:sz w:val="20"/>
                <w:szCs w:val="20"/>
              </w:rPr>
              <w:t xml:space="preserve"> </w:t>
            </w:r>
            <w:r>
              <w:rPr>
                <w:rFonts w:ascii="Calibri" w:eastAsia="Times New Roman" w:hAnsi="Calibri" w:cs="Times New Roman"/>
                <w:sz w:val="20"/>
                <w:szCs w:val="20"/>
              </w:rPr>
              <w:t>after the</w:t>
            </w:r>
            <w:r w:rsidRPr="00D6638C">
              <w:rPr>
                <w:rFonts w:ascii="Calibri" w:eastAsia="Times New Roman" w:hAnsi="Calibri" w:cs="Times New Roman"/>
                <w:sz w:val="20"/>
                <w:szCs w:val="20"/>
              </w:rPr>
              <w:t xml:space="preserve"> </w:t>
            </w:r>
            <w:r>
              <w:rPr>
                <w:rFonts w:ascii="Calibri" w:eastAsia="Times New Roman" w:hAnsi="Calibri" w:cs="Times New Roman"/>
                <w:sz w:val="20"/>
                <w:szCs w:val="20"/>
              </w:rPr>
              <w:t xml:space="preserve">completion of </w:t>
            </w:r>
            <w:r w:rsidRPr="00D6638C">
              <w:rPr>
                <w:rFonts w:ascii="Calibri" w:eastAsia="Times New Roman" w:hAnsi="Calibri" w:cs="Times New Roman"/>
                <w:sz w:val="20"/>
                <w:szCs w:val="20"/>
              </w:rPr>
              <w:t>evaluation mission</w:t>
            </w:r>
            <w:r>
              <w:rPr>
                <w:rFonts w:ascii="Calibri" w:eastAsia="Times New Roman" w:hAnsi="Calibri" w:cs="Times New Roman"/>
                <w:sz w:val="20"/>
                <w:szCs w:val="20"/>
              </w:rPr>
              <w:t>s (due date – 1</w:t>
            </w:r>
            <w:r w:rsidR="00C44071">
              <w:rPr>
                <w:rFonts w:ascii="Calibri" w:eastAsia="Times New Roman" w:hAnsi="Calibri" w:cs="Times New Roman"/>
                <w:sz w:val="20"/>
                <w:szCs w:val="20"/>
              </w:rPr>
              <w:t>2</w:t>
            </w:r>
            <w:r>
              <w:rPr>
                <w:rFonts w:ascii="Calibri" w:eastAsia="Times New Roman" w:hAnsi="Calibri" w:cs="Times New Roman"/>
                <w:sz w:val="20"/>
                <w:szCs w:val="20"/>
              </w:rPr>
              <w:t xml:space="preserve"> March 2018)</w:t>
            </w:r>
          </w:p>
        </w:tc>
        <w:tc>
          <w:tcPr>
            <w:tcW w:w="3027" w:type="dxa"/>
          </w:tcPr>
          <w:p w14:paraId="43E3E089" w14:textId="393799AC" w:rsidR="005908DD" w:rsidRDefault="0003457E" w:rsidP="0090447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Evaluator submits to UNDP IRH</w:t>
            </w:r>
          </w:p>
        </w:tc>
      </w:tr>
      <w:tr w:rsidR="00D6638C" w:rsidRPr="00D6638C" w14:paraId="46B55DB9" w14:textId="77777777" w:rsidTr="008C7BB8">
        <w:tc>
          <w:tcPr>
            <w:tcW w:w="1542" w:type="dxa"/>
          </w:tcPr>
          <w:p w14:paraId="399F7FE9" w14:textId="77777777" w:rsidR="00D6638C" w:rsidRPr="00D6638C" w:rsidRDefault="00D6638C" w:rsidP="0090447C">
            <w:pPr>
              <w:spacing w:after="0" w:line="240" w:lineRule="auto"/>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17" w:type="dxa"/>
          </w:tcPr>
          <w:p w14:paraId="36FAD487"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579" w:type="dxa"/>
          </w:tcPr>
          <w:p w14:paraId="4FB81270" w14:textId="38662D5E" w:rsidR="00606A12"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w:t>
            </w:r>
            <w:r w:rsidR="00BD6E43">
              <w:rPr>
                <w:rFonts w:ascii="Calibri" w:eastAsia="Times New Roman" w:hAnsi="Calibri" w:cs="Times New Roman"/>
                <w:sz w:val="20"/>
                <w:szCs w:val="20"/>
              </w:rPr>
              <w:t>4</w:t>
            </w:r>
            <w:r w:rsidRPr="00D6638C">
              <w:rPr>
                <w:rFonts w:ascii="Calibri" w:eastAsia="Times New Roman" w:hAnsi="Calibri" w:cs="Times New Roman"/>
                <w:sz w:val="20"/>
                <w:szCs w:val="20"/>
              </w:rPr>
              <w:t xml:space="preserve"> weeks </w:t>
            </w:r>
            <w:r w:rsidR="008C7BB8">
              <w:rPr>
                <w:rFonts w:ascii="Calibri" w:eastAsia="Times New Roman" w:hAnsi="Calibri" w:cs="Times New Roman"/>
                <w:sz w:val="20"/>
                <w:szCs w:val="20"/>
              </w:rPr>
              <w:t>after the</w:t>
            </w:r>
            <w:r w:rsidRPr="00D6638C">
              <w:rPr>
                <w:rFonts w:ascii="Calibri" w:eastAsia="Times New Roman" w:hAnsi="Calibri" w:cs="Times New Roman"/>
                <w:sz w:val="20"/>
                <w:szCs w:val="20"/>
              </w:rPr>
              <w:t xml:space="preserve"> </w:t>
            </w:r>
            <w:r w:rsidR="008C7BB8">
              <w:rPr>
                <w:rFonts w:ascii="Calibri" w:eastAsia="Times New Roman" w:hAnsi="Calibri" w:cs="Times New Roman"/>
                <w:sz w:val="20"/>
                <w:szCs w:val="20"/>
              </w:rPr>
              <w:t xml:space="preserve">completion of </w:t>
            </w:r>
            <w:r w:rsidRPr="00D6638C">
              <w:rPr>
                <w:rFonts w:ascii="Calibri" w:eastAsia="Times New Roman" w:hAnsi="Calibri" w:cs="Times New Roman"/>
                <w:sz w:val="20"/>
                <w:szCs w:val="20"/>
              </w:rPr>
              <w:t>evaluation mission</w:t>
            </w:r>
            <w:r w:rsidR="008C7BB8">
              <w:rPr>
                <w:rFonts w:ascii="Calibri" w:eastAsia="Times New Roman" w:hAnsi="Calibri" w:cs="Times New Roman"/>
                <w:sz w:val="20"/>
                <w:szCs w:val="20"/>
              </w:rPr>
              <w:t>s (</w:t>
            </w:r>
            <w:r w:rsidR="0034301E">
              <w:rPr>
                <w:rFonts w:ascii="Calibri" w:eastAsia="Times New Roman" w:hAnsi="Calibri" w:cs="Times New Roman"/>
                <w:sz w:val="20"/>
                <w:szCs w:val="20"/>
              </w:rPr>
              <w:t xml:space="preserve">due </w:t>
            </w:r>
            <w:r w:rsidR="003027D6">
              <w:rPr>
                <w:rFonts w:ascii="Calibri" w:eastAsia="Times New Roman" w:hAnsi="Calibri" w:cs="Times New Roman"/>
                <w:sz w:val="20"/>
                <w:szCs w:val="20"/>
              </w:rPr>
              <w:t>date</w:t>
            </w:r>
            <w:r w:rsidR="008C7BB8">
              <w:rPr>
                <w:rFonts w:ascii="Calibri" w:eastAsia="Times New Roman" w:hAnsi="Calibri" w:cs="Times New Roman"/>
                <w:sz w:val="20"/>
                <w:szCs w:val="20"/>
              </w:rPr>
              <w:t xml:space="preserve"> </w:t>
            </w:r>
            <w:r w:rsidR="00C44071">
              <w:rPr>
                <w:rFonts w:ascii="Calibri" w:eastAsia="Times New Roman" w:hAnsi="Calibri" w:cs="Times New Roman"/>
                <w:sz w:val="20"/>
                <w:szCs w:val="20"/>
              </w:rPr>
              <w:t>– 16</w:t>
            </w:r>
            <w:r w:rsidR="00606A12">
              <w:rPr>
                <w:rFonts w:ascii="Calibri" w:eastAsia="Times New Roman" w:hAnsi="Calibri" w:cs="Times New Roman"/>
                <w:sz w:val="20"/>
                <w:szCs w:val="20"/>
              </w:rPr>
              <w:t xml:space="preserve"> April 2018)</w:t>
            </w:r>
          </w:p>
        </w:tc>
        <w:tc>
          <w:tcPr>
            <w:tcW w:w="3027" w:type="dxa"/>
          </w:tcPr>
          <w:p w14:paraId="63A832E5" w14:textId="355BF45C" w:rsidR="00D6638C" w:rsidRPr="00D6638C" w:rsidRDefault="00D045D1" w:rsidP="0090447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Sent to </w:t>
            </w:r>
            <w:r w:rsidR="00CD0ED8">
              <w:rPr>
                <w:rFonts w:ascii="Calibri" w:eastAsia="Times New Roman" w:hAnsi="Calibri" w:cs="Times New Roman"/>
                <w:sz w:val="20"/>
                <w:szCs w:val="20"/>
              </w:rPr>
              <w:t xml:space="preserve">UNDP </w:t>
            </w:r>
            <w:r>
              <w:rPr>
                <w:rFonts w:ascii="Calibri" w:eastAsia="Times New Roman" w:hAnsi="Calibri" w:cs="Times New Roman"/>
                <w:sz w:val="20"/>
                <w:szCs w:val="20"/>
              </w:rPr>
              <w:t>IRH</w:t>
            </w:r>
            <w:r w:rsidR="00635958">
              <w:rPr>
                <w:rFonts w:ascii="Calibri" w:eastAsia="Times New Roman" w:hAnsi="Calibri" w:cs="Times New Roman"/>
                <w:sz w:val="20"/>
                <w:szCs w:val="20"/>
              </w:rPr>
              <w:t>, reviewed by RTA, PCU</w:t>
            </w:r>
          </w:p>
        </w:tc>
      </w:tr>
      <w:tr w:rsidR="00D6638C" w:rsidRPr="00D6638C" w14:paraId="1F73DE8F" w14:textId="77777777" w:rsidTr="008C7BB8">
        <w:tc>
          <w:tcPr>
            <w:tcW w:w="1542" w:type="dxa"/>
          </w:tcPr>
          <w:p w14:paraId="36D95694" w14:textId="77777777" w:rsidR="00D6638C" w:rsidRPr="00D6638C" w:rsidRDefault="00D6638C" w:rsidP="0090447C">
            <w:pPr>
              <w:spacing w:after="0" w:line="240" w:lineRule="auto"/>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17" w:type="dxa"/>
          </w:tcPr>
          <w:p w14:paraId="4ADB3379"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579" w:type="dxa"/>
          </w:tcPr>
          <w:p w14:paraId="56527C47" w14:textId="65DC4DC3" w:rsidR="00D6638C" w:rsidRPr="00D6638C" w:rsidRDefault="008C7BB8" w:rsidP="0090447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Within </w:t>
            </w:r>
            <w:r w:rsidR="00BD6E43">
              <w:rPr>
                <w:rFonts w:ascii="Calibri" w:eastAsia="Times New Roman" w:hAnsi="Calibri" w:cs="Times New Roman"/>
                <w:sz w:val="20"/>
                <w:szCs w:val="20"/>
              </w:rPr>
              <w:t>1</w:t>
            </w:r>
            <w:r w:rsidR="00D6638C" w:rsidRPr="00D6638C">
              <w:rPr>
                <w:rFonts w:ascii="Calibri" w:eastAsia="Times New Roman" w:hAnsi="Calibri" w:cs="Times New Roman"/>
                <w:sz w:val="20"/>
                <w:szCs w:val="20"/>
              </w:rPr>
              <w:t xml:space="preserve"> week of receiving UNDP comments on draft </w:t>
            </w:r>
            <w:r>
              <w:rPr>
                <w:rFonts w:ascii="Calibri" w:eastAsia="Times New Roman" w:hAnsi="Calibri" w:cs="Times New Roman"/>
                <w:sz w:val="20"/>
                <w:szCs w:val="20"/>
              </w:rPr>
              <w:t>(</w:t>
            </w:r>
            <w:r w:rsidR="0034301E">
              <w:rPr>
                <w:rFonts w:ascii="Calibri" w:eastAsia="Times New Roman" w:hAnsi="Calibri" w:cs="Times New Roman"/>
                <w:sz w:val="20"/>
                <w:szCs w:val="20"/>
              </w:rPr>
              <w:t xml:space="preserve">due </w:t>
            </w:r>
            <w:r w:rsidR="003027D6">
              <w:rPr>
                <w:rFonts w:ascii="Calibri" w:eastAsia="Times New Roman" w:hAnsi="Calibri" w:cs="Times New Roman"/>
                <w:sz w:val="20"/>
                <w:szCs w:val="20"/>
              </w:rPr>
              <w:t>date</w:t>
            </w:r>
            <w:r>
              <w:rPr>
                <w:rFonts w:ascii="Calibri" w:eastAsia="Times New Roman" w:hAnsi="Calibri" w:cs="Times New Roman"/>
                <w:sz w:val="20"/>
                <w:szCs w:val="20"/>
              </w:rPr>
              <w:t xml:space="preserve"> </w:t>
            </w:r>
            <w:r w:rsidR="00606A12">
              <w:rPr>
                <w:rFonts w:ascii="Calibri" w:eastAsia="Times New Roman" w:hAnsi="Calibri" w:cs="Times New Roman"/>
                <w:sz w:val="20"/>
                <w:szCs w:val="20"/>
              </w:rPr>
              <w:t>–</w:t>
            </w:r>
            <w:r>
              <w:rPr>
                <w:rFonts w:ascii="Calibri" w:eastAsia="Times New Roman" w:hAnsi="Calibri" w:cs="Times New Roman"/>
                <w:sz w:val="20"/>
                <w:szCs w:val="20"/>
              </w:rPr>
              <w:t xml:space="preserve"> </w:t>
            </w:r>
            <w:r w:rsidR="00606A12">
              <w:rPr>
                <w:rFonts w:ascii="Calibri" w:eastAsia="Times New Roman" w:hAnsi="Calibri" w:cs="Times New Roman"/>
                <w:sz w:val="20"/>
                <w:szCs w:val="20"/>
              </w:rPr>
              <w:t xml:space="preserve">30 </w:t>
            </w:r>
            <w:r>
              <w:rPr>
                <w:rFonts w:ascii="Calibri" w:eastAsia="Times New Roman" w:hAnsi="Calibri" w:cs="Times New Roman"/>
                <w:sz w:val="20"/>
                <w:szCs w:val="20"/>
              </w:rPr>
              <w:t>April 2018)</w:t>
            </w:r>
          </w:p>
        </w:tc>
        <w:tc>
          <w:tcPr>
            <w:tcW w:w="3027" w:type="dxa"/>
          </w:tcPr>
          <w:p w14:paraId="35768909" w14:textId="03564909" w:rsidR="00D6638C" w:rsidRPr="00D6638C" w:rsidRDefault="00D045D1" w:rsidP="0090447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Sent to </w:t>
            </w:r>
            <w:r w:rsidR="00CD0ED8">
              <w:rPr>
                <w:rFonts w:ascii="Calibri" w:eastAsia="Times New Roman" w:hAnsi="Calibri" w:cs="Times New Roman"/>
                <w:sz w:val="20"/>
                <w:szCs w:val="20"/>
              </w:rPr>
              <w:t xml:space="preserve">UNDP </w:t>
            </w:r>
            <w:r>
              <w:rPr>
                <w:rFonts w:ascii="Calibri" w:eastAsia="Times New Roman" w:hAnsi="Calibri" w:cs="Times New Roman"/>
                <w:sz w:val="20"/>
                <w:szCs w:val="20"/>
              </w:rPr>
              <w:t>IRH</w:t>
            </w:r>
            <w:r w:rsidR="00D6638C" w:rsidRPr="00D6638C">
              <w:rPr>
                <w:rFonts w:ascii="Calibri" w:eastAsia="Times New Roman" w:hAnsi="Calibri" w:cs="Times New Roman"/>
                <w:sz w:val="20"/>
                <w:szCs w:val="20"/>
              </w:rPr>
              <w:t xml:space="preserve"> for uploading to UNDP ERC. </w:t>
            </w:r>
          </w:p>
        </w:tc>
      </w:tr>
      <w:tr w:rsidR="00635958" w:rsidRPr="00D6638C" w14:paraId="29EE5813" w14:textId="77777777" w:rsidTr="008C7BB8">
        <w:tc>
          <w:tcPr>
            <w:tcW w:w="1542" w:type="dxa"/>
          </w:tcPr>
          <w:p w14:paraId="3B2DE7F2" w14:textId="77777777" w:rsidR="00635958" w:rsidRDefault="00635958" w:rsidP="0090447C">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Presentation</w:t>
            </w:r>
          </w:p>
          <w:p w14:paraId="6B27FA24" w14:textId="77777777" w:rsidR="00635958" w:rsidRPr="00D6638C" w:rsidRDefault="00635958" w:rsidP="0090447C">
            <w:pPr>
              <w:spacing w:after="0" w:line="240" w:lineRule="auto"/>
              <w:rPr>
                <w:rFonts w:ascii="Calibri" w:eastAsia="Times New Roman" w:hAnsi="Calibri" w:cs="Times New Roman"/>
                <w:b/>
                <w:sz w:val="20"/>
                <w:szCs w:val="20"/>
              </w:rPr>
            </w:pPr>
          </w:p>
        </w:tc>
        <w:tc>
          <w:tcPr>
            <w:tcW w:w="2317" w:type="dxa"/>
          </w:tcPr>
          <w:p w14:paraId="77B41F00" w14:textId="77777777" w:rsidR="00635958" w:rsidRPr="00D6638C" w:rsidRDefault="00635958" w:rsidP="0090447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Presentation of the final TE report during the regional project closure meeting</w:t>
            </w:r>
          </w:p>
        </w:tc>
        <w:tc>
          <w:tcPr>
            <w:tcW w:w="2579" w:type="dxa"/>
          </w:tcPr>
          <w:p w14:paraId="541640CE" w14:textId="34EDB58E" w:rsidR="00635958" w:rsidRPr="00D6638C" w:rsidRDefault="00944ADC" w:rsidP="0090447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May-June 2018</w:t>
            </w:r>
            <w:r w:rsidR="00FB0515">
              <w:rPr>
                <w:rFonts w:ascii="Calibri" w:eastAsia="Times New Roman" w:hAnsi="Calibri" w:cs="Times New Roman"/>
                <w:sz w:val="20"/>
                <w:szCs w:val="20"/>
              </w:rPr>
              <w:t xml:space="preserve"> (exact date to be confirmed</w:t>
            </w:r>
            <w:r w:rsidR="00CC1775">
              <w:rPr>
                <w:rFonts w:ascii="Calibri" w:eastAsia="Times New Roman" w:hAnsi="Calibri" w:cs="Times New Roman"/>
                <w:sz w:val="20"/>
                <w:szCs w:val="20"/>
              </w:rPr>
              <w:t xml:space="preserve"> but not later than 30 June 2018</w:t>
            </w:r>
            <w:r w:rsidR="00FB0515">
              <w:rPr>
                <w:rFonts w:ascii="Calibri" w:eastAsia="Times New Roman" w:hAnsi="Calibri" w:cs="Times New Roman"/>
                <w:sz w:val="20"/>
                <w:szCs w:val="20"/>
              </w:rPr>
              <w:t>)</w:t>
            </w:r>
          </w:p>
        </w:tc>
        <w:tc>
          <w:tcPr>
            <w:tcW w:w="3027" w:type="dxa"/>
          </w:tcPr>
          <w:p w14:paraId="74C0F7C6" w14:textId="77777777" w:rsidR="00635958" w:rsidRDefault="00635958" w:rsidP="0090447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To regional project</w:t>
            </w:r>
            <w:r w:rsidR="00D87162">
              <w:rPr>
                <w:rFonts w:ascii="Calibri" w:eastAsia="Times New Roman" w:hAnsi="Calibri" w:cs="Times New Roman"/>
                <w:sz w:val="20"/>
                <w:szCs w:val="20"/>
              </w:rPr>
              <w:t xml:space="preserve"> meeting participants</w:t>
            </w:r>
          </w:p>
        </w:tc>
      </w:tr>
      <w:bookmarkEnd w:id="36"/>
    </w:tbl>
    <w:p w14:paraId="37B58F2B" w14:textId="77777777" w:rsidR="00A42E2A" w:rsidRDefault="00A42E2A" w:rsidP="0090447C">
      <w:pPr>
        <w:spacing w:after="0" w:line="240" w:lineRule="auto"/>
        <w:jc w:val="both"/>
        <w:rPr>
          <w:rFonts w:ascii="Calibri" w:eastAsia="Times New Roman" w:hAnsi="Calibri" w:cs="Times New Roman"/>
          <w:sz w:val="20"/>
          <w:szCs w:val="20"/>
        </w:rPr>
      </w:pPr>
    </w:p>
    <w:p w14:paraId="4B423C49" w14:textId="77777777" w:rsidR="00D6638C" w:rsidRPr="00D6638C" w:rsidRDefault="00E23201" w:rsidP="0090447C">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p>
    <w:p w14:paraId="470FAA4A" w14:textId="77777777" w:rsidR="00211948" w:rsidRDefault="00211948" w:rsidP="0090447C">
      <w:pPr>
        <w:pStyle w:val="Heading51"/>
        <w:spacing w:before="0" w:line="240" w:lineRule="auto"/>
      </w:pPr>
      <w:bookmarkStart w:id="37" w:name="_Toc321341558"/>
    </w:p>
    <w:bookmarkEnd w:id="37"/>
    <w:p w14:paraId="3F04B6B2" w14:textId="77777777" w:rsidR="00D6638C" w:rsidRPr="00D6638C" w:rsidRDefault="00A42E2A" w:rsidP="0090447C">
      <w:pPr>
        <w:pStyle w:val="Heading51"/>
        <w:spacing w:before="0" w:line="240" w:lineRule="auto"/>
      </w:pPr>
      <w:r>
        <w:t>QUALIFICATIONS</w:t>
      </w:r>
    </w:p>
    <w:p w14:paraId="32E18E07" w14:textId="77777777" w:rsidR="00211948" w:rsidRDefault="00211948" w:rsidP="0090447C">
      <w:pPr>
        <w:spacing w:after="0" w:line="240" w:lineRule="auto"/>
        <w:rPr>
          <w:rFonts w:ascii="Calibri" w:eastAsia="Times New Roman" w:hAnsi="Calibri" w:cs="Times New Roman"/>
          <w:sz w:val="20"/>
          <w:szCs w:val="20"/>
        </w:rPr>
      </w:pPr>
    </w:p>
    <w:p w14:paraId="12126156"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w:t>
      </w:r>
      <w:r w:rsidR="00D045D1">
        <w:rPr>
          <w:rFonts w:ascii="Calibri" w:eastAsia="Times New Roman" w:hAnsi="Calibri" w:cs="Times New Roman"/>
          <w:sz w:val="20"/>
          <w:szCs w:val="20"/>
        </w:rPr>
        <w:t>will be conducted by</w:t>
      </w:r>
      <w:r w:rsidRPr="00D6638C">
        <w:rPr>
          <w:rFonts w:ascii="Calibri" w:eastAsia="Times New Roman" w:hAnsi="Calibri" w:cs="Times New Roman"/>
          <w:sz w:val="20"/>
          <w:szCs w:val="20"/>
        </w:rPr>
        <w:t xml:space="preserve"> </w:t>
      </w:r>
      <w:r w:rsidR="00D045D1">
        <w:rPr>
          <w:rFonts w:ascii="Calibri" w:eastAsia="Times New Roman" w:hAnsi="Calibri" w:cs="Times New Roman"/>
          <w:sz w:val="20"/>
          <w:szCs w:val="20"/>
        </w:rPr>
        <w:t>an</w:t>
      </w:r>
      <w:r w:rsidR="00C25B2C">
        <w:rPr>
          <w:rFonts w:ascii="Calibri" w:eastAsia="Times New Roman" w:hAnsi="Calibri" w:cs="Times New Roman"/>
          <w:sz w:val="20"/>
          <w:szCs w:val="20"/>
        </w:rPr>
        <w:t xml:space="preserve"> independent</w:t>
      </w:r>
      <w:r w:rsidR="00D045D1">
        <w:rPr>
          <w:rFonts w:ascii="Calibri" w:eastAsia="Times New Roman" w:hAnsi="Calibri" w:cs="Times New Roman"/>
          <w:sz w:val="20"/>
          <w:szCs w:val="20"/>
        </w:rPr>
        <w:t xml:space="preserve"> international evaluator. The consultant</w:t>
      </w:r>
      <w:r w:rsidRPr="00D6638C">
        <w:rPr>
          <w:rFonts w:ascii="Calibri" w:eastAsia="Times New Roman" w:hAnsi="Calibri" w:cs="Times New Roman"/>
          <w:sz w:val="20"/>
          <w:szCs w:val="20"/>
        </w:rPr>
        <w:t xml:space="preserve"> shall have prior experience in evaluating similar projects.  Experience with GEF financed projects is an advantage. </w:t>
      </w:r>
      <w:r w:rsidR="0090447C">
        <w:rPr>
          <w:rFonts w:ascii="Calibri" w:eastAsia="Times New Roman" w:hAnsi="Calibri" w:cs="Times New Roman"/>
          <w:sz w:val="20"/>
          <w:szCs w:val="20"/>
        </w:rPr>
        <w:t>The evaluator</w:t>
      </w:r>
      <w:r w:rsidRPr="00D6638C">
        <w:rPr>
          <w:rFonts w:ascii="Calibri" w:eastAsia="Times New Roman" w:hAnsi="Calibri" w:cs="Times New Roman"/>
          <w:sz w:val="20"/>
          <w:szCs w:val="20"/>
        </w:rPr>
        <w:t xml:space="preserve"> selected should not have participated in the project preparation and/or implementation and should not have conflict of interest with project related activities.</w:t>
      </w:r>
    </w:p>
    <w:p w14:paraId="662CDBF5" w14:textId="77777777" w:rsidR="00211948" w:rsidRDefault="00211948" w:rsidP="0090447C">
      <w:pPr>
        <w:spacing w:after="0" w:line="240" w:lineRule="auto"/>
        <w:rPr>
          <w:rFonts w:ascii="Calibri" w:eastAsia="Times New Roman" w:hAnsi="Calibri" w:cs="Times New Roman"/>
          <w:sz w:val="20"/>
          <w:szCs w:val="20"/>
        </w:rPr>
      </w:pPr>
    </w:p>
    <w:p w14:paraId="61FF3D4A"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The </w:t>
      </w:r>
      <w:r w:rsidR="0090447C">
        <w:rPr>
          <w:rFonts w:ascii="Calibri" w:eastAsia="Times New Roman" w:hAnsi="Calibri" w:cs="Times New Roman"/>
          <w:sz w:val="20"/>
          <w:szCs w:val="20"/>
        </w:rPr>
        <w:t>evaluator</w:t>
      </w:r>
      <w:r w:rsidRPr="00D6638C">
        <w:rPr>
          <w:rFonts w:ascii="Calibri" w:eastAsia="Times New Roman" w:hAnsi="Calibri" w:cs="Times New Roman"/>
          <w:sz w:val="20"/>
          <w:szCs w:val="20"/>
        </w:rPr>
        <w:t xml:space="preserve"> must present the following qualifications:</w:t>
      </w:r>
    </w:p>
    <w:p w14:paraId="17DF2051" w14:textId="39FD5693" w:rsidR="0090447C" w:rsidRPr="0090447C" w:rsidRDefault="0090447C" w:rsidP="0090447C">
      <w:pPr>
        <w:numPr>
          <w:ilvl w:val="0"/>
          <w:numId w:val="17"/>
        </w:numPr>
        <w:spacing w:after="0" w:line="240" w:lineRule="auto"/>
        <w:rPr>
          <w:rFonts w:ascii="Calibri" w:eastAsia="Times New Roman" w:hAnsi="Calibri" w:cs="Times New Roman"/>
          <w:sz w:val="20"/>
          <w:szCs w:val="20"/>
        </w:rPr>
      </w:pPr>
      <w:bookmarkStart w:id="38" w:name="_Hlk495590361"/>
      <w:r w:rsidRPr="0090447C">
        <w:rPr>
          <w:rFonts w:ascii="Calibri" w:eastAsia="Times New Roman" w:hAnsi="Calibri" w:cs="Times New Roman"/>
          <w:sz w:val="20"/>
          <w:szCs w:val="20"/>
        </w:rPr>
        <w:t>A Master’s degree in chemistry, physics, engineering, environmental science,</w:t>
      </w:r>
      <w:r>
        <w:rPr>
          <w:rFonts w:ascii="Calibri" w:eastAsia="Times New Roman" w:hAnsi="Calibri" w:cs="Times New Roman"/>
          <w:sz w:val="20"/>
          <w:szCs w:val="20"/>
        </w:rPr>
        <w:t xml:space="preserve"> or other closely related field</w:t>
      </w:r>
      <w:r w:rsidR="00FD6758">
        <w:rPr>
          <w:rFonts w:ascii="Calibri" w:eastAsia="Times New Roman" w:hAnsi="Calibri" w:cs="Times New Roman"/>
          <w:sz w:val="20"/>
          <w:szCs w:val="20"/>
        </w:rPr>
        <w:t xml:space="preserve"> (10</w:t>
      </w:r>
      <w:r w:rsidR="004524DD">
        <w:rPr>
          <w:rFonts w:ascii="Calibri" w:eastAsia="Times New Roman" w:hAnsi="Calibri" w:cs="Times New Roman"/>
          <w:sz w:val="20"/>
          <w:szCs w:val="20"/>
        </w:rPr>
        <w:t>%)</w:t>
      </w:r>
      <w:r w:rsidR="00FD6758">
        <w:rPr>
          <w:rFonts w:ascii="Calibri" w:eastAsia="Times New Roman" w:hAnsi="Calibri" w:cs="Times New Roman"/>
          <w:sz w:val="20"/>
          <w:szCs w:val="20"/>
        </w:rPr>
        <w:t>;</w:t>
      </w:r>
    </w:p>
    <w:p w14:paraId="65E7947F" w14:textId="13D5F551"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sidR="0090447C">
        <w:rPr>
          <w:rFonts w:ascii="Calibri" w:eastAsia="Times New Roman" w:hAnsi="Calibri" w:cs="Times New Roman"/>
          <w:sz w:val="20"/>
          <w:szCs w:val="20"/>
          <w:shd w:val="clear" w:color="auto" w:fill="FFFFFF"/>
        </w:rPr>
        <w:t>5</w:t>
      </w:r>
      <w:r w:rsidRPr="0090447C">
        <w:rPr>
          <w:rFonts w:ascii="Calibri" w:eastAsia="Times New Roman" w:hAnsi="Calibri" w:cs="Times New Roman"/>
          <w:sz w:val="20"/>
          <w:szCs w:val="20"/>
          <w:shd w:val="clear" w:color="auto" w:fill="FFFFFF"/>
        </w:rPr>
        <w:t xml:space="preserve"> </w:t>
      </w:r>
      <w:r w:rsidRPr="00D6638C">
        <w:rPr>
          <w:rFonts w:ascii="Calibri" w:eastAsia="Times New Roman" w:hAnsi="Calibri" w:cs="Times New Roman"/>
          <w:sz w:val="20"/>
          <w:szCs w:val="20"/>
          <w:shd w:val="clear" w:color="auto" w:fill="FFFFFF"/>
        </w:rPr>
        <w:t>years of</w:t>
      </w:r>
      <w:r w:rsidRPr="00D6638C">
        <w:rPr>
          <w:rFonts w:ascii="Calibri" w:eastAsia="Times New Roman" w:hAnsi="Calibri" w:cs="Times New Roman"/>
          <w:sz w:val="20"/>
          <w:szCs w:val="20"/>
        </w:rPr>
        <w:t xml:space="preserve"> relevant professional experience</w:t>
      </w:r>
      <w:r w:rsidR="0090447C">
        <w:rPr>
          <w:rFonts w:ascii="Calibri" w:eastAsia="Times New Roman" w:hAnsi="Calibri" w:cs="Times New Roman"/>
          <w:sz w:val="20"/>
          <w:szCs w:val="20"/>
        </w:rPr>
        <w:t xml:space="preserve"> on Montreal Protocol</w:t>
      </w:r>
      <w:r w:rsidR="00FD6758">
        <w:rPr>
          <w:rFonts w:ascii="Calibri" w:eastAsia="Times New Roman" w:hAnsi="Calibri" w:cs="Times New Roman"/>
          <w:sz w:val="20"/>
          <w:szCs w:val="20"/>
        </w:rPr>
        <w:t xml:space="preserve"> and Ozone Depleting Substances (20</w:t>
      </w:r>
      <w:r w:rsidR="004524DD">
        <w:rPr>
          <w:rFonts w:ascii="Calibri" w:eastAsia="Times New Roman" w:hAnsi="Calibri" w:cs="Times New Roman"/>
          <w:sz w:val="20"/>
          <w:szCs w:val="20"/>
        </w:rPr>
        <w:t>%)</w:t>
      </w:r>
      <w:r w:rsidR="00FD6758">
        <w:rPr>
          <w:rFonts w:ascii="Calibri" w:eastAsia="Times New Roman" w:hAnsi="Calibri" w:cs="Times New Roman"/>
          <w:sz w:val="20"/>
          <w:szCs w:val="20"/>
        </w:rPr>
        <w:t>;</w:t>
      </w:r>
    </w:p>
    <w:p w14:paraId="0038BA83" w14:textId="5C5495CE" w:rsidR="00147F6F" w:rsidRDefault="00147F6F" w:rsidP="00147F6F">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Previous experience with results‐based monitori</w:t>
      </w:r>
      <w:r w:rsidR="00FD6758">
        <w:rPr>
          <w:rFonts w:ascii="Calibri" w:eastAsia="Times New Roman" w:hAnsi="Calibri" w:cs="Times New Roman"/>
          <w:sz w:val="20"/>
          <w:szCs w:val="20"/>
        </w:rPr>
        <w:t>ng and evaluation methodologies (20</w:t>
      </w:r>
      <w:r w:rsidR="004524DD">
        <w:rPr>
          <w:rFonts w:ascii="Calibri" w:eastAsia="Times New Roman" w:hAnsi="Calibri" w:cs="Times New Roman"/>
          <w:sz w:val="20"/>
          <w:szCs w:val="20"/>
        </w:rPr>
        <w:t>%)</w:t>
      </w:r>
      <w:r w:rsidR="00FD6758">
        <w:rPr>
          <w:rFonts w:ascii="Calibri" w:eastAsia="Times New Roman" w:hAnsi="Calibri" w:cs="Times New Roman"/>
          <w:sz w:val="20"/>
          <w:szCs w:val="20"/>
        </w:rPr>
        <w:t>;</w:t>
      </w:r>
    </w:p>
    <w:p w14:paraId="1B57D60F" w14:textId="7119DF10" w:rsidR="0090447C" w:rsidRPr="0090447C" w:rsidRDefault="0090447C" w:rsidP="0090447C">
      <w:pPr>
        <w:numPr>
          <w:ilvl w:val="0"/>
          <w:numId w:val="17"/>
        </w:numPr>
        <w:spacing w:after="0" w:line="240" w:lineRule="auto"/>
        <w:rPr>
          <w:rFonts w:ascii="Calibri" w:eastAsia="Times New Roman" w:hAnsi="Calibri" w:cs="Times New Roman"/>
          <w:sz w:val="20"/>
          <w:szCs w:val="20"/>
        </w:rPr>
      </w:pPr>
      <w:r w:rsidRPr="0090447C">
        <w:rPr>
          <w:rFonts w:ascii="Calibri" w:eastAsia="Times New Roman" w:hAnsi="Calibri" w:cs="Times New Roman"/>
          <w:sz w:val="20"/>
          <w:szCs w:val="20"/>
        </w:rPr>
        <w:t xml:space="preserve">Experience working with the </w:t>
      </w:r>
      <w:r w:rsidR="00147F6F">
        <w:rPr>
          <w:rFonts w:ascii="Calibri" w:eastAsia="Times New Roman" w:hAnsi="Calibri" w:cs="Times New Roman"/>
          <w:sz w:val="20"/>
          <w:szCs w:val="20"/>
        </w:rPr>
        <w:t>U</w:t>
      </w:r>
      <w:r w:rsidR="004E2FB7">
        <w:rPr>
          <w:rFonts w:ascii="Calibri" w:eastAsia="Times New Roman" w:hAnsi="Calibri" w:cs="Times New Roman"/>
          <w:sz w:val="20"/>
          <w:szCs w:val="20"/>
        </w:rPr>
        <w:t>N</w:t>
      </w:r>
      <w:r w:rsidR="00147F6F">
        <w:rPr>
          <w:rFonts w:ascii="Calibri" w:eastAsia="Times New Roman" w:hAnsi="Calibri" w:cs="Times New Roman"/>
          <w:sz w:val="20"/>
          <w:szCs w:val="20"/>
        </w:rPr>
        <w:t xml:space="preserve"> and GEF </w:t>
      </w:r>
      <w:r w:rsidR="00706A3C">
        <w:rPr>
          <w:rFonts w:ascii="Calibri" w:eastAsia="Times New Roman" w:hAnsi="Calibri" w:cs="Times New Roman"/>
          <w:sz w:val="20"/>
          <w:szCs w:val="20"/>
        </w:rPr>
        <w:t>will be c</w:t>
      </w:r>
      <w:r w:rsidR="00FD6758">
        <w:rPr>
          <w:rFonts w:ascii="Calibri" w:eastAsia="Times New Roman" w:hAnsi="Calibri" w:cs="Times New Roman"/>
          <w:sz w:val="20"/>
          <w:szCs w:val="20"/>
        </w:rPr>
        <w:t>onsidered an asset (10</w:t>
      </w:r>
      <w:r w:rsidR="004524DD">
        <w:rPr>
          <w:rFonts w:ascii="Calibri" w:eastAsia="Times New Roman" w:hAnsi="Calibri" w:cs="Times New Roman"/>
          <w:sz w:val="20"/>
          <w:szCs w:val="20"/>
        </w:rPr>
        <w:t>%)</w:t>
      </w:r>
      <w:r w:rsidR="00FD6758">
        <w:rPr>
          <w:rFonts w:ascii="Calibri" w:eastAsia="Times New Roman" w:hAnsi="Calibri" w:cs="Times New Roman"/>
          <w:sz w:val="20"/>
          <w:szCs w:val="20"/>
        </w:rPr>
        <w:t>;</w:t>
      </w:r>
    </w:p>
    <w:p w14:paraId="13BBC636" w14:textId="545E86B9" w:rsidR="0090447C" w:rsidRDefault="0090447C" w:rsidP="0090447C">
      <w:pPr>
        <w:pStyle w:val="ListParagraph"/>
        <w:numPr>
          <w:ilvl w:val="0"/>
          <w:numId w:val="17"/>
        </w:numPr>
        <w:spacing w:before="0" w:after="0" w:line="240" w:lineRule="auto"/>
        <w:rPr>
          <w:rFonts w:ascii="Calibri" w:hAnsi="Calibri" w:cs="Times New Roman"/>
        </w:rPr>
      </w:pPr>
      <w:r w:rsidRPr="0090447C">
        <w:rPr>
          <w:rFonts w:ascii="Calibri" w:hAnsi="Calibri" w:cs="Times New Roman"/>
        </w:rPr>
        <w:t xml:space="preserve">Experience </w:t>
      </w:r>
      <w:r w:rsidR="004524DD">
        <w:rPr>
          <w:rFonts w:ascii="Calibri" w:hAnsi="Calibri" w:cs="Times New Roman"/>
        </w:rPr>
        <w:t>i</w:t>
      </w:r>
      <w:r w:rsidR="00147F6F">
        <w:rPr>
          <w:rFonts w:ascii="Calibri" w:hAnsi="Calibri" w:cs="Times New Roman"/>
        </w:rPr>
        <w:t>n Montreal Protocol implementations</w:t>
      </w:r>
      <w:r w:rsidRPr="0090447C">
        <w:rPr>
          <w:rFonts w:ascii="Calibri" w:hAnsi="Calibri" w:cs="Times New Roman"/>
        </w:rPr>
        <w:t xml:space="preserve"> in the Europe and CIS region of the project will be considered an asset</w:t>
      </w:r>
      <w:r w:rsidR="00FD6758">
        <w:rPr>
          <w:rFonts w:ascii="Calibri" w:hAnsi="Calibri" w:cs="Times New Roman"/>
        </w:rPr>
        <w:t xml:space="preserve"> (5</w:t>
      </w:r>
      <w:r w:rsidR="004524DD">
        <w:rPr>
          <w:rFonts w:ascii="Calibri" w:hAnsi="Calibri" w:cs="Times New Roman"/>
        </w:rPr>
        <w:t>%)</w:t>
      </w:r>
      <w:r w:rsidR="00FD6758">
        <w:rPr>
          <w:rFonts w:ascii="Calibri" w:hAnsi="Calibri" w:cs="Times New Roman"/>
        </w:rPr>
        <w:t>;</w:t>
      </w:r>
    </w:p>
    <w:p w14:paraId="5411F016" w14:textId="28F8CEEB" w:rsidR="00FD6758" w:rsidRDefault="00FD6758" w:rsidP="00FD6758">
      <w:pPr>
        <w:pStyle w:val="ListParagraph"/>
        <w:numPr>
          <w:ilvl w:val="0"/>
          <w:numId w:val="17"/>
        </w:numPr>
        <w:spacing w:before="0" w:after="0" w:line="240" w:lineRule="auto"/>
        <w:rPr>
          <w:rFonts w:ascii="Calibri" w:hAnsi="Calibri" w:cs="Times New Roman"/>
        </w:rPr>
      </w:pPr>
      <w:r w:rsidRPr="00FD6758">
        <w:rPr>
          <w:rFonts w:ascii="Calibri" w:hAnsi="Calibri" w:cs="Times New Roman"/>
        </w:rPr>
        <w:t>Understanding and basic k</w:t>
      </w:r>
      <w:r>
        <w:rPr>
          <w:rFonts w:ascii="Calibri" w:hAnsi="Calibri" w:cs="Times New Roman"/>
        </w:rPr>
        <w:t>nowledge of Russian is an asset (5%);</w:t>
      </w:r>
    </w:p>
    <w:p w14:paraId="6C26E197" w14:textId="072625D0" w:rsidR="00FD6758" w:rsidRDefault="00FD6758" w:rsidP="00FD6758">
      <w:pPr>
        <w:spacing w:after="0" w:line="240" w:lineRule="auto"/>
        <w:rPr>
          <w:rFonts w:ascii="Calibri" w:hAnsi="Calibri" w:cs="Times New Roman"/>
        </w:rPr>
      </w:pPr>
    </w:p>
    <w:p w14:paraId="5D8546AC" w14:textId="3E88792F" w:rsidR="00FD6758" w:rsidRPr="00FD6758" w:rsidRDefault="00FD6758" w:rsidP="00FD6758">
      <w:pPr>
        <w:spacing w:after="0" w:line="240" w:lineRule="auto"/>
        <w:rPr>
          <w:rFonts w:ascii="Calibri" w:hAnsi="Calibri" w:cs="Times New Roman"/>
          <w:sz w:val="20"/>
          <w:szCs w:val="20"/>
        </w:rPr>
      </w:pPr>
      <w:r w:rsidRPr="00FD6758">
        <w:rPr>
          <w:rFonts w:ascii="Calibri" w:hAnsi="Calibri" w:cs="Times New Roman"/>
          <w:sz w:val="20"/>
          <w:szCs w:val="20"/>
        </w:rPr>
        <w:t>The price proposal will weigh as 30% of the total scoring.</w:t>
      </w:r>
    </w:p>
    <w:bookmarkEnd w:id="38"/>
    <w:p w14:paraId="25AFAF6E" w14:textId="77777777" w:rsidR="0090447C" w:rsidRPr="00D6638C" w:rsidRDefault="0090447C" w:rsidP="0090447C">
      <w:pPr>
        <w:spacing w:after="0" w:line="240" w:lineRule="auto"/>
        <w:rPr>
          <w:rFonts w:ascii="Calibri" w:eastAsia="Times New Roman" w:hAnsi="Calibri" w:cs="Times New Roman"/>
          <w:sz w:val="20"/>
          <w:szCs w:val="20"/>
        </w:rPr>
      </w:pPr>
    </w:p>
    <w:p w14:paraId="5FE9D012" w14:textId="77777777" w:rsidR="00D6638C" w:rsidRDefault="00D6638C" w:rsidP="0090447C">
      <w:pPr>
        <w:pStyle w:val="Heading51"/>
        <w:spacing w:before="0" w:line="240" w:lineRule="auto"/>
      </w:pPr>
      <w:bookmarkStart w:id="39" w:name="_Toc278193977"/>
      <w:bookmarkStart w:id="40" w:name="_Toc299122835"/>
      <w:bookmarkStart w:id="41" w:name="_Toc299122857"/>
      <w:bookmarkStart w:id="42" w:name="_Toc299126624"/>
      <w:bookmarkStart w:id="43" w:name="_Toc299133050"/>
      <w:bookmarkStart w:id="44" w:name="_Toc321341559"/>
      <w:r w:rsidRPr="00D6638C">
        <w:t>Evaluator Ethics</w:t>
      </w:r>
      <w:bookmarkEnd w:id="39"/>
      <w:bookmarkEnd w:id="40"/>
      <w:bookmarkEnd w:id="41"/>
      <w:bookmarkEnd w:id="42"/>
      <w:bookmarkEnd w:id="43"/>
      <w:bookmarkEnd w:id="44"/>
    </w:p>
    <w:p w14:paraId="27E03CD3" w14:textId="28CBAB52" w:rsidR="00D6638C" w:rsidRPr="00211948" w:rsidRDefault="00D6638C" w:rsidP="0090447C">
      <w:pPr>
        <w:spacing w:after="0" w:line="240" w:lineRule="auto"/>
        <w:rPr>
          <w:sz w:val="20"/>
          <w:szCs w:val="20"/>
        </w:rPr>
      </w:pPr>
      <w:r w:rsidRPr="00211948">
        <w:rPr>
          <w:sz w:val="20"/>
          <w:szCs w:val="20"/>
        </w:rPr>
        <w:t xml:space="preserve">Evaluation consultants will be held to the highest ethical standards and are required to sign a Code of Conduct </w:t>
      </w:r>
      <w:r w:rsidR="00F05366" w:rsidRPr="00211948">
        <w:rPr>
          <w:sz w:val="20"/>
          <w:szCs w:val="20"/>
        </w:rPr>
        <w:t xml:space="preserve">(Annex </w:t>
      </w:r>
      <w:r w:rsidR="00A77F92">
        <w:rPr>
          <w:sz w:val="20"/>
          <w:szCs w:val="20"/>
        </w:rPr>
        <w:t>E</w:t>
      </w:r>
      <w:r w:rsidR="00F05366" w:rsidRPr="00211948">
        <w:rPr>
          <w:sz w:val="20"/>
          <w:szCs w:val="20"/>
        </w:rPr>
        <w:t>) u</w:t>
      </w:r>
      <w:r w:rsidRPr="00211948">
        <w:rPr>
          <w:sz w:val="20"/>
          <w:szCs w:val="20"/>
        </w:rPr>
        <w:t xml:space="preserve">pon acceptance of the assignment. UNDP evaluations are conducted in accordance with the principles outlined in the </w:t>
      </w:r>
      <w:hyperlink r:id="rId11" w:history="1">
        <w:r w:rsidRPr="00211948">
          <w:rPr>
            <w:rStyle w:val="Hyperlink"/>
            <w:rFonts w:ascii="Calibri" w:eastAsia="Times New Roman" w:hAnsi="Calibri" w:cs="Times New Roman"/>
            <w:sz w:val="20"/>
            <w:szCs w:val="20"/>
          </w:rPr>
          <w:t>UNEG 'Ethical Guidelines for Evaluations'</w:t>
        </w:r>
      </w:hyperlink>
    </w:p>
    <w:p w14:paraId="608A2EE9" w14:textId="77777777" w:rsidR="00211948" w:rsidRPr="00211948" w:rsidRDefault="00211948" w:rsidP="0090447C">
      <w:pPr>
        <w:pStyle w:val="Heading51"/>
        <w:spacing w:before="0" w:line="240" w:lineRule="auto"/>
      </w:pPr>
      <w:bookmarkStart w:id="45" w:name="_Toc299126626"/>
      <w:bookmarkStart w:id="46" w:name="_Toc299133051"/>
      <w:bookmarkStart w:id="47" w:name="_Toc321341560"/>
      <w:bookmarkStart w:id="48" w:name="_Toc299122837"/>
      <w:bookmarkStart w:id="49" w:name="_Toc299122859"/>
      <w:bookmarkStart w:id="50" w:name="_Toc299126627"/>
    </w:p>
    <w:p w14:paraId="30368CB1" w14:textId="77777777" w:rsidR="00D6638C" w:rsidRPr="00211948" w:rsidRDefault="00D6638C" w:rsidP="0090447C">
      <w:pPr>
        <w:pStyle w:val="Heading51"/>
        <w:spacing w:before="0" w:line="240" w:lineRule="auto"/>
      </w:pPr>
      <w:r w:rsidRPr="00211948">
        <w:t>Payment modalities and specifications</w:t>
      </w:r>
      <w:bookmarkEnd w:id="45"/>
      <w:bookmarkEnd w:id="46"/>
      <w:bookmarkEnd w:id="47"/>
      <w:r w:rsidR="00E23201" w:rsidRPr="00211948">
        <w:t xml:space="preserve"> </w:t>
      </w:r>
    </w:p>
    <w:p w14:paraId="37C0394B" w14:textId="77777777" w:rsidR="00211948" w:rsidRDefault="00211948" w:rsidP="0090447C">
      <w:pPr>
        <w:spacing w:after="0" w:line="240" w:lineRule="auto"/>
        <w:rPr>
          <w:sz w:val="20"/>
          <w:szCs w:val="20"/>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D6638C" w14:paraId="6042A099" w14:textId="77777777" w:rsidTr="00211948">
        <w:tc>
          <w:tcPr>
            <w:tcW w:w="1244" w:type="dxa"/>
            <w:shd w:val="clear" w:color="auto" w:fill="7F7F7F"/>
          </w:tcPr>
          <w:p w14:paraId="6462C7AA" w14:textId="77777777" w:rsidR="00D6638C" w:rsidRPr="00D6638C" w:rsidRDefault="00D6638C" w:rsidP="0090447C">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221" w:type="dxa"/>
            <w:shd w:val="clear" w:color="auto" w:fill="7F7F7F"/>
          </w:tcPr>
          <w:p w14:paraId="3C92A14B" w14:textId="77777777" w:rsidR="00D6638C" w:rsidRPr="00D6638C" w:rsidRDefault="00D6638C" w:rsidP="0090447C">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7815A1E4" w14:textId="77777777" w:rsidTr="00211948">
        <w:tc>
          <w:tcPr>
            <w:tcW w:w="1244" w:type="dxa"/>
          </w:tcPr>
          <w:p w14:paraId="7717EC10" w14:textId="77777777" w:rsidR="00D6638C" w:rsidRPr="00E23201" w:rsidRDefault="00EC66C5" w:rsidP="0090447C">
            <w:pPr>
              <w:spacing w:after="0" w:line="240" w:lineRule="auto"/>
              <w:jc w:val="center"/>
              <w:rPr>
                <w:rFonts w:ascii="Calibri" w:eastAsia="Times New Roman" w:hAnsi="Calibri" w:cs="Times New Roman"/>
                <w:i/>
                <w:sz w:val="20"/>
                <w:szCs w:val="20"/>
              </w:rPr>
            </w:pPr>
            <w:bookmarkStart w:id="51" w:name="_Hlk495589895"/>
            <w:r>
              <w:rPr>
                <w:rFonts w:ascii="Calibri" w:eastAsia="Times New Roman" w:hAnsi="Calibri" w:cs="Times New Roman"/>
                <w:i/>
                <w:sz w:val="20"/>
                <w:szCs w:val="20"/>
              </w:rPr>
              <w:t>2</w:t>
            </w:r>
            <w:r w:rsidR="006C3FBA">
              <w:rPr>
                <w:rFonts w:ascii="Calibri" w:eastAsia="Times New Roman" w:hAnsi="Calibri" w:cs="Times New Roman"/>
                <w:i/>
                <w:sz w:val="20"/>
                <w:szCs w:val="20"/>
              </w:rPr>
              <w:t>0</w:t>
            </w:r>
            <w:r w:rsidR="00D6638C" w:rsidRPr="00E23201">
              <w:rPr>
                <w:rFonts w:ascii="Calibri" w:eastAsia="Times New Roman" w:hAnsi="Calibri" w:cs="Times New Roman"/>
                <w:i/>
                <w:sz w:val="20"/>
                <w:szCs w:val="20"/>
              </w:rPr>
              <w:t>%</w:t>
            </w:r>
          </w:p>
        </w:tc>
        <w:tc>
          <w:tcPr>
            <w:tcW w:w="8221" w:type="dxa"/>
          </w:tcPr>
          <w:p w14:paraId="6BC823E3" w14:textId="77777777" w:rsidR="00D6638C" w:rsidRPr="00D6638C" w:rsidRDefault="006C3FBA" w:rsidP="0090447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Following submission of inception report</w:t>
            </w:r>
            <w:r w:rsidR="00C82338">
              <w:rPr>
                <w:rFonts w:ascii="Calibri" w:eastAsia="Times New Roman" w:hAnsi="Calibri" w:cs="Times New Roman"/>
                <w:sz w:val="20"/>
                <w:szCs w:val="20"/>
              </w:rPr>
              <w:t xml:space="preserve"> and mission travel plan</w:t>
            </w:r>
          </w:p>
        </w:tc>
      </w:tr>
      <w:tr w:rsidR="00934662" w:rsidRPr="00D6638C" w14:paraId="5AE60206" w14:textId="77777777" w:rsidTr="00211948">
        <w:tc>
          <w:tcPr>
            <w:tcW w:w="1244" w:type="dxa"/>
          </w:tcPr>
          <w:p w14:paraId="70F08D5A" w14:textId="77777777" w:rsidR="00934662" w:rsidRPr="00E23201" w:rsidRDefault="007C789B" w:rsidP="0090447C">
            <w:pPr>
              <w:spacing w:after="0" w:line="240" w:lineRule="auto"/>
              <w:jc w:val="center"/>
              <w:rPr>
                <w:rFonts w:ascii="Calibri" w:eastAsia="Times New Roman" w:hAnsi="Calibri" w:cs="Times New Roman"/>
                <w:i/>
                <w:sz w:val="20"/>
                <w:szCs w:val="20"/>
              </w:rPr>
            </w:pPr>
            <w:r>
              <w:rPr>
                <w:rFonts w:ascii="Calibri" w:eastAsia="Times New Roman" w:hAnsi="Calibri" w:cs="Times New Roman"/>
                <w:i/>
                <w:sz w:val="20"/>
                <w:szCs w:val="20"/>
              </w:rPr>
              <w:t>4</w:t>
            </w:r>
            <w:r w:rsidR="006C3FBA">
              <w:rPr>
                <w:rFonts w:ascii="Calibri" w:eastAsia="Times New Roman" w:hAnsi="Calibri" w:cs="Times New Roman"/>
                <w:i/>
                <w:sz w:val="20"/>
                <w:szCs w:val="20"/>
              </w:rPr>
              <w:t>0</w:t>
            </w:r>
            <w:r w:rsidR="00934662">
              <w:rPr>
                <w:rFonts w:ascii="Calibri" w:eastAsia="Times New Roman" w:hAnsi="Calibri" w:cs="Times New Roman"/>
                <w:i/>
                <w:sz w:val="20"/>
                <w:szCs w:val="20"/>
              </w:rPr>
              <w:t>%</w:t>
            </w:r>
          </w:p>
        </w:tc>
        <w:tc>
          <w:tcPr>
            <w:tcW w:w="8221" w:type="dxa"/>
          </w:tcPr>
          <w:p w14:paraId="576BBAB1" w14:textId="7EC7DF5A" w:rsidR="00934662" w:rsidRPr="00D6638C" w:rsidRDefault="00934662" w:rsidP="0090447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Following </w:t>
            </w:r>
            <w:r w:rsidR="005908DD">
              <w:rPr>
                <w:rFonts w:ascii="Calibri" w:eastAsia="Times New Roman" w:hAnsi="Calibri" w:cs="Times New Roman"/>
                <w:sz w:val="20"/>
                <w:szCs w:val="20"/>
              </w:rPr>
              <w:t>submission of evaluation mission reports</w:t>
            </w:r>
          </w:p>
        </w:tc>
      </w:tr>
      <w:tr w:rsidR="00D6638C" w:rsidRPr="00D6638C" w14:paraId="40B5814A" w14:textId="77777777" w:rsidTr="00211948">
        <w:tc>
          <w:tcPr>
            <w:tcW w:w="1244" w:type="dxa"/>
          </w:tcPr>
          <w:p w14:paraId="44E88555" w14:textId="77777777" w:rsidR="00D6638C" w:rsidRPr="00E23201" w:rsidRDefault="00EC66C5" w:rsidP="0090447C">
            <w:pPr>
              <w:spacing w:after="0" w:line="240" w:lineRule="auto"/>
              <w:jc w:val="center"/>
              <w:rPr>
                <w:rFonts w:ascii="Calibri" w:eastAsia="Times New Roman" w:hAnsi="Calibri" w:cs="Times New Roman"/>
                <w:i/>
                <w:sz w:val="20"/>
                <w:szCs w:val="20"/>
              </w:rPr>
            </w:pPr>
            <w:r>
              <w:rPr>
                <w:rFonts w:ascii="Calibri" w:eastAsia="Times New Roman" w:hAnsi="Calibri" w:cs="Times New Roman"/>
                <w:i/>
                <w:sz w:val="20"/>
                <w:szCs w:val="20"/>
              </w:rPr>
              <w:t>4</w:t>
            </w:r>
            <w:r w:rsidR="00C36E3F">
              <w:rPr>
                <w:rFonts w:ascii="Calibri" w:eastAsia="Times New Roman" w:hAnsi="Calibri" w:cs="Times New Roman"/>
                <w:i/>
                <w:sz w:val="20"/>
                <w:szCs w:val="20"/>
              </w:rPr>
              <w:t>0</w:t>
            </w:r>
            <w:r w:rsidR="00D6638C" w:rsidRPr="00E23201">
              <w:rPr>
                <w:rFonts w:ascii="Calibri" w:eastAsia="Times New Roman" w:hAnsi="Calibri" w:cs="Times New Roman"/>
                <w:i/>
                <w:sz w:val="20"/>
                <w:szCs w:val="20"/>
              </w:rPr>
              <w:t>%</w:t>
            </w:r>
          </w:p>
        </w:tc>
        <w:tc>
          <w:tcPr>
            <w:tcW w:w="8221" w:type="dxa"/>
          </w:tcPr>
          <w:p w14:paraId="274FEFF6"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w:t>
            </w:r>
            <w:r w:rsidR="00934662">
              <w:rPr>
                <w:rFonts w:ascii="Calibri" w:eastAsia="Times New Roman" w:hAnsi="Calibri" w:cs="Times New Roman"/>
                <w:sz w:val="20"/>
                <w:szCs w:val="20"/>
              </w:rPr>
              <w:t>submission and approval (UNDP-IRH</w:t>
            </w:r>
            <w:r w:rsidRPr="00D6638C">
              <w:rPr>
                <w:rFonts w:ascii="Calibri" w:eastAsia="Times New Roman" w:hAnsi="Calibri" w:cs="Times New Roman"/>
                <w:sz w:val="20"/>
                <w:szCs w:val="20"/>
              </w:rPr>
              <w:t xml:space="preserve"> and UNDP RTA) of the final terminal evaluation report </w:t>
            </w:r>
            <w:r w:rsidR="00934662">
              <w:rPr>
                <w:rFonts w:ascii="Calibri" w:eastAsia="Times New Roman" w:hAnsi="Calibri" w:cs="Times New Roman"/>
                <w:sz w:val="20"/>
                <w:szCs w:val="20"/>
              </w:rPr>
              <w:t xml:space="preserve">and </w:t>
            </w:r>
            <w:r w:rsidR="008C6199">
              <w:rPr>
                <w:rFonts w:ascii="Calibri" w:eastAsia="Times New Roman" w:hAnsi="Calibri" w:cs="Times New Roman"/>
                <w:sz w:val="20"/>
                <w:szCs w:val="20"/>
              </w:rPr>
              <w:t xml:space="preserve">its </w:t>
            </w:r>
            <w:r w:rsidR="00934662">
              <w:rPr>
                <w:rFonts w:ascii="Calibri" w:eastAsia="Times New Roman" w:hAnsi="Calibri" w:cs="Times New Roman"/>
                <w:sz w:val="20"/>
                <w:szCs w:val="20"/>
              </w:rPr>
              <w:t>presentation in the regional project closure meeting</w:t>
            </w:r>
          </w:p>
        </w:tc>
      </w:tr>
    </w:tbl>
    <w:p w14:paraId="0E2DD452" w14:textId="77777777" w:rsidR="00211948" w:rsidRDefault="00211948" w:rsidP="0090447C">
      <w:pPr>
        <w:pStyle w:val="Heading51"/>
        <w:spacing w:before="0" w:line="240" w:lineRule="auto"/>
      </w:pPr>
      <w:bookmarkStart w:id="52" w:name="_Toc299133052"/>
      <w:bookmarkStart w:id="53" w:name="_Toc321341561"/>
      <w:bookmarkEnd w:id="51"/>
    </w:p>
    <w:p w14:paraId="0F36F880" w14:textId="77777777" w:rsidR="00D6638C" w:rsidRPr="00D6638C" w:rsidRDefault="00D6638C" w:rsidP="0090447C">
      <w:pPr>
        <w:pStyle w:val="Heading51"/>
        <w:spacing w:before="0" w:line="240" w:lineRule="auto"/>
      </w:pPr>
      <w:r w:rsidRPr="00D6638C">
        <w:t>Application process</w:t>
      </w:r>
      <w:bookmarkEnd w:id="48"/>
      <w:bookmarkEnd w:id="49"/>
      <w:bookmarkEnd w:id="50"/>
      <w:bookmarkEnd w:id="52"/>
      <w:bookmarkEnd w:id="53"/>
    </w:p>
    <w:p w14:paraId="4AE80E81" w14:textId="77777777" w:rsidR="00211948" w:rsidRDefault="00211948" w:rsidP="0090447C">
      <w:pPr>
        <w:spacing w:after="0" w:line="240" w:lineRule="auto"/>
        <w:rPr>
          <w:rFonts w:ascii="Calibri" w:eastAsia="Times New Roman" w:hAnsi="Calibri" w:cs="Times New Roman"/>
          <w:sz w:val="20"/>
          <w:szCs w:val="20"/>
        </w:rPr>
      </w:pPr>
    </w:p>
    <w:p w14:paraId="43815A0F" w14:textId="77777777" w:rsidR="00A42E2A" w:rsidRPr="00A42E2A" w:rsidRDefault="00A42E2A" w:rsidP="00A42E2A">
      <w:pPr>
        <w:spacing w:after="0" w:line="240" w:lineRule="auto"/>
        <w:rPr>
          <w:rFonts w:eastAsia="Calibri" w:cstheme="minorHAnsi"/>
          <w:sz w:val="20"/>
          <w:szCs w:val="20"/>
          <w:lang w:bidi="ar-SA"/>
        </w:rPr>
      </w:pPr>
      <w:r w:rsidRPr="00A42E2A">
        <w:rPr>
          <w:rFonts w:eastAsia="Calibri" w:cstheme="minorHAnsi"/>
          <w:sz w:val="20"/>
          <w:szCs w:val="20"/>
          <w:lang w:bidi="ar-SA"/>
        </w:rPr>
        <w:t>Qualified candidates are requested to apply online via this website. The application should contain:</w:t>
      </w:r>
    </w:p>
    <w:p w14:paraId="5468BA34" w14:textId="77777777" w:rsidR="00A42E2A" w:rsidRPr="00A42E2A" w:rsidRDefault="00A42E2A" w:rsidP="00A42E2A">
      <w:pPr>
        <w:spacing w:after="0" w:line="240" w:lineRule="auto"/>
        <w:rPr>
          <w:rFonts w:eastAsia="Calibri" w:cstheme="minorHAnsi"/>
          <w:sz w:val="20"/>
          <w:szCs w:val="20"/>
          <w:lang w:bidi="ar-SA"/>
        </w:rPr>
      </w:pPr>
    </w:p>
    <w:p w14:paraId="50BC450A" w14:textId="77777777" w:rsidR="00A42E2A" w:rsidRPr="00A42E2A" w:rsidRDefault="00A42E2A" w:rsidP="00A42E2A">
      <w:pPr>
        <w:numPr>
          <w:ilvl w:val="0"/>
          <w:numId w:val="37"/>
        </w:numPr>
        <w:spacing w:after="0" w:line="240" w:lineRule="auto"/>
        <w:jc w:val="both"/>
        <w:rPr>
          <w:rFonts w:eastAsia="Calibri" w:cstheme="minorHAnsi"/>
          <w:sz w:val="20"/>
          <w:szCs w:val="20"/>
          <w:lang w:bidi="ar-SA"/>
        </w:rPr>
      </w:pPr>
      <w:r w:rsidRPr="00A42E2A">
        <w:rPr>
          <w:rFonts w:eastAsia="Calibri" w:cstheme="minorHAnsi"/>
          <w:b/>
          <w:sz w:val="20"/>
          <w:szCs w:val="20"/>
          <w:lang w:bidi="ar-SA"/>
        </w:rPr>
        <w:t>Cover letter</w:t>
      </w:r>
      <w:r w:rsidRPr="00A42E2A">
        <w:rPr>
          <w:rFonts w:eastAsia="Calibri" w:cstheme="minorHAnsi"/>
          <w:sz w:val="20"/>
          <w:szCs w:val="20"/>
          <w:lang w:bidi="ar-SA"/>
        </w:rPr>
        <w:t xml:space="preserve"> explaining why you are the most suitable candidate for the advertised position. Please paste the letter into the "Resume and Motivation" section of the electronic application. </w:t>
      </w:r>
    </w:p>
    <w:p w14:paraId="711195D0" w14:textId="77777777" w:rsidR="00A42E2A" w:rsidRDefault="00A42E2A" w:rsidP="00A42E2A">
      <w:pPr>
        <w:numPr>
          <w:ilvl w:val="0"/>
          <w:numId w:val="37"/>
        </w:numPr>
        <w:spacing w:after="0" w:line="240" w:lineRule="auto"/>
        <w:jc w:val="both"/>
        <w:rPr>
          <w:rFonts w:eastAsia="Calibri" w:cstheme="minorHAnsi"/>
          <w:sz w:val="20"/>
          <w:szCs w:val="20"/>
          <w:lang w:bidi="ar-SA"/>
        </w:rPr>
      </w:pPr>
      <w:bookmarkStart w:id="54" w:name="_GoBack"/>
      <w:bookmarkEnd w:id="54"/>
      <w:r w:rsidRPr="00A42E2A">
        <w:rPr>
          <w:rFonts w:eastAsia="Calibri" w:cstheme="minorHAnsi"/>
          <w:b/>
          <w:sz w:val="20"/>
          <w:szCs w:val="20"/>
          <w:lang w:bidi="ar-SA"/>
        </w:rPr>
        <w:t>Filled P11</w:t>
      </w:r>
      <w:r w:rsidRPr="00A42E2A">
        <w:rPr>
          <w:rFonts w:eastAsia="Calibri" w:cstheme="minorHAnsi"/>
          <w:sz w:val="20"/>
          <w:szCs w:val="20"/>
          <w:lang w:bidi="ar-SA"/>
        </w:rPr>
        <w:t xml:space="preserve"> form including past experience in similar projects and contact details of referees </w:t>
      </w:r>
      <w:r w:rsidRPr="00A42E2A">
        <w:rPr>
          <w:rFonts w:eastAsia="Calibri" w:cstheme="minorHAnsi"/>
          <w:sz w:val="20"/>
          <w:szCs w:val="20"/>
          <w:lang w:bidi="ar-SA"/>
        </w:rPr>
        <w:br/>
        <w:t>(blank form can be downloaded from</w:t>
      </w:r>
    </w:p>
    <w:p w14:paraId="4AAD3BFB" w14:textId="77777777" w:rsidR="00A42E2A" w:rsidRPr="00A42E2A" w:rsidRDefault="00A42E2A" w:rsidP="00A42E2A">
      <w:pPr>
        <w:spacing w:after="0" w:line="240" w:lineRule="auto"/>
        <w:ind w:left="720"/>
        <w:jc w:val="both"/>
        <w:rPr>
          <w:rFonts w:eastAsia="Calibri" w:cstheme="minorHAnsi"/>
          <w:sz w:val="20"/>
          <w:szCs w:val="20"/>
          <w:lang w:bidi="ar-SA"/>
        </w:rPr>
      </w:pPr>
      <w:r w:rsidRPr="0024514A">
        <w:rPr>
          <w:rFonts w:eastAsia="Calibri" w:cstheme="minorHAnsi"/>
          <w:sz w:val="20"/>
          <w:szCs w:val="20"/>
          <w:lang w:bidi="ar-SA"/>
        </w:rPr>
        <w:t>http://www.eurasia.undp.org/content/dam/rbec/docs/P11_modified_for_SCs_and_ICs.doc</w:t>
      </w:r>
      <w:r w:rsidRPr="00A42E2A">
        <w:rPr>
          <w:rFonts w:eastAsia="Calibri" w:cstheme="minorHAnsi"/>
          <w:sz w:val="20"/>
          <w:szCs w:val="20"/>
          <w:lang w:bidi="ar-SA"/>
        </w:rPr>
        <w:t xml:space="preserve">); please upload the P11 instead of your CV. </w:t>
      </w:r>
    </w:p>
    <w:p w14:paraId="72E2E9EB" w14:textId="77777777" w:rsidR="00A42E2A" w:rsidRPr="00A42E2A" w:rsidRDefault="00A42E2A" w:rsidP="00A42E2A">
      <w:pPr>
        <w:numPr>
          <w:ilvl w:val="0"/>
          <w:numId w:val="37"/>
        </w:numPr>
        <w:spacing w:after="0" w:line="240" w:lineRule="auto"/>
        <w:jc w:val="both"/>
        <w:rPr>
          <w:rFonts w:eastAsia="Calibri" w:cstheme="minorHAnsi"/>
          <w:sz w:val="20"/>
          <w:szCs w:val="20"/>
          <w:lang w:bidi="ar-SA"/>
        </w:rPr>
      </w:pPr>
      <w:r w:rsidRPr="00A42E2A">
        <w:rPr>
          <w:rFonts w:eastAsia="Calibri" w:cstheme="minorHAnsi"/>
          <w:b/>
          <w:sz w:val="20"/>
          <w:szCs w:val="20"/>
          <w:lang w:bidi="ar-SA"/>
        </w:rPr>
        <w:t>Financial Proposal*</w:t>
      </w:r>
      <w:r w:rsidRPr="00A42E2A">
        <w:rPr>
          <w:rFonts w:eastAsia="Calibri" w:cstheme="minorHAnsi"/>
          <w:sz w:val="20"/>
          <w:szCs w:val="20"/>
          <w:lang w:bidi="ar-SA"/>
        </w:rPr>
        <w:t xml:space="preserve"> - Total lump sum amount in USD for tasks specified in this announcement. Mission related costs must NOT be included in the price offer as they will be covered separately as per UNDP rules and regulations. </w:t>
      </w:r>
    </w:p>
    <w:p w14:paraId="0634BF21" w14:textId="77777777" w:rsidR="00A42E2A" w:rsidRPr="00A42E2A" w:rsidRDefault="00A42E2A" w:rsidP="00A42E2A">
      <w:pPr>
        <w:numPr>
          <w:ilvl w:val="0"/>
          <w:numId w:val="37"/>
        </w:numPr>
        <w:spacing w:after="0" w:line="240" w:lineRule="auto"/>
        <w:jc w:val="both"/>
        <w:rPr>
          <w:rFonts w:eastAsia="Calibri" w:cstheme="minorHAnsi"/>
          <w:b/>
          <w:sz w:val="20"/>
          <w:szCs w:val="20"/>
          <w:lang w:bidi="ar-SA"/>
        </w:rPr>
      </w:pPr>
      <w:r w:rsidRPr="00A42E2A">
        <w:rPr>
          <w:rFonts w:eastAsia="Calibri" w:cstheme="minorHAnsi"/>
          <w:b/>
          <w:sz w:val="20"/>
          <w:szCs w:val="20"/>
          <w:u w:val="single"/>
          <w:lang w:bidi="ar-SA"/>
        </w:rPr>
        <w:t>Incomplete applications will not be considered.</w:t>
      </w:r>
      <w:r w:rsidRPr="00A42E2A">
        <w:rPr>
          <w:rFonts w:eastAsia="Calibri" w:cstheme="minorHAnsi"/>
          <w:b/>
          <w:sz w:val="20"/>
          <w:szCs w:val="20"/>
          <w:lang w:bidi="ar-SA"/>
        </w:rPr>
        <w:t xml:space="preserve"> Please make sure you have provided all requested materials. Please combine all your documents into one (1) single PDF document as the system only allows to upload maximum one document.</w:t>
      </w:r>
    </w:p>
    <w:p w14:paraId="3095180D" w14:textId="77777777" w:rsidR="00A42E2A" w:rsidRPr="00A42E2A" w:rsidRDefault="00A42E2A" w:rsidP="00A42E2A">
      <w:pPr>
        <w:spacing w:after="0" w:line="240" w:lineRule="auto"/>
        <w:jc w:val="both"/>
        <w:rPr>
          <w:rFonts w:eastAsia="Calibri" w:cstheme="minorHAnsi"/>
          <w:i/>
          <w:sz w:val="20"/>
          <w:szCs w:val="20"/>
          <w:lang w:bidi="ar-SA"/>
        </w:rPr>
      </w:pPr>
    </w:p>
    <w:p w14:paraId="62C87400" w14:textId="77777777" w:rsidR="00A42E2A" w:rsidRPr="00A42E2A" w:rsidRDefault="00A42E2A" w:rsidP="00A42E2A">
      <w:pPr>
        <w:spacing w:after="0" w:line="240" w:lineRule="auto"/>
        <w:jc w:val="both"/>
        <w:rPr>
          <w:rFonts w:eastAsia="Calibri" w:cstheme="minorHAnsi"/>
          <w:i/>
          <w:sz w:val="20"/>
          <w:szCs w:val="20"/>
          <w:lang w:bidi="ar-SA"/>
        </w:rPr>
      </w:pPr>
      <w:r w:rsidRPr="00A42E2A">
        <w:rPr>
          <w:rFonts w:eastAsia="Calibri" w:cstheme="minorHAnsi"/>
          <w:i/>
          <w:sz w:val="20"/>
          <w:szCs w:val="20"/>
          <w:lang w:bidi="ar-SA"/>
        </w:rPr>
        <w:t>* Please note that the financial proposal is all-inclusive and shall take into account various expenses incurred by the consultant/contractor during the contract period (e.g. fee, health insurance, vaccination, personal security needs and any other relevant expenses related to the performance of services...).</w:t>
      </w:r>
    </w:p>
    <w:p w14:paraId="3F171691" w14:textId="77777777" w:rsidR="00A42E2A" w:rsidRPr="00A42E2A" w:rsidRDefault="00A42E2A" w:rsidP="00A42E2A">
      <w:pPr>
        <w:spacing w:after="0" w:line="240" w:lineRule="auto"/>
        <w:jc w:val="both"/>
        <w:rPr>
          <w:rFonts w:eastAsia="Calibri" w:cstheme="minorHAnsi"/>
          <w:sz w:val="20"/>
          <w:szCs w:val="20"/>
          <w:lang w:bidi="ar-SA"/>
        </w:rPr>
      </w:pPr>
    </w:p>
    <w:p w14:paraId="73C98819" w14:textId="77777777" w:rsidR="00A42E2A" w:rsidRPr="00A42E2A" w:rsidRDefault="00A42E2A" w:rsidP="00A42E2A">
      <w:pPr>
        <w:spacing w:after="0" w:line="240" w:lineRule="auto"/>
        <w:jc w:val="both"/>
        <w:rPr>
          <w:rFonts w:eastAsia="Calibri" w:cstheme="minorHAnsi"/>
          <w:i/>
          <w:sz w:val="20"/>
          <w:szCs w:val="20"/>
          <w:lang w:bidi="ar-SA"/>
        </w:rPr>
      </w:pPr>
      <w:r w:rsidRPr="00A42E2A">
        <w:rPr>
          <w:rFonts w:eastAsia="Calibri" w:cstheme="minorHAnsi"/>
          <w:b/>
          <w:i/>
          <w:sz w:val="20"/>
          <w:szCs w:val="20"/>
          <w:lang w:bidi="ar-SA"/>
        </w:rPr>
        <w:t>Payments</w:t>
      </w:r>
      <w:r w:rsidRPr="00A42E2A">
        <w:rPr>
          <w:rFonts w:eastAsia="Calibri" w:cstheme="minorHAnsi"/>
          <w:i/>
          <w:sz w:val="20"/>
          <w:szCs w:val="20"/>
          <w:lang w:bidi="ar-SA"/>
        </w:rPr>
        <w:t xml:space="preserve"> will be made only upon confirmation of UNDP on delivering on the contract obligations in a satisfactory manner. </w:t>
      </w:r>
    </w:p>
    <w:p w14:paraId="1577159B" w14:textId="77777777" w:rsidR="00A42E2A" w:rsidRPr="00A42E2A" w:rsidRDefault="00A42E2A" w:rsidP="00A42E2A">
      <w:pPr>
        <w:spacing w:after="0" w:line="240" w:lineRule="auto"/>
        <w:jc w:val="both"/>
        <w:rPr>
          <w:rFonts w:eastAsia="Calibri" w:cstheme="minorHAnsi"/>
          <w:i/>
          <w:sz w:val="20"/>
          <w:szCs w:val="20"/>
          <w:lang w:bidi="ar-SA"/>
        </w:rPr>
      </w:pPr>
    </w:p>
    <w:p w14:paraId="14848BCA" w14:textId="77777777" w:rsidR="00A42E2A" w:rsidRPr="00A42E2A" w:rsidRDefault="00A42E2A" w:rsidP="00A42E2A">
      <w:pPr>
        <w:spacing w:after="0" w:line="240" w:lineRule="auto"/>
        <w:jc w:val="both"/>
        <w:rPr>
          <w:rFonts w:eastAsia="Calibri" w:cstheme="minorHAnsi"/>
          <w:i/>
          <w:sz w:val="20"/>
          <w:szCs w:val="20"/>
          <w:lang w:bidi="ar-SA"/>
        </w:rPr>
      </w:pPr>
      <w:r w:rsidRPr="00A42E2A">
        <w:rPr>
          <w:rFonts w:eastAsia="Calibri" w:cstheme="minorHAnsi"/>
          <w:i/>
          <w:sz w:val="20"/>
          <w:szCs w:val="20"/>
          <w:lang w:bidi="ar-SA"/>
        </w:rPr>
        <w:lastRenderedPageBreak/>
        <w:t xml:space="preserve">Individual Consultants are responsible for ensuring they have </w:t>
      </w:r>
      <w:r w:rsidRPr="00A42E2A">
        <w:rPr>
          <w:rFonts w:eastAsia="Calibri" w:cstheme="minorHAnsi"/>
          <w:b/>
          <w:i/>
          <w:sz w:val="20"/>
          <w:szCs w:val="20"/>
          <w:lang w:bidi="ar-SA"/>
        </w:rPr>
        <w:t>vaccinations</w:t>
      </w:r>
      <w:r w:rsidRPr="00A42E2A">
        <w:rPr>
          <w:rFonts w:eastAsia="Calibri" w:cstheme="minorHAnsi"/>
          <w:i/>
          <w:sz w:val="20"/>
          <w:szCs w:val="20"/>
          <w:lang w:bidi="ar-SA"/>
        </w:rPr>
        <w:t xml:space="preserve">/inoculations when travelling to certain countries, as designated by the UN Medical Director. Consultants are also required to comply with the UN </w:t>
      </w:r>
      <w:r w:rsidRPr="00A42E2A">
        <w:rPr>
          <w:rFonts w:eastAsia="Calibri" w:cstheme="minorHAnsi"/>
          <w:b/>
          <w:i/>
          <w:sz w:val="20"/>
          <w:szCs w:val="20"/>
          <w:lang w:bidi="ar-SA"/>
        </w:rPr>
        <w:t>security directives</w:t>
      </w:r>
      <w:r w:rsidRPr="00A42E2A">
        <w:rPr>
          <w:rFonts w:eastAsia="Calibri" w:cstheme="minorHAnsi"/>
          <w:i/>
          <w:sz w:val="20"/>
          <w:szCs w:val="20"/>
          <w:lang w:bidi="ar-SA"/>
        </w:rPr>
        <w:t xml:space="preserve"> set forth under dss.un.org</w:t>
      </w:r>
    </w:p>
    <w:p w14:paraId="3BF38BDD" w14:textId="77777777" w:rsidR="00A42E2A" w:rsidRPr="00A42E2A" w:rsidRDefault="00A42E2A" w:rsidP="00A42E2A">
      <w:pPr>
        <w:spacing w:after="0" w:line="240" w:lineRule="auto"/>
        <w:jc w:val="both"/>
        <w:rPr>
          <w:rFonts w:eastAsia="Calibri" w:cstheme="minorHAnsi"/>
          <w:i/>
          <w:sz w:val="20"/>
          <w:szCs w:val="20"/>
          <w:lang w:bidi="ar-SA"/>
        </w:rPr>
      </w:pPr>
      <w:r w:rsidRPr="00A42E2A">
        <w:rPr>
          <w:rFonts w:eastAsia="Calibri" w:cstheme="minorHAnsi"/>
          <w:i/>
          <w:sz w:val="20"/>
          <w:szCs w:val="20"/>
          <w:lang w:bidi="ar-SA"/>
        </w:rPr>
        <w:t>General Terms and conditions as well as other related documents can be found under: http://on.undp.org/t7fJs.</w:t>
      </w:r>
    </w:p>
    <w:p w14:paraId="09498211" w14:textId="77777777" w:rsidR="00A42E2A" w:rsidRPr="00A42E2A" w:rsidRDefault="00A42E2A" w:rsidP="00A42E2A">
      <w:pPr>
        <w:spacing w:after="0" w:line="240" w:lineRule="auto"/>
        <w:jc w:val="both"/>
        <w:rPr>
          <w:rFonts w:eastAsia="Calibri" w:cstheme="minorHAnsi"/>
          <w:i/>
          <w:sz w:val="20"/>
          <w:szCs w:val="20"/>
          <w:lang w:bidi="ar-SA"/>
        </w:rPr>
      </w:pPr>
    </w:p>
    <w:p w14:paraId="640F856A" w14:textId="77777777" w:rsidR="00A42E2A" w:rsidRPr="00A42E2A" w:rsidRDefault="00A42E2A" w:rsidP="00A42E2A">
      <w:pPr>
        <w:spacing w:after="0" w:line="240" w:lineRule="auto"/>
        <w:jc w:val="both"/>
        <w:rPr>
          <w:rFonts w:eastAsia="Calibri" w:cstheme="minorHAnsi"/>
          <w:i/>
          <w:sz w:val="20"/>
          <w:szCs w:val="20"/>
          <w:lang w:bidi="ar-SA"/>
        </w:rPr>
      </w:pPr>
      <w:r w:rsidRPr="00A42E2A">
        <w:rPr>
          <w:rFonts w:eastAsia="Calibri" w:cstheme="minorHAnsi"/>
          <w:i/>
          <w:sz w:val="20"/>
          <w:szCs w:val="20"/>
          <w:lang w:bidi="ar-SA"/>
        </w:rPr>
        <w:t>Qualified women and members of minorities are encouraged to apply.</w:t>
      </w:r>
    </w:p>
    <w:p w14:paraId="427E1909" w14:textId="125234BF" w:rsidR="00A42E2A" w:rsidRPr="00A42E2A" w:rsidRDefault="00A42E2A" w:rsidP="00A42E2A">
      <w:pPr>
        <w:spacing w:after="0" w:line="240" w:lineRule="auto"/>
        <w:jc w:val="both"/>
        <w:rPr>
          <w:rFonts w:eastAsia="Calibri" w:cstheme="minorHAnsi"/>
          <w:sz w:val="20"/>
          <w:szCs w:val="20"/>
          <w:lang w:bidi="ar-SA"/>
        </w:rPr>
      </w:pPr>
      <w:r w:rsidRPr="00A42E2A">
        <w:rPr>
          <w:rFonts w:eastAsia="Calibri" w:cstheme="minorHAnsi"/>
          <w:i/>
          <w:sz w:val="20"/>
          <w:szCs w:val="20"/>
          <w:lang w:bidi="ar-SA"/>
        </w:rPr>
        <w:t>Due to large number of applications we receive, we are able to inform only the successful candidate about the outcome or status of the selection process.</w:t>
      </w:r>
    </w:p>
    <w:p w14:paraId="7A934CD3"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3858AB90" w14:textId="77777777" w:rsidR="00D045D1" w:rsidRPr="00D6638C" w:rsidRDefault="00D045D1" w:rsidP="0090447C">
      <w:pPr>
        <w:spacing w:after="0" w:line="240" w:lineRule="auto"/>
        <w:rPr>
          <w:rFonts w:ascii="Calibri" w:eastAsia="Times New Roman" w:hAnsi="Calibri" w:cs="Times New Roman"/>
          <w:i/>
          <w:sz w:val="20"/>
          <w:szCs w:val="20"/>
          <w:highlight w:val="lightGray"/>
          <w:lang w:val="en-GB"/>
        </w:rPr>
        <w:sectPr w:rsidR="00D045D1" w:rsidRPr="00D6638C" w:rsidSect="00224F9C">
          <w:footerReference w:type="default" r:id="rId12"/>
          <w:pgSz w:w="12240" w:h="15840"/>
          <w:pgMar w:top="1440" w:right="1325" w:bottom="1440" w:left="1440" w:header="708" w:footer="708" w:gutter="0"/>
          <w:cols w:space="708"/>
          <w:docGrid w:linePitch="360"/>
        </w:sectPr>
      </w:pPr>
      <w:bookmarkStart w:id="55" w:name="_TOR_Annex_A:"/>
      <w:bookmarkEnd w:id="55"/>
    </w:p>
    <w:p w14:paraId="3CBA971E" w14:textId="7354A838" w:rsidR="00D6638C" w:rsidRDefault="003554B0" w:rsidP="0090447C">
      <w:pPr>
        <w:pStyle w:val="Heading31"/>
        <w:spacing w:before="0" w:line="240" w:lineRule="auto"/>
      </w:pPr>
      <w:bookmarkStart w:id="56" w:name="_TOR_Annex_C:"/>
      <w:bookmarkStart w:id="57" w:name="_Toc321341564"/>
      <w:bookmarkStart w:id="58" w:name="_Toc299122846"/>
      <w:bookmarkStart w:id="59" w:name="_Toc299122868"/>
      <w:bookmarkStart w:id="60" w:name="_Toc299126632"/>
      <w:bookmarkEnd w:id="56"/>
      <w:r>
        <w:lastRenderedPageBreak/>
        <w:t>Annex A</w:t>
      </w:r>
      <w:r w:rsidR="00D6638C" w:rsidRPr="00D6638C">
        <w:t>: Evaluation Questions</w:t>
      </w:r>
      <w:bookmarkEnd w:id="57"/>
    </w:p>
    <w:p w14:paraId="5D4431A3" w14:textId="77777777" w:rsidR="00E23201" w:rsidRPr="00E23201" w:rsidRDefault="00E23201" w:rsidP="0090447C">
      <w:pPr>
        <w:spacing w:after="0" w:line="240" w:lineRule="auto"/>
      </w:pPr>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07C5559A" w14:textId="77777777" w:rsidTr="00235FED">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1C312EF5" w14:textId="77777777" w:rsidR="00310398" w:rsidRPr="00D6638C" w:rsidRDefault="00310398" w:rsidP="0090447C">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25E32055" w14:textId="77777777" w:rsidR="00310398" w:rsidRPr="00D6638C" w:rsidRDefault="00310398" w:rsidP="0090447C">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155C209E" w14:textId="77777777" w:rsidR="00310398" w:rsidRPr="00D6638C" w:rsidRDefault="00310398" w:rsidP="0090447C">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0A5C08AC" w14:textId="77777777" w:rsidR="00310398" w:rsidRPr="00D6638C" w:rsidRDefault="00310398" w:rsidP="0090447C">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7A48D50F"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3871A161" w14:textId="77777777" w:rsidR="00D6638C" w:rsidRPr="00310398" w:rsidRDefault="00D6638C" w:rsidP="0090447C">
            <w:pPr>
              <w:numPr>
                <w:ilvl w:val="12"/>
                <w:numId w:val="0"/>
              </w:numPr>
              <w:spacing w:after="0" w:line="240" w:lineRule="auto"/>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071BAADE" w14:textId="77777777" w:rsidTr="00310398">
        <w:trPr>
          <w:gridAfter w:val="1"/>
          <w:wAfter w:w="21" w:type="dxa"/>
        </w:trPr>
        <w:tc>
          <w:tcPr>
            <w:tcW w:w="199" w:type="dxa"/>
            <w:tcBorders>
              <w:top w:val="nil"/>
              <w:left w:val="nil"/>
              <w:bottom w:val="nil"/>
              <w:right w:val="nil"/>
            </w:tcBorders>
            <w:shd w:val="pct12" w:color="auto" w:fill="FFFFFF"/>
          </w:tcPr>
          <w:p w14:paraId="5722A3F3" w14:textId="77777777" w:rsidR="00D6638C" w:rsidRPr="00D6638C" w:rsidRDefault="00D6638C" w:rsidP="0090447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6F872B9"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4560E0E"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46609AC"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698DFC79"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5AC45EF4" w14:textId="77777777" w:rsidTr="00310398">
        <w:trPr>
          <w:gridAfter w:val="1"/>
          <w:wAfter w:w="21" w:type="dxa"/>
        </w:trPr>
        <w:tc>
          <w:tcPr>
            <w:tcW w:w="199" w:type="dxa"/>
            <w:tcBorders>
              <w:top w:val="nil"/>
              <w:left w:val="nil"/>
              <w:bottom w:val="nil"/>
              <w:right w:val="nil"/>
            </w:tcBorders>
            <w:shd w:val="pct12" w:color="auto" w:fill="FFFFFF"/>
          </w:tcPr>
          <w:p w14:paraId="4B76B242" w14:textId="77777777" w:rsidR="00D6638C" w:rsidRPr="00D6638C" w:rsidRDefault="00D6638C" w:rsidP="0090447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3A15CE1"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074E17C"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EFAF8F0"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1D2CCD15"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8D24BB0" w14:textId="77777777" w:rsidTr="00310398">
        <w:trPr>
          <w:gridAfter w:val="1"/>
          <w:wAfter w:w="21" w:type="dxa"/>
        </w:trPr>
        <w:tc>
          <w:tcPr>
            <w:tcW w:w="199" w:type="dxa"/>
            <w:tcBorders>
              <w:top w:val="nil"/>
              <w:left w:val="nil"/>
              <w:bottom w:val="nil"/>
              <w:right w:val="nil"/>
            </w:tcBorders>
            <w:shd w:val="pct12" w:color="auto" w:fill="FFFFFF"/>
          </w:tcPr>
          <w:p w14:paraId="3A7BA14D" w14:textId="77777777" w:rsidR="00D6638C" w:rsidRPr="00D6638C" w:rsidRDefault="00D6638C" w:rsidP="0090447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3E7E349"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20738F7"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A214694"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799D765A"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DDDC1A9"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26AE757B" w14:textId="77777777" w:rsidR="00D6638C" w:rsidRPr="00310398" w:rsidRDefault="00D6638C" w:rsidP="0090447C">
            <w:pPr>
              <w:numPr>
                <w:ilvl w:val="12"/>
                <w:numId w:val="0"/>
              </w:numPr>
              <w:spacing w:after="0" w:line="240" w:lineRule="auto"/>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3953C630" w14:textId="77777777" w:rsidTr="00310398">
        <w:tc>
          <w:tcPr>
            <w:tcW w:w="199" w:type="dxa"/>
            <w:tcBorders>
              <w:top w:val="nil"/>
              <w:left w:val="nil"/>
              <w:bottom w:val="nil"/>
              <w:right w:val="nil"/>
            </w:tcBorders>
            <w:shd w:val="pct12" w:color="auto" w:fill="FFFFFF"/>
          </w:tcPr>
          <w:p w14:paraId="0F5B18EF" w14:textId="77777777" w:rsidR="00D6638C" w:rsidRPr="00D6638C" w:rsidRDefault="00D6638C" w:rsidP="0090447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4D84691"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817F5ED"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A426959"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0D07CE2"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C4AF7CA" w14:textId="77777777" w:rsidTr="00310398">
        <w:tc>
          <w:tcPr>
            <w:tcW w:w="199" w:type="dxa"/>
            <w:tcBorders>
              <w:top w:val="nil"/>
              <w:left w:val="nil"/>
              <w:bottom w:val="nil"/>
              <w:right w:val="nil"/>
            </w:tcBorders>
            <w:shd w:val="pct12" w:color="auto" w:fill="FFFFFF"/>
          </w:tcPr>
          <w:p w14:paraId="5DE70257" w14:textId="77777777" w:rsidR="00D6638C" w:rsidRPr="00D6638C" w:rsidRDefault="00D6638C" w:rsidP="0090447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251BAD2"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478BD65"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7067A85"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E974550"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6327B10" w14:textId="77777777" w:rsidTr="00310398">
        <w:tc>
          <w:tcPr>
            <w:tcW w:w="199" w:type="dxa"/>
            <w:tcBorders>
              <w:top w:val="nil"/>
              <w:left w:val="nil"/>
              <w:bottom w:val="nil"/>
              <w:right w:val="nil"/>
            </w:tcBorders>
            <w:shd w:val="pct12" w:color="auto" w:fill="FFFFFF"/>
          </w:tcPr>
          <w:p w14:paraId="0310BF2D" w14:textId="77777777" w:rsidR="00D6638C" w:rsidRPr="00D6638C" w:rsidRDefault="00D6638C" w:rsidP="0090447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3482DD11"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B67A61A" w14:textId="77777777" w:rsidR="00D6638C" w:rsidRPr="00D6638C" w:rsidRDefault="00D6638C" w:rsidP="0090447C">
            <w:pPr>
              <w:tabs>
                <w:tab w:val="left" w:pos="108"/>
                <w:tab w:val="left" w:pos="227"/>
              </w:tabs>
              <w:overflowPunct w:val="0"/>
              <w:autoSpaceDE w:val="0"/>
              <w:autoSpaceDN w:val="0"/>
              <w:adjustRightInd w:val="0"/>
              <w:spacing w:after="0" w:line="240" w:lineRule="auto"/>
              <w:ind w:right="72"/>
              <w:textAlignment w:val="baseline"/>
              <w:rPr>
                <w:rFonts w:ascii="Calibri" w:eastAsia="Cambria" w:hAnsi="Calibri" w:cs="Calibri"/>
                <w:sz w:val="20"/>
                <w:szCs w:val="20"/>
                <w:lang w:bidi="ar-SA"/>
              </w:rPr>
            </w:pPr>
          </w:p>
        </w:tc>
        <w:tc>
          <w:tcPr>
            <w:tcW w:w="2430" w:type="dxa"/>
          </w:tcPr>
          <w:p w14:paraId="725C0484"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F262A52"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3378204"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59A7BE2C" w14:textId="77777777" w:rsidR="00D6638C" w:rsidRPr="00310398" w:rsidRDefault="00D6638C" w:rsidP="0090447C">
            <w:pPr>
              <w:numPr>
                <w:ilvl w:val="12"/>
                <w:numId w:val="0"/>
              </w:numPr>
              <w:spacing w:after="0" w:line="240" w:lineRule="auto"/>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654120BA" w14:textId="77777777" w:rsidTr="00310398">
        <w:tc>
          <w:tcPr>
            <w:tcW w:w="199" w:type="dxa"/>
            <w:tcBorders>
              <w:top w:val="nil"/>
              <w:left w:val="nil"/>
              <w:bottom w:val="nil"/>
              <w:right w:val="nil"/>
            </w:tcBorders>
            <w:shd w:val="pct12" w:color="auto" w:fill="FFFFFF"/>
          </w:tcPr>
          <w:p w14:paraId="538399BC" w14:textId="77777777" w:rsidR="00D6638C" w:rsidRPr="00D6638C" w:rsidRDefault="00D6638C" w:rsidP="0090447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AADA9AB"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353064B"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3257124"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E7262B2"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821AF5A" w14:textId="77777777" w:rsidTr="00310398">
        <w:tc>
          <w:tcPr>
            <w:tcW w:w="199" w:type="dxa"/>
            <w:tcBorders>
              <w:top w:val="nil"/>
              <w:left w:val="nil"/>
              <w:bottom w:val="nil"/>
              <w:right w:val="nil"/>
            </w:tcBorders>
            <w:shd w:val="pct12" w:color="auto" w:fill="FFFFFF"/>
          </w:tcPr>
          <w:p w14:paraId="0E916627" w14:textId="77777777" w:rsidR="00D6638C" w:rsidRPr="00D6638C" w:rsidRDefault="00D6638C" w:rsidP="0090447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7B088CD4"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120F96BB"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7B164531"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20697106"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933E093" w14:textId="77777777" w:rsidTr="00310398">
        <w:tc>
          <w:tcPr>
            <w:tcW w:w="199" w:type="dxa"/>
            <w:tcBorders>
              <w:top w:val="nil"/>
              <w:left w:val="nil"/>
              <w:bottom w:val="nil"/>
              <w:right w:val="nil"/>
            </w:tcBorders>
            <w:shd w:val="pct12" w:color="auto" w:fill="FFFFFF"/>
          </w:tcPr>
          <w:p w14:paraId="0F50BDB4" w14:textId="77777777" w:rsidR="00D6638C" w:rsidRPr="00D6638C" w:rsidRDefault="00D6638C" w:rsidP="0090447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278A6A19"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4151468" w14:textId="77777777" w:rsidR="00D6638C" w:rsidRPr="00D6638C" w:rsidRDefault="00D6638C" w:rsidP="0090447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37BC8CA9"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76CEFAF"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25274A1"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263B0C45" w14:textId="77777777" w:rsidR="00D6638C" w:rsidRPr="00310398" w:rsidRDefault="00D6638C" w:rsidP="0090447C">
            <w:pPr>
              <w:numPr>
                <w:ilvl w:val="12"/>
                <w:numId w:val="0"/>
              </w:numPr>
              <w:overflowPunct w:val="0"/>
              <w:autoSpaceDE w:val="0"/>
              <w:autoSpaceDN w:val="0"/>
              <w:adjustRightInd w:val="0"/>
              <w:spacing w:after="0" w:line="240" w:lineRule="auto"/>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7839B2D2" w14:textId="77777777" w:rsidTr="00310398">
        <w:tc>
          <w:tcPr>
            <w:tcW w:w="199" w:type="dxa"/>
            <w:tcBorders>
              <w:top w:val="nil"/>
              <w:left w:val="nil"/>
              <w:bottom w:val="nil"/>
              <w:right w:val="nil"/>
            </w:tcBorders>
            <w:shd w:val="pct12" w:color="auto" w:fill="FFFFFF"/>
          </w:tcPr>
          <w:p w14:paraId="70511BDA" w14:textId="77777777" w:rsidR="00D6638C" w:rsidRPr="00D6638C" w:rsidRDefault="00D6638C" w:rsidP="0090447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2A67274"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681BA82"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9DCFC7E"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DCF63EF"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5250AC96" w14:textId="77777777" w:rsidTr="00310398">
        <w:tc>
          <w:tcPr>
            <w:tcW w:w="199" w:type="dxa"/>
            <w:tcBorders>
              <w:top w:val="nil"/>
              <w:left w:val="nil"/>
              <w:bottom w:val="nil"/>
              <w:right w:val="nil"/>
            </w:tcBorders>
            <w:shd w:val="pct12" w:color="auto" w:fill="FFFFFF"/>
          </w:tcPr>
          <w:p w14:paraId="588E0AD0" w14:textId="77777777" w:rsidR="00D6638C" w:rsidRPr="00D6638C" w:rsidRDefault="00D6638C" w:rsidP="0090447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C41B663"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FFED239"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DD3C1E1"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FC1A12A"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F099284" w14:textId="77777777" w:rsidTr="00310398">
        <w:tc>
          <w:tcPr>
            <w:tcW w:w="199" w:type="dxa"/>
            <w:tcBorders>
              <w:top w:val="nil"/>
              <w:left w:val="nil"/>
              <w:bottom w:val="nil"/>
              <w:right w:val="nil"/>
            </w:tcBorders>
            <w:shd w:val="pct12" w:color="auto" w:fill="FFFFFF"/>
          </w:tcPr>
          <w:p w14:paraId="7BF9D8A5" w14:textId="77777777" w:rsidR="00D6638C" w:rsidRPr="00D6638C" w:rsidRDefault="00D6638C" w:rsidP="0090447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AF93032"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4BACA8E"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CF95BA4"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53D62F1"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86ABCC0"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1D469910" w14:textId="77777777" w:rsidR="00D6638C" w:rsidRPr="00310398" w:rsidRDefault="00D6638C" w:rsidP="0090447C">
            <w:pPr>
              <w:numPr>
                <w:ilvl w:val="12"/>
                <w:numId w:val="0"/>
              </w:numPr>
              <w:overflowPunct w:val="0"/>
              <w:autoSpaceDE w:val="0"/>
              <w:autoSpaceDN w:val="0"/>
              <w:adjustRightInd w:val="0"/>
              <w:spacing w:after="0" w:line="240" w:lineRule="auto"/>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34FC23FC" w14:textId="77777777" w:rsidTr="00310398">
        <w:tc>
          <w:tcPr>
            <w:tcW w:w="199" w:type="dxa"/>
            <w:tcBorders>
              <w:top w:val="nil"/>
              <w:left w:val="nil"/>
              <w:bottom w:val="nil"/>
              <w:right w:val="nil"/>
            </w:tcBorders>
            <w:shd w:val="pct12" w:color="auto" w:fill="FFFFFF"/>
          </w:tcPr>
          <w:p w14:paraId="71D7E598" w14:textId="77777777" w:rsidR="00D6638C" w:rsidRPr="00D6638C" w:rsidRDefault="00D6638C" w:rsidP="0090447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28FDBE1"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3F2EA54"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9147D12"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20F033E"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AB73423" w14:textId="77777777" w:rsidTr="00310398">
        <w:tc>
          <w:tcPr>
            <w:tcW w:w="199" w:type="dxa"/>
            <w:tcBorders>
              <w:top w:val="nil"/>
              <w:left w:val="nil"/>
              <w:bottom w:val="nil"/>
              <w:right w:val="nil"/>
            </w:tcBorders>
            <w:shd w:val="pct12" w:color="auto" w:fill="FFFFFF"/>
          </w:tcPr>
          <w:p w14:paraId="47FD58CE" w14:textId="77777777" w:rsidR="00D6638C" w:rsidRPr="00D6638C" w:rsidRDefault="00D6638C" w:rsidP="0090447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5D44C401"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32204D28"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1C3CB580"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600BAB4B" w14:textId="77777777" w:rsidR="00D6638C" w:rsidRPr="00D6638C" w:rsidRDefault="00D6638C" w:rsidP="0090447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2157FF07" w14:textId="77777777" w:rsidR="00D6638C" w:rsidRPr="00D6638C" w:rsidRDefault="00D6638C" w:rsidP="0090447C">
      <w:pPr>
        <w:spacing w:after="0" w:line="240" w:lineRule="auto"/>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14:paraId="6FEFAF06" w14:textId="21AE8CC3" w:rsidR="00954428" w:rsidRPr="00D6638C" w:rsidRDefault="00A77F92" w:rsidP="00954428">
      <w:pPr>
        <w:pStyle w:val="Heading31"/>
        <w:spacing w:before="0" w:line="240" w:lineRule="auto"/>
      </w:pPr>
      <w:bookmarkStart w:id="61" w:name="_TOR_Annex_D:"/>
      <w:bookmarkStart w:id="62" w:name="_Toc299122844"/>
      <w:bookmarkStart w:id="63" w:name="_Toc299122866"/>
      <w:bookmarkStart w:id="64" w:name="_Toc299126630"/>
      <w:bookmarkStart w:id="65" w:name="_Toc299133053"/>
      <w:bookmarkStart w:id="66" w:name="_Toc321341562"/>
      <w:bookmarkStart w:id="67" w:name="_Toc321341565"/>
      <w:bookmarkEnd w:id="61"/>
      <w:r>
        <w:lastRenderedPageBreak/>
        <w:t>Annex b</w:t>
      </w:r>
      <w:r w:rsidR="00954428" w:rsidRPr="00D6638C">
        <w:t xml:space="preserve">: </w:t>
      </w:r>
      <w:bookmarkEnd w:id="62"/>
      <w:bookmarkEnd w:id="63"/>
      <w:bookmarkEnd w:id="64"/>
      <w:bookmarkEnd w:id="65"/>
      <w:bookmarkEnd w:id="66"/>
      <w:r>
        <w:t>list of documents</w:t>
      </w:r>
    </w:p>
    <w:p w14:paraId="591A7F3A" w14:textId="61DCE45A" w:rsidR="00954428" w:rsidRDefault="00954428" w:rsidP="00954428">
      <w:pPr>
        <w:spacing w:after="0" w:line="240" w:lineRule="auto"/>
        <w:rPr>
          <w:rFonts w:ascii="Calibri" w:eastAsia="Times New Roman" w:hAnsi="Calibri" w:cs="Times New Roman"/>
          <w:i/>
          <w:sz w:val="20"/>
          <w:szCs w:val="20"/>
          <w:lang w:val="en-GB"/>
        </w:rPr>
      </w:pPr>
    </w:p>
    <w:p w14:paraId="40A705DC" w14:textId="5699528C" w:rsidR="00A77F92" w:rsidRPr="00A77F92" w:rsidRDefault="00A77F92" w:rsidP="00A77F92">
      <w:pPr>
        <w:spacing w:after="0" w:line="240" w:lineRule="auto"/>
        <w:rPr>
          <w:rFonts w:ascii="Calibri" w:eastAsia="Times New Roman" w:hAnsi="Calibri" w:cs="Times New Roman"/>
          <w:sz w:val="20"/>
          <w:szCs w:val="20"/>
          <w:lang w:val="en-GB"/>
        </w:rPr>
      </w:pPr>
      <w:r w:rsidRPr="00A77F92">
        <w:rPr>
          <w:rFonts w:ascii="Calibri" w:eastAsia="Times New Roman" w:hAnsi="Calibri" w:cs="Times New Roman"/>
          <w:sz w:val="20"/>
          <w:szCs w:val="20"/>
          <w:lang w:val="en-GB"/>
        </w:rPr>
        <w:t>1. PIF</w:t>
      </w:r>
    </w:p>
    <w:p w14:paraId="211DC7BB" w14:textId="1039B1D1" w:rsidR="00A77F92" w:rsidRDefault="00A77F92" w:rsidP="00A77F92">
      <w:pPr>
        <w:spacing w:after="0" w:line="240" w:lineRule="auto"/>
        <w:rPr>
          <w:rFonts w:ascii="Calibri" w:eastAsia="Times New Roman" w:hAnsi="Calibri" w:cs="Times New Roman"/>
          <w:sz w:val="20"/>
          <w:szCs w:val="20"/>
          <w:lang w:val="en-GB"/>
        </w:rPr>
      </w:pPr>
      <w:r>
        <w:rPr>
          <w:rFonts w:ascii="Calibri" w:eastAsia="Times New Roman" w:hAnsi="Calibri" w:cs="Times New Roman"/>
          <w:sz w:val="20"/>
          <w:szCs w:val="20"/>
          <w:lang w:val="en-GB"/>
        </w:rPr>
        <w:t>2. LPAC minutes</w:t>
      </w:r>
    </w:p>
    <w:p w14:paraId="14136B3D" w14:textId="04415242" w:rsidR="00A77F92" w:rsidRPr="00A77F92" w:rsidRDefault="007909A9" w:rsidP="00A77F92">
      <w:pPr>
        <w:spacing w:after="0" w:line="240" w:lineRule="auto"/>
        <w:rPr>
          <w:rFonts w:ascii="Calibri" w:eastAsia="Times New Roman" w:hAnsi="Calibri" w:cs="Times New Roman"/>
          <w:sz w:val="20"/>
          <w:szCs w:val="20"/>
          <w:lang w:val="en-GB"/>
        </w:rPr>
      </w:pPr>
      <w:r>
        <w:rPr>
          <w:rFonts w:ascii="Calibri" w:eastAsia="Times New Roman" w:hAnsi="Calibri" w:cs="Times New Roman"/>
          <w:sz w:val="20"/>
          <w:szCs w:val="20"/>
          <w:lang w:val="en-GB"/>
        </w:rPr>
        <w:t>3</w:t>
      </w:r>
      <w:r w:rsidR="00A77F92" w:rsidRPr="00A77F92">
        <w:rPr>
          <w:rFonts w:ascii="Calibri" w:eastAsia="Times New Roman" w:hAnsi="Calibri" w:cs="Times New Roman"/>
          <w:sz w:val="20"/>
          <w:szCs w:val="20"/>
          <w:lang w:val="en-GB"/>
        </w:rPr>
        <w:t xml:space="preserve">. </w:t>
      </w:r>
      <w:r w:rsidR="005027A6">
        <w:rPr>
          <w:rFonts w:ascii="Calibri" w:eastAsia="Times New Roman" w:hAnsi="Calibri" w:cs="Times New Roman"/>
          <w:sz w:val="20"/>
          <w:szCs w:val="20"/>
          <w:lang w:val="en-GB"/>
        </w:rPr>
        <w:t>Project Documents</w:t>
      </w:r>
    </w:p>
    <w:p w14:paraId="4805CCAA" w14:textId="091FDC38" w:rsidR="00A77F92" w:rsidRPr="00A77F92" w:rsidRDefault="007909A9" w:rsidP="00A77F92">
      <w:pPr>
        <w:spacing w:after="0" w:line="240" w:lineRule="auto"/>
        <w:rPr>
          <w:rFonts w:ascii="Calibri" w:eastAsia="Times New Roman" w:hAnsi="Calibri" w:cs="Times New Roman"/>
          <w:sz w:val="20"/>
          <w:szCs w:val="20"/>
          <w:lang w:val="en-GB"/>
        </w:rPr>
      </w:pPr>
      <w:r>
        <w:rPr>
          <w:rFonts w:ascii="Calibri" w:eastAsia="Times New Roman" w:hAnsi="Calibri" w:cs="Times New Roman"/>
          <w:sz w:val="20"/>
          <w:szCs w:val="20"/>
          <w:lang w:val="en-GB"/>
        </w:rPr>
        <w:t>4</w:t>
      </w:r>
      <w:r w:rsidR="00A77F92" w:rsidRPr="00A77F92">
        <w:rPr>
          <w:rFonts w:ascii="Calibri" w:eastAsia="Times New Roman" w:hAnsi="Calibri" w:cs="Times New Roman"/>
          <w:sz w:val="20"/>
          <w:szCs w:val="20"/>
          <w:lang w:val="en-GB"/>
        </w:rPr>
        <w:t>. Environmental and Social Screening results</w:t>
      </w:r>
    </w:p>
    <w:p w14:paraId="218976DE" w14:textId="3BADFE18" w:rsidR="00A77F92" w:rsidRPr="00A77F92" w:rsidRDefault="007909A9" w:rsidP="00A77F92">
      <w:pPr>
        <w:spacing w:after="0" w:line="240" w:lineRule="auto"/>
        <w:rPr>
          <w:rFonts w:ascii="Calibri" w:eastAsia="Times New Roman" w:hAnsi="Calibri" w:cs="Times New Roman"/>
          <w:sz w:val="20"/>
          <w:szCs w:val="20"/>
          <w:lang w:val="en-GB"/>
        </w:rPr>
      </w:pPr>
      <w:r>
        <w:rPr>
          <w:rFonts w:ascii="Calibri" w:eastAsia="Times New Roman" w:hAnsi="Calibri" w:cs="Times New Roman"/>
          <w:sz w:val="20"/>
          <w:szCs w:val="20"/>
          <w:lang w:val="en-GB"/>
        </w:rPr>
        <w:t>5</w:t>
      </w:r>
      <w:r w:rsidR="00A77F92" w:rsidRPr="00A77F92">
        <w:rPr>
          <w:rFonts w:ascii="Calibri" w:eastAsia="Times New Roman" w:hAnsi="Calibri" w:cs="Times New Roman"/>
          <w:sz w:val="20"/>
          <w:szCs w:val="20"/>
          <w:lang w:val="en-GB"/>
        </w:rPr>
        <w:t xml:space="preserve">. Project Inception Report </w:t>
      </w:r>
    </w:p>
    <w:p w14:paraId="31A1E5B6" w14:textId="23F72D7B" w:rsidR="00A77F92" w:rsidRPr="00A77F92" w:rsidRDefault="007909A9" w:rsidP="00A77F92">
      <w:pPr>
        <w:spacing w:after="0" w:line="240" w:lineRule="auto"/>
        <w:rPr>
          <w:rFonts w:ascii="Calibri" w:eastAsia="Times New Roman" w:hAnsi="Calibri" w:cs="Times New Roman"/>
          <w:sz w:val="20"/>
          <w:szCs w:val="20"/>
          <w:lang w:val="en-GB"/>
        </w:rPr>
      </w:pPr>
      <w:r>
        <w:rPr>
          <w:rFonts w:ascii="Calibri" w:eastAsia="Times New Roman" w:hAnsi="Calibri" w:cs="Times New Roman"/>
          <w:sz w:val="20"/>
          <w:szCs w:val="20"/>
          <w:lang w:val="en-GB"/>
        </w:rPr>
        <w:t>6</w:t>
      </w:r>
      <w:r w:rsidR="00A77F92" w:rsidRPr="00A77F92">
        <w:rPr>
          <w:rFonts w:ascii="Calibri" w:eastAsia="Times New Roman" w:hAnsi="Calibri" w:cs="Times New Roman"/>
          <w:sz w:val="20"/>
          <w:szCs w:val="20"/>
          <w:lang w:val="en-GB"/>
        </w:rPr>
        <w:t>. All Project Implementation Reports (PIR’s)</w:t>
      </w:r>
    </w:p>
    <w:p w14:paraId="2AF64066" w14:textId="6BB48735" w:rsidR="00A77F92" w:rsidRPr="00A77F92" w:rsidRDefault="007909A9" w:rsidP="00A77F92">
      <w:pPr>
        <w:spacing w:after="0" w:line="240" w:lineRule="auto"/>
        <w:rPr>
          <w:rFonts w:ascii="Calibri" w:eastAsia="Times New Roman" w:hAnsi="Calibri" w:cs="Times New Roman"/>
          <w:sz w:val="20"/>
          <w:szCs w:val="20"/>
          <w:lang w:val="en-GB"/>
        </w:rPr>
      </w:pPr>
      <w:r>
        <w:rPr>
          <w:rFonts w:ascii="Calibri" w:eastAsia="Times New Roman" w:hAnsi="Calibri" w:cs="Times New Roman"/>
          <w:sz w:val="20"/>
          <w:szCs w:val="20"/>
          <w:lang w:val="en-GB"/>
        </w:rPr>
        <w:t>7</w:t>
      </w:r>
      <w:r w:rsidR="00A77F92" w:rsidRPr="00A77F92">
        <w:rPr>
          <w:rFonts w:ascii="Calibri" w:eastAsia="Times New Roman" w:hAnsi="Calibri" w:cs="Times New Roman"/>
          <w:sz w:val="20"/>
          <w:szCs w:val="20"/>
          <w:lang w:val="en-GB"/>
        </w:rPr>
        <w:t xml:space="preserve">. </w:t>
      </w:r>
      <w:r w:rsidR="00FC109B">
        <w:rPr>
          <w:rFonts w:ascii="Calibri" w:eastAsia="Times New Roman" w:hAnsi="Calibri" w:cs="Times New Roman"/>
          <w:sz w:val="20"/>
          <w:szCs w:val="20"/>
          <w:lang w:val="en-GB"/>
        </w:rPr>
        <w:t>Annual workplans</w:t>
      </w:r>
    </w:p>
    <w:p w14:paraId="44115542" w14:textId="70CE2667" w:rsidR="00A77F92" w:rsidRPr="00A77F92" w:rsidRDefault="007909A9" w:rsidP="00A77F92">
      <w:pPr>
        <w:spacing w:after="0" w:line="240" w:lineRule="auto"/>
        <w:rPr>
          <w:rFonts w:ascii="Calibri" w:eastAsia="Times New Roman" w:hAnsi="Calibri" w:cs="Times New Roman"/>
          <w:sz w:val="20"/>
          <w:szCs w:val="20"/>
          <w:lang w:val="en-GB"/>
        </w:rPr>
      </w:pPr>
      <w:r>
        <w:rPr>
          <w:rFonts w:ascii="Calibri" w:eastAsia="Times New Roman" w:hAnsi="Calibri" w:cs="Times New Roman"/>
          <w:sz w:val="20"/>
          <w:szCs w:val="20"/>
          <w:lang w:val="en-GB"/>
        </w:rPr>
        <w:t>8</w:t>
      </w:r>
      <w:r w:rsidR="00A77F92" w:rsidRPr="00A77F92">
        <w:rPr>
          <w:rFonts w:ascii="Calibri" w:eastAsia="Times New Roman" w:hAnsi="Calibri" w:cs="Times New Roman"/>
          <w:sz w:val="20"/>
          <w:szCs w:val="20"/>
          <w:lang w:val="en-GB"/>
        </w:rPr>
        <w:t>. Midterm Review Report</w:t>
      </w:r>
    </w:p>
    <w:p w14:paraId="68009466" w14:textId="5B40EEF1" w:rsidR="00A77F92" w:rsidRPr="00A77F92" w:rsidRDefault="007909A9" w:rsidP="00A77F92">
      <w:pPr>
        <w:spacing w:after="0" w:line="240" w:lineRule="auto"/>
        <w:rPr>
          <w:rFonts w:ascii="Calibri" w:eastAsia="Times New Roman" w:hAnsi="Calibri" w:cs="Times New Roman"/>
          <w:sz w:val="20"/>
          <w:szCs w:val="20"/>
          <w:lang w:val="en-GB"/>
        </w:rPr>
      </w:pPr>
      <w:r>
        <w:rPr>
          <w:rFonts w:ascii="Calibri" w:eastAsia="Times New Roman" w:hAnsi="Calibri" w:cs="Times New Roman"/>
          <w:sz w:val="20"/>
          <w:szCs w:val="20"/>
          <w:lang w:val="en-GB"/>
        </w:rPr>
        <w:t>9</w:t>
      </w:r>
      <w:r w:rsidR="00A77F92" w:rsidRPr="00A77F92">
        <w:rPr>
          <w:rFonts w:ascii="Calibri" w:eastAsia="Times New Roman" w:hAnsi="Calibri" w:cs="Times New Roman"/>
          <w:sz w:val="20"/>
          <w:szCs w:val="20"/>
          <w:lang w:val="en-GB"/>
        </w:rPr>
        <w:t xml:space="preserve">. Oversight mission reports  </w:t>
      </w:r>
    </w:p>
    <w:p w14:paraId="7949FB92" w14:textId="16344994" w:rsidR="00A77F92" w:rsidRPr="00A77F92" w:rsidRDefault="007909A9" w:rsidP="00A77F92">
      <w:pPr>
        <w:spacing w:after="0" w:line="240" w:lineRule="auto"/>
        <w:rPr>
          <w:rFonts w:ascii="Calibri" w:eastAsia="Times New Roman" w:hAnsi="Calibri" w:cs="Times New Roman"/>
          <w:sz w:val="20"/>
          <w:szCs w:val="20"/>
          <w:lang w:val="en-GB"/>
        </w:rPr>
      </w:pPr>
      <w:r>
        <w:rPr>
          <w:rFonts w:ascii="Calibri" w:eastAsia="Times New Roman" w:hAnsi="Calibri" w:cs="Times New Roman"/>
          <w:sz w:val="20"/>
          <w:szCs w:val="20"/>
          <w:lang w:val="en-GB"/>
        </w:rPr>
        <w:t>10</w:t>
      </w:r>
      <w:r w:rsidR="00A77F92" w:rsidRPr="00A77F92">
        <w:rPr>
          <w:rFonts w:ascii="Calibri" w:eastAsia="Times New Roman" w:hAnsi="Calibri" w:cs="Times New Roman"/>
          <w:sz w:val="20"/>
          <w:szCs w:val="20"/>
          <w:lang w:val="en-GB"/>
        </w:rPr>
        <w:t>. All monitoring reports prepared by the project</w:t>
      </w:r>
    </w:p>
    <w:p w14:paraId="26450D2C" w14:textId="1A8C2857" w:rsidR="00A77F92" w:rsidRPr="00A77F92" w:rsidRDefault="00A77F92" w:rsidP="00A77F92">
      <w:pPr>
        <w:spacing w:after="0" w:line="240" w:lineRule="auto"/>
        <w:rPr>
          <w:rFonts w:ascii="Calibri" w:eastAsia="Times New Roman" w:hAnsi="Calibri" w:cs="Times New Roman"/>
          <w:sz w:val="20"/>
          <w:szCs w:val="20"/>
          <w:lang w:val="en-GB"/>
        </w:rPr>
      </w:pPr>
      <w:r>
        <w:rPr>
          <w:rFonts w:ascii="Calibri" w:eastAsia="Times New Roman" w:hAnsi="Calibri" w:cs="Times New Roman"/>
          <w:sz w:val="20"/>
          <w:szCs w:val="20"/>
          <w:lang w:val="en-GB"/>
        </w:rPr>
        <w:t>1</w:t>
      </w:r>
      <w:r w:rsidR="007909A9">
        <w:rPr>
          <w:rFonts w:ascii="Calibri" w:eastAsia="Times New Roman" w:hAnsi="Calibri" w:cs="Times New Roman"/>
          <w:sz w:val="20"/>
          <w:szCs w:val="20"/>
          <w:lang w:val="en-GB"/>
        </w:rPr>
        <w:t>1</w:t>
      </w:r>
      <w:r w:rsidRPr="00A77F92">
        <w:rPr>
          <w:rFonts w:ascii="Calibri" w:eastAsia="Times New Roman" w:hAnsi="Calibri" w:cs="Times New Roman"/>
          <w:sz w:val="20"/>
          <w:szCs w:val="20"/>
          <w:lang w:val="en-GB"/>
        </w:rPr>
        <w:t>. Financial and Administration guidelines used by Project Team</w:t>
      </w:r>
    </w:p>
    <w:p w14:paraId="421711A6" w14:textId="77777777" w:rsidR="00A77F92" w:rsidRPr="00A77F92" w:rsidRDefault="00A77F92" w:rsidP="00A77F92">
      <w:pPr>
        <w:spacing w:after="0" w:line="240" w:lineRule="auto"/>
        <w:rPr>
          <w:rFonts w:ascii="Calibri" w:eastAsia="Times New Roman" w:hAnsi="Calibri" w:cs="Times New Roman"/>
          <w:sz w:val="20"/>
          <w:szCs w:val="20"/>
          <w:lang w:val="en-GB"/>
        </w:rPr>
      </w:pPr>
    </w:p>
    <w:p w14:paraId="0A0CDDC8" w14:textId="77777777" w:rsidR="00A77F92" w:rsidRPr="00A77F92" w:rsidRDefault="00A77F92" w:rsidP="00A77F92">
      <w:pPr>
        <w:spacing w:after="0" w:line="240" w:lineRule="auto"/>
        <w:rPr>
          <w:rFonts w:ascii="Calibri" w:eastAsia="Times New Roman" w:hAnsi="Calibri" w:cs="Times New Roman"/>
          <w:sz w:val="20"/>
          <w:szCs w:val="20"/>
          <w:lang w:val="en-GB"/>
        </w:rPr>
      </w:pPr>
      <w:r w:rsidRPr="00A77F92">
        <w:rPr>
          <w:rFonts w:ascii="Calibri" w:eastAsia="Times New Roman" w:hAnsi="Calibri" w:cs="Times New Roman"/>
          <w:sz w:val="20"/>
          <w:szCs w:val="20"/>
          <w:lang w:val="en-GB"/>
        </w:rPr>
        <w:t>The following documents will also be available:</w:t>
      </w:r>
    </w:p>
    <w:p w14:paraId="2AA4F848" w14:textId="0DACF80F" w:rsidR="00A77F92" w:rsidRPr="00A77F92" w:rsidRDefault="00A77F92" w:rsidP="00A77F92">
      <w:pPr>
        <w:spacing w:after="0" w:line="240" w:lineRule="auto"/>
        <w:rPr>
          <w:rFonts w:ascii="Calibri" w:eastAsia="Times New Roman" w:hAnsi="Calibri" w:cs="Times New Roman"/>
          <w:sz w:val="20"/>
          <w:szCs w:val="20"/>
          <w:lang w:val="en-GB"/>
        </w:rPr>
      </w:pPr>
      <w:r>
        <w:rPr>
          <w:rFonts w:ascii="Calibri" w:eastAsia="Times New Roman" w:hAnsi="Calibri" w:cs="Times New Roman"/>
          <w:sz w:val="20"/>
          <w:szCs w:val="20"/>
          <w:lang w:val="en-GB"/>
        </w:rPr>
        <w:t>1</w:t>
      </w:r>
      <w:r w:rsidR="007909A9">
        <w:rPr>
          <w:rFonts w:ascii="Calibri" w:eastAsia="Times New Roman" w:hAnsi="Calibri" w:cs="Times New Roman"/>
          <w:sz w:val="20"/>
          <w:szCs w:val="20"/>
          <w:lang w:val="en-GB"/>
        </w:rPr>
        <w:t>2</w:t>
      </w:r>
      <w:r w:rsidRPr="00A77F92">
        <w:rPr>
          <w:rFonts w:ascii="Calibri" w:eastAsia="Times New Roman" w:hAnsi="Calibri" w:cs="Times New Roman"/>
          <w:sz w:val="20"/>
          <w:szCs w:val="20"/>
          <w:lang w:val="en-GB"/>
        </w:rPr>
        <w:t>. Project operational guidelines, manuals and systems</w:t>
      </w:r>
    </w:p>
    <w:p w14:paraId="15D5A598" w14:textId="18F4938E" w:rsidR="00A77F92" w:rsidRPr="00A77F92" w:rsidRDefault="00A77F92" w:rsidP="00A77F92">
      <w:pPr>
        <w:spacing w:after="0" w:line="240" w:lineRule="auto"/>
        <w:rPr>
          <w:rFonts w:ascii="Calibri" w:eastAsia="Times New Roman" w:hAnsi="Calibri" w:cs="Times New Roman"/>
          <w:sz w:val="20"/>
          <w:szCs w:val="20"/>
          <w:lang w:val="en-GB"/>
        </w:rPr>
      </w:pPr>
      <w:r>
        <w:rPr>
          <w:rFonts w:ascii="Calibri" w:eastAsia="Times New Roman" w:hAnsi="Calibri" w:cs="Times New Roman"/>
          <w:sz w:val="20"/>
          <w:szCs w:val="20"/>
          <w:lang w:val="en-GB"/>
        </w:rPr>
        <w:t>1</w:t>
      </w:r>
      <w:r w:rsidR="007909A9">
        <w:rPr>
          <w:rFonts w:ascii="Calibri" w:eastAsia="Times New Roman" w:hAnsi="Calibri" w:cs="Times New Roman"/>
          <w:sz w:val="20"/>
          <w:szCs w:val="20"/>
          <w:lang w:val="en-GB"/>
        </w:rPr>
        <w:t>3</w:t>
      </w:r>
      <w:r w:rsidRPr="00A77F92">
        <w:rPr>
          <w:rFonts w:ascii="Calibri" w:eastAsia="Times New Roman" w:hAnsi="Calibri" w:cs="Times New Roman"/>
          <w:sz w:val="20"/>
          <w:szCs w:val="20"/>
          <w:lang w:val="en-GB"/>
        </w:rPr>
        <w:t>. UNDP country/countries programme document(s)</w:t>
      </w:r>
    </w:p>
    <w:p w14:paraId="403E7DFA" w14:textId="14880DF0" w:rsidR="00A77F92" w:rsidRPr="00A77F92" w:rsidRDefault="00A77F92" w:rsidP="00A77F92">
      <w:pPr>
        <w:spacing w:after="0" w:line="240" w:lineRule="auto"/>
        <w:rPr>
          <w:rFonts w:ascii="Calibri" w:eastAsia="Times New Roman" w:hAnsi="Calibri" w:cs="Times New Roman"/>
          <w:sz w:val="20"/>
          <w:szCs w:val="20"/>
          <w:lang w:val="en-GB"/>
        </w:rPr>
      </w:pPr>
      <w:r>
        <w:rPr>
          <w:rFonts w:ascii="Calibri" w:eastAsia="Times New Roman" w:hAnsi="Calibri" w:cs="Times New Roman"/>
          <w:sz w:val="20"/>
          <w:szCs w:val="20"/>
          <w:lang w:val="en-GB"/>
        </w:rPr>
        <w:t>1</w:t>
      </w:r>
      <w:r w:rsidR="007909A9">
        <w:rPr>
          <w:rFonts w:ascii="Calibri" w:eastAsia="Times New Roman" w:hAnsi="Calibri" w:cs="Times New Roman"/>
          <w:sz w:val="20"/>
          <w:szCs w:val="20"/>
          <w:lang w:val="en-GB"/>
        </w:rPr>
        <w:t>4</w:t>
      </w:r>
      <w:r w:rsidRPr="00A77F92">
        <w:rPr>
          <w:rFonts w:ascii="Calibri" w:eastAsia="Times New Roman" w:hAnsi="Calibri" w:cs="Times New Roman"/>
          <w:sz w:val="20"/>
          <w:szCs w:val="20"/>
          <w:lang w:val="en-GB"/>
        </w:rPr>
        <w:t>. Minutes of the “Initial Implementation of Accelerated HCFC Phase Out in the CEIT Region</w:t>
      </w:r>
    </w:p>
    <w:p w14:paraId="34DB0BBB" w14:textId="4E547486" w:rsidR="00A77F92" w:rsidRDefault="00A77F92" w:rsidP="00954428">
      <w:pPr>
        <w:spacing w:after="0" w:line="240" w:lineRule="auto"/>
        <w:rPr>
          <w:rFonts w:ascii="Calibri" w:eastAsia="Times New Roman" w:hAnsi="Calibri" w:cs="Times New Roman"/>
          <w:sz w:val="20"/>
          <w:szCs w:val="20"/>
          <w:lang w:val="en-GB"/>
        </w:rPr>
      </w:pPr>
      <w:r w:rsidRPr="00A77F92">
        <w:rPr>
          <w:rFonts w:ascii="Calibri" w:eastAsia="Times New Roman" w:hAnsi="Calibri" w:cs="Times New Roman"/>
          <w:sz w:val="20"/>
          <w:szCs w:val="20"/>
          <w:lang w:val="en-GB"/>
        </w:rPr>
        <w:t>(Belarus, Tajikistan, Ukraine and Uzbekistan)” Board Meetings and other meetings (i.e. Projec</w:t>
      </w:r>
      <w:r>
        <w:rPr>
          <w:rFonts w:ascii="Calibri" w:eastAsia="Times New Roman" w:hAnsi="Calibri" w:cs="Times New Roman"/>
          <w:sz w:val="20"/>
          <w:szCs w:val="20"/>
          <w:lang w:val="en-GB"/>
        </w:rPr>
        <w:t>t Appraisal Committee meetings)</w:t>
      </w:r>
    </w:p>
    <w:p w14:paraId="0E95983A" w14:textId="79240EA4" w:rsidR="00B70BAF" w:rsidRDefault="007909A9" w:rsidP="00954428">
      <w:pPr>
        <w:spacing w:after="0" w:line="240" w:lineRule="auto"/>
        <w:rPr>
          <w:rFonts w:ascii="Calibri" w:eastAsia="Times New Roman" w:hAnsi="Calibri" w:cs="Times New Roman"/>
          <w:sz w:val="20"/>
          <w:szCs w:val="20"/>
          <w:lang w:val="en-GB"/>
        </w:rPr>
      </w:pPr>
      <w:r>
        <w:rPr>
          <w:rFonts w:ascii="Calibri" w:eastAsia="Times New Roman" w:hAnsi="Calibri" w:cs="Times New Roman"/>
          <w:sz w:val="20"/>
          <w:szCs w:val="20"/>
          <w:lang w:val="en-GB"/>
        </w:rPr>
        <w:t xml:space="preserve">15. </w:t>
      </w:r>
      <w:r w:rsidR="00DD7C13">
        <w:rPr>
          <w:rFonts w:ascii="Calibri" w:eastAsia="Times New Roman" w:hAnsi="Calibri" w:cs="Times New Roman"/>
          <w:sz w:val="20"/>
          <w:szCs w:val="20"/>
          <w:lang w:val="en-GB"/>
        </w:rPr>
        <w:t>Technical reports</w:t>
      </w:r>
      <w:r>
        <w:rPr>
          <w:rFonts w:ascii="Calibri" w:eastAsia="Times New Roman" w:hAnsi="Calibri" w:cs="Times New Roman"/>
          <w:sz w:val="20"/>
          <w:szCs w:val="20"/>
          <w:lang w:val="en-GB"/>
        </w:rPr>
        <w:t xml:space="preserve"> documents p</w:t>
      </w:r>
      <w:r w:rsidR="007648DB">
        <w:rPr>
          <w:rFonts w:ascii="Calibri" w:eastAsia="Times New Roman" w:hAnsi="Calibri" w:cs="Times New Roman"/>
          <w:sz w:val="20"/>
          <w:szCs w:val="20"/>
          <w:lang w:val="en-GB"/>
        </w:rPr>
        <w:t>repared</w:t>
      </w:r>
      <w:r>
        <w:rPr>
          <w:rFonts w:ascii="Calibri" w:eastAsia="Times New Roman" w:hAnsi="Calibri" w:cs="Times New Roman"/>
          <w:sz w:val="20"/>
          <w:szCs w:val="20"/>
          <w:lang w:val="en-GB"/>
        </w:rPr>
        <w:t xml:space="preserve"> by the project</w:t>
      </w:r>
    </w:p>
    <w:p w14:paraId="6C9A067C" w14:textId="77777777" w:rsidR="007909A9" w:rsidRPr="00A77F92" w:rsidRDefault="007909A9" w:rsidP="00954428">
      <w:pPr>
        <w:spacing w:after="0" w:line="240" w:lineRule="auto"/>
        <w:rPr>
          <w:rFonts w:ascii="Calibri" w:eastAsia="Times New Roman" w:hAnsi="Calibri" w:cs="Times New Roman"/>
          <w:sz w:val="20"/>
          <w:szCs w:val="20"/>
          <w:lang w:val="en-GB"/>
        </w:rPr>
      </w:pPr>
    </w:p>
    <w:p w14:paraId="115EE9FE" w14:textId="74A1522F" w:rsidR="00A77F92" w:rsidRDefault="00A77F92" w:rsidP="00954428">
      <w:pPr>
        <w:spacing w:after="0" w:line="240" w:lineRule="auto"/>
        <w:rPr>
          <w:rFonts w:ascii="Calibri" w:eastAsia="Times New Roman" w:hAnsi="Calibri" w:cs="Times New Roman"/>
          <w:i/>
          <w:sz w:val="20"/>
          <w:szCs w:val="20"/>
          <w:lang w:val="en-GB"/>
        </w:rPr>
      </w:pPr>
    </w:p>
    <w:p w14:paraId="6BDACEFB" w14:textId="68FDC49D" w:rsidR="00A77F92" w:rsidRDefault="00A77F92" w:rsidP="00954428">
      <w:pPr>
        <w:spacing w:after="0" w:line="240" w:lineRule="auto"/>
        <w:rPr>
          <w:rFonts w:ascii="Calibri" w:eastAsia="Times New Roman" w:hAnsi="Calibri" w:cs="Times New Roman"/>
          <w:i/>
          <w:sz w:val="20"/>
          <w:szCs w:val="20"/>
          <w:lang w:val="en-GB"/>
        </w:rPr>
      </w:pPr>
    </w:p>
    <w:p w14:paraId="6A6CB53E" w14:textId="460B63AE" w:rsidR="00A77F92" w:rsidRDefault="00A77F92" w:rsidP="00954428">
      <w:pPr>
        <w:spacing w:after="0" w:line="240" w:lineRule="auto"/>
        <w:rPr>
          <w:rFonts w:ascii="Calibri" w:eastAsia="Times New Roman" w:hAnsi="Calibri" w:cs="Times New Roman"/>
          <w:i/>
          <w:sz w:val="20"/>
          <w:szCs w:val="20"/>
          <w:lang w:val="en-GB"/>
        </w:rPr>
      </w:pPr>
    </w:p>
    <w:p w14:paraId="3DFBEAA5" w14:textId="0C9E159F" w:rsidR="00A77F92" w:rsidRDefault="00A77F92" w:rsidP="00954428">
      <w:pPr>
        <w:spacing w:after="0" w:line="240" w:lineRule="auto"/>
        <w:rPr>
          <w:rFonts w:ascii="Calibri" w:eastAsia="Times New Roman" w:hAnsi="Calibri" w:cs="Times New Roman"/>
          <w:i/>
          <w:sz w:val="20"/>
          <w:szCs w:val="20"/>
          <w:lang w:val="en-GB"/>
        </w:rPr>
      </w:pPr>
    </w:p>
    <w:p w14:paraId="27B020E5" w14:textId="33279AED" w:rsidR="00A77F92" w:rsidRDefault="00A77F92" w:rsidP="00954428">
      <w:pPr>
        <w:spacing w:after="0" w:line="240" w:lineRule="auto"/>
        <w:rPr>
          <w:rFonts w:ascii="Calibri" w:eastAsia="Times New Roman" w:hAnsi="Calibri" w:cs="Times New Roman"/>
          <w:i/>
          <w:sz w:val="20"/>
          <w:szCs w:val="20"/>
          <w:lang w:val="en-GB"/>
        </w:rPr>
      </w:pPr>
    </w:p>
    <w:p w14:paraId="116F4B72" w14:textId="543F5661" w:rsidR="00A77F92" w:rsidRDefault="00A77F92" w:rsidP="00954428">
      <w:pPr>
        <w:spacing w:after="0" w:line="240" w:lineRule="auto"/>
        <w:rPr>
          <w:rFonts w:ascii="Calibri" w:eastAsia="Times New Roman" w:hAnsi="Calibri" w:cs="Times New Roman"/>
          <w:i/>
          <w:sz w:val="20"/>
          <w:szCs w:val="20"/>
          <w:lang w:val="en-GB"/>
        </w:rPr>
      </w:pPr>
    </w:p>
    <w:p w14:paraId="1CE1AFB1" w14:textId="406E1166" w:rsidR="00A77F92" w:rsidRDefault="00A77F92" w:rsidP="00954428">
      <w:pPr>
        <w:spacing w:after="0" w:line="240" w:lineRule="auto"/>
        <w:rPr>
          <w:rFonts w:ascii="Calibri" w:eastAsia="Times New Roman" w:hAnsi="Calibri" w:cs="Times New Roman"/>
          <w:i/>
          <w:sz w:val="20"/>
          <w:szCs w:val="20"/>
          <w:lang w:val="en-GB"/>
        </w:rPr>
      </w:pPr>
    </w:p>
    <w:p w14:paraId="599E5DE7" w14:textId="136AC85C" w:rsidR="00A77F92" w:rsidRDefault="00A77F92" w:rsidP="00954428">
      <w:pPr>
        <w:spacing w:after="0" w:line="240" w:lineRule="auto"/>
        <w:rPr>
          <w:rFonts w:ascii="Calibri" w:eastAsia="Times New Roman" w:hAnsi="Calibri" w:cs="Times New Roman"/>
          <w:i/>
          <w:sz w:val="20"/>
          <w:szCs w:val="20"/>
          <w:lang w:val="en-GB"/>
        </w:rPr>
      </w:pPr>
    </w:p>
    <w:p w14:paraId="02951B50" w14:textId="27C99495" w:rsidR="00A77F92" w:rsidRDefault="00A77F92" w:rsidP="00954428">
      <w:pPr>
        <w:spacing w:after="0" w:line="240" w:lineRule="auto"/>
        <w:rPr>
          <w:rFonts w:ascii="Calibri" w:eastAsia="Times New Roman" w:hAnsi="Calibri" w:cs="Times New Roman"/>
          <w:i/>
          <w:sz w:val="20"/>
          <w:szCs w:val="20"/>
          <w:lang w:val="en-GB"/>
        </w:rPr>
      </w:pPr>
    </w:p>
    <w:p w14:paraId="7B55DBC9" w14:textId="74E9CF35" w:rsidR="00A77F92" w:rsidRDefault="00A77F92" w:rsidP="00954428">
      <w:pPr>
        <w:spacing w:after="0" w:line="240" w:lineRule="auto"/>
        <w:rPr>
          <w:rFonts w:ascii="Calibri" w:eastAsia="Times New Roman" w:hAnsi="Calibri" w:cs="Times New Roman"/>
          <w:i/>
          <w:sz w:val="20"/>
          <w:szCs w:val="20"/>
          <w:lang w:val="en-GB"/>
        </w:rPr>
      </w:pPr>
    </w:p>
    <w:p w14:paraId="48BF1D1D" w14:textId="1FC397C5" w:rsidR="00A77F92" w:rsidRDefault="00A77F92" w:rsidP="00954428">
      <w:pPr>
        <w:spacing w:after="0" w:line="240" w:lineRule="auto"/>
        <w:rPr>
          <w:rFonts w:ascii="Calibri" w:eastAsia="Times New Roman" w:hAnsi="Calibri" w:cs="Times New Roman"/>
          <w:i/>
          <w:sz w:val="20"/>
          <w:szCs w:val="20"/>
          <w:lang w:val="en-GB"/>
        </w:rPr>
      </w:pPr>
    </w:p>
    <w:p w14:paraId="2DA22B92" w14:textId="22A412A2" w:rsidR="00A77F92" w:rsidRDefault="00A77F92" w:rsidP="00954428">
      <w:pPr>
        <w:spacing w:after="0" w:line="240" w:lineRule="auto"/>
        <w:rPr>
          <w:rFonts w:ascii="Calibri" w:eastAsia="Times New Roman" w:hAnsi="Calibri" w:cs="Times New Roman"/>
          <w:i/>
          <w:sz w:val="20"/>
          <w:szCs w:val="20"/>
          <w:lang w:val="en-GB"/>
        </w:rPr>
      </w:pPr>
    </w:p>
    <w:p w14:paraId="0B6B8BF9" w14:textId="62639522" w:rsidR="00A77F92" w:rsidRDefault="00A77F92" w:rsidP="00954428">
      <w:pPr>
        <w:spacing w:after="0" w:line="240" w:lineRule="auto"/>
        <w:rPr>
          <w:rFonts w:ascii="Calibri" w:eastAsia="Times New Roman" w:hAnsi="Calibri" w:cs="Times New Roman"/>
          <w:i/>
          <w:sz w:val="20"/>
          <w:szCs w:val="20"/>
          <w:lang w:val="en-GB"/>
        </w:rPr>
      </w:pPr>
    </w:p>
    <w:p w14:paraId="215D2001" w14:textId="7ED789A1" w:rsidR="00A77F92" w:rsidRDefault="00A77F92" w:rsidP="00954428">
      <w:pPr>
        <w:spacing w:after="0" w:line="240" w:lineRule="auto"/>
        <w:rPr>
          <w:rFonts w:ascii="Calibri" w:eastAsia="Times New Roman" w:hAnsi="Calibri" w:cs="Times New Roman"/>
          <w:i/>
          <w:sz w:val="20"/>
          <w:szCs w:val="20"/>
          <w:lang w:val="en-GB"/>
        </w:rPr>
      </w:pPr>
    </w:p>
    <w:p w14:paraId="2DC7D38F" w14:textId="6860C01E" w:rsidR="00A77F92" w:rsidRDefault="00A77F92" w:rsidP="00954428">
      <w:pPr>
        <w:spacing w:after="0" w:line="240" w:lineRule="auto"/>
        <w:rPr>
          <w:rFonts w:ascii="Calibri" w:eastAsia="Times New Roman" w:hAnsi="Calibri" w:cs="Times New Roman"/>
          <w:i/>
          <w:sz w:val="20"/>
          <w:szCs w:val="20"/>
          <w:lang w:val="en-GB"/>
        </w:rPr>
      </w:pPr>
    </w:p>
    <w:p w14:paraId="62B71AD5" w14:textId="2B437327" w:rsidR="00A77F92" w:rsidRDefault="00A77F92" w:rsidP="00954428">
      <w:pPr>
        <w:spacing w:after="0" w:line="240" w:lineRule="auto"/>
        <w:rPr>
          <w:rFonts w:ascii="Calibri" w:eastAsia="Times New Roman" w:hAnsi="Calibri" w:cs="Times New Roman"/>
          <w:i/>
          <w:sz w:val="20"/>
          <w:szCs w:val="20"/>
          <w:lang w:val="en-GB"/>
        </w:rPr>
      </w:pPr>
    </w:p>
    <w:p w14:paraId="55A567FF" w14:textId="46104737" w:rsidR="00A77F92" w:rsidRDefault="00A77F92" w:rsidP="00954428">
      <w:pPr>
        <w:spacing w:after="0" w:line="240" w:lineRule="auto"/>
        <w:rPr>
          <w:rFonts w:ascii="Calibri" w:eastAsia="Times New Roman" w:hAnsi="Calibri" w:cs="Times New Roman"/>
          <w:i/>
          <w:sz w:val="20"/>
          <w:szCs w:val="20"/>
          <w:lang w:val="en-GB"/>
        </w:rPr>
      </w:pPr>
    </w:p>
    <w:p w14:paraId="7988E00B" w14:textId="0172204D" w:rsidR="00A77F92" w:rsidRDefault="00A77F92" w:rsidP="00954428">
      <w:pPr>
        <w:spacing w:after="0" w:line="240" w:lineRule="auto"/>
        <w:rPr>
          <w:rFonts w:ascii="Calibri" w:eastAsia="Times New Roman" w:hAnsi="Calibri" w:cs="Times New Roman"/>
          <w:i/>
          <w:sz w:val="20"/>
          <w:szCs w:val="20"/>
          <w:lang w:val="en-GB"/>
        </w:rPr>
      </w:pPr>
    </w:p>
    <w:p w14:paraId="124DE432" w14:textId="6D90977B" w:rsidR="00A77F92" w:rsidRDefault="00A77F92" w:rsidP="00954428">
      <w:pPr>
        <w:spacing w:after="0" w:line="240" w:lineRule="auto"/>
        <w:rPr>
          <w:rFonts w:ascii="Calibri" w:eastAsia="Times New Roman" w:hAnsi="Calibri" w:cs="Times New Roman"/>
          <w:i/>
          <w:sz w:val="20"/>
          <w:szCs w:val="20"/>
          <w:lang w:val="en-GB"/>
        </w:rPr>
      </w:pPr>
    </w:p>
    <w:p w14:paraId="5F10385A" w14:textId="697463A5" w:rsidR="00A77F92" w:rsidRDefault="00A77F92" w:rsidP="00954428">
      <w:pPr>
        <w:spacing w:after="0" w:line="240" w:lineRule="auto"/>
        <w:rPr>
          <w:rFonts w:ascii="Calibri" w:eastAsia="Times New Roman" w:hAnsi="Calibri" w:cs="Times New Roman"/>
          <w:i/>
          <w:sz w:val="20"/>
          <w:szCs w:val="20"/>
          <w:lang w:val="en-GB"/>
        </w:rPr>
      </w:pPr>
    </w:p>
    <w:p w14:paraId="311F9B0B" w14:textId="67F8818C" w:rsidR="00A77F92" w:rsidRDefault="00A77F92" w:rsidP="00954428">
      <w:pPr>
        <w:spacing w:after="0" w:line="240" w:lineRule="auto"/>
        <w:rPr>
          <w:rFonts w:ascii="Calibri" w:eastAsia="Times New Roman" w:hAnsi="Calibri" w:cs="Times New Roman"/>
          <w:i/>
          <w:sz w:val="20"/>
          <w:szCs w:val="20"/>
          <w:lang w:val="en-GB"/>
        </w:rPr>
      </w:pPr>
    </w:p>
    <w:p w14:paraId="438ED07E" w14:textId="0872B780" w:rsidR="00A77F92" w:rsidRDefault="00A77F92" w:rsidP="00954428">
      <w:pPr>
        <w:spacing w:after="0" w:line="240" w:lineRule="auto"/>
        <w:rPr>
          <w:rFonts w:ascii="Calibri" w:eastAsia="Times New Roman" w:hAnsi="Calibri" w:cs="Times New Roman"/>
          <w:i/>
          <w:sz w:val="20"/>
          <w:szCs w:val="20"/>
          <w:lang w:val="en-GB"/>
        </w:rPr>
      </w:pPr>
    </w:p>
    <w:p w14:paraId="33F66777" w14:textId="4061CBAC" w:rsidR="00A77F92" w:rsidRDefault="00A77F92" w:rsidP="00954428">
      <w:pPr>
        <w:spacing w:after="0" w:line="240" w:lineRule="auto"/>
        <w:rPr>
          <w:rFonts w:ascii="Calibri" w:eastAsia="Times New Roman" w:hAnsi="Calibri" w:cs="Times New Roman"/>
          <w:i/>
          <w:sz w:val="20"/>
          <w:szCs w:val="20"/>
          <w:lang w:val="en-GB"/>
        </w:rPr>
      </w:pPr>
    </w:p>
    <w:p w14:paraId="02CF6A0B" w14:textId="59519165" w:rsidR="00A77F92" w:rsidRDefault="00A77F92" w:rsidP="00954428">
      <w:pPr>
        <w:spacing w:after="0" w:line="240" w:lineRule="auto"/>
        <w:rPr>
          <w:rFonts w:ascii="Calibri" w:eastAsia="Times New Roman" w:hAnsi="Calibri" w:cs="Times New Roman"/>
          <w:i/>
          <w:sz w:val="20"/>
          <w:szCs w:val="20"/>
          <w:lang w:val="en-GB"/>
        </w:rPr>
      </w:pPr>
    </w:p>
    <w:p w14:paraId="2943C88D" w14:textId="4B228ABF" w:rsidR="00A77F92" w:rsidRDefault="00A77F92" w:rsidP="00954428">
      <w:pPr>
        <w:spacing w:after="0" w:line="240" w:lineRule="auto"/>
        <w:rPr>
          <w:rFonts w:ascii="Calibri" w:eastAsia="Times New Roman" w:hAnsi="Calibri" w:cs="Times New Roman"/>
          <w:i/>
          <w:sz w:val="20"/>
          <w:szCs w:val="20"/>
          <w:lang w:val="en-GB"/>
        </w:rPr>
      </w:pPr>
    </w:p>
    <w:p w14:paraId="07319D8D" w14:textId="6C0F12AF" w:rsidR="00A77F92" w:rsidRDefault="00A77F92" w:rsidP="00954428">
      <w:pPr>
        <w:spacing w:after="0" w:line="240" w:lineRule="auto"/>
        <w:rPr>
          <w:rFonts w:ascii="Calibri" w:eastAsia="Times New Roman" w:hAnsi="Calibri" w:cs="Times New Roman"/>
          <w:i/>
          <w:sz w:val="20"/>
          <w:szCs w:val="20"/>
          <w:lang w:val="en-GB"/>
        </w:rPr>
      </w:pPr>
    </w:p>
    <w:p w14:paraId="194CA56F" w14:textId="652336E1" w:rsidR="00A77F92" w:rsidRDefault="00A77F92" w:rsidP="00954428">
      <w:pPr>
        <w:spacing w:after="0" w:line="240" w:lineRule="auto"/>
        <w:rPr>
          <w:rFonts w:ascii="Calibri" w:eastAsia="Times New Roman" w:hAnsi="Calibri" w:cs="Times New Roman"/>
          <w:i/>
          <w:sz w:val="20"/>
          <w:szCs w:val="20"/>
          <w:lang w:val="en-GB"/>
        </w:rPr>
      </w:pPr>
    </w:p>
    <w:p w14:paraId="12FD48FB" w14:textId="797721DD" w:rsidR="00A77F92" w:rsidRDefault="00A77F92" w:rsidP="00954428">
      <w:pPr>
        <w:spacing w:after="0" w:line="240" w:lineRule="auto"/>
        <w:rPr>
          <w:rFonts w:ascii="Calibri" w:eastAsia="Times New Roman" w:hAnsi="Calibri" w:cs="Times New Roman"/>
          <w:i/>
          <w:sz w:val="20"/>
          <w:szCs w:val="20"/>
          <w:lang w:val="en-GB"/>
        </w:rPr>
      </w:pPr>
    </w:p>
    <w:p w14:paraId="6A5B2620" w14:textId="6B23FC06" w:rsidR="00A77F92" w:rsidRDefault="00A77F92" w:rsidP="00954428">
      <w:pPr>
        <w:spacing w:after="0" w:line="240" w:lineRule="auto"/>
        <w:rPr>
          <w:rFonts w:ascii="Calibri" w:eastAsia="Times New Roman" w:hAnsi="Calibri" w:cs="Times New Roman"/>
          <w:i/>
          <w:sz w:val="20"/>
          <w:szCs w:val="20"/>
          <w:lang w:val="en-GB"/>
        </w:rPr>
      </w:pPr>
    </w:p>
    <w:p w14:paraId="5E885861" w14:textId="48F18DC1" w:rsidR="00A77F92" w:rsidRDefault="00A77F92" w:rsidP="00954428">
      <w:pPr>
        <w:spacing w:after="0" w:line="240" w:lineRule="auto"/>
        <w:rPr>
          <w:rFonts w:ascii="Calibri" w:eastAsia="Times New Roman" w:hAnsi="Calibri" w:cs="Times New Roman"/>
          <w:i/>
          <w:sz w:val="20"/>
          <w:szCs w:val="20"/>
          <w:lang w:val="en-GB"/>
        </w:rPr>
      </w:pPr>
    </w:p>
    <w:p w14:paraId="75D7EEFD" w14:textId="04CF52CF" w:rsidR="00A77F92" w:rsidRDefault="00A77F92" w:rsidP="00954428">
      <w:pPr>
        <w:spacing w:after="0" w:line="240" w:lineRule="auto"/>
        <w:rPr>
          <w:rFonts w:ascii="Calibri" w:eastAsia="Times New Roman" w:hAnsi="Calibri" w:cs="Times New Roman"/>
          <w:i/>
          <w:sz w:val="20"/>
          <w:szCs w:val="20"/>
          <w:lang w:val="en-GB"/>
        </w:rPr>
      </w:pPr>
    </w:p>
    <w:p w14:paraId="20A876B0" w14:textId="000644D3" w:rsidR="00A77F92" w:rsidRDefault="00A77F92" w:rsidP="00954428">
      <w:pPr>
        <w:spacing w:after="0" w:line="240" w:lineRule="auto"/>
        <w:rPr>
          <w:rFonts w:ascii="Calibri" w:eastAsia="Times New Roman" w:hAnsi="Calibri" w:cs="Times New Roman"/>
          <w:i/>
          <w:sz w:val="20"/>
          <w:szCs w:val="20"/>
          <w:lang w:val="en-GB"/>
        </w:rPr>
      </w:pPr>
    </w:p>
    <w:p w14:paraId="0B8B0E26" w14:textId="1C10BC38" w:rsidR="00A77F92" w:rsidRDefault="00A77F92" w:rsidP="00954428">
      <w:pPr>
        <w:spacing w:after="0" w:line="240" w:lineRule="auto"/>
        <w:rPr>
          <w:rFonts w:ascii="Calibri" w:eastAsia="Times New Roman" w:hAnsi="Calibri" w:cs="Times New Roman"/>
          <w:i/>
          <w:sz w:val="20"/>
          <w:szCs w:val="20"/>
          <w:lang w:val="en-GB"/>
        </w:rPr>
      </w:pPr>
    </w:p>
    <w:p w14:paraId="49116E02" w14:textId="564CFAE8" w:rsidR="00A77F92" w:rsidRDefault="00A77F92" w:rsidP="00954428">
      <w:pPr>
        <w:spacing w:after="0" w:line="240" w:lineRule="auto"/>
        <w:rPr>
          <w:rFonts w:ascii="Calibri" w:eastAsia="Times New Roman" w:hAnsi="Calibri" w:cs="Times New Roman"/>
          <w:i/>
          <w:sz w:val="20"/>
          <w:szCs w:val="20"/>
          <w:lang w:val="en-GB"/>
        </w:rPr>
      </w:pPr>
    </w:p>
    <w:p w14:paraId="624286BF" w14:textId="73598E80" w:rsidR="00A77F92" w:rsidRDefault="00A77F92" w:rsidP="00954428">
      <w:pPr>
        <w:spacing w:after="0" w:line="240" w:lineRule="auto"/>
        <w:rPr>
          <w:rFonts w:ascii="Calibri" w:eastAsia="Times New Roman" w:hAnsi="Calibri" w:cs="Times New Roman"/>
          <w:i/>
          <w:sz w:val="20"/>
          <w:szCs w:val="20"/>
          <w:lang w:val="en-GB"/>
        </w:rPr>
      </w:pPr>
    </w:p>
    <w:p w14:paraId="4DBCC60D" w14:textId="2F4F87ED" w:rsidR="00A77F92" w:rsidRDefault="00A77F92" w:rsidP="00954428">
      <w:pPr>
        <w:spacing w:after="0" w:line="240" w:lineRule="auto"/>
        <w:rPr>
          <w:rFonts w:ascii="Calibri" w:eastAsia="Times New Roman" w:hAnsi="Calibri" w:cs="Times New Roman"/>
          <w:i/>
          <w:sz w:val="20"/>
          <w:szCs w:val="20"/>
          <w:lang w:val="en-GB"/>
        </w:rPr>
      </w:pPr>
    </w:p>
    <w:p w14:paraId="191E5216" w14:textId="178F405D" w:rsidR="00A77F92" w:rsidRDefault="00A77F92" w:rsidP="00954428">
      <w:pPr>
        <w:spacing w:after="0" w:line="240" w:lineRule="auto"/>
        <w:rPr>
          <w:rFonts w:ascii="Calibri" w:eastAsia="Times New Roman" w:hAnsi="Calibri" w:cs="Times New Roman"/>
          <w:i/>
          <w:sz w:val="20"/>
          <w:szCs w:val="20"/>
          <w:lang w:val="en-GB"/>
        </w:rPr>
      </w:pPr>
    </w:p>
    <w:p w14:paraId="6DA4DBB1" w14:textId="2A221087" w:rsidR="00A77F92" w:rsidRDefault="00A77F92" w:rsidP="00954428">
      <w:pPr>
        <w:spacing w:after="0" w:line="240" w:lineRule="auto"/>
        <w:rPr>
          <w:rFonts w:ascii="Calibri" w:eastAsia="Times New Roman" w:hAnsi="Calibri" w:cs="Times New Roman"/>
          <w:i/>
          <w:sz w:val="20"/>
          <w:szCs w:val="20"/>
          <w:lang w:val="en-GB"/>
        </w:rPr>
      </w:pPr>
    </w:p>
    <w:p w14:paraId="77E0CA21" w14:textId="5146869A" w:rsidR="00A77F92" w:rsidRDefault="00A77F92" w:rsidP="00954428">
      <w:pPr>
        <w:spacing w:after="0" w:line="240" w:lineRule="auto"/>
        <w:rPr>
          <w:rFonts w:ascii="Calibri" w:eastAsia="Times New Roman" w:hAnsi="Calibri" w:cs="Times New Roman"/>
          <w:i/>
          <w:sz w:val="20"/>
          <w:szCs w:val="20"/>
          <w:lang w:val="en-GB"/>
        </w:rPr>
      </w:pPr>
    </w:p>
    <w:p w14:paraId="19A69019" w14:textId="3F9C0A3F" w:rsidR="00A77F92" w:rsidRDefault="00A77F92" w:rsidP="00954428">
      <w:pPr>
        <w:spacing w:after="0" w:line="240" w:lineRule="auto"/>
        <w:rPr>
          <w:rFonts w:ascii="Calibri" w:eastAsia="Times New Roman" w:hAnsi="Calibri" w:cs="Times New Roman"/>
          <w:i/>
          <w:sz w:val="20"/>
          <w:szCs w:val="20"/>
          <w:lang w:val="en-GB"/>
        </w:rPr>
      </w:pPr>
    </w:p>
    <w:p w14:paraId="6041F6D7" w14:textId="03922C2F" w:rsidR="00A77F92" w:rsidRDefault="00A77F92" w:rsidP="00954428">
      <w:pPr>
        <w:spacing w:after="0" w:line="240" w:lineRule="auto"/>
        <w:rPr>
          <w:rFonts w:ascii="Calibri" w:eastAsia="Times New Roman" w:hAnsi="Calibri" w:cs="Times New Roman"/>
          <w:i/>
          <w:sz w:val="20"/>
          <w:szCs w:val="20"/>
          <w:lang w:val="en-GB"/>
        </w:rPr>
      </w:pPr>
    </w:p>
    <w:p w14:paraId="19B5CB30" w14:textId="361C0705" w:rsidR="00A77F92" w:rsidRDefault="00A77F92" w:rsidP="00954428">
      <w:pPr>
        <w:spacing w:after="0" w:line="240" w:lineRule="auto"/>
        <w:rPr>
          <w:rFonts w:ascii="Calibri" w:eastAsia="Times New Roman" w:hAnsi="Calibri" w:cs="Times New Roman"/>
          <w:i/>
          <w:sz w:val="20"/>
          <w:szCs w:val="20"/>
          <w:lang w:val="en-GB"/>
        </w:rPr>
      </w:pPr>
    </w:p>
    <w:p w14:paraId="6C462DB8" w14:textId="220364A4" w:rsidR="00A77F92" w:rsidRDefault="00A77F92" w:rsidP="00954428">
      <w:pPr>
        <w:spacing w:after="0" w:line="240" w:lineRule="auto"/>
        <w:rPr>
          <w:rFonts w:ascii="Calibri" w:eastAsia="Times New Roman" w:hAnsi="Calibri" w:cs="Times New Roman"/>
          <w:i/>
          <w:sz w:val="20"/>
          <w:szCs w:val="20"/>
          <w:lang w:val="en-GB"/>
        </w:rPr>
      </w:pPr>
    </w:p>
    <w:p w14:paraId="7738B98C" w14:textId="6EDDA825" w:rsidR="00A77F92" w:rsidRDefault="00A77F92" w:rsidP="00954428">
      <w:pPr>
        <w:spacing w:after="0" w:line="240" w:lineRule="auto"/>
        <w:rPr>
          <w:rFonts w:ascii="Calibri" w:eastAsia="Times New Roman" w:hAnsi="Calibri" w:cs="Times New Roman"/>
          <w:i/>
          <w:sz w:val="20"/>
          <w:szCs w:val="20"/>
          <w:lang w:val="en-GB"/>
        </w:rPr>
      </w:pPr>
    </w:p>
    <w:p w14:paraId="48888E40" w14:textId="39E71FD6" w:rsidR="00A77F92" w:rsidRDefault="00A77F92" w:rsidP="00954428">
      <w:pPr>
        <w:spacing w:after="0" w:line="240" w:lineRule="auto"/>
        <w:rPr>
          <w:rFonts w:ascii="Calibri" w:eastAsia="Times New Roman" w:hAnsi="Calibri" w:cs="Times New Roman"/>
          <w:i/>
          <w:sz w:val="20"/>
          <w:szCs w:val="20"/>
          <w:lang w:val="en-GB"/>
        </w:rPr>
      </w:pPr>
    </w:p>
    <w:p w14:paraId="008514C7" w14:textId="039AE64B" w:rsidR="00A77F92" w:rsidRDefault="00A77F92" w:rsidP="00954428">
      <w:pPr>
        <w:spacing w:after="0" w:line="240" w:lineRule="auto"/>
        <w:rPr>
          <w:rFonts w:ascii="Calibri" w:eastAsia="Times New Roman" w:hAnsi="Calibri" w:cs="Times New Roman"/>
          <w:i/>
          <w:sz w:val="20"/>
          <w:szCs w:val="20"/>
          <w:lang w:val="en-GB"/>
        </w:rPr>
      </w:pPr>
    </w:p>
    <w:p w14:paraId="688177E7" w14:textId="050D92AF" w:rsidR="00A77F92" w:rsidRDefault="00A77F92" w:rsidP="00954428">
      <w:pPr>
        <w:spacing w:after="0" w:line="240" w:lineRule="auto"/>
        <w:rPr>
          <w:rFonts w:ascii="Calibri" w:eastAsia="Times New Roman" w:hAnsi="Calibri" w:cs="Times New Roman"/>
          <w:i/>
          <w:sz w:val="20"/>
          <w:szCs w:val="20"/>
          <w:lang w:val="en-GB"/>
        </w:rPr>
      </w:pPr>
    </w:p>
    <w:p w14:paraId="5E963C93" w14:textId="77777777" w:rsidR="00A77F92" w:rsidRDefault="00A77F92" w:rsidP="00A77F92">
      <w:pPr>
        <w:pStyle w:val="Heading31"/>
        <w:spacing w:before="0" w:line="240" w:lineRule="auto"/>
      </w:pPr>
    </w:p>
    <w:p w14:paraId="08B5DC79" w14:textId="3F5C9A3F" w:rsidR="00A77F92" w:rsidRPr="00D6638C" w:rsidRDefault="00A77F92" w:rsidP="00A77F92">
      <w:pPr>
        <w:pStyle w:val="Heading31"/>
        <w:spacing w:before="0" w:line="240" w:lineRule="auto"/>
      </w:pPr>
      <w:r>
        <w:t>Annex C</w:t>
      </w:r>
      <w:r w:rsidRPr="00D6638C">
        <w:t>: Project Logical Framework</w:t>
      </w:r>
    </w:p>
    <w:p w14:paraId="07D9BD49" w14:textId="77777777" w:rsidR="00A77F92" w:rsidRPr="00D6638C" w:rsidRDefault="00A77F92" w:rsidP="00954428">
      <w:pPr>
        <w:spacing w:after="0" w:line="240" w:lineRule="auto"/>
        <w:rPr>
          <w:rFonts w:ascii="Calibri" w:eastAsia="Times New Roman" w:hAnsi="Calibri" w:cs="Times New Roman"/>
          <w:i/>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4428" w:rsidRPr="00D045D1" w14:paraId="1B55C4C4" w14:textId="77777777" w:rsidTr="00954428">
        <w:tc>
          <w:tcPr>
            <w:tcW w:w="5000" w:type="pct"/>
            <w:shd w:val="clear" w:color="auto" w:fill="auto"/>
          </w:tcPr>
          <w:p w14:paraId="688FAC42" w14:textId="77777777" w:rsidR="00954428" w:rsidRPr="00211948" w:rsidRDefault="00954428" w:rsidP="00954428">
            <w:pPr>
              <w:spacing w:after="0" w:line="240" w:lineRule="auto"/>
              <w:rPr>
                <w:rFonts w:eastAsia="Cambria" w:cstheme="minorHAnsi"/>
                <w:b/>
                <w:bCs/>
                <w:sz w:val="20"/>
                <w:szCs w:val="20"/>
                <w:lang w:bidi="ar-SA"/>
              </w:rPr>
            </w:pPr>
            <w:bookmarkStart w:id="68" w:name="_Toc299122845"/>
            <w:bookmarkStart w:id="69" w:name="_Toc299122867"/>
            <w:bookmarkStart w:id="70" w:name="_Toc299126631"/>
            <w:r w:rsidRPr="00211948">
              <w:rPr>
                <w:rFonts w:eastAsia="Cambria" w:cstheme="minorHAnsi"/>
                <w:b/>
                <w:bCs/>
                <w:sz w:val="20"/>
                <w:szCs w:val="20"/>
                <w:lang w:bidi="ar-SA"/>
              </w:rPr>
              <w:t xml:space="preserve">This project will contribute to achieving the following Country Programme Outcome as defined in CPAP or CPD: </w:t>
            </w:r>
          </w:p>
          <w:p w14:paraId="6AD05829" w14:textId="77777777" w:rsidR="00954428" w:rsidRPr="00211948" w:rsidRDefault="00954428" w:rsidP="00954428">
            <w:pPr>
              <w:spacing w:after="0" w:line="240" w:lineRule="auto"/>
              <w:rPr>
                <w:rFonts w:eastAsia="Cambria" w:cstheme="minorHAnsi"/>
                <w:bCs/>
                <w:sz w:val="20"/>
                <w:szCs w:val="20"/>
                <w:lang w:bidi="ar-SA"/>
              </w:rPr>
            </w:pPr>
            <w:r w:rsidRPr="00211948">
              <w:rPr>
                <w:rFonts w:eastAsia="Cambria" w:cstheme="minorHAnsi"/>
                <w:bCs/>
                <w:sz w:val="20"/>
                <w:szCs w:val="20"/>
                <w:lang w:bidi="ar-SA"/>
              </w:rPr>
              <w:t>Please refer to specific country annexes</w:t>
            </w:r>
          </w:p>
          <w:p w14:paraId="55D30438" w14:textId="77777777" w:rsidR="00954428" w:rsidRPr="00211948" w:rsidRDefault="00954428" w:rsidP="00954428">
            <w:pPr>
              <w:spacing w:after="0" w:line="240" w:lineRule="auto"/>
              <w:rPr>
                <w:rFonts w:eastAsia="Cambria" w:cstheme="minorHAnsi"/>
                <w:b/>
                <w:bCs/>
                <w:sz w:val="20"/>
                <w:szCs w:val="20"/>
                <w:lang w:bidi="ar-SA"/>
              </w:rPr>
            </w:pPr>
          </w:p>
        </w:tc>
      </w:tr>
      <w:tr w:rsidR="00954428" w:rsidRPr="00D045D1" w14:paraId="1D2C5395" w14:textId="77777777" w:rsidTr="00954428">
        <w:trPr>
          <w:trHeight w:val="245"/>
        </w:trPr>
        <w:tc>
          <w:tcPr>
            <w:tcW w:w="5000" w:type="pct"/>
            <w:shd w:val="clear" w:color="auto" w:fill="auto"/>
          </w:tcPr>
          <w:p w14:paraId="446A66AC" w14:textId="77777777" w:rsidR="00954428" w:rsidRPr="00211948" w:rsidRDefault="00954428" w:rsidP="00954428">
            <w:pPr>
              <w:spacing w:after="0" w:line="240" w:lineRule="auto"/>
              <w:rPr>
                <w:rFonts w:eastAsia="Cambria" w:cstheme="minorHAnsi"/>
                <w:b/>
                <w:bCs/>
                <w:sz w:val="20"/>
                <w:szCs w:val="20"/>
                <w:lang w:bidi="ar-SA"/>
              </w:rPr>
            </w:pPr>
            <w:r w:rsidRPr="00211948">
              <w:rPr>
                <w:rFonts w:eastAsia="Cambria" w:cstheme="minorHAnsi"/>
                <w:b/>
                <w:bCs/>
                <w:sz w:val="20"/>
                <w:szCs w:val="20"/>
                <w:lang w:bidi="ar-SA"/>
              </w:rPr>
              <w:t>Country Programme Outcome Indicators:</w:t>
            </w:r>
          </w:p>
          <w:p w14:paraId="40F1BBA9" w14:textId="77777777" w:rsidR="00954428" w:rsidRPr="00211948" w:rsidRDefault="00954428" w:rsidP="00954428">
            <w:pPr>
              <w:spacing w:after="0" w:line="240" w:lineRule="auto"/>
              <w:rPr>
                <w:rFonts w:eastAsia="Cambria" w:cstheme="minorHAnsi"/>
                <w:sz w:val="20"/>
                <w:szCs w:val="20"/>
                <w:lang w:bidi="ar-SA"/>
              </w:rPr>
            </w:pPr>
            <w:r w:rsidRPr="00211948">
              <w:rPr>
                <w:rFonts w:eastAsia="MS Mincho" w:cstheme="minorHAnsi"/>
                <w:bCs/>
                <w:sz w:val="20"/>
                <w:szCs w:val="20"/>
                <w:lang w:bidi="ar-SA"/>
              </w:rPr>
              <w:t>Please refer to specific country annexes</w:t>
            </w:r>
          </w:p>
          <w:p w14:paraId="14B920CF" w14:textId="77777777" w:rsidR="00954428" w:rsidRPr="00211948" w:rsidRDefault="00954428" w:rsidP="00954428">
            <w:pPr>
              <w:spacing w:after="0" w:line="240" w:lineRule="auto"/>
              <w:rPr>
                <w:rFonts w:eastAsia="Cambria" w:cstheme="minorHAnsi"/>
                <w:b/>
                <w:bCs/>
                <w:sz w:val="20"/>
                <w:szCs w:val="20"/>
                <w:lang w:bidi="ar-SA"/>
              </w:rPr>
            </w:pPr>
          </w:p>
        </w:tc>
      </w:tr>
      <w:tr w:rsidR="00954428" w:rsidRPr="00D045D1" w14:paraId="5FA3D130" w14:textId="77777777" w:rsidTr="00954428">
        <w:trPr>
          <w:trHeight w:val="244"/>
        </w:trPr>
        <w:tc>
          <w:tcPr>
            <w:tcW w:w="5000" w:type="pct"/>
            <w:shd w:val="clear" w:color="auto" w:fill="auto"/>
          </w:tcPr>
          <w:p w14:paraId="488F3F50" w14:textId="77777777" w:rsidR="00954428" w:rsidRPr="00211948" w:rsidRDefault="00954428" w:rsidP="00954428">
            <w:pPr>
              <w:spacing w:after="0" w:line="240" w:lineRule="auto"/>
              <w:rPr>
                <w:rFonts w:eastAsia="Cambria" w:cstheme="minorHAnsi"/>
                <w:b/>
                <w:bCs/>
                <w:sz w:val="20"/>
                <w:szCs w:val="20"/>
                <w:lang w:bidi="ar-SA"/>
              </w:rPr>
            </w:pPr>
            <w:r w:rsidRPr="00211948">
              <w:rPr>
                <w:rFonts w:eastAsia="Cambria" w:cstheme="minorHAnsi"/>
                <w:b/>
                <w:bCs/>
                <w:sz w:val="20"/>
                <w:szCs w:val="20"/>
                <w:lang w:bidi="ar-SA"/>
              </w:rPr>
              <w:t xml:space="preserve">Primary applicable Key Environment and Sustainable Development Key Result Area (same as that on the cover page, circle one):  </w:t>
            </w:r>
          </w:p>
          <w:p w14:paraId="3A7CC524" w14:textId="77777777" w:rsidR="00954428" w:rsidRPr="00211948" w:rsidRDefault="00954428" w:rsidP="00954428">
            <w:pPr>
              <w:spacing w:after="0" w:line="240" w:lineRule="auto"/>
              <w:rPr>
                <w:rFonts w:eastAsia="Cambria" w:cstheme="minorHAnsi"/>
                <w:b/>
                <w:bCs/>
                <w:sz w:val="20"/>
                <w:szCs w:val="20"/>
                <w:lang w:bidi="ar-SA"/>
              </w:rPr>
            </w:pPr>
          </w:p>
        </w:tc>
      </w:tr>
      <w:tr w:rsidR="00954428" w:rsidRPr="00D045D1" w14:paraId="113908D3" w14:textId="77777777" w:rsidTr="00954428">
        <w:tc>
          <w:tcPr>
            <w:tcW w:w="5000" w:type="pct"/>
            <w:shd w:val="clear" w:color="auto" w:fill="auto"/>
          </w:tcPr>
          <w:p w14:paraId="2A9D19D9" w14:textId="77777777" w:rsidR="00954428" w:rsidRPr="00211948" w:rsidRDefault="00954428" w:rsidP="00954428">
            <w:pPr>
              <w:spacing w:after="0" w:line="240" w:lineRule="auto"/>
              <w:rPr>
                <w:rFonts w:eastAsia="Cambria" w:cstheme="minorHAnsi"/>
                <w:b/>
                <w:bCs/>
                <w:sz w:val="20"/>
                <w:szCs w:val="20"/>
                <w:lang w:bidi="ar-SA"/>
              </w:rPr>
            </w:pPr>
            <w:r w:rsidRPr="00211948">
              <w:rPr>
                <w:rFonts w:eastAsia="Cambria" w:cstheme="minorHAnsi"/>
                <w:b/>
                <w:bCs/>
                <w:sz w:val="20"/>
                <w:szCs w:val="20"/>
                <w:lang w:bidi="ar-SA"/>
              </w:rPr>
              <w:t>Applicable GEF Strategic Objective and Program</w:t>
            </w:r>
            <w:r>
              <w:rPr>
                <w:rFonts w:eastAsia="Cambria" w:cstheme="minorHAnsi"/>
                <w:b/>
                <w:bCs/>
                <w:sz w:val="20"/>
                <w:szCs w:val="20"/>
                <w:lang w:bidi="ar-SA"/>
              </w:rPr>
              <w:t>:</w:t>
            </w:r>
          </w:p>
          <w:p w14:paraId="67F55386" w14:textId="77777777" w:rsidR="00954428" w:rsidRPr="00211948" w:rsidRDefault="00954428" w:rsidP="00954428">
            <w:pPr>
              <w:spacing w:after="0" w:line="240" w:lineRule="auto"/>
              <w:rPr>
                <w:rFonts w:eastAsia="Cambria" w:cstheme="minorHAnsi"/>
                <w:b/>
                <w:bCs/>
                <w:sz w:val="20"/>
                <w:szCs w:val="20"/>
                <w:lang w:bidi="ar-SA"/>
              </w:rPr>
            </w:pPr>
          </w:p>
          <w:p w14:paraId="499236A3" w14:textId="77777777" w:rsidR="00954428" w:rsidRPr="00211948" w:rsidRDefault="00954428" w:rsidP="00954428">
            <w:pPr>
              <w:spacing w:after="0" w:line="240" w:lineRule="auto"/>
              <w:rPr>
                <w:rFonts w:eastAsia="Cambria" w:cstheme="minorHAnsi"/>
                <w:bCs/>
                <w:sz w:val="20"/>
                <w:szCs w:val="20"/>
                <w:lang w:bidi="ar-SA"/>
              </w:rPr>
            </w:pPr>
            <w:r w:rsidRPr="00211948">
              <w:rPr>
                <w:rFonts w:eastAsia="Cambria" w:cstheme="minorHAnsi"/>
                <w:b/>
                <w:bCs/>
                <w:sz w:val="20"/>
                <w:szCs w:val="20"/>
                <w:lang w:bidi="ar-SA"/>
              </w:rPr>
              <w:t xml:space="preserve">Objectives: </w:t>
            </w:r>
            <w:r w:rsidRPr="00211948">
              <w:rPr>
                <w:rFonts w:eastAsia="Cambria" w:cstheme="minorHAnsi"/>
                <w:bCs/>
                <w:sz w:val="20"/>
                <w:szCs w:val="20"/>
                <w:lang w:bidi="ar-SA"/>
              </w:rPr>
              <w:t xml:space="preserve">To protect human health and the environment by assisting countries to phase out consumption and production and prevent releases of ODS according to their commitments to Montreal Protocol phase-out schedules, while enabling low-GHG (Greenhouse Gas) alternative technologies and practices. </w:t>
            </w:r>
          </w:p>
          <w:p w14:paraId="0946E7D4" w14:textId="77777777" w:rsidR="00954428" w:rsidRPr="00211948" w:rsidRDefault="00954428" w:rsidP="00954428">
            <w:pPr>
              <w:spacing w:after="0" w:line="240" w:lineRule="auto"/>
              <w:rPr>
                <w:rFonts w:eastAsia="Cambria" w:cstheme="minorHAnsi"/>
                <w:bCs/>
                <w:sz w:val="20"/>
                <w:szCs w:val="20"/>
                <w:lang w:bidi="ar-SA"/>
              </w:rPr>
            </w:pPr>
          </w:p>
          <w:p w14:paraId="003876FA" w14:textId="77777777" w:rsidR="00954428" w:rsidRPr="00211948" w:rsidRDefault="00954428" w:rsidP="00954428">
            <w:pPr>
              <w:spacing w:after="0" w:line="240" w:lineRule="auto"/>
              <w:rPr>
                <w:rFonts w:eastAsia="Cambria" w:cstheme="minorHAnsi"/>
                <w:bCs/>
                <w:sz w:val="20"/>
                <w:szCs w:val="20"/>
                <w:lang w:bidi="ar-SA"/>
              </w:rPr>
            </w:pPr>
            <w:r w:rsidRPr="00211948">
              <w:rPr>
                <w:rFonts w:eastAsia="Cambria" w:cstheme="minorHAnsi"/>
                <w:b/>
                <w:bCs/>
                <w:sz w:val="20"/>
                <w:szCs w:val="20"/>
                <w:lang w:bidi="ar-SA"/>
              </w:rPr>
              <w:t>Program:</w:t>
            </w:r>
            <w:r w:rsidRPr="00211948">
              <w:rPr>
                <w:rFonts w:eastAsia="Cambria" w:cstheme="minorHAnsi"/>
                <w:bCs/>
                <w:sz w:val="20"/>
                <w:szCs w:val="20"/>
                <w:lang w:bidi="ar-SA"/>
              </w:rPr>
              <w:t xml:space="preserve"> For the period of GEF-4, the GEF will assist eligible countries in meeting their HCFC phase-out obligations under the Montreal Protocol, and strengthening capacities and institutions in those countries that still are faced with difficulties in meeting their reporting obligations.  </w:t>
            </w:r>
          </w:p>
        </w:tc>
      </w:tr>
      <w:tr w:rsidR="00954428" w:rsidRPr="00D045D1" w14:paraId="395F14D5" w14:textId="77777777" w:rsidTr="00954428">
        <w:tc>
          <w:tcPr>
            <w:tcW w:w="5000" w:type="pct"/>
            <w:shd w:val="clear" w:color="auto" w:fill="auto"/>
          </w:tcPr>
          <w:p w14:paraId="54143C60" w14:textId="77777777" w:rsidR="00954428" w:rsidRPr="00211948" w:rsidRDefault="00954428" w:rsidP="00954428">
            <w:pPr>
              <w:spacing w:after="0" w:line="240" w:lineRule="auto"/>
              <w:rPr>
                <w:rFonts w:eastAsia="Cambria" w:cstheme="minorHAnsi"/>
                <w:b/>
                <w:bCs/>
                <w:sz w:val="20"/>
                <w:szCs w:val="20"/>
                <w:lang w:bidi="ar-SA"/>
              </w:rPr>
            </w:pPr>
            <w:r w:rsidRPr="00211948">
              <w:rPr>
                <w:rFonts w:eastAsia="Cambria" w:cstheme="minorHAnsi"/>
                <w:b/>
                <w:bCs/>
                <w:sz w:val="20"/>
                <w:szCs w:val="20"/>
                <w:lang w:bidi="ar-SA"/>
              </w:rPr>
              <w:t xml:space="preserve">Applicable GEF Expected Outcomes: </w:t>
            </w:r>
          </w:p>
          <w:p w14:paraId="275D2026" w14:textId="77777777" w:rsidR="00954428" w:rsidRPr="00211948" w:rsidRDefault="00954428" w:rsidP="00954428">
            <w:pPr>
              <w:numPr>
                <w:ilvl w:val="1"/>
                <w:numId w:val="33"/>
              </w:numPr>
              <w:spacing w:after="0" w:line="240" w:lineRule="auto"/>
              <w:rPr>
                <w:rFonts w:eastAsia="Times New Roman" w:cstheme="minorHAnsi"/>
                <w:b/>
                <w:bCs/>
                <w:iCs/>
                <w:color w:val="4F81BD"/>
                <w:spacing w:val="15"/>
                <w:sz w:val="20"/>
                <w:szCs w:val="20"/>
                <w:lang w:bidi="ar-SA"/>
              </w:rPr>
            </w:pPr>
            <w:r w:rsidRPr="00211948">
              <w:rPr>
                <w:rFonts w:eastAsia="Cambria" w:cstheme="minorHAnsi"/>
                <w:b/>
                <w:bCs/>
                <w:sz w:val="20"/>
                <w:szCs w:val="20"/>
                <w:lang w:bidi="ar-SA"/>
              </w:rPr>
              <w:t xml:space="preserve">HCFCs are phased-out according to Montreal Protocol schedule, or faster, in GEF-eligible countries </w:t>
            </w:r>
          </w:p>
          <w:p w14:paraId="3AA725BA" w14:textId="77777777" w:rsidR="00954428" w:rsidRPr="00211948" w:rsidRDefault="00954428" w:rsidP="00954428">
            <w:pPr>
              <w:numPr>
                <w:ilvl w:val="1"/>
                <w:numId w:val="33"/>
              </w:numPr>
              <w:spacing w:after="0" w:line="240" w:lineRule="auto"/>
              <w:rPr>
                <w:rFonts w:eastAsia="Times New Roman" w:cstheme="minorHAnsi"/>
                <w:bCs/>
                <w:i/>
                <w:iCs/>
                <w:color w:val="4F81BD"/>
                <w:spacing w:val="15"/>
                <w:sz w:val="20"/>
                <w:szCs w:val="20"/>
                <w:lang w:bidi="ar-SA"/>
              </w:rPr>
            </w:pPr>
            <w:r w:rsidRPr="00211948">
              <w:rPr>
                <w:rFonts w:eastAsia="Cambria" w:cstheme="minorHAnsi"/>
                <w:b/>
                <w:bCs/>
                <w:sz w:val="20"/>
                <w:szCs w:val="20"/>
                <w:lang w:bidi="ar-SA"/>
              </w:rPr>
              <w:t>GEF-eligible countries meet their reporting obligations under the Montreal Protocol</w:t>
            </w:r>
          </w:p>
        </w:tc>
      </w:tr>
      <w:tr w:rsidR="00954428" w:rsidRPr="00D045D1" w14:paraId="6EF8EF0E" w14:textId="77777777" w:rsidTr="00954428">
        <w:tc>
          <w:tcPr>
            <w:tcW w:w="5000" w:type="pct"/>
            <w:shd w:val="clear" w:color="auto" w:fill="auto"/>
          </w:tcPr>
          <w:p w14:paraId="0FAEF511" w14:textId="77777777" w:rsidR="00954428" w:rsidRPr="00211948" w:rsidRDefault="00954428" w:rsidP="00954428">
            <w:pPr>
              <w:spacing w:after="0" w:line="240" w:lineRule="auto"/>
              <w:rPr>
                <w:rFonts w:eastAsia="Cambria" w:cstheme="minorHAnsi"/>
                <w:b/>
                <w:bCs/>
                <w:sz w:val="20"/>
                <w:szCs w:val="20"/>
                <w:lang w:bidi="ar-SA"/>
              </w:rPr>
            </w:pPr>
            <w:r w:rsidRPr="00211948">
              <w:rPr>
                <w:rFonts w:eastAsia="Cambria" w:cstheme="minorHAnsi"/>
                <w:b/>
                <w:bCs/>
                <w:sz w:val="20"/>
                <w:szCs w:val="20"/>
                <w:lang w:bidi="ar-SA"/>
              </w:rPr>
              <w:t>Applicable GEF Outcome Indicators:</w:t>
            </w:r>
          </w:p>
          <w:p w14:paraId="45FC3DCE" w14:textId="77777777" w:rsidR="00954428" w:rsidRPr="00211948" w:rsidRDefault="00954428" w:rsidP="00954428">
            <w:pPr>
              <w:spacing w:after="0" w:line="240" w:lineRule="auto"/>
              <w:ind w:left="720"/>
              <w:rPr>
                <w:rFonts w:eastAsia="Cambria" w:cstheme="minorHAnsi"/>
                <w:sz w:val="20"/>
                <w:szCs w:val="20"/>
                <w:lang w:bidi="ar-SA"/>
              </w:rPr>
            </w:pPr>
            <w:r w:rsidRPr="00211948">
              <w:rPr>
                <w:rFonts w:eastAsia="Cambria" w:cstheme="minorHAnsi"/>
                <w:bCs/>
                <w:sz w:val="20"/>
                <w:szCs w:val="20"/>
                <w:lang w:bidi="ar-SA"/>
              </w:rPr>
              <w:t>(1)</w:t>
            </w:r>
            <w:r w:rsidRPr="00211948">
              <w:rPr>
                <w:rFonts w:eastAsia="Cambria" w:cstheme="minorHAnsi"/>
                <w:b/>
                <w:bCs/>
                <w:sz w:val="20"/>
                <w:szCs w:val="20"/>
                <w:lang w:bidi="ar-SA"/>
              </w:rPr>
              <w:t xml:space="preserve"> </w:t>
            </w:r>
            <w:r w:rsidRPr="00211948">
              <w:rPr>
                <w:rFonts w:eastAsia="Cambria" w:cstheme="minorHAnsi"/>
                <w:iCs/>
                <w:sz w:val="20"/>
                <w:szCs w:val="20"/>
                <w:lang w:bidi="ar-SA"/>
              </w:rPr>
              <w:t>Indicators for Outcome 1</w:t>
            </w:r>
            <w:r w:rsidRPr="00211948">
              <w:rPr>
                <w:rFonts w:eastAsia="Cambria" w:cstheme="minorHAnsi"/>
                <w:sz w:val="20"/>
                <w:szCs w:val="20"/>
                <w:lang w:bidi="ar-SA"/>
              </w:rPr>
              <w:t>:</w:t>
            </w:r>
          </w:p>
          <w:p w14:paraId="78DBDD40" w14:textId="77777777" w:rsidR="00954428" w:rsidRPr="00211948" w:rsidRDefault="00954428" w:rsidP="00954428">
            <w:pPr>
              <w:autoSpaceDE w:val="0"/>
              <w:autoSpaceDN w:val="0"/>
              <w:adjustRightInd w:val="0"/>
              <w:spacing w:after="0" w:line="240" w:lineRule="auto"/>
              <w:ind w:left="1440"/>
              <w:rPr>
                <w:rFonts w:eastAsia="Cambria" w:cstheme="minorHAnsi"/>
                <w:sz w:val="20"/>
                <w:szCs w:val="20"/>
                <w:lang w:bidi="ar-SA"/>
              </w:rPr>
            </w:pPr>
            <w:r w:rsidRPr="00211948">
              <w:rPr>
                <w:rFonts w:eastAsia="Cambria" w:cstheme="minorHAnsi"/>
                <w:sz w:val="20"/>
                <w:szCs w:val="20"/>
                <w:lang w:bidi="ar-SA"/>
              </w:rPr>
              <w:t xml:space="preserve">(a) ODP adjusted tons of HCFCs phased-out from consumption (GEF-4 replenishment target: HCFCs: 50-70 ODP tons) </w:t>
            </w:r>
          </w:p>
          <w:p w14:paraId="25C3E327" w14:textId="77777777" w:rsidR="00954428" w:rsidRPr="00211948" w:rsidRDefault="00954428" w:rsidP="00954428">
            <w:pPr>
              <w:autoSpaceDE w:val="0"/>
              <w:autoSpaceDN w:val="0"/>
              <w:adjustRightInd w:val="0"/>
              <w:spacing w:after="0" w:line="240" w:lineRule="auto"/>
              <w:ind w:left="1440"/>
              <w:rPr>
                <w:rFonts w:eastAsia="Cambria" w:cstheme="minorHAnsi"/>
                <w:sz w:val="20"/>
                <w:szCs w:val="20"/>
                <w:lang w:bidi="ar-SA"/>
              </w:rPr>
            </w:pPr>
            <w:r w:rsidRPr="00211948">
              <w:rPr>
                <w:rFonts w:eastAsia="Cambria" w:cstheme="minorHAnsi"/>
                <w:sz w:val="20"/>
                <w:szCs w:val="20"/>
                <w:lang w:bidi="ar-SA"/>
              </w:rPr>
              <w:t>(b) Percentage reduction in HCFC consumption in the participating countries</w:t>
            </w:r>
            <w:r w:rsidRPr="00211948" w:rsidDel="00587BB1">
              <w:rPr>
                <w:rFonts w:eastAsia="Cambria" w:cstheme="minorHAnsi"/>
                <w:sz w:val="20"/>
                <w:szCs w:val="20"/>
                <w:lang w:bidi="ar-SA"/>
              </w:rPr>
              <w:t xml:space="preserve"> </w:t>
            </w:r>
          </w:p>
          <w:p w14:paraId="66EE0F3B" w14:textId="77777777" w:rsidR="00954428" w:rsidRPr="00211948" w:rsidRDefault="00954428" w:rsidP="00954428">
            <w:pPr>
              <w:spacing w:after="0" w:line="240" w:lineRule="auto"/>
              <w:ind w:left="720"/>
              <w:rPr>
                <w:rFonts w:eastAsia="Cambria" w:cstheme="minorHAnsi"/>
                <w:iCs/>
                <w:sz w:val="20"/>
                <w:szCs w:val="20"/>
                <w:lang w:bidi="ar-SA"/>
              </w:rPr>
            </w:pPr>
            <w:r w:rsidRPr="00211948">
              <w:rPr>
                <w:rFonts w:eastAsia="Cambria" w:cstheme="minorHAnsi"/>
                <w:iCs/>
                <w:sz w:val="20"/>
                <w:szCs w:val="20"/>
                <w:lang w:bidi="ar-SA"/>
              </w:rPr>
              <w:t xml:space="preserve">(2) Indicators for Outcome 2: </w:t>
            </w:r>
          </w:p>
          <w:p w14:paraId="55CB2FE3" w14:textId="77777777" w:rsidR="00954428" w:rsidRPr="00211948" w:rsidRDefault="00954428" w:rsidP="00954428">
            <w:pPr>
              <w:autoSpaceDE w:val="0"/>
              <w:autoSpaceDN w:val="0"/>
              <w:adjustRightInd w:val="0"/>
              <w:spacing w:after="0" w:line="240" w:lineRule="auto"/>
              <w:ind w:left="1440"/>
              <w:rPr>
                <w:rFonts w:eastAsia="Cambria" w:cstheme="minorHAnsi"/>
                <w:b/>
                <w:bCs/>
                <w:sz w:val="20"/>
                <w:szCs w:val="20"/>
                <w:lang w:bidi="ar-SA"/>
              </w:rPr>
            </w:pPr>
            <w:r w:rsidRPr="00211948">
              <w:rPr>
                <w:rFonts w:eastAsia="Cambria" w:cstheme="minorHAnsi"/>
                <w:sz w:val="20"/>
                <w:szCs w:val="20"/>
                <w:lang w:bidi="ar-SA"/>
              </w:rPr>
              <w:t>(a) Percentage of GEF-funded countries that meet their reporting obligations under the Montreal Protocol</w:t>
            </w:r>
          </w:p>
        </w:tc>
      </w:tr>
    </w:tbl>
    <w:p w14:paraId="5EF7D2E3" w14:textId="77777777" w:rsidR="00954428" w:rsidRDefault="00954428" w:rsidP="00954428">
      <w:pPr>
        <w:spacing w:after="0" w:line="240" w:lineRule="auto"/>
        <w:rPr>
          <w:rFonts w:ascii="Calibri" w:eastAsia="Times New Roman" w:hAnsi="Calibri"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1290"/>
        <w:gridCol w:w="1499"/>
        <w:gridCol w:w="1537"/>
        <w:gridCol w:w="1330"/>
        <w:gridCol w:w="1485"/>
      </w:tblGrid>
      <w:tr w:rsidR="00954428" w:rsidRPr="00211948" w14:paraId="6E8E961B" w14:textId="77777777" w:rsidTr="00954428">
        <w:trPr>
          <w:tblHeader/>
          <w:jc w:val="center"/>
        </w:trPr>
        <w:tc>
          <w:tcPr>
            <w:tcW w:w="802" w:type="pct"/>
            <w:shd w:val="clear" w:color="auto" w:fill="FFFFFF"/>
          </w:tcPr>
          <w:p w14:paraId="64623065" w14:textId="77777777" w:rsidR="00954428" w:rsidRPr="00211948" w:rsidRDefault="00954428" w:rsidP="00954428">
            <w:pPr>
              <w:spacing w:after="0" w:line="240" w:lineRule="auto"/>
              <w:ind w:left="208" w:hanging="208"/>
              <w:rPr>
                <w:rFonts w:eastAsia="Times New Roman" w:cstheme="minorHAnsi"/>
                <w:b/>
                <w:sz w:val="20"/>
                <w:szCs w:val="20"/>
                <w:lang w:bidi="ar-SA"/>
              </w:rPr>
            </w:pPr>
            <w:r w:rsidRPr="00211948">
              <w:rPr>
                <w:rFonts w:eastAsia="Times New Roman" w:cstheme="minorHAnsi"/>
                <w:b/>
                <w:sz w:val="20"/>
                <w:szCs w:val="20"/>
                <w:lang w:bidi="ar-SA"/>
              </w:rPr>
              <w:lastRenderedPageBreak/>
              <w:t>Project Strategy</w:t>
            </w:r>
          </w:p>
        </w:tc>
        <w:tc>
          <w:tcPr>
            <w:tcW w:w="753" w:type="pct"/>
            <w:shd w:val="clear" w:color="auto" w:fill="FFFFFF"/>
          </w:tcPr>
          <w:p w14:paraId="25E77C0B" w14:textId="77777777" w:rsidR="00954428" w:rsidRPr="00211948" w:rsidRDefault="00954428" w:rsidP="00954428">
            <w:pPr>
              <w:spacing w:after="0" w:line="240" w:lineRule="auto"/>
              <w:ind w:left="208" w:hanging="208"/>
              <w:rPr>
                <w:rFonts w:eastAsia="Times New Roman" w:cstheme="minorHAnsi"/>
                <w:b/>
                <w:sz w:val="20"/>
                <w:szCs w:val="20"/>
                <w:lang w:bidi="ar-SA"/>
              </w:rPr>
            </w:pPr>
            <w:r w:rsidRPr="00211948">
              <w:rPr>
                <w:rFonts w:eastAsia="Times New Roman" w:cstheme="minorHAnsi"/>
                <w:b/>
                <w:sz w:val="20"/>
                <w:szCs w:val="20"/>
                <w:lang w:bidi="ar-SA"/>
              </w:rPr>
              <w:t>Objectively</w:t>
            </w:r>
          </w:p>
          <w:p w14:paraId="3C8E744F" w14:textId="77777777" w:rsidR="00954428" w:rsidRPr="00211948" w:rsidRDefault="00954428" w:rsidP="00954428">
            <w:pPr>
              <w:spacing w:after="0" w:line="240" w:lineRule="auto"/>
              <w:ind w:left="208" w:hanging="208"/>
              <w:rPr>
                <w:rFonts w:eastAsia="Times New Roman" w:cstheme="minorHAnsi"/>
                <w:b/>
                <w:sz w:val="20"/>
                <w:szCs w:val="20"/>
                <w:lang w:bidi="ar-SA"/>
              </w:rPr>
            </w:pPr>
            <w:r w:rsidRPr="00211948">
              <w:rPr>
                <w:rFonts w:eastAsia="Times New Roman" w:cstheme="minorHAnsi"/>
                <w:b/>
                <w:sz w:val="20"/>
                <w:szCs w:val="20"/>
                <w:lang w:bidi="ar-SA"/>
              </w:rPr>
              <w:t>verifiable</w:t>
            </w:r>
          </w:p>
          <w:p w14:paraId="4010CB06" w14:textId="77777777" w:rsidR="00954428" w:rsidRPr="00211948" w:rsidRDefault="00954428" w:rsidP="00954428">
            <w:pPr>
              <w:spacing w:after="0" w:line="240" w:lineRule="auto"/>
              <w:ind w:left="208" w:hanging="208"/>
              <w:rPr>
                <w:rFonts w:eastAsia="Times New Roman" w:cstheme="minorHAnsi"/>
                <w:b/>
                <w:sz w:val="20"/>
                <w:szCs w:val="20"/>
                <w:lang w:bidi="ar-SA"/>
              </w:rPr>
            </w:pPr>
            <w:r w:rsidRPr="00211948">
              <w:rPr>
                <w:rFonts w:eastAsia="Times New Roman" w:cstheme="minorHAnsi"/>
                <w:b/>
                <w:sz w:val="20"/>
                <w:szCs w:val="20"/>
                <w:lang w:bidi="ar-SA"/>
              </w:rPr>
              <w:t>indicators</w:t>
            </w:r>
          </w:p>
        </w:tc>
        <w:tc>
          <w:tcPr>
            <w:tcW w:w="1004" w:type="pct"/>
            <w:shd w:val="clear" w:color="auto" w:fill="FFFFFF"/>
          </w:tcPr>
          <w:p w14:paraId="5F49743A" w14:textId="77777777" w:rsidR="00954428" w:rsidRPr="00211948" w:rsidRDefault="00954428" w:rsidP="00954428">
            <w:pPr>
              <w:spacing w:after="0" w:line="240" w:lineRule="auto"/>
              <w:ind w:left="208" w:hanging="208"/>
              <w:rPr>
                <w:rFonts w:eastAsia="Times New Roman" w:cstheme="minorHAnsi"/>
                <w:b/>
                <w:sz w:val="20"/>
                <w:szCs w:val="20"/>
                <w:lang w:bidi="ar-SA"/>
              </w:rPr>
            </w:pPr>
            <w:r w:rsidRPr="00211948">
              <w:rPr>
                <w:rFonts w:eastAsia="Times New Roman" w:cstheme="minorHAnsi"/>
                <w:b/>
                <w:sz w:val="20"/>
                <w:szCs w:val="20"/>
                <w:lang w:bidi="ar-SA"/>
              </w:rPr>
              <w:t>Baseline</w:t>
            </w:r>
          </w:p>
        </w:tc>
        <w:tc>
          <w:tcPr>
            <w:tcW w:w="1011" w:type="pct"/>
            <w:shd w:val="clear" w:color="auto" w:fill="FFFFFF"/>
          </w:tcPr>
          <w:p w14:paraId="1FFCC71D" w14:textId="77777777" w:rsidR="00954428" w:rsidRPr="00211948" w:rsidRDefault="00954428" w:rsidP="00954428">
            <w:pPr>
              <w:spacing w:after="0" w:line="240" w:lineRule="auto"/>
              <w:ind w:left="208" w:hanging="208"/>
              <w:rPr>
                <w:rFonts w:eastAsia="Times New Roman" w:cstheme="minorHAnsi"/>
                <w:b/>
                <w:sz w:val="20"/>
                <w:szCs w:val="20"/>
                <w:lang w:bidi="ar-SA"/>
              </w:rPr>
            </w:pPr>
            <w:r w:rsidRPr="00211948">
              <w:rPr>
                <w:rFonts w:eastAsia="Times New Roman" w:cstheme="minorHAnsi"/>
                <w:b/>
                <w:sz w:val="20"/>
                <w:szCs w:val="20"/>
                <w:lang w:bidi="ar-SA"/>
              </w:rPr>
              <w:t>Target</w:t>
            </w:r>
          </w:p>
        </w:tc>
        <w:tc>
          <w:tcPr>
            <w:tcW w:w="682" w:type="pct"/>
            <w:shd w:val="clear" w:color="auto" w:fill="FFFFFF"/>
          </w:tcPr>
          <w:p w14:paraId="3F6F688B" w14:textId="77777777" w:rsidR="00954428" w:rsidRPr="00211948" w:rsidRDefault="00954428" w:rsidP="00954428">
            <w:pPr>
              <w:spacing w:after="0" w:line="240" w:lineRule="auto"/>
              <w:ind w:left="208" w:hanging="208"/>
              <w:rPr>
                <w:rFonts w:eastAsia="Times New Roman" w:cstheme="minorHAnsi"/>
                <w:b/>
                <w:sz w:val="20"/>
                <w:szCs w:val="20"/>
                <w:lang w:bidi="ar-SA"/>
              </w:rPr>
            </w:pPr>
            <w:r w:rsidRPr="00211948">
              <w:rPr>
                <w:rFonts w:eastAsia="Times New Roman" w:cstheme="minorHAnsi"/>
                <w:b/>
                <w:sz w:val="20"/>
                <w:szCs w:val="20"/>
                <w:lang w:bidi="ar-SA"/>
              </w:rPr>
              <w:t>Sources of</w:t>
            </w:r>
          </w:p>
          <w:p w14:paraId="300A8180" w14:textId="77777777" w:rsidR="00954428" w:rsidRPr="00211948" w:rsidRDefault="00954428" w:rsidP="00954428">
            <w:pPr>
              <w:spacing w:after="0" w:line="240" w:lineRule="auto"/>
              <w:ind w:left="208" w:hanging="208"/>
              <w:rPr>
                <w:rFonts w:eastAsia="Times New Roman" w:cstheme="minorHAnsi"/>
                <w:b/>
                <w:sz w:val="20"/>
                <w:szCs w:val="20"/>
                <w:lang w:bidi="ar-SA"/>
              </w:rPr>
            </w:pPr>
            <w:r w:rsidRPr="00211948">
              <w:rPr>
                <w:rFonts w:eastAsia="Times New Roman" w:cstheme="minorHAnsi"/>
                <w:b/>
                <w:sz w:val="20"/>
                <w:szCs w:val="20"/>
                <w:lang w:bidi="ar-SA"/>
              </w:rPr>
              <w:t>verification</w:t>
            </w:r>
          </w:p>
        </w:tc>
        <w:tc>
          <w:tcPr>
            <w:tcW w:w="748" w:type="pct"/>
            <w:shd w:val="clear" w:color="auto" w:fill="FFFFFF"/>
          </w:tcPr>
          <w:p w14:paraId="1E16DFA6" w14:textId="77777777" w:rsidR="00954428" w:rsidRPr="00211948" w:rsidRDefault="00954428" w:rsidP="00954428">
            <w:pPr>
              <w:spacing w:after="0" w:line="240" w:lineRule="auto"/>
              <w:ind w:left="208" w:hanging="208"/>
              <w:rPr>
                <w:rFonts w:eastAsia="Times New Roman" w:cstheme="minorHAnsi"/>
                <w:b/>
                <w:sz w:val="20"/>
                <w:szCs w:val="20"/>
                <w:lang w:bidi="ar-SA"/>
              </w:rPr>
            </w:pPr>
            <w:r w:rsidRPr="00211948">
              <w:rPr>
                <w:rFonts w:eastAsia="Times New Roman" w:cstheme="minorHAnsi"/>
                <w:b/>
                <w:sz w:val="20"/>
                <w:szCs w:val="20"/>
                <w:lang w:bidi="ar-SA"/>
              </w:rPr>
              <w:t>Assumptions</w:t>
            </w:r>
          </w:p>
        </w:tc>
      </w:tr>
      <w:tr w:rsidR="00954428" w:rsidRPr="00211948" w14:paraId="10D6755A" w14:textId="77777777" w:rsidTr="00954428">
        <w:trPr>
          <w:trHeight w:val="1318"/>
          <w:jc w:val="center"/>
        </w:trPr>
        <w:tc>
          <w:tcPr>
            <w:tcW w:w="802" w:type="pct"/>
            <w:shd w:val="clear" w:color="auto" w:fill="auto"/>
          </w:tcPr>
          <w:p w14:paraId="6F21697D" w14:textId="77777777" w:rsidR="00954428" w:rsidRPr="00211948" w:rsidRDefault="00954428" w:rsidP="00954428">
            <w:pPr>
              <w:spacing w:after="0" w:line="240" w:lineRule="auto"/>
              <w:ind w:left="208" w:hanging="208"/>
              <w:rPr>
                <w:rFonts w:eastAsia="Times New Roman" w:cstheme="minorHAnsi"/>
                <w:b/>
                <w:sz w:val="20"/>
                <w:szCs w:val="20"/>
                <w:lang w:bidi="ar-SA"/>
              </w:rPr>
            </w:pPr>
            <w:r w:rsidRPr="00211948">
              <w:rPr>
                <w:rFonts w:eastAsia="Times New Roman" w:cstheme="minorHAnsi"/>
                <w:b/>
                <w:sz w:val="20"/>
                <w:szCs w:val="20"/>
                <w:u w:val="single"/>
                <w:lang w:bidi="ar-SA"/>
              </w:rPr>
              <w:t>Objective</w:t>
            </w:r>
            <w:r w:rsidRPr="00211948">
              <w:rPr>
                <w:rFonts w:eastAsia="Times New Roman" w:cstheme="minorHAnsi"/>
                <w:b/>
                <w:sz w:val="20"/>
                <w:szCs w:val="20"/>
                <w:lang w:bidi="ar-SA"/>
              </w:rPr>
              <w:t xml:space="preserve">: To achieve compliance with the accelerated Montreal Protocol HCFC phase-out requirements through stabilization and progressive reduction of HCFC consumption. </w:t>
            </w:r>
          </w:p>
        </w:tc>
        <w:tc>
          <w:tcPr>
            <w:tcW w:w="753" w:type="pct"/>
            <w:shd w:val="clear" w:color="auto" w:fill="auto"/>
          </w:tcPr>
          <w:p w14:paraId="6FD8DEF6"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Participating country</w:t>
            </w:r>
            <w:r w:rsidRPr="00211948">
              <w:rPr>
                <w:rFonts w:eastAsia="Cambria" w:cstheme="minorHAnsi"/>
                <w:sz w:val="20"/>
                <w:szCs w:val="20"/>
                <w:vertAlign w:val="superscript"/>
                <w:lang w:bidi="ar-SA"/>
              </w:rPr>
              <w:footnoteReference w:id="4"/>
            </w:r>
            <w:r w:rsidRPr="00211948">
              <w:rPr>
                <w:rFonts w:eastAsia="Cambria" w:cstheme="minorHAnsi"/>
                <w:sz w:val="20"/>
                <w:szCs w:val="20"/>
                <w:lang w:bidi="ar-SA"/>
              </w:rPr>
              <w:t xml:space="preserve"> is in compliance with the MP obligations for 2015 and 2020, or accelerates the phase-out earlier than MP requirements are enforced </w:t>
            </w:r>
          </w:p>
        </w:tc>
        <w:tc>
          <w:tcPr>
            <w:tcW w:w="1004" w:type="pct"/>
            <w:shd w:val="clear" w:color="auto" w:fill="auto"/>
          </w:tcPr>
          <w:p w14:paraId="6DEE7BA0"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Lack of approved HCFC phase-out strategy;</w:t>
            </w:r>
          </w:p>
          <w:p w14:paraId="7109977E"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Gaps in institutional capacity and HCFC use control system;</w:t>
            </w:r>
          </w:p>
          <w:p w14:paraId="1805AC0B"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Weak HCFC re-use capacity and low-level of technical knowledge and instrumentation to address HCFC in the servicing sector</w:t>
            </w:r>
          </w:p>
          <w:p w14:paraId="2CA5F1CC"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Limited technical knowledge relating to good refrigeration practices as regards alternative refrigerants (non-ODS/low GWP such as ammonia, carbon dioxide, etc)</w:t>
            </w:r>
          </w:p>
          <w:p w14:paraId="7539E3BE"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No current information products and programs</w:t>
            </w:r>
          </w:p>
          <w:p w14:paraId="48E2D88C"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 xml:space="preserve">Limited availability of technical tools to test gas composition and quality as well as to limit emissions of HCFCs during </w:t>
            </w:r>
            <w:r w:rsidRPr="00211948">
              <w:rPr>
                <w:rFonts w:eastAsia="Cambria" w:cstheme="minorHAnsi"/>
                <w:sz w:val="20"/>
                <w:szCs w:val="20"/>
                <w:lang w:bidi="ar-SA"/>
              </w:rPr>
              <w:lastRenderedPageBreak/>
              <w:t>equipment maintenance</w:t>
            </w:r>
          </w:p>
          <w:p w14:paraId="419A5BAF"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Limited exposure to alternative technologies and understanding of energy-saving aspects of new modern equipment operational on new technologies</w:t>
            </w:r>
          </w:p>
          <w:p w14:paraId="59BC26D5" w14:textId="77777777" w:rsidR="00954428" w:rsidRPr="00211948" w:rsidRDefault="00954428" w:rsidP="00954428">
            <w:pPr>
              <w:tabs>
                <w:tab w:val="left" w:pos="171"/>
              </w:tabs>
              <w:spacing w:after="0" w:line="240" w:lineRule="auto"/>
              <w:rPr>
                <w:rFonts w:eastAsia="Cambria" w:cstheme="minorHAnsi"/>
                <w:i/>
                <w:iCs/>
                <w:spacing w:val="15"/>
                <w:sz w:val="20"/>
                <w:szCs w:val="20"/>
                <w:lang w:bidi="ar-SA"/>
              </w:rPr>
            </w:pPr>
          </w:p>
        </w:tc>
        <w:tc>
          <w:tcPr>
            <w:tcW w:w="1011" w:type="pct"/>
            <w:shd w:val="clear" w:color="auto" w:fill="auto"/>
          </w:tcPr>
          <w:p w14:paraId="222AA68D"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lastRenderedPageBreak/>
              <w:t>HCFC phase-out strategy fully formulated and recommended for adoption and implementation;</w:t>
            </w:r>
          </w:p>
          <w:p w14:paraId="59443BA6"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Effective regulatory instruments to control HCFC use, and thus, import of HCFCs and HCFC containing equipment in place and effectively implemented;</w:t>
            </w:r>
          </w:p>
          <w:p w14:paraId="29B133A3"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Printed materials on various aspects related to HCFC phase-out (policy control options, enforcement and illegal trade, alternative technologies and energy-efficiency, ODS destruction, best refrigeration practices etc) available</w:t>
            </w:r>
          </w:p>
          <w:p w14:paraId="0E16B003"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i/>
                <w:iCs/>
                <w:spacing w:val="15"/>
                <w:sz w:val="20"/>
                <w:szCs w:val="20"/>
                <w:lang w:bidi="ar-SA"/>
              </w:rPr>
              <w:t xml:space="preserve"> </w:t>
            </w:r>
            <w:r w:rsidRPr="00211948">
              <w:rPr>
                <w:rFonts w:eastAsia="Cambria" w:cstheme="minorHAnsi"/>
                <w:sz w:val="20"/>
                <w:szCs w:val="20"/>
                <w:lang w:bidi="ar-SA"/>
              </w:rPr>
              <w:t xml:space="preserve">Current capacities of project stakeholders strengthened through capacity </w:t>
            </w:r>
            <w:r w:rsidRPr="00211948">
              <w:rPr>
                <w:rFonts w:eastAsia="Cambria" w:cstheme="minorHAnsi"/>
                <w:sz w:val="20"/>
                <w:szCs w:val="20"/>
                <w:lang w:bidi="ar-SA"/>
              </w:rPr>
              <w:lastRenderedPageBreak/>
              <w:t>building and investment support in manufacturing and servicing sectors</w:t>
            </w:r>
          </w:p>
          <w:p w14:paraId="176B149F" w14:textId="77777777" w:rsidR="00954428" w:rsidRPr="00211948" w:rsidRDefault="00954428" w:rsidP="00954428">
            <w:pPr>
              <w:tabs>
                <w:tab w:val="left" w:pos="171"/>
              </w:tabs>
              <w:spacing w:after="0" w:line="240" w:lineRule="auto"/>
              <w:ind w:left="6"/>
              <w:rPr>
                <w:rFonts w:eastAsia="Cambria" w:cstheme="minorHAnsi"/>
                <w:i/>
                <w:iCs/>
                <w:spacing w:val="15"/>
                <w:sz w:val="20"/>
                <w:szCs w:val="20"/>
                <w:lang w:bidi="ar-SA"/>
              </w:rPr>
            </w:pPr>
          </w:p>
        </w:tc>
        <w:tc>
          <w:tcPr>
            <w:tcW w:w="682" w:type="pct"/>
            <w:shd w:val="clear" w:color="auto" w:fill="auto"/>
          </w:tcPr>
          <w:p w14:paraId="0202CDB7" w14:textId="77777777" w:rsidR="00954428" w:rsidRPr="00211948" w:rsidRDefault="00954428" w:rsidP="00954428">
            <w:pPr>
              <w:numPr>
                <w:ilvl w:val="0"/>
                <w:numId w:val="34"/>
              </w:numPr>
              <w:tabs>
                <w:tab w:val="left" w:pos="196"/>
              </w:tabs>
              <w:spacing w:after="0" w:line="240" w:lineRule="auto"/>
              <w:ind w:left="16" w:firstLine="36"/>
              <w:rPr>
                <w:rFonts w:eastAsia="Cambria" w:cstheme="minorHAnsi"/>
                <w:i/>
                <w:iCs/>
                <w:spacing w:val="15"/>
                <w:sz w:val="20"/>
                <w:szCs w:val="20"/>
                <w:lang w:bidi="ar-SA"/>
              </w:rPr>
            </w:pPr>
            <w:r w:rsidRPr="00211948">
              <w:rPr>
                <w:rFonts w:eastAsia="Cambria" w:cstheme="minorHAnsi"/>
                <w:sz w:val="20"/>
                <w:szCs w:val="20"/>
                <w:lang w:bidi="ar-SA"/>
              </w:rPr>
              <w:lastRenderedPageBreak/>
              <w:t>Status of HCFC phase-out strategy as a formal government strategic document;</w:t>
            </w:r>
          </w:p>
          <w:p w14:paraId="409A9091"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National legal and regulatory registers</w:t>
            </w:r>
          </w:p>
          <w:p w14:paraId="04A8CF2B" w14:textId="77777777" w:rsidR="00954428" w:rsidRPr="00211948" w:rsidRDefault="00954428" w:rsidP="00954428">
            <w:pPr>
              <w:numPr>
                <w:ilvl w:val="0"/>
                <w:numId w:val="34"/>
              </w:numPr>
              <w:tabs>
                <w:tab w:val="left" w:pos="196"/>
              </w:tabs>
              <w:spacing w:after="0" w:line="240" w:lineRule="auto"/>
              <w:ind w:left="16" w:firstLine="36"/>
              <w:rPr>
                <w:rFonts w:eastAsia="Cambria" w:cstheme="minorHAnsi"/>
                <w:i/>
                <w:iCs/>
                <w:spacing w:val="15"/>
                <w:sz w:val="20"/>
                <w:szCs w:val="20"/>
                <w:lang w:bidi="ar-SA"/>
              </w:rPr>
            </w:pPr>
            <w:r w:rsidRPr="00211948">
              <w:rPr>
                <w:rFonts w:eastAsia="Cambria" w:cstheme="minorHAnsi"/>
                <w:sz w:val="20"/>
                <w:szCs w:val="20"/>
                <w:lang w:bidi="ar-SA"/>
              </w:rPr>
              <w:t xml:space="preserve">Art 7 reporting to Ozone Secretariat on HCFC import and monitoring of HCFC import reduction; </w:t>
            </w:r>
          </w:p>
          <w:p w14:paraId="5B20497C" w14:textId="77777777" w:rsidR="00954428" w:rsidRPr="00211948" w:rsidRDefault="00954428" w:rsidP="00954428">
            <w:pPr>
              <w:numPr>
                <w:ilvl w:val="0"/>
                <w:numId w:val="34"/>
              </w:numPr>
              <w:tabs>
                <w:tab w:val="left" w:pos="196"/>
              </w:tabs>
              <w:spacing w:after="0" w:line="240" w:lineRule="auto"/>
              <w:ind w:left="16" w:firstLine="36"/>
              <w:rPr>
                <w:rFonts w:eastAsia="Cambria" w:cstheme="minorHAnsi"/>
                <w:i/>
                <w:iCs/>
                <w:spacing w:val="15"/>
                <w:sz w:val="20"/>
                <w:szCs w:val="20"/>
                <w:lang w:bidi="ar-SA"/>
              </w:rPr>
            </w:pPr>
            <w:r w:rsidRPr="00211948">
              <w:rPr>
                <w:rFonts w:eastAsia="Cambria" w:cstheme="minorHAnsi"/>
                <w:sz w:val="20"/>
                <w:szCs w:val="20"/>
                <w:lang w:bidi="ar-SA"/>
              </w:rPr>
              <w:t>Project Progress and M/E reports</w:t>
            </w:r>
          </w:p>
        </w:tc>
        <w:tc>
          <w:tcPr>
            <w:tcW w:w="748" w:type="pct"/>
            <w:shd w:val="clear" w:color="auto" w:fill="auto"/>
          </w:tcPr>
          <w:p w14:paraId="00B001FA"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Overall government commitment and assumption of appropriate responsibility;</w:t>
            </w:r>
          </w:p>
          <w:p w14:paraId="7B4884D2"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Regulatory enforcement resources and capacity available;</w:t>
            </w:r>
          </w:p>
          <w:p w14:paraId="281C648D"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Project stakeholders actively participate in the project implementation and realization of HCFC phase-out strategy;</w:t>
            </w:r>
          </w:p>
          <w:p w14:paraId="644A48C4"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Accurate monitoring and reporting.</w:t>
            </w:r>
          </w:p>
        </w:tc>
      </w:tr>
      <w:tr w:rsidR="00954428" w:rsidRPr="00211948" w14:paraId="2E8AF5E2" w14:textId="77777777" w:rsidTr="00954428">
        <w:tblPrEx>
          <w:tblCellMar>
            <w:left w:w="0" w:type="dxa"/>
            <w:right w:w="0" w:type="dxa"/>
          </w:tblCellMar>
        </w:tblPrEx>
        <w:trPr>
          <w:cantSplit/>
          <w:trHeight w:val="330"/>
          <w:jc w:val="center"/>
        </w:trPr>
        <w:tc>
          <w:tcPr>
            <w:tcW w:w="5000" w:type="pct"/>
            <w:gridSpan w:val="6"/>
            <w:shd w:val="clear" w:color="auto" w:fill="auto"/>
          </w:tcPr>
          <w:p w14:paraId="0E60B1A0" w14:textId="77777777" w:rsidR="00954428" w:rsidRPr="00211948" w:rsidRDefault="00954428" w:rsidP="00954428">
            <w:pPr>
              <w:spacing w:after="0" w:line="240" w:lineRule="auto"/>
              <w:ind w:left="208" w:hanging="208"/>
              <w:rPr>
                <w:rFonts w:eastAsia="Times New Roman" w:cstheme="minorHAnsi"/>
                <w:b/>
                <w:sz w:val="20"/>
                <w:szCs w:val="20"/>
                <w:lang w:bidi="ar-SA"/>
              </w:rPr>
            </w:pPr>
            <w:r w:rsidRPr="00211948">
              <w:rPr>
                <w:rFonts w:eastAsia="Times New Roman" w:cstheme="minorHAnsi"/>
                <w:b/>
                <w:sz w:val="20"/>
                <w:szCs w:val="20"/>
                <w:lang w:bidi="ar-SA"/>
              </w:rPr>
              <w:t>Outcome 1: Regional accelerated phase-out capacity building (all countries)</w:t>
            </w:r>
          </w:p>
        </w:tc>
      </w:tr>
      <w:tr w:rsidR="00954428" w:rsidRPr="00211948" w14:paraId="1E13FD90" w14:textId="77777777" w:rsidTr="00954428">
        <w:tblPrEx>
          <w:tblCellMar>
            <w:left w:w="0" w:type="dxa"/>
            <w:right w:w="0" w:type="dxa"/>
          </w:tblCellMar>
        </w:tblPrEx>
        <w:trPr>
          <w:cantSplit/>
          <w:trHeight w:val="2231"/>
          <w:jc w:val="center"/>
        </w:trPr>
        <w:tc>
          <w:tcPr>
            <w:tcW w:w="802" w:type="pct"/>
            <w:shd w:val="clear" w:color="auto" w:fill="auto"/>
          </w:tcPr>
          <w:p w14:paraId="24079FC4" w14:textId="77777777" w:rsidR="00954428" w:rsidRPr="00211948" w:rsidRDefault="00954428" w:rsidP="00954428">
            <w:pPr>
              <w:spacing w:after="0" w:line="240" w:lineRule="auto"/>
              <w:ind w:left="208" w:hanging="208"/>
              <w:rPr>
                <w:rFonts w:eastAsia="Times New Roman" w:cstheme="minorHAnsi"/>
                <w:b/>
                <w:sz w:val="20"/>
                <w:szCs w:val="20"/>
                <w:lang w:bidi="ar-SA"/>
              </w:rPr>
            </w:pPr>
            <w:r w:rsidRPr="00211948">
              <w:rPr>
                <w:rFonts w:eastAsia="Times New Roman" w:cstheme="minorHAnsi"/>
                <w:b/>
                <w:sz w:val="20"/>
                <w:szCs w:val="20"/>
                <w:lang w:bidi="ar-SA"/>
              </w:rPr>
              <w:t>Outcome 1 (a): Legislative and Policy Options for HCFC phase-out and control</w:t>
            </w:r>
          </w:p>
        </w:tc>
        <w:tc>
          <w:tcPr>
            <w:tcW w:w="753" w:type="pct"/>
          </w:tcPr>
          <w:p w14:paraId="5388F2AD"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 xml:space="preserve">Russian language resource materials on HCFC control options prepared </w:t>
            </w:r>
          </w:p>
          <w:p w14:paraId="47D2B3D5" w14:textId="77777777" w:rsidR="00954428" w:rsidRPr="00211948" w:rsidRDefault="00954428" w:rsidP="00954428">
            <w:pPr>
              <w:numPr>
                <w:ilvl w:val="0"/>
                <w:numId w:val="34"/>
              </w:numPr>
              <w:tabs>
                <w:tab w:val="left" w:pos="171"/>
              </w:tabs>
              <w:spacing w:after="0" w:line="240" w:lineRule="auto"/>
              <w:ind w:left="6"/>
              <w:rPr>
                <w:rFonts w:eastAsia="Cambria" w:cstheme="minorHAnsi"/>
                <w:sz w:val="20"/>
                <w:szCs w:val="20"/>
                <w:lang w:bidi="ar-SA"/>
              </w:rPr>
            </w:pPr>
            <w:r w:rsidRPr="00211948">
              <w:rPr>
                <w:rFonts w:eastAsia="Cambria" w:cstheme="minorHAnsi"/>
                <w:sz w:val="20"/>
                <w:szCs w:val="20"/>
                <w:lang w:bidi="ar-SA"/>
              </w:rPr>
              <w:t>Awareness training for decision-makers on legislative and regulatory actions accomplished</w:t>
            </w:r>
          </w:p>
          <w:p w14:paraId="7949DC2D" w14:textId="77777777" w:rsidR="00954428" w:rsidRPr="00211948" w:rsidRDefault="00954428" w:rsidP="00954428">
            <w:pPr>
              <w:numPr>
                <w:ilvl w:val="0"/>
                <w:numId w:val="34"/>
              </w:numPr>
              <w:tabs>
                <w:tab w:val="left" w:pos="171"/>
              </w:tabs>
              <w:spacing w:after="0" w:line="240" w:lineRule="auto"/>
              <w:ind w:left="6"/>
              <w:rPr>
                <w:rFonts w:eastAsia="Cambria" w:cstheme="minorHAnsi"/>
                <w:b/>
                <w:i/>
                <w:iCs/>
                <w:spacing w:val="15"/>
                <w:sz w:val="20"/>
                <w:szCs w:val="20"/>
                <w:lang w:bidi="ar-SA"/>
              </w:rPr>
            </w:pPr>
            <w:r w:rsidRPr="00211948">
              <w:rPr>
                <w:rFonts w:eastAsia="Cambria" w:cstheme="minorHAnsi"/>
                <w:sz w:val="20"/>
                <w:szCs w:val="20"/>
                <w:lang w:bidi="ar-SA"/>
              </w:rPr>
              <w:t>Regional networking on the country with Art 5 and other non Art 5 countries in the region is supported</w:t>
            </w:r>
          </w:p>
        </w:tc>
        <w:tc>
          <w:tcPr>
            <w:tcW w:w="1004" w:type="pct"/>
            <w:vMerge w:val="restart"/>
          </w:tcPr>
          <w:p w14:paraId="21909679"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Key stakeholders generally have limited awareness of the issue or actions required on the higher or technical level to address HCFC phase-out;</w:t>
            </w:r>
          </w:p>
          <w:p w14:paraId="42E957A1"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 xml:space="preserve">Decision-makers from enforcement department (Environment Protection, Customs) have limited knowledge and lack practical skills on the regulatory approaches to effectively control </w:t>
            </w:r>
            <w:r w:rsidRPr="00211948">
              <w:rPr>
                <w:rFonts w:eastAsia="Cambria" w:cstheme="minorHAnsi"/>
                <w:sz w:val="20"/>
                <w:szCs w:val="20"/>
                <w:lang w:bidi="ar-SA"/>
              </w:rPr>
              <w:lastRenderedPageBreak/>
              <w:t>HCFC related challenges;</w:t>
            </w:r>
          </w:p>
          <w:p w14:paraId="0CD393C2"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Limited number or lack of trained trainers on enforcement and best refrigeration aspects;</w:t>
            </w:r>
          </w:p>
          <w:p w14:paraId="2BD82BE8"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Required materials in Russian or local languages, on HCFC control options, Customs enforcemen</w:t>
            </w:r>
            <w:r>
              <w:rPr>
                <w:rFonts w:eastAsia="Cambria" w:cstheme="minorHAnsi"/>
                <w:sz w:val="20"/>
                <w:szCs w:val="20"/>
                <w:lang w:bidi="ar-SA"/>
              </w:rPr>
              <w:t>t approaches and methodologies,</w:t>
            </w:r>
            <w:r w:rsidRPr="00211948">
              <w:rPr>
                <w:rFonts w:eastAsia="Cambria" w:cstheme="minorHAnsi"/>
                <w:sz w:val="20"/>
                <w:szCs w:val="20"/>
                <w:lang w:bidi="ar-SA"/>
              </w:rPr>
              <w:t xml:space="preserve"> refrigeration sector capacity building, energy-efficiency, alternative </w:t>
            </w:r>
            <w:r w:rsidRPr="00211948">
              <w:rPr>
                <w:rFonts w:eastAsia="Cambria" w:cstheme="minorHAnsi"/>
                <w:sz w:val="20"/>
                <w:szCs w:val="20"/>
                <w:lang w:bidi="ar-SA"/>
              </w:rPr>
              <w:lastRenderedPageBreak/>
              <w:t>technologies and their application, illegal trade and PIC, technician certification and ODS waste management related issues are limited in availability or absent;</w:t>
            </w:r>
          </w:p>
          <w:p w14:paraId="1F192020"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Regional networking with other partner countries in the region is lacking which prevents information and experience exchange [see topics above];</w:t>
            </w:r>
          </w:p>
          <w:p w14:paraId="21F231FC"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Cooperation between non-Art 5 countries on effective action standards is minimal or absent.</w:t>
            </w:r>
          </w:p>
        </w:tc>
        <w:tc>
          <w:tcPr>
            <w:tcW w:w="1011" w:type="pct"/>
            <w:vMerge w:val="restart"/>
          </w:tcPr>
          <w:p w14:paraId="63745986"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lastRenderedPageBreak/>
              <w:t>Availability of key guidance documentation in Russian, or local languages, where required, on HCFC control options, Customs enforcement</w:t>
            </w:r>
            <w:r>
              <w:rPr>
                <w:rFonts w:eastAsia="Cambria" w:cstheme="minorHAnsi"/>
                <w:sz w:val="20"/>
                <w:szCs w:val="20"/>
                <w:lang w:bidi="ar-SA"/>
              </w:rPr>
              <w:t xml:space="preserve"> approaches and methodologies, </w:t>
            </w:r>
            <w:r w:rsidRPr="00211948">
              <w:rPr>
                <w:rFonts w:eastAsia="Cambria" w:cstheme="minorHAnsi"/>
                <w:sz w:val="20"/>
                <w:szCs w:val="20"/>
                <w:lang w:bidi="ar-SA"/>
              </w:rPr>
              <w:t>refrigeration sector capacity building, energy-efficiency, ODS destruction etc;</w:t>
            </w:r>
          </w:p>
          <w:p w14:paraId="019B66BD"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 xml:space="preserve">High-level decision-makers of Environment Protection, Customs, territorial inspectorates, </w:t>
            </w:r>
            <w:r w:rsidRPr="00211948">
              <w:rPr>
                <w:rFonts w:eastAsia="Cambria" w:cstheme="minorHAnsi"/>
                <w:sz w:val="20"/>
                <w:szCs w:val="20"/>
                <w:lang w:bidi="ar-SA"/>
              </w:rPr>
              <w:lastRenderedPageBreak/>
              <w:t>other Governmental agencies such as Ministry of Education, Standardization Committee are well informed and support the objectives of HCFC consumption phase-out and measures to address this process;</w:t>
            </w:r>
          </w:p>
          <w:p w14:paraId="41C11A35"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 xml:space="preserve">Training of a selected number of trainers on the technical level (Customs controls and refrigeration practices) is </w:t>
            </w:r>
            <w:r w:rsidRPr="00211948">
              <w:rPr>
                <w:rFonts w:eastAsia="Cambria" w:cstheme="minorHAnsi"/>
                <w:sz w:val="20"/>
                <w:szCs w:val="20"/>
                <w:lang w:bidi="ar-SA"/>
              </w:rPr>
              <w:lastRenderedPageBreak/>
              <w:t>complete on regional level to initiate trainings on national level</w:t>
            </w:r>
          </w:p>
          <w:p w14:paraId="281729EA"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Regional networking with non Art 5 and other Art 5 countries re-established, contacts re-engaged, and overall supports accelerated capacity building of the country as well as essential experience exchange on important HCFC phase-out related topics</w:t>
            </w:r>
          </w:p>
          <w:p w14:paraId="1BAFBFF7" w14:textId="77777777" w:rsidR="00954428" w:rsidRPr="00211948" w:rsidRDefault="00954428" w:rsidP="00954428">
            <w:pPr>
              <w:tabs>
                <w:tab w:val="left" w:pos="171"/>
              </w:tabs>
              <w:spacing w:after="0" w:line="240" w:lineRule="auto"/>
              <w:rPr>
                <w:rFonts w:eastAsia="Cambria" w:cstheme="minorHAnsi"/>
                <w:i/>
                <w:iCs/>
                <w:spacing w:val="15"/>
                <w:sz w:val="20"/>
                <w:szCs w:val="20"/>
                <w:lang w:bidi="ar-SA"/>
              </w:rPr>
            </w:pPr>
          </w:p>
        </w:tc>
        <w:tc>
          <w:tcPr>
            <w:tcW w:w="682" w:type="pct"/>
            <w:vMerge w:val="restart"/>
          </w:tcPr>
          <w:p w14:paraId="406424EC"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lastRenderedPageBreak/>
              <w:t>National legal and regulatory registers</w:t>
            </w:r>
          </w:p>
          <w:p w14:paraId="5CE9426E"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Equivalence comparison to international standards</w:t>
            </w:r>
          </w:p>
          <w:p w14:paraId="7BA667D9"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Number of regional/sub-regional meetings attended by each country, and specific department (organized by MLF/UNEP-CAP team or by the current project)</w:t>
            </w:r>
          </w:p>
          <w:p w14:paraId="39EAF3A2"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 xml:space="preserve">Number of materials, in Russian, or local </w:t>
            </w:r>
            <w:r w:rsidRPr="00211948">
              <w:rPr>
                <w:rFonts w:eastAsia="Cambria" w:cstheme="minorHAnsi"/>
                <w:sz w:val="20"/>
                <w:szCs w:val="20"/>
                <w:lang w:bidi="ar-SA"/>
              </w:rPr>
              <w:lastRenderedPageBreak/>
              <w:t>languages, prepared and used by the countries</w:t>
            </w:r>
          </w:p>
          <w:p w14:paraId="059154D0"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Number of involved/trained decision makers and trainers trained in each country</w:t>
            </w:r>
          </w:p>
          <w:p w14:paraId="336F6390"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Monitoring of press and media coverage</w:t>
            </w:r>
          </w:p>
          <w:p w14:paraId="534B6766"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Project Progress and M/E reports</w:t>
            </w:r>
          </w:p>
        </w:tc>
        <w:tc>
          <w:tcPr>
            <w:tcW w:w="748" w:type="pct"/>
            <w:vMerge w:val="restart"/>
          </w:tcPr>
          <w:p w14:paraId="0ECA96F7"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lastRenderedPageBreak/>
              <w:t>In-country interagency coordination is sustainable through high-level Government support and allows for timely participation of various departments in regional meetings</w:t>
            </w:r>
          </w:p>
          <w:p w14:paraId="0D0E2C38"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MLF/UNEP-CAP and other regional and sub-regional conferences and meetings are organized on HCFC phase-out subjects etc</w:t>
            </w:r>
          </w:p>
          <w:p w14:paraId="73C31371"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 xml:space="preserve">Trainers are further deployed </w:t>
            </w:r>
            <w:r w:rsidRPr="00211948">
              <w:rPr>
                <w:rFonts w:eastAsia="Cambria" w:cstheme="minorHAnsi"/>
                <w:sz w:val="20"/>
                <w:szCs w:val="20"/>
                <w:lang w:bidi="ar-SA"/>
              </w:rPr>
              <w:lastRenderedPageBreak/>
              <w:t>for the training at national level</w:t>
            </w:r>
          </w:p>
          <w:p w14:paraId="1DCDD19C"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Any additional training will be organized at national level (with or w/o participation of international trainer)</w:t>
            </w:r>
          </w:p>
          <w:p w14:paraId="7BEF1560" w14:textId="77777777" w:rsidR="00954428" w:rsidRPr="00211948" w:rsidRDefault="00954428" w:rsidP="00954428">
            <w:pPr>
              <w:spacing w:after="0" w:line="240" w:lineRule="auto"/>
              <w:ind w:left="208"/>
              <w:rPr>
                <w:rFonts w:eastAsia="Cambria" w:cstheme="minorHAnsi"/>
                <w:sz w:val="20"/>
                <w:szCs w:val="20"/>
                <w:lang w:bidi="ar-SA"/>
              </w:rPr>
            </w:pPr>
          </w:p>
        </w:tc>
      </w:tr>
      <w:tr w:rsidR="00954428" w:rsidRPr="00211948" w14:paraId="03C10F3D" w14:textId="77777777" w:rsidTr="00954428">
        <w:tblPrEx>
          <w:tblCellMar>
            <w:left w:w="0" w:type="dxa"/>
            <w:right w:w="0" w:type="dxa"/>
          </w:tblCellMar>
        </w:tblPrEx>
        <w:trPr>
          <w:cantSplit/>
          <w:trHeight w:val="1700"/>
          <w:jc w:val="center"/>
        </w:trPr>
        <w:tc>
          <w:tcPr>
            <w:tcW w:w="802" w:type="pct"/>
            <w:shd w:val="clear" w:color="auto" w:fill="auto"/>
          </w:tcPr>
          <w:p w14:paraId="7FF3302F" w14:textId="77777777" w:rsidR="00954428" w:rsidRPr="00211948" w:rsidRDefault="00954428" w:rsidP="00954428">
            <w:pPr>
              <w:spacing w:after="0" w:line="240" w:lineRule="auto"/>
              <w:ind w:left="208" w:hanging="208"/>
              <w:rPr>
                <w:rFonts w:eastAsia="Times New Roman" w:cstheme="minorHAnsi"/>
                <w:b/>
                <w:sz w:val="20"/>
                <w:szCs w:val="20"/>
                <w:lang w:bidi="ar-SA"/>
              </w:rPr>
            </w:pPr>
            <w:r w:rsidRPr="00211948">
              <w:rPr>
                <w:rFonts w:eastAsia="Times New Roman" w:cstheme="minorHAnsi"/>
                <w:b/>
                <w:sz w:val="20"/>
                <w:szCs w:val="20"/>
                <w:lang w:bidi="ar-SA"/>
              </w:rPr>
              <w:lastRenderedPageBreak/>
              <w:t>Outcome 1 (b): Capacity Building for Enforcement of HCFC control measures by customs and environmental/technical inspection authorities</w:t>
            </w:r>
          </w:p>
        </w:tc>
        <w:tc>
          <w:tcPr>
            <w:tcW w:w="753" w:type="pct"/>
          </w:tcPr>
          <w:p w14:paraId="2F8C8817"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 xml:space="preserve">Russian language resource documentation </w:t>
            </w:r>
          </w:p>
          <w:p w14:paraId="3D4DAE80"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Awareness raising activities</w:t>
            </w:r>
          </w:p>
          <w:p w14:paraId="682C3DAA"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Training of Trainers</w:t>
            </w:r>
          </w:p>
          <w:p w14:paraId="04468272" w14:textId="77777777" w:rsidR="00954428" w:rsidRPr="00211948" w:rsidRDefault="00954428" w:rsidP="00954428">
            <w:pPr>
              <w:numPr>
                <w:ilvl w:val="0"/>
                <w:numId w:val="34"/>
              </w:numPr>
              <w:tabs>
                <w:tab w:val="left" w:pos="171"/>
              </w:tabs>
              <w:spacing w:after="0" w:line="240" w:lineRule="auto"/>
              <w:ind w:left="6"/>
              <w:rPr>
                <w:rFonts w:eastAsia="Cambria" w:cstheme="minorHAnsi"/>
                <w:sz w:val="20"/>
                <w:szCs w:val="20"/>
                <w:lang w:bidi="ar-SA"/>
              </w:rPr>
            </w:pPr>
            <w:r w:rsidRPr="00211948">
              <w:rPr>
                <w:rFonts w:eastAsia="Cambria" w:cstheme="minorHAnsi"/>
                <w:sz w:val="20"/>
                <w:szCs w:val="20"/>
                <w:lang w:bidi="ar-SA"/>
              </w:rPr>
              <w:t>PIC Network</w:t>
            </w:r>
          </w:p>
          <w:p w14:paraId="2007012B" w14:textId="77777777" w:rsidR="00954428" w:rsidRPr="00211948" w:rsidRDefault="00954428" w:rsidP="00954428">
            <w:pPr>
              <w:numPr>
                <w:ilvl w:val="0"/>
                <w:numId w:val="34"/>
              </w:numPr>
              <w:tabs>
                <w:tab w:val="left" w:pos="171"/>
              </w:tabs>
              <w:spacing w:after="0" w:line="240" w:lineRule="auto"/>
              <w:ind w:left="6"/>
              <w:rPr>
                <w:rFonts w:eastAsia="Cambria" w:cstheme="minorHAnsi"/>
                <w:b/>
                <w:i/>
                <w:iCs/>
                <w:spacing w:val="15"/>
                <w:sz w:val="20"/>
                <w:szCs w:val="20"/>
                <w:lang w:bidi="ar-SA"/>
              </w:rPr>
            </w:pPr>
            <w:r w:rsidRPr="00211948">
              <w:rPr>
                <w:rFonts w:eastAsia="Cambria" w:cstheme="minorHAnsi"/>
                <w:sz w:val="20"/>
                <w:szCs w:val="20"/>
                <w:lang w:bidi="ar-SA"/>
              </w:rPr>
              <w:t>Regional networking</w:t>
            </w:r>
          </w:p>
        </w:tc>
        <w:tc>
          <w:tcPr>
            <w:tcW w:w="1004" w:type="pct"/>
            <w:vMerge/>
          </w:tcPr>
          <w:p w14:paraId="47C49979" w14:textId="77777777" w:rsidR="00954428" w:rsidRPr="00211948" w:rsidRDefault="00954428" w:rsidP="00954428">
            <w:pPr>
              <w:spacing w:after="0" w:line="240" w:lineRule="auto"/>
              <w:ind w:left="208" w:hanging="208"/>
              <w:contextualSpacing/>
              <w:rPr>
                <w:rFonts w:eastAsia="Times New Roman" w:cstheme="minorHAnsi"/>
                <w:sz w:val="20"/>
                <w:szCs w:val="20"/>
                <w:lang w:bidi="ar-SA"/>
              </w:rPr>
            </w:pPr>
          </w:p>
        </w:tc>
        <w:tc>
          <w:tcPr>
            <w:tcW w:w="1011" w:type="pct"/>
            <w:vMerge/>
          </w:tcPr>
          <w:p w14:paraId="5C40A267" w14:textId="77777777" w:rsidR="00954428" w:rsidRPr="00211948" w:rsidRDefault="00954428" w:rsidP="00954428">
            <w:pPr>
              <w:spacing w:after="0" w:line="240" w:lineRule="auto"/>
              <w:ind w:left="208"/>
              <w:contextualSpacing/>
              <w:rPr>
                <w:rFonts w:eastAsia="Times New Roman" w:cstheme="minorHAnsi"/>
                <w:sz w:val="20"/>
                <w:szCs w:val="20"/>
                <w:lang w:bidi="ar-SA"/>
              </w:rPr>
            </w:pPr>
          </w:p>
        </w:tc>
        <w:tc>
          <w:tcPr>
            <w:tcW w:w="682" w:type="pct"/>
            <w:vMerge/>
          </w:tcPr>
          <w:p w14:paraId="36A33564" w14:textId="77777777" w:rsidR="00954428" w:rsidRPr="00211948" w:rsidRDefault="00954428" w:rsidP="00954428">
            <w:pPr>
              <w:spacing w:after="0" w:line="240" w:lineRule="auto"/>
              <w:ind w:left="208"/>
              <w:contextualSpacing/>
              <w:rPr>
                <w:rFonts w:eastAsia="Times New Roman" w:cstheme="minorHAnsi"/>
                <w:sz w:val="20"/>
                <w:szCs w:val="20"/>
                <w:lang w:bidi="ar-SA"/>
              </w:rPr>
            </w:pPr>
          </w:p>
        </w:tc>
        <w:tc>
          <w:tcPr>
            <w:tcW w:w="748" w:type="pct"/>
            <w:vMerge/>
          </w:tcPr>
          <w:p w14:paraId="2E440D5A" w14:textId="77777777" w:rsidR="00954428" w:rsidRPr="00211948" w:rsidRDefault="00954428" w:rsidP="00954428">
            <w:pPr>
              <w:spacing w:after="0" w:line="240" w:lineRule="auto"/>
              <w:ind w:left="208"/>
              <w:rPr>
                <w:rFonts w:eastAsia="Cambria" w:cstheme="minorHAnsi"/>
                <w:sz w:val="20"/>
                <w:szCs w:val="20"/>
                <w:lang w:bidi="ar-SA"/>
              </w:rPr>
            </w:pPr>
          </w:p>
        </w:tc>
      </w:tr>
      <w:tr w:rsidR="00954428" w:rsidRPr="00211948" w14:paraId="4BBE8A65" w14:textId="77777777" w:rsidTr="00954428">
        <w:tblPrEx>
          <w:tblCellMar>
            <w:left w:w="0" w:type="dxa"/>
            <w:right w:w="0" w:type="dxa"/>
          </w:tblCellMar>
        </w:tblPrEx>
        <w:trPr>
          <w:cantSplit/>
          <w:trHeight w:val="1250"/>
          <w:jc w:val="center"/>
        </w:trPr>
        <w:tc>
          <w:tcPr>
            <w:tcW w:w="802" w:type="pct"/>
            <w:shd w:val="clear" w:color="auto" w:fill="auto"/>
          </w:tcPr>
          <w:p w14:paraId="20724CF6" w14:textId="77777777" w:rsidR="00954428" w:rsidRPr="00211948" w:rsidRDefault="00954428" w:rsidP="00954428">
            <w:pPr>
              <w:spacing w:after="0" w:line="240" w:lineRule="auto"/>
              <w:ind w:left="208" w:hanging="208"/>
              <w:rPr>
                <w:rFonts w:eastAsia="Times New Roman" w:cstheme="minorHAnsi"/>
                <w:b/>
                <w:sz w:val="20"/>
                <w:szCs w:val="20"/>
                <w:lang w:bidi="ar-SA"/>
              </w:rPr>
            </w:pPr>
            <w:r w:rsidRPr="00211948">
              <w:rPr>
                <w:rFonts w:eastAsia="Times New Roman" w:cstheme="minorHAnsi"/>
                <w:b/>
                <w:sz w:val="20"/>
                <w:szCs w:val="20"/>
                <w:lang w:bidi="ar-SA"/>
              </w:rPr>
              <w:t>Outcome 1 (c): Capacity Building for the Refrigeration Sector, Incorporation of Energy-Efficiency and GHG reduction elements</w:t>
            </w:r>
          </w:p>
        </w:tc>
        <w:tc>
          <w:tcPr>
            <w:tcW w:w="753" w:type="pct"/>
          </w:tcPr>
          <w:p w14:paraId="5BFF3CE0"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 xml:space="preserve">Preparation of Russian language training manuals and information materials </w:t>
            </w:r>
          </w:p>
          <w:p w14:paraId="69CF5076" w14:textId="77777777" w:rsidR="00954428" w:rsidRPr="00211948" w:rsidRDefault="00954428" w:rsidP="00954428">
            <w:pPr>
              <w:numPr>
                <w:ilvl w:val="0"/>
                <w:numId w:val="34"/>
              </w:numPr>
              <w:tabs>
                <w:tab w:val="left" w:pos="171"/>
              </w:tabs>
              <w:spacing w:after="0" w:line="240" w:lineRule="auto"/>
              <w:ind w:left="6"/>
              <w:rPr>
                <w:rFonts w:eastAsia="Cambria" w:cstheme="minorHAnsi"/>
                <w:b/>
                <w:i/>
                <w:iCs/>
                <w:spacing w:val="15"/>
                <w:sz w:val="20"/>
                <w:szCs w:val="20"/>
                <w:lang w:bidi="ar-SA"/>
              </w:rPr>
            </w:pPr>
            <w:r w:rsidRPr="00211948">
              <w:rPr>
                <w:rFonts w:eastAsia="Cambria" w:cstheme="minorHAnsi"/>
                <w:sz w:val="20"/>
                <w:szCs w:val="20"/>
                <w:lang w:bidi="ar-SA"/>
              </w:rPr>
              <w:t>ToT on Best Refrigeration Practices</w:t>
            </w:r>
          </w:p>
        </w:tc>
        <w:tc>
          <w:tcPr>
            <w:tcW w:w="1004" w:type="pct"/>
            <w:vMerge/>
          </w:tcPr>
          <w:p w14:paraId="514EBF12" w14:textId="77777777" w:rsidR="00954428" w:rsidRPr="00211948" w:rsidRDefault="00954428" w:rsidP="00954428">
            <w:pPr>
              <w:spacing w:after="0" w:line="240" w:lineRule="auto"/>
              <w:ind w:left="208" w:hanging="208"/>
              <w:contextualSpacing/>
              <w:rPr>
                <w:rFonts w:eastAsia="Times New Roman" w:cstheme="minorHAnsi"/>
                <w:sz w:val="20"/>
                <w:szCs w:val="20"/>
                <w:lang w:bidi="ar-SA"/>
              </w:rPr>
            </w:pPr>
          </w:p>
        </w:tc>
        <w:tc>
          <w:tcPr>
            <w:tcW w:w="1011" w:type="pct"/>
            <w:vMerge/>
          </w:tcPr>
          <w:p w14:paraId="5504E736" w14:textId="77777777" w:rsidR="00954428" w:rsidRPr="00211948" w:rsidRDefault="00954428" w:rsidP="00954428">
            <w:pPr>
              <w:spacing w:after="0" w:line="240" w:lineRule="auto"/>
              <w:ind w:left="208"/>
              <w:contextualSpacing/>
              <w:rPr>
                <w:rFonts w:eastAsia="Times New Roman" w:cstheme="minorHAnsi"/>
                <w:sz w:val="20"/>
                <w:szCs w:val="20"/>
                <w:lang w:bidi="ar-SA"/>
              </w:rPr>
            </w:pPr>
          </w:p>
        </w:tc>
        <w:tc>
          <w:tcPr>
            <w:tcW w:w="682" w:type="pct"/>
            <w:vMerge/>
          </w:tcPr>
          <w:p w14:paraId="3826DC02" w14:textId="77777777" w:rsidR="00954428" w:rsidRPr="00211948" w:rsidRDefault="00954428" w:rsidP="00954428">
            <w:pPr>
              <w:spacing w:after="0" w:line="240" w:lineRule="auto"/>
              <w:ind w:left="208"/>
              <w:contextualSpacing/>
              <w:rPr>
                <w:rFonts w:eastAsia="Times New Roman" w:cstheme="minorHAnsi"/>
                <w:sz w:val="20"/>
                <w:szCs w:val="20"/>
                <w:lang w:bidi="ar-SA"/>
              </w:rPr>
            </w:pPr>
          </w:p>
        </w:tc>
        <w:tc>
          <w:tcPr>
            <w:tcW w:w="748" w:type="pct"/>
            <w:vMerge/>
          </w:tcPr>
          <w:p w14:paraId="45D306F4" w14:textId="77777777" w:rsidR="00954428" w:rsidRPr="00211948" w:rsidRDefault="00954428" w:rsidP="00954428">
            <w:pPr>
              <w:spacing w:after="0" w:line="240" w:lineRule="auto"/>
              <w:ind w:left="208"/>
              <w:rPr>
                <w:rFonts w:eastAsia="Cambria" w:cstheme="minorHAnsi"/>
                <w:sz w:val="20"/>
                <w:szCs w:val="20"/>
                <w:lang w:bidi="ar-SA"/>
              </w:rPr>
            </w:pPr>
          </w:p>
        </w:tc>
      </w:tr>
      <w:tr w:rsidR="00954428" w:rsidRPr="00211948" w14:paraId="4B27F7D6" w14:textId="77777777" w:rsidTr="00954428">
        <w:tblPrEx>
          <w:tblCellMar>
            <w:left w:w="0" w:type="dxa"/>
            <w:right w:w="0" w:type="dxa"/>
          </w:tblCellMar>
        </w:tblPrEx>
        <w:trPr>
          <w:cantSplit/>
          <w:trHeight w:val="330"/>
          <w:jc w:val="center"/>
        </w:trPr>
        <w:tc>
          <w:tcPr>
            <w:tcW w:w="802" w:type="pct"/>
            <w:shd w:val="clear" w:color="auto" w:fill="auto"/>
          </w:tcPr>
          <w:p w14:paraId="67D010AB" w14:textId="77777777" w:rsidR="00954428" w:rsidRPr="00211948" w:rsidRDefault="00954428" w:rsidP="00954428">
            <w:pPr>
              <w:spacing w:after="0" w:line="240" w:lineRule="auto"/>
              <w:ind w:left="208" w:hanging="208"/>
              <w:rPr>
                <w:rFonts w:eastAsia="Times New Roman" w:cstheme="minorHAnsi"/>
                <w:b/>
                <w:sz w:val="20"/>
                <w:szCs w:val="20"/>
                <w:lang w:bidi="ar-SA"/>
              </w:rPr>
            </w:pPr>
            <w:r w:rsidRPr="00211948">
              <w:rPr>
                <w:rFonts w:eastAsia="Times New Roman" w:cstheme="minorHAnsi"/>
                <w:b/>
                <w:sz w:val="20"/>
                <w:szCs w:val="20"/>
                <w:lang w:bidi="ar-SA"/>
              </w:rPr>
              <w:lastRenderedPageBreak/>
              <w:t>Outcome 1 (d): Support for the development of regional institutions, capacity, and cooperation</w:t>
            </w:r>
          </w:p>
          <w:p w14:paraId="341C5101" w14:textId="77777777" w:rsidR="00954428" w:rsidRPr="00211948" w:rsidRDefault="00954428" w:rsidP="00954428">
            <w:pPr>
              <w:spacing w:after="0" w:line="240" w:lineRule="auto"/>
              <w:ind w:left="208" w:hanging="208"/>
              <w:rPr>
                <w:rFonts w:eastAsia="Times New Roman" w:cstheme="minorHAnsi"/>
                <w:b/>
                <w:sz w:val="20"/>
                <w:szCs w:val="20"/>
                <w:lang w:bidi="ar-SA"/>
              </w:rPr>
            </w:pPr>
          </w:p>
        </w:tc>
        <w:tc>
          <w:tcPr>
            <w:tcW w:w="753" w:type="pct"/>
          </w:tcPr>
          <w:p w14:paraId="3D5C67E2"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Preparation of Russian language information materials</w:t>
            </w:r>
          </w:p>
          <w:p w14:paraId="1D0A1EBF" w14:textId="77777777" w:rsidR="00954428" w:rsidRPr="00211948" w:rsidRDefault="00954428" w:rsidP="00954428">
            <w:pPr>
              <w:numPr>
                <w:ilvl w:val="0"/>
                <w:numId w:val="34"/>
              </w:numPr>
              <w:tabs>
                <w:tab w:val="left" w:pos="171"/>
              </w:tabs>
              <w:spacing w:after="0" w:line="240" w:lineRule="auto"/>
              <w:ind w:left="6"/>
              <w:rPr>
                <w:rFonts w:eastAsia="Cambria" w:cstheme="minorHAnsi"/>
                <w:i/>
                <w:iCs/>
                <w:spacing w:val="15"/>
                <w:sz w:val="20"/>
                <w:szCs w:val="20"/>
                <w:lang w:bidi="ar-SA"/>
              </w:rPr>
            </w:pPr>
            <w:r w:rsidRPr="00211948">
              <w:rPr>
                <w:rFonts w:eastAsia="Cambria" w:cstheme="minorHAnsi"/>
                <w:sz w:val="20"/>
                <w:szCs w:val="20"/>
                <w:lang w:bidi="ar-SA"/>
              </w:rPr>
              <w:t>Promotion of Information exchange mechanisms</w:t>
            </w:r>
          </w:p>
          <w:p w14:paraId="284A5077" w14:textId="77777777" w:rsidR="00954428" w:rsidRPr="00211948" w:rsidRDefault="00954428" w:rsidP="00954428">
            <w:pPr>
              <w:numPr>
                <w:ilvl w:val="0"/>
                <w:numId w:val="34"/>
              </w:numPr>
              <w:tabs>
                <w:tab w:val="left" w:pos="171"/>
              </w:tabs>
              <w:spacing w:after="0" w:line="240" w:lineRule="auto"/>
              <w:ind w:left="6"/>
              <w:rPr>
                <w:rFonts w:eastAsia="Cambria" w:cstheme="minorHAnsi"/>
                <w:b/>
                <w:i/>
                <w:iCs/>
                <w:spacing w:val="15"/>
                <w:sz w:val="20"/>
                <w:szCs w:val="20"/>
                <w:lang w:bidi="ar-SA"/>
              </w:rPr>
            </w:pPr>
            <w:r w:rsidRPr="00211948">
              <w:rPr>
                <w:rFonts w:eastAsia="Cambria" w:cstheme="minorHAnsi"/>
                <w:sz w:val="20"/>
                <w:szCs w:val="20"/>
                <w:lang w:bidi="ar-SA"/>
              </w:rPr>
              <w:t>Facilitation of regional dialogue</w:t>
            </w:r>
          </w:p>
          <w:p w14:paraId="45FDBF38" w14:textId="77777777" w:rsidR="00954428" w:rsidRPr="00211948" w:rsidRDefault="00954428" w:rsidP="00954428">
            <w:pPr>
              <w:tabs>
                <w:tab w:val="left" w:pos="171"/>
              </w:tabs>
              <w:spacing w:after="0" w:line="240" w:lineRule="auto"/>
              <w:rPr>
                <w:rFonts w:eastAsia="Cambria" w:cstheme="minorHAnsi"/>
                <w:sz w:val="20"/>
                <w:szCs w:val="20"/>
                <w:lang w:bidi="ar-SA"/>
              </w:rPr>
            </w:pPr>
          </w:p>
          <w:p w14:paraId="329DA6F4" w14:textId="77777777" w:rsidR="00954428" w:rsidRPr="00211948" w:rsidRDefault="00954428" w:rsidP="00954428">
            <w:pPr>
              <w:tabs>
                <w:tab w:val="left" w:pos="171"/>
              </w:tabs>
              <w:spacing w:after="0" w:line="240" w:lineRule="auto"/>
              <w:rPr>
                <w:rFonts w:eastAsia="Cambria" w:cstheme="minorHAnsi"/>
                <w:sz w:val="20"/>
                <w:szCs w:val="20"/>
                <w:lang w:bidi="ar-SA"/>
              </w:rPr>
            </w:pPr>
          </w:p>
          <w:p w14:paraId="651AAFC9" w14:textId="77777777" w:rsidR="00954428" w:rsidRPr="00211948" w:rsidRDefault="00954428" w:rsidP="00954428">
            <w:pPr>
              <w:tabs>
                <w:tab w:val="left" w:pos="171"/>
              </w:tabs>
              <w:spacing w:after="0" w:line="240" w:lineRule="auto"/>
              <w:rPr>
                <w:rFonts w:eastAsia="Cambria" w:cstheme="minorHAnsi"/>
                <w:sz w:val="20"/>
                <w:szCs w:val="20"/>
                <w:lang w:bidi="ar-SA"/>
              </w:rPr>
            </w:pPr>
          </w:p>
          <w:p w14:paraId="4BD6A75B" w14:textId="77777777" w:rsidR="00954428" w:rsidRPr="00211948" w:rsidRDefault="00954428" w:rsidP="00954428">
            <w:pPr>
              <w:tabs>
                <w:tab w:val="left" w:pos="171"/>
              </w:tabs>
              <w:spacing w:after="0" w:line="240" w:lineRule="auto"/>
              <w:rPr>
                <w:rFonts w:eastAsia="Cambria" w:cstheme="minorHAnsi"/>
                <w:sz w:val="20"/>
                <w:szCs w:val="20"/>
                <w:lang w:bidi="ar-SA"/>
              </w:rPr>
            </w:pPr>
          </w:p>
          <w:p w14:paraId="04DF3923" w14:textId="77777777" w:rsidR="00954428" w:rsidRPr="00211948" w:rsidRDefault="00954428" w:rsidP="00954428">
            <w:pPr>
              <w:tabs>
                <w:tab w:val="left" w:pos="171"/>
              </w:tabs>
              <w:spacing w:after="0" w:line="240" w:lineRule="auto"/>
              <w:rPr>
                <w:rFonts w:eastAsia="Cambria" w:cstheme="minorHAnsi"/>
                <w:sz w:val="20"/>
                <w:szCs w:val="20"/>
                <w:lang w:bidi="ar-SA"/>
              </w:rPr>
            </w:pPr>
          </w:p>
          <w:p w14:paraId="029F967C" w14:textId="77777777" w:rsidR="00954428" w:rsidRPr="00211948" w:rsidRDefault="00954428" w:rsidP="00954428">
            <w:pPr>
              <w:tabs>
                <w:tab w:val="left" w:pos="171"/>
              </w:tabs>
              <w:spacing w:after="0" w:line="240" w:lineRule="auto"/>
              <w:rPr>
                <w:rFonts w:eastAsia="Cambria" w:cstheme="minorHAnsi"/>
                <w:sz w:val="20"/>
                <w:szCs w:val="20"/>
                <w:lang w:bidi="ar-SA"/>
              </w:rPr>
            </w:pPr>
          </w:p>
          <w:p w14:paraId="3F5CD150" w14:textId="77777777" w:rsidR="00954428" w:rsidRPr="00211948" w:rsidRDefault="00954428" w:rsidP="00954428">
            <w:pPr>
              <w:tabs>
                <w:tab w:val="left" w:pos="171"/>
              </w:tabs>
              <w:spacing w:after="0" w:line="240" w:lineRule="auto"/>
              <w:rPr>
                <w:rFonts w:eastAsia="Cambria" w:cstheme="minorHAnsi"/>
                <w:b/>
                <w:i/>
                <w:iCs/>
                <w:spacing w:val="15"/>
                <w:sz w:val="20"/>
                <w:szCs w:val="20"/>
                <w:lang w:bidi="ar-SA"/>
              </w:rPr>
            </w:pPr>
          </w:p>
        </w:tc>
        <w:tc>
          <w:tcPr>
            <w:tcW w:w="1004" w:type="pct"/>
            <w:vMerge/>
          </w:tcPr>
          <w:p w14:paraId="66D6C1BB" w14:textId="77777777" w:rsidR="00954428" w:rsidRPr="00211948" w:rsidRDefault="00954428" w:rsidP="00954428">
            <w:pPr>
              <w:spacing w:after="0" w:line="240" w:lineRule="auto"/>
              <w:ind w:left="208" w:hanging="208"/>
              <w:contextualSpacing/>
              <w:rPr>
                <w:rFonts w:eastAsia="Times New Roman" w:cstheme="minorHAnsi"/>
                <w:sz w:val="20"/>
                <w:szCs w:val="20"/>
                <w:lang w:bidi="ar-SA"/>
              </w:rPr>
            </w:pPr>
          </w:p>
        </w:tc>
        <w:tc>
          <w:tcPr>
            <w:tcW w:w="1011" w:type="pct"/>
            <w:vMerge/>
          </w:tcPr>
          <w:p w14:paraId="57D30158" w14:textId="77777777" w:rsidR="00954428" w:rsidRPr="00211948" w:rsidRDefault="00954428" w:rsidP="00954428">
            <w:pPr>
              <w:spacing w:after="0" w:line="240" w:lineRule="auto"/>
              <w:ind w:left="208"/>
              <w:contextualSpacing/>
              <w:rPr>
                <w:rFonts w:eastAsia="Times New Roman" w:cstheme="minorHAnsi"/>
                <w:sz w:val="20"/>
                <w:szCs w:val="20"/>
                <w:lang w:bidi="ar-SA"/>
              </w:rPr>
            </w:pPr>
          </w:p>
        </w:tc>
        <w:tc>
          <w:tcPr>
            <w:tcW w:w="682" w:type="pct"/>
            <w:vMerge/>
          </w:tcPr>
          <w:p w14:paraId="54E761B6" w14:textId="77777777" w:rsidR="00954428" w:rsidRPr="00211948" w:rsidRDefault="00954428" w:rsidP="00954428">
            <w:pPr>
              <w:spacing w:after="0" w:line="240" w:lineRule="auto"/>
              <w:ind w:left="208"/>
              <w:contextualSpacing/>
              <w:rPr>
                <w:rFonts w:eastAsia="Times New Roman" w:cstheme="minorHAnsi"/>
                <w:sz w:val="20"/>
                <w:szCs w:val="20"/>
                <w:lang w:bidi="ar-SA"/>
              </w:rPr>
            </w:pPr>
          </w:p>
        </w:tc>
        <w:tc>
          <w:tcPr>
            <w:tcW w:w="748" w:type="pct"/>
            <w:vMerge/>
          </w:tcPr>
          <w:p w14:paraId="4B9C6DAA" w14:textId="77777777" w:rsidR="00954428" w:rsidRPr="00211948" w:rsidRDefault="00954428" w:rsidP="00954428">
            <w:pPr>
              <w:spacing w:after="0" w:line="240" w:lineRule="auto"/>
              <w:ind w:left="208"/>
              <w:rPr>
                <w:rFonts w:eastAsia="Cambria" w:cstheme="minorHAnsi"/>
                <w:sz w:val="20"/>
                <w:szCs w:val="20"/>
                <w:lang w:bidi="ar-SA"/>
              </w:rPr>
            </w:pPr>
          </w:p>
        </w:tc>
      </w:tr>
    </w:tbl>
    <w:p w14:paraId="575BA7DB" w14:textId="77777777" w:rsidR="00954428" w:rsidRPr="00D6638C" w:rsidRDefault="00954428" w:rsidP="00954428">
      <w:pPr>
        <w:spacing w:after="0" w:line="240" w:lineRule="auto"/>
        <w:rPr>
          <w:rFonts w:ascii="Calibri" w:eastAsia="Times New Roman" w:hAnsi="Calibri" w:cs="Times New Roman"/>
          <w:sz w:val="20"/>
          <w:szCs w:val="20"/>
        </w:rPr>
      </w:pPr>
    </w:p>
    <w:p w14:paraId="72435199" w14:textId="77777777" w:rsidR="00954428" w:rsidRDefault="00954428" w:rsidP="00954428">
      <w:pPr>
        <w:spacing w:after="0" w:line="240" w:lineRule="auto"/>
        <w:rPr>
          <w:rFonts w:ascii="Calibri" w:eastAsia="Times New Roman" w:hAnsi="Calibri" w:cs="Times New Roman"/>
          <w:i/>
          <w:sz w:val="20"/>
          <w:szCs w:val="20"/>
          <w:lang w:val="en-GB"/>
        </w:rPr>
      </w:pPr>
      <w:bookmarkStart w:id="71" w:name="_TOR_Annex_B:"/>
      <w:bookmarkEnd w:id="68"/>
      <w:bookmarkEnd w:id="69"/>
      <w:bookmarkEnd w:id="70"/>
      <w:bookmarkEnd w:id="71"/>
      <w:r>
        <w:rPr>
          <w:rFonts w:ascii="Calibri" w:eastAsia="Times New Roman" w:hAnsi="Calibri" w:cs="Times New Roman"/>
          <w:i/>
          <w:sz w:val="20"/>
          <w:szCs w:val="20"/>
          <w:lang w:val="en-GB"/>
        </w:rPr>
        <w:br w:type="page"/>
      </w:r>
    </w:p>
    <w:p w14:paraId="47DF80FD" w14:textId="7B797612" w:rsidR="00D6638C" w:rsidRDefault="00A77F92" w:rsidP="0090447C">
      <w:pPr>
        <w:pStyle w:val="Heading31"/>
        <w:spacing w:before="0" w:line="240" w:lineRule="auto"/>
      </w:pPr>
      <w:r>
        <w:lastRenderedPageBreak/>
        <w:t>Annex D</w:t>
      </w:r>
      <w:r w:rsidR="00D6638C" w:rsidRPr="00D6638C">
        <w:t>: Rating</w:t>
      </w:r>
      <w:r w:rsidR="00E77635">
        <w:t xml:space="preserve"> Scales</w:t>
      </w:r>
      <w:bookmarkEnd w:id="67"/>
    </w:p>
    <w:p w14:paraId="646454C2" w14:textId="77777777" w:rsidR="00E77635" w:rsidRDefault="00E77635" w:rsidP="0090447C">
      <w:pPr>
        <w:pStyle w:val="Normalbullet0"/>
        <w:spacing w:after="0" w:line="240" w:lineRule="auto"/>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6F1D0184" w14:textId="77777777" w:rsidTr="00E77635">
        <w:trPr>
          <w:trHeight w:val="548"/>
        </w:trPr>
        <w:tc>
          <w:tcPr>
            <w:tcW w:w="2009" w:type="pct"/>
            <w:shd w:val="clear" w:color="auto" w:fill="auto"/>
            <w:hideMark/>
          </w:tcPr>
          <w:p w14:paraId="78147110" w14:textId="77777777" w:rsidR="00D6638C" w:rsidRPr="00D6638C" w:rsidRDefault="00D6638C" w:rsidP="0090447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434263CE" w14:textId="77777777" w:rsidR="00D6638C" w:rsidRPr="00D6638C" w:rsidRDefault="00D6638C" w:rsidP="0090447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64FBAC60" w14:textId="77777777" w:rsidR="00D6638C" w:rsidRPr="00D6638C" w:rsidRDefault="00D6638C" w:rsidP="0090447C">
            <w:pPr>
              <w:spacing w:after="0" w:line="240" w:lineRule="auto"/>
              <w:rPr>
                <w:rFonts w:ascii="Calibri" w:eastAsia="Times New Roman" w:hAnsi="Calibri" w:cs="Times New Roman"/>
                <w:b/>
                <w:i/>
                <w:sz w:val="20"/>
                <w:szCs w:val="20"/>
              </w:rPr>
            </w:pPr>
          </w:p>
        </w:tc>
        <w:tc>
          <w:tcPr>
            <w:tcW w:w="981" w:type="pct"/>
            <w:shd w:val="clear" w:color="auto" w:fill="auto"/>
          </w:tcPr>
          <w:p w14:paraId="2610D736" w14:textId="77777777" w:rsidR="00D6638C" w:rsidRPr="00D6638C" w:rsidRDefault="00D6638C" w:rsidP="0090447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2EC4426F" w14:textId="77777777" w:rsidTr="00E77635">
        <w:trPr>
          <w:trHeight w:val="269"/>
        </w:trPr>
        <w:tc>
          <w:tcPr>
            <w:tcW w:w="2009" w:type="pct"/>
            <w:vMerge w:val="restart"/>
            <w:shd w:val="clear" w:color="auto" w:fill="auto"/>
            <w:hideMark/>
          </w:tcPr>
          <w:p w14:paraId="46D0090F" w14:textId="77777777" w:rsidR="00D6638C" w:rsidRPr="00D6638C" w:rsidRDefault="00D6638C" w:rsidP="0090447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35F851B4" w14:textId="77777777" w:rsidR="00D6638C" w:rsidRPr="00D6638C" w:rsidRDefault="00D6638C" w:rsidP="0090447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12632449" w14:textId="77777777" w:rsidR="00D6638C" w:rsidRPr="00D6638C" w:rsidRDefault="00D6638C" w:rsidP="0090447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0073B959" w14:textId="77777777" w:rsidR="00D6638C" w:rsidRPr="00D6638C" w:rsidRDefault="00D6638C" w:rsidP="0090447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w:t>
            </w:r>
            <w:r w:rsidR="00F901F7">
              <w:rPr>
                <w:rFonts w:ascii="Calibri" w:eastAsia="Times New Roman" w:hAnsi="Calibri" w:cs="Times New Roman"/>
                <w:sz w:val="20"/>
                <w:szCs w:val="20"/>
              </w:rPr>
              <w:t xml:space="preserve">satisfactory (MU): significant </w:t>
            </w:r>
            <w:r w:rsidRPr="00D6638C">
              <w:rPr>
                <w:rFonts w:ascii="Calibri" w:eastAsia="Times New Roman" w:hAnsi="Calibri" w:cs="Times New Roman"/>
                <w:sz w:val="20"/>
                <w:szCs w:val="20"/>
              </w:rPr>
              <w:t>shortcomings</w:t>
            </w:r>
          </w:p>
          <w:p w14:paraId="729A40FA" w14:textId="77777777" w:rsidR="00D6638C" w:rsidRPr="00D6638C" w:rsidRDefault="00D6638C" w:rsidP="0090447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22BBB920" w14:textId="77777777" w:rsidR="00D6638C" w:rsidRPr="00D6638C" w:rsidRDefault="00D6638C" w:rsidP="0090447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16B9BAD9" w14:textId="77777777" w:rsidR="00D6638C" w:rsidRPr="00D6638C" w:rsidRDefault="00D6638C" w:rsidP="0090447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6E41CF7A"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6DC16172"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2A2FEC31" w14:textId="77777777" w:rsidTr="00E77635">
        <w:trPr>
          <w:trHeight w:val="251"/>
        </w:trPr>
        <w:tc>
          <w:tcPr>
            <w:tcW w:w="2009" w:type="pct"/>
            <w:vMerge/>
            <w:shd w:val="clear" w:color="auto" w:fill="auto"/>
            <w:hideMark/>
          </w:tcPr>
          <w:p w14:paraId="3A356515" w14:textId="77777777" w:rsidR="00D6638C" w:rsidRPr="00D6638C" w:rsidRDefault="00D6638C" w:rsidP="0090447C">
            <w:pPr>
              <w:spacing w:after="0" w:line="240" w:lineRule="auto"/>
              <w:rPr>
                <w:rFonts w:ascii="Calibri" w:eastAsia="Times New Roman" w:hAnsi="Calibri" w:cs="Times New Roman"/>
                <w:sz w:val="20"/>
                <w:szCs w:val="20"/>
              </w:rPr>
            </w:pPr>
          </w:p>
        </w:tc>
        <w:tc>
          <w:tcPr>
            <w:tcW w:w="2010" w:type="pct"/>
            <w:tcBorders>
              <w:top w:val="nil"/>
              <w:bottom w:val="nil"/>
            </w:tcBorders>
            <w:shd w:val="clear" w:color="auto" w:fill="auto"/>
          </w:tcPr>
          <w:p w14:paraId="2D73986B"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r w:rsidR="00F901F7">
              <w:rPr>
                <w:rFonts w:ascii="Calibri" w:eastAsia="Times New Roman" w:hAnsi="Calibri" w:cs="Times New Roman"/>
                <w:sz w:val="20"/>
                <w:szCs w:val="20"/>
              </w:rPr>
              <w:t xml:space="preserve"> </w:t>
            </w:r>
            <w:r w:rsidRPr="00D6638C">
              <w:rPr>
                <w:rFonts w:ascii="Calibri" w:eastAsia="Times New Roman" w:hAnsi="Calibri" w:cs="Times New Roman"/>
                <w:sz w:val="20"/>
                <w:szCs w:val="20"/>
              </w:rPr>
              <w:t>moderate risks</w:t>
            </w:r>
          </w:p>
        </w:tc>
        <w:tc>
          <w:tcPr>
            <w:tcW w:w="981" w:type="pct"/>
            <w:tcBorders>
              <w:top w:val="nil"/>
              <w:bottom w:val="nil"/>
            </w:tcBorders>
            <w:shd w:val="clear" w:color="auto" w:fill="auto"/>
          </w:tcPr>
          <w:p w14:paraId="46AB06C7"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605D8B1E" w14:textId="77777777" w:rsidTr="00E77635">
        <w:tc>
          <w:tcPr>
            <w:tcW w:w="2009" w:type="pct"/>
            <w:vMerge/>
            <w:tcBorders>
              <w:bottom w:val="single" w:sz="4" w:space="0" w:color="auto"/>
            </w:tcBorders>
            <w:shd w:val="clear" w:color="auto" w:fill="auto"/>
            <w:hideMark/>
          </w:tcPr>
          <w:p w14:paraId="0B84DCDC" w14:textId="77777777" w:rsidR="00D6638C" w:rsidRPr="00D6638C" w:rsidRDefault="00D6638C" w:rsidP="0090447C">
            <w:pPr>
              <w:spacing w:after="0" w:line="240" w:lineRule="auto"/>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03199B39"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08648F22"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14D3D264" w14:textId="77777777" w:rsidR="00D6638C" w:rsidRPr="00D6638C" w:rsidRDefault="00D6638C" w:rsidP="0090447C">
            <w:pPr>
              <w:spacing w:after="0" w:line="240" w:lineRule="auto"/>
              <w:rPr>
                <w:rFonts w:ascii="Calibri" w:eastAsia="Times New Roman" w:hAnsi="Calibri" w:cs="Times New Roman"/>
                <w:sz w:val="20"/>
                <w:szCs w:val="20"/>
              </w:rPr>
            </w:pPr>
          </w:p>
          <w:p w14:paraId="1D3AF1EE" w14:textId="77777777" w:rsidR="00D6638C" w:rsidRPr="00D6638C" w:rsidRDefault="00D6638C" w:rsidP="0090447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795FF71C"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7197E5D7"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6B596AA7"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2C48531B"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FAEE0E0" w14:textId="77777777" w:rsidR="00D6638C" w:rsidRPr="00D6638C" w:rsidRDefault="00D6638C" w:rsidP="0090447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72F5EF8D" w14:textId="77777777" w:rsidR="00D6638C" w:rsidRPr="00D6638C" w:rsidRDefault="00D6638C" w:rsidP="0090447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5FF3EFED"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762D308A" w14:textId="77777777" w:rsidR="00954428" w:rsidRDefault="00D6638C" w:rsidP="0090447C">
      <w:pPr>
        <w:pStyle w:val="Heading31"/>
        <w:spacing w:before="0" w:line="240" w:lineRule="auto"/>
      </w:pPr>
      <w:r w:rsidRPr="00D6638C">
        <w:br w:type="page"/>
      </w:r>
      <w:bookmarkStart w:id="72" w:name="_Toc299133056"/>
      <w:bookmarkStart w:id="73" w:name="_Toc321341566"/>
    </w:p>
    <w:p w14:paraId="27DEAB77" w14:textId="77777777" w:rsidR="00954428" w:rsidRDefault="00954428" w:rsidP="0090447C">
      <w:pPr>
        <w:pStyle w:val="Heading31"/>
        <w:spacing w:before="0" w:line="240" w:lineRule="auto"/>
      </w:pPr>
    </w:p>
    <w:p w14:paraId="278C0EB8" w14:textId="77777777" w:rsidR="00954428" w:rsidRDefault="00954428" w:rsidP="0090447C">
      <w:pPr>
        <w:pStyle w:val="Heading31"/>
        <w:spacing w:before="0" w:line="240" w:lineRule="auto"/>
      </w:pPr>
    </w:p>
    <w:p w14:paraId="601367B6" w14:textId="77777777" w:rsidR="00954428" w:rsidRDefault="00954428" w:rsidP="0090447C">
      <w:pPr>
        <w:pStyle w:val="Heading31"/>
        <w:spacing w:before="0" w:line="240" w:lineRule="auto"/>
      </w:pPr>
    </w:p>
    <w:p w14:paraId="68DF975F" w14:textId="77777777" w:rsidR="00954428" w:rsidRDefault="00954428" w:rsidP="0090447C">
      <w:pPr>
        <w:pStyle w:val="Heading31"/>
        <w:spacing w:before="0" w:line="240" w:lineRule="auto"/>
      </w:pPr>
    </w:p>
    <w:p w14:paraId="6DA8FDE2" w14:textId="75BB865B" w:rsidR="00D6638C" w:rsidRPr="00D6638C" w:rsidRDefault="00A77F92" w:rsidP="0090447C">
      <w:pPr>
        <w:pStyle w:val="Heading31"/>
        <w:spacing w:before="0" w:line="240" w:lineRule="auto"/>
      </w:pPr>
      <w:r>
        <w:t>Annex E</w:t>
      </w:r>
      <w:r w:rsidR="00D6638C" w:rsidRPr="00D6638C">
        <w:t xml:space="preserve">: Evaluation Consultant Code of Conduct </w:t>
      </w:r>
      <w:r w:rsidR="00B913F1">
        <w:t xml:space="preserve">and </w:t>
      </w:r>
      <w:r w:rsidR="00D6638C" w:rsidRPr="00D6638C">
        <w:t>Agreement Form</w:t>
      </w:r>
      <w:bookmarkEnd w:id="58"/>
      <w:bookmarkEnd w:id="59"/>
      <w:bookmarkEnd w:id="60"/>
      <w:bookmarkEnd w:id="72"/>
      <w:bookmarkEnd w:id="73"/>
    </w:p>
    <w:p w14:paraId="0720C775" w14:textId="77777777" w:rsidR="00B913F1" w:rsidRDefault="00B913F1" w:rsidP="0090447C">
      <w:pPr>
        <w:autoSpaceDE w:val="0"/>
        <w:autoSpaceDN w:val="0"/>
        <w:adjustRightInd w:val="0"/>
        <w:spacing w:after="0" w:line="240" w:lineRule="auto"/>
        <w:rPr>
          <w:rFonts w:ascii="Myriad-Bold" w:hAnsi="Myriad-Bold" w:cs="Myriad-Bold"/>
          <w:b/>
          <w:bCs/>
          <w:color w:val="000000"/>
          <w:lang w:val="en-GB" w:bidi="ar-SA"/>
        </w:rPr>
      </w:pPr>
    </w:p>
    <w:p w14:paraId="0F908CD4" w14:textId="77777777" w:rsidR="00B913F1" w:rsidRPr="00B913F1" w:rsidRDefault="00B913F1" w:rsidP="0090447C">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377752C5" w14:textId="77777777" w:rsidR="00B913F1" w:rsidRDefault="00B913F1" w:rsidP="0090447C">
      <w:pPr>
        <w:pStyle w:val="ListParagraph"/>
        <w:numPr>
          <w:ilvl w:val="0"/>
          <w:numId w:val="31"/>
        </w:numPr>
        <w:spacing w:before="0" w:after="0" w:line="240" w:lineRule="auto"/>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77AF1A6B" w14:textId="77777777" w:rsidR="00B913F1" w:rsidRPr="00B913F1" w:rsidRDefault="00B913F1" w:rsidP="0090447C">
      <w:pPr>
        <w:pStyle w:val="ListParagraph"/>
        <w:numPr>
          <w:ilvl w:val="0"/>
          <w:numId w:val="31"/>
        </w:numPr>
        <w:spacing w:before="0" w:after="0" w:line="240" w:lineRule="auto"/>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13956652" w14:textId="77777777" w:rsidR="00B913F1" w:rsidRPr="00B913F1" w:rsidRDefault="00B913F1" w:rsidP="0090447C">
      <w:pPr>
        <w:pStyle w:val="ListParagraph"/>
        <w:numPr>
          <w:ilvl w:val="0"/>
          <w:numId w:val="31"/>
        </w:numPr>
        <w:spacing w:before="0" w:after="0" w:line="240" w:lineRule="auto"/>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5831D8C" w14:textId="77777777" w:rsidR="00B913F1" w:rsidRPr="00B913F1" w:rsidRDefault="00B913F1" w:rsidP="0090447C">
      <w:pPr>
        <w:pStyle w:val="ListParagraph"/>
        <w:numPr>
          <w:ilvl w:val="0"/>
          <w:numId w:val="31"/>
        </w:numPr>
        <w:spacing w:before="0" w:after="0" w:line="240" w:lineRule="auto"/>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21161D1" w14:textId="77777777" w:rsidR="00B913F1" w:rsidRDefault="00B913F1" w:rsidP="0090447C">
      <w:pPr>
        <w:pStyle w:val="ListParagraph"/>
        <w:numPr>
          <w:ilvl w:val="0"/>
          <w:numId w:val="31"/>
        </w:numPr>
        <w:spacing w:before="0" w:after="0" w:line="240" w:lineRule="auto"/>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1FE28697" w14:textId="77777777" w:rsidR="00B913F1" w:rsidRPr="00B913F1" w:rsidRDefault="00B913F1" w:rsidP="0090447C">
      <w:pPr>
        <w:pStyle w:val="ListParagraph"/>
        <w:numPr>
          <w:ilvl w:val="0"/>
          <w:numId w:val="31"/>
        </w:numPr>
        <w:spacing w:before="0" w:after="0" w:line="240" w:lineRule="auto"/>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5052057A" w14:textId="77777777" w:rsidR="00D6638C" w:rsidRPr="00F901F7" w:rsidRDefault="00B913F1" w:rsidP="0090447C">
      <w:pPr>
        <w:pStyle w:val="ListParagraph"/>
        <w:numPr>
          <w:ilvl w:val="0"/>
          <w:numId w:val="31"/>
        </w:numPr>
        <w:spacing w:before="0" w:after="0" w:line="240" w:lineRule="auto"/>
      </w:pPr>
      <w:r w:rsidRPr="00B913F1">
        <w:rPr>
          <w:rFonts w:eastAsia="ACaslon-Regular"/>
          <w:lang w:val="en-GB" w:bidi="ar-SA"/>
        </w:rPr>
        <w:t>Should reflect sound accounting procedures and be prudent in using the resources of the evaluation.</w:t>
      </w:r>
    </w:p>
    <w:p w14:paraId="75A9031E" w14:textId="77777777" w:rsidR="00F901F7" w:rsidRPr="00B913F1" w:rsidRDefault="00F901F7" w:rsidP="00F901F7">
      <w:pPr>
        <w:pStyle w:val="ListParagraph"/>
        <w:spacing w:before="0" w:after="0" w:line="240" w:lineRule="auto"/>
      </w:pPr>
    </w:p>
    <w:p w14:paraId="6FE98204" w14:textId="77777777" w:rsidR="00D6638C" w:rsidRDefault="00D6638C" w:rsidP="00904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bCs/>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5"/>
      </w:r>
    </w:p>
    <w:p w14:paraId="6C2DD7D9" w14:textId="77777777" w:rsidR="00F901F7" w:rsidRPr="00D6638C" w:rsidRDefault="00F901F7" w:rsidP="00904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color w:val="000000"/>
        </w:rPr>
      </w:pPr>
    </w:p>
    <w:p w14:paraId="35BE9E89" w14:textId="77777777" w:rsidR="00D6638C" w:rsidRDefault="00D6638C" w:rsidP="00904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Calibri"/>
          <w:b/>
          <w:bCs/>
          <w:color w:val="000000"/>
        </w:rPr>
      </w:pPr>
      <w:r w:rsidRPr="00D6638C">
        <w:rPr>
          <w:rFonts w:ascii="Calibri" w:eastAsia="Times New Roman" w:hAnsi="Calibri" w:cs="Calibri"/>
          <w:b/>
          <w:bCs/>
          <w:color w:val="000000"/>
        </w:rPr>
        <w:t xml:space="preserve">Agreement to abide by the Code of Conduct for Evaluation in the UN System </w:t>
      </w:r>
    </w:p>
    <w:p w14:paraId="6CD4CD9A" w14:textId="77777777" w:rsidR="00F901F7" w:rsidRPr="00D6638C" w:rsidRDefault="00F901F7" w:rsidP="00904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Calibri"/>
          <w:color w:val="000000"/>
        </w:rPr>
      </w:pPr>
    </w:p>
    <w:p w14:paraId="3AE07300" w14:textId="77777777" w:rsidR="00D6638C" w:rsidRDefault="00D6638C" w:rsidP="00904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4FA889C3" w14:textId="77777777" w:rsidR="00F901F7" w:rsidRPr="00D6638C" w:rsidRDefault="00F901F7" w:rsidP="00904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Calibri"/>
          <w:color w:val="000000"/>
        </w:rPr>
      </w:pPr>
    </w:p>
    <w:p w14:paraId="0FB9D19D" w14:textId="77777777" w:rsidR="00D6638C" w:rsidRDefault="00D6638C" w:rsidP="00904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66AB2A5B" w14:textId="77777777" w:rsidR="00F901F7" w:rsidRPr="00D6638C" w:rsidRDefault="00F901F7" w:rsidP="00904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Calibri"/>
          <w:color w:val="000000"/>
        </w:rPr>
      </w:pPr>
    </w:p>
    <w:p w14:paraId="4F84D959" w14:textId="77777777" w:rsidR="00D6638C" w:rsidRDefault="00D6638C" w:rsidP="00904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Calibri"/>
          <w:b/>
          <w:bCs/>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36930193" w14:textId="77777777" w:rsidR="00F901F7" w:rsidRPr="00D6638C" w:rsidRDefault="00F901F7" w:rsidP="00904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Calibri"/>
          <w:color w:val="000000"/>
        </w:rPr>
      </w:pPr>
    </w:p>
    <w:p w14:paraId="40B040DD" w14:textId="77777777" w:rsidR="00D6638C" w:rsidRDefault="00D6638C" w:rsidP="00904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Calibri"/>
          <w: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44B53DAB" w14:textId="77777777" w:rsidR="00F901F7" w:rsidRPr="00D6638C" w:rsidRDefault="00F901F7" w:rsidP="00904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Calibri"/>
          <w:color w:val="000000"/>
        </w:rPr>
      </w:pPr>
    </w:p>
    <w:p w14:paraId="780BABB9" w14:textId="77777777" w:rsidR="00D6638C" w:rsidRDefault="00D6638C" w:rsidP="00904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72C7D9E8" w14:textId="77777777" w:rsidR="00F901F7" w:rsidRPr="00D6638C" w:rsidRDefault="00F901F7" w:rsidP="00904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IDDJN+TimesNewRoman,Bold" w:eastAsia="Times New Roman" w:hAnsi="HIDDJN+TimesNewRoman,Bold" w:cs="HIDDJN+TimesNewRoman,Bold"/>
          <w:color w:val="000000"/>
        </w:rPr>
      </w:pPr>
    </w:p>
    <w:p w14:paraId="77FF834D" w14:textId="31980110" w:rsidR="00D6638C" w:rsidRPr="00D6638C" w:rsidRDefault="00D6638C" w:rsidP="0090447C">
      <w:pPr>
        <w:pStyle w:val="Heading31"/>
        <w:spacing w:before="0" w:line="240" w:lineRule="auto"/>
      </w:pPr>
      <w:r w:rsidRPr="00D6638C">
        <w:rPr>
          <w:sz w:val="20"/>
          <w:szCs w:val="20"/>
        </w:rPr>
        <w:br w:type="page"/>
      </w:r>
      <w:bookmarkStart w:id="74" w:name="_TOR_Annex_F:"/>
      <w:bookmarkStart w:id="75" w:name="_Toc299122847"/>
      <w:bookmarkStart w:id="76" w:name="_Toc299122869"/>
      <w:bookmarkStart w:id="77" w:name="_Toc299126633"/>
      <w:bookmarkStart w:id="78" w:name="_Toc299133057"/>
      <w:bookmarkStart w:id="79" w:name="_Toc321341567"/>
      <w:bookmarkEnd w:id="74"/>
      <w:r w:rsidR="00A77F92">
        <w:lastRenderedPageBreak/>
        <w:t>Annex F</w:t>
      </w:r>
      <w:r w:rsidRPr="00D6638C">
        <w:t>: Evaluation Report Outline</w:t>
      </w:r>
      <w:bookmarkEnd w:id="75"/>
      <w:bookmarkEnd w:id="76"/>
      <w:bookmarkEnd w:id="77"/>
      <w:bookmarkEnd w:id="78"/>
      <w:r w:rsidRPr="00D6638C">
        <w:rPr>
          <w:vertAlign w:val="superscript"/>
        </w:rPr>
        <w:footnoteReference w:id="6"/>
      </w:r>
      <w:bookmarkEnd w:id="79"/>
    </w:p>
    <w:tbl>
      <w:tblPr>
        <w:tblW w:w="0" w:type="auto"/>
        <w:tblInd w:w="108" w:type="dxa"/>
        <w:tblLook w:val="04A0" w:firstRow="1" w:lastRow="0" w:firstColumn="1" w:lastColumn="0" w:noHBand="0" w:noVBand="1"/>
      </w:tblPr>
      <w:tblGrid>
        <w:gridCol w:w="968"/>
        <w:gridCol w:w="8284"/>
      </w:tblGrid>
      <w:tr w:rsidR="00D6638C" w:rsidRPr="00D6638C" w14:paraId="02BACFBD" w14:textId="77777777" w:rsidTr="006C1964">
        <w:tc>
          <w:tcPr>
            <w:tcW w:w="985" w:type="dxa"/>
          </w:tcPr>
          <w:p w14:paraId="205D2214" w14:textId="77777777" w:rsidR="00F901F7" w:rsidRDefault="00F901F7" w:rsidP="0090447C">
            <w:pPr>
              <w:spacing w:after="0" w:line="240" w:lineRule="auto"/>
              <w:rPr>
                <w:rFonts w:ascii="Calibri" w:eastAsia="Times New Roman" w:hAnsi="Calibri" w:cs="Times New Roman"/>
                <w:b/>
                <w:bCs/>
                <w:sz w:val="20"/>
              </w:rPr>
            </w:pPr>
          </w:p>
          <w:p w14:paraId="2FF10B8B" w14:textId="77777777" w:rsidR="00D6638C" w:rsidRPr="00D6638C" w:rsidRDefault="00D6638C" w:rsidP="0090447C">
            <w:pPr>
              <w:spacing w:after="0" w:line="240" w:lineRule="auto"/>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14:paraId="4D54A8C4" w14:textId="77777777" w:rsidR="00F901F7" w:rsidRDefault="00F901F7" w:rsidP="0090447C">
            <w:pPr>
              <w:spacing w:after="0" w:line="240" w:lineRule="auto"/>
              <w:rPr>
                <w:rFonts w:ascii="Calibri" w:eastAsia="Times New Roman" w:hAnsi="Calibri" w:cs="Times New Roman"/>
                <w:sz w:val="20"/>
                <w:szCs w:val="20"/>
              </w:rPr>
            </w:pPr>
          </w:p>
          <w:p w14:paraId="43DB35CE"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4BABE811" w14:textId="4A0381E9" w:rsidR="00D6638C" w:rsidRPr="00D6638C" w:rsidRDefault="004E2FB7" w:rsidP="0090447C">
            <w:pPr>
              <w:numPr>
                <w:ilvl w:val="0"/>
                <w:numId w:val="17"/>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Title of </w:t>
            </w:r>
            <w:r w:rsidR="00D6638C" w:rsidRPr="00D6638C">
              <w:rPr>
                <w:rFonts w:ascii="Calibri" w:eastAsia="Times New Roman" w:hAnsi="Calibri" w:cs="Times New Roman"/>
                <w:sz w:val="20"/>
                <w:szCs w:val="20"/>
              </w:rPr>
              <w:t xml:space="preserve">UNDP supported GEF financed project </w:t>
            </w:r>
          </w:p>
          <w:p w14:paraId="1CF2B1EA"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25A01A67"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0A21A455"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47AA0C39"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61A3BB26"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614F95D7" w14:textId="3A0FF455"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team member</w:t>
            </w:r>
            <w:r w:rsidR="00F44544">
              <w:rPr>
                <w:rFonts w:ascii="Calibri" w:eastAsia="Times New Roman" w:hAnsi="Calibri" w:cs="Times New Roman"/>
                <w:sz w:val="20"/>
                <w:szCs w:val="20"/>
              </w:rPr>
              <w:t>/</w:t>
            </w:r>
            <w:r w:rsidRPr="00D6638C">
              <w:rPr>
                <w:rFonts w:ascii="Calibri" w:eastAsia="Times New Roman" w:hAnsi="Calibri" w:cs="Times New Roman"/>
                <w:sz w:val="20"/>
                <w:szCs w:val="20"/>
              </w:rPr>
              <w:t xml:space="preserve">s </w:t>
            </w:r>
          </w:p>
          <w:p w14:paraId="45344EAB"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2C2925D7" w14:textId="77777777" w:rsidTr="006C1964">
        <w:tc>
          <w:tcPr>
            <w:tcW w:w="985" w:type="dxa"/>
          </w:tcPr>
          <w:p w14:paraId="53C0426D" w14:textId="77777777" w:rsidR="00D6638C" w:rsidRPr="00D6638C" w:rsidRDefault="00D6638C" w:rsidP="0090447C">
            <w:pPr>
              <w:spacing w:after="0" w:line="240" w:lineRule="auto"/>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11C1355B"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3C28A1CD"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7DD402B8"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49795776"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4F1D2534"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639229B3" w14:textId="77777777" w:rsidTr="006C1964">
        <w:tc>
          <w:tcPr>
            <w:tcW w:w="985" w:type="dxa"/>
          </w:tcPr>
          <w:p w14:paraId="419D7CCD" w14:textId="77777777" w:rsidR="00D6638C" w:rsidRPr="00D6638C" w:rsidRDefault="00D6638C" w:rsidP="0090447C">
            <w:pPr>
              <w:spacing w:after="0" w:line="240" w:lineRule="auto"/>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51C99A31"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3E2D1BD9" w14:textId="77777777" w:rsidR="00D6638C" w:rsidRPr="00D6638C" w:rsidRDefault="00D6638C" w:rsidP="0090447C">
            <w:pPr>
              <w:spacing w:after="0" w:line="240" w:lineRule="auto"/>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7"/>
            </w:r>
            <w:r w:rsidRPr="00D6638C">
              <w:rPr>
                <w:rFonts w:ascii="Calibri" w:eastAsia="Times New Roman" w:hAnsi="Calibri" w:cs="Times New Roman"/>
                <w:sz w:val="20"/>
                <w:szCs w:val="20"/>
              </w:rPr>
              <w:t>)</w:t>
            </w:r>
          </w:p>
        </w:tc>
      </w:tr>
      <w:tr w:rsidR="00D6638C" w:rsidRPr="00D6638C" w14:paraId="79458CD9" w14:textId="77777777" w:rsidTr="006C1964">
        <w:tc>
          <w:tcPr>
            <w:tcW w:w="985" w:type="dxa"/>
          </w:tcPr>
          <w:p w14:paraId="79569802" w14:textId="77777777" w:rsidR="00D6638C" w:rsidRPr="00D6638C" w:rsidRDefault="00D6638C" w:rsidP="0090447C">
            <w:pPr>
              <w:spacing w:after="0" w:line="240" w:lineRule="auto"/>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0A1278B8"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01ADE538" w14:textId="77777777" w:rsidR="00D6638C" w:rsidRPr="00D6638C" w:rsidRDefault="00D6638C" w:rsidP="0090447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073F3591" w14:textId="77777777" w:rsidR="00D6638C" w:rsidRPr="00D6638C" w:rsidRDefault="00D6638C" w:rsidP="0090447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1EF6B334" w14:textId="77777777" w:rsidR="00D6638C" w:rsidRPr="00D6638C" w:rsidRDefault="00D6638C" w:rsidP="0090447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3B2EDA06" w14:textId="77777777" w:rsidTr="006C1964">
        <w:tc>
          <w:tcPr>
            <w:tcW w:w="985" w:type="dxa"/>
          </w:tcPr>
          <w:p w14:paraId="7C394FE9" w14:textId="77777777" w:rsidR="00D6638C" w:rsidRPr="00D6638C" w:rsidRDefault="00D6638C" w:rsidP="0090447C">
            <w:pPr>
              <w:spacing w:after="0" w:line="240" w:lineRule="auto"/>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3DBB959B"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60672DCE" w14:textId="77777777" w:rsidR="00D6638C" w:rsidRPr="00D6638C" w:rsidRDefault="00D6638C" w:rsidP="0090447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71551126" w14:textId="287783A6" w:rsidR="00D6638C" w:rsidRPr="00D6638C" w:rsidRDefault="00D6638C" w:rsidP="0090447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w:t>
            </w:r>
            <w:r w:rsidR="004E2FB7">
              <w:rPr>
                <w:rFonts w:ascii="Calibri" w:eastAsia="Times New Roman" w:hAnsi="Calibri" w:cs="Times New Roman"/>
                <w:sz w:val="20"/>
                <w:szCs w:val="20"/>
              </w:rPr>
              <w:t xml:space="preserve">oblems that the project sought </w:t>
            </w:r>
            <w:r w:rsidRPr="00D6638C">
              <w:rPr>
                <w:rFonts w:ascii="Calibri" w:eastAsia="Times New Roman" w:hAnsi="Calibri" w:cs="Times New Roman"/>
                <w:sz w:val="20"/>
                <w:szCs w:val="20"/>
              </w:rPr>
              <w:t>to address</w:t>
            </w:r>
          </w:p>
          <w:p w14:paraId="677FCC6C" w14:textId="77777777" w:rsidR="00D6638C" w:rsidRPr="00D6638C" w:rsidRDefault="00D6638C" w:rsidP="0090447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2CD2418C" w14:textId="77777777" w:rsidR="00D6638C" w:rsidRPr="00D6638C" w:rsidRDefault="00D6638C" w:rsidP="0090447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19296A6F" w14:textId="77777777" w:rsidR="00D6638C" w:rsidRPr="00D6638C" w:rsidRDefault="00D6638C" w:rsidP="0090447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64E4DE3E" w14:textId="77777777" w:rsidR="00D6638C" w:rsidRPr="00D6638C" w:rsidRDefault="00D6638C" w:rsidP="0090447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6062C3BE" w14:textId="77777777" w:rsidTr="006C1964">
        <w:tc>
          <w:tcPr>
            <w:tcW w:w="985" w:type="dxa"/>
          </w:tcPr>
          <w:p w14:paraId="0F6EE86E" w14:textId="77777777" w:rsidR="00D6638C" w:rsidRPr="00D6638C" w:rsidRDefault="00D6638C" w:rsidP="0090447C">
            <w:pPr>
              <w:spacing w:after="0" w:line="240" w:lineRule="auto"/>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2CD78C0B"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642451CB" w14:textId="77777777" w:rsidR="00D6638C" w:rsidRPr="00D6638C" w:rsidRDefault="00D6638C" w:rsidP="0090447C">
            <w:pPr>
              <w:spacing w:after="0" w:line="240" w:lineRule="auto"/>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8"/>
            </w:r>
            <w:r w:rsidRPr="00D6638C">
              <w:rPr>
                <w:rFonts w:ascii="Calibri" w:eastAsia="Times New Roman" w:hAnsi="Calibri" w:cs="Times New Roman"/>
                <w:sz w:val="20"/>
                <w:szCs w:val="20"/>
              </w:rPr>
              <w:t xml:space="preserve">) </w:t>
            </w:r>
          </w:p>
        </w:tc>
      </w:tr>
      <w:tr w:rsidR="00D6638C" w:rsidRPr="00D6638C" w14:paraId="7E5BD4F4" w14:textId="77777777" w:rsidTr="006C1964">
        <w:tc>
          <w:tcPr>
            <w:tcW w:w="985" w:type="dxa"/>
          </w:tcPr>
          <w:p w14:paraId="47FC388C" w14:textId="77777777" w:rsidR="00D6638C" w:rsidRPr="00D6638C" w:rsidRDefault="00D6638C" w:rsidP="0090447C">
            <w:pPr>
              <w:spacing w:after="0" w:line="240" w:lineRule="auto"/>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32123B9C"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0085A6F8"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22631CA9"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4F4F4B73"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300E47C4"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2EE40937"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7D4242BE"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720762F7"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206C85F5"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0EB2F973" w14:textId="77777777" w:rsidTr="006C1964">
        <w:tc>
          <w:tcPr>
            <w:tcW w:w="985" w:type="dxa"/>
          </w:tcPr>
          <w:p w14:paraId="24058363" w14:textId="77777777" w:rsidR="00D6638C" w:rsidRPr="00D6638C" w:rsidRDefault="00D6638C" w:rsidP="0090447C">
            <w:pPr>
              <w:spacing w:after="0" w:line="240" w:lineRule="auto"/>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028E326D"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243141B0"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10B1B85C"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0CFA6D7A"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14:paraId="7E46A2CE" w14:textId="77777777" w:rsidR="00D6638C" w:rsidRPr="00D6638C" w:rsidRDefault="00D6638C" w:rsidP="0090447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lastRenderedPageBreak/>
              <w:t xml:space="preserve">Project Finance:  </w:t>
            </w:r>
          </w:p>
          <w:p w14:paraId="76E0AF98" w14:textId="77777777" w:rsidR="00D6638C" w:rsidRPr="00D6638C" w:rsidRDefault="00D6638C" w:rsidP="0090447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24BD56AD" w14:textId="77777777" w:rsidR="00D6638C" w:rsidRPr="00D6638C" w:rsidRDefault="00D6638C" w:rsidP="0090447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0BCF8F86" w14:textId="77777777" w:rsidTr="006C1964">
        <w:trPr>
          <w:trHeight w:val="74"/>
        </w:trPr>
        <w:tc>
          <w:tcPr>
            <w:tcW w:w="985" w:type="dxa"/>
          </w:tcPr>
          <w:p w14:paraId="03187903" w14:textId="77777777" w:rsidR="00D6638C" w:rsidRPr="00D6638C" w:rsidRDefault="00D6638C" w:rsidP="0090447C">
            <w:pPr>
              <w:spacing w:after="0" w:line="240" w:lineRule="auto"/>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5CE71F76"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29AED4A0" w14:textId="77777777" w:rsidR="00D6638C" w:rsidRPr="00D6638C" w:rsidRDefault="00D6638C" w:rsidP="0090447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331FD80A" w14:textId="77777777" w:rsidR="00D6638C" w:rsidRPr="00D6638C" w:rsidRDefault="00D6638C" w:rsidP="0090447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14:paraId="67AFD045" w14:textId="77777777" w:rsidR="00D6638C" w:rsidRPr="00D6638C" w:rsidRDefault="00D6638C" w:rsidP="0090447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5ED5E2B2"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4E66BBA0"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5638D7B8" w14:textId="77777777" w:rsidR="00D6638C" w:rsidRPr="00D6638C" w:rsidRDefault="00D6638C" w:rsidP="0090447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5DB88B94" w14:textId="77777777" w:rsidR="00D6638C" w:rsidRP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3DD64E41" w14:textId="77777777" w:rsidTr="006C1964">
        <w:tc>
          <w:tcPr>
            <w:tcW w:w="985" w:type="dxa"/>
          </w:tcPr>
          <w:p w14:paraId="34C1CA97" w14:textId="77777777" w:rsidR="00D6638C" w:rsidRPr="00D6638C" w:rsidRDefault="00D6638C" w:rsidP="0090447C">
            <w:pPr>
              <w:spacing w:after="0" w:line="240" w:lineRule="auto"/>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0985E491"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709E3CC1" w14:textId="77777777" w:rsidR="00D6638C" w:rsidRPr="00D6638C" w:rsidRDefault="00D6638C" w:rsidP="0090447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018DAD28" w14:textId="77777777" w:rsidR="00D6638C" w:rsidRPr="00D6638C" w:rsidRDefault="00D6638C" w:rsidP="0090447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33388085" w14:textId="77777777" w:rsidR="00D6638C" w:rsidRPr="00D6638C" w:rsidRDefault="00D6638C" w:rsidP="0090447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19A72F82" w14:textId="77777777" w:rsidR="00D6638C" w:rsidRPr="00D6638C" w:rsidRDefault="00D6638C" w:rsidP="0090447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46B0F70D" w14:textId="77777777" w:rsidTr="006C1964">
        <w:tc>
          <w:tcPr>
            <w:tcW w:w="985" w:type="dxa"/>
          </w:tcPr>
          <w:p w14:paraId="6184E266" w14:textId="77777777" w:rsidR="00D6638C" w:rsidRPr="00D6638C" w:rsidRDefault="00D6638C" w:rsidP="0090447C">
            <w:pPr>
              <w:spacing w:after="0" w:line="240" w:lineRule="auto"/>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41EE4FDA" w14:textId="77777777" w:rsidR="00D6638C" w:rsidRPr="00D6638C" w:rsidRDefault="00D6638C" w:rsidP="0090447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6E7A2E24" w14:textId="77777777" w:rsidR="00D6638C" w:rsidRPr="00D6638C" w:rsidRDefault="00D6638C" w:rsidP="0090447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14:paraId="60491403" w14:textId="77777777" w:rsidR="00D6638C" w:rsidRPr="00D6638C" w:rsidRDefault="00D6638C" w:rsidP="0090447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6E919785" w14:textId="77777777" w:rsidR="00D6638C" w:rsidRPr="00D6638C" w:rsidRDefault="00D6638C" w:rsidP="0090447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626EC0C0" w14:textId="77777777" w:rsidR="00D6638C" w:rsidRPr="00D6638C" w:rsidRDefault="00D6638C" w:rsidP="0090447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4DE57445" w14:textId="77777777" w:rsidR="00D6638C" w:rsidRPr="00D6638C" w:rsidRDefault="00D6638C" w:rsidP="0090447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76AA51D5" w14:textId="77777777" w:rsidR="00D6638C" w:rsidRPr="00D6638C" w:rsidRDefault="00D6638C" w:rsidP="0090447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7F123F40" w14:textId="77777777" w:rsidR="00D6638C" w:rsidRPr="00D6638C" w:rsidRDefault="00D6638C" w:rsidP="0090447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7A118996" w14:textId="77777777" w:rsidR="00D6638C" w:rsidRDefault="00D6638C" w:rsidP="0090447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0DD82BC4" w14:textId="31561C7C" w:rsidR="00537459" w:rsidRDefault="00537459" w:rsidP="00537459">
            <w:pPr>
              <w:numPr>
                <w:ilvl w:val="0"/>
                <w:numId w:val="17"/>
              </w:numPr>
              <w:spacing w:after="0" w:line="240" w:lineRule="auto"/>
              <w:rPr>
                <w:rFonts w:ascii="Calibri" w:eastAsia="Times New Roman" w:hAnsi="Calibri" w:cs="Times New Roman"/>
                <w:sz w:val="20"/>
                <w:szCs w:val="20"/>
              </w:rPr>
            </w:pPr>
            <w:r w:rsidRPr="0055195D">
              <w:rPr>
                <w:rFonts w:ascii="Calibri" w:eastAsia="Times New Roman" w:hAnsi="Calibri" w:cs="Times New Roman"/>
                <w:i/>
                <w:sz w:val="20"/>
                <w:szCs w:val="20"/>
              </w:rPr>
              <w:t>Annexed in a separate file:</w:t>
            </w:r>
            <w:r>
              <w:rPr>
                <w:rFonts w:ascii="Calibri" w:eastAsia="Times New Roman" w:hAnsi="Calibri" w:cs="Times New Roman"/>
                <w:sz w:val="20"/>
                <w:szCs w:val="20"/>
              </w:rPr>
              <w:t xml:space="preserve"> TE Audit Trail</w:t>
            </w:r>
            <w:r w:rsidR="00A77F92">
              <w:rPr>
                <w:rFonts w:ascii="Calibri" w:eastAsia="Times New Roman" w:hAnsi="Calibri" w:cs="Times New Roman"/>
                <w:sz w:val="20"/>
                <w:szCs w:val="20"/>
              </w:rPr>
              <w:t xml:space="preserve"> </w:t>
            </w:r>
          </w:p>
          <w:p w14:paraId="3913C3D0" w14:textId="4C0115DF" w:rsidR="00537459" w:rsidRPr="00D6638C" w:rsidRDefault="00537459" w:rsidP="00537459">
            <w:pPr>
              <w:numPr>
                <w:ilvl w:val="0"/>
                <w:numId w:val="17"/>
              </w:numPr>
              <w:spacing w:after="0" w:line="240" w:lineRule="auto"/>
              <w:rPr>
                <w:rFonts w:ascii="Calibri" w:eastAsia="Times New Roman" w:hAnsi="Calibri" w:cs="Times New Roman"/>
                <w:sz w:val="20"/>
                <w:szCs w:val="20"/>
              </w:rPr>
            </w:pPr>
            <w:r w:rsidRPr="0055195D">
              <w:rPr>
                <w:rFonts w:ascii="Calibri" w:eastAsia="Times New Roman" w:hAnsi="Calibri" w:cs="Times New Roman"/>
                <w:i/>
                <w:sz w:val="20"/>
                <w:szCs w:val="20"/>
              </w:rPr>
              <w:t>Annexed in a separate file:</w:t>
            </w:r>
            <w:r>
              <w:rPr>
                <w:rFonts w:ascii="Calibri" w:eastAsia="Times New Roman" w:hAnsi="Calibri" w:cs="Times New Roman"/>
                <w:sz w:val="20"/>
                <w:szCs w:val="20"/>
              </w:rPr>
              <w:t xml:space="preserve"> Terminal GEF Tracking Tool (if applicable)</w:t>
            </w:r>
            <w:r w:rsidR="00A77F92">
              <w:rPr>
                <w:rFonts w:ascii="Calibri" w:eastAsia="Times New Roman" w:hAnsi="Calibri" w:cs="Times New Roman"/>
                <w:sz w:val="20"/>
                <w:szCs w:val="20"/>
              </w:rPr>
              <w:t xml:space="preserve"> </w:t>
            </w:r>
          </w:p>
          <w:p w14:paraId="464BD296" w14:textId="77777777" w:rsidR="00537459" w:rsidRPr="00D6638C" w:rsidRDefault="00537459" w:rsidP="004E2FB7">
            <w:pPr>
              <w:spacing w:after="0" w:line="240" w:lineRule="auto"/>
              <w:ind w:left="720"/>
              <w:rPr>
                <w:rFonts w:ascii="Calibri" w:eastAsia="Times New Roman" w:hAnsi="Calibri" w:cs="Times New Roman"/>
                <w:sz w:val="20"/>
                <w:szCs w:val="20"/>
              </w:rPr>
            </w:pPr>
          </w:p>
          <w:p w14:paraId="65DA9E08" w14:textId="77777777" w:rsidR="00D6638C" w:rsidRPr="00D6638C" w:rsidRDefault="00D6638C" w:rsidP="0090447C">
            <w:pPr>
              <w:spacing w:after="0" w:line="240" w:lineRule="auto"/>
              <w:rPr>
                <w:rFonts w:ascii="Calibri" w:eastAsia="Times New Roman" w:hAnsi="Calibri" w:cs="Times New Roman"/>
                <w:sz w:val="20"/>
                <w:szCs w:val="20"/>
              </w:rPr>
            </w:pPr>
          </w:p>
          <w:p w14:paraId="0EED7512" w14:textId="77777777" w:rsidR="00D6638C" w:rsidRPr="00D6638C" w:rsidRDefault="00D6638C" w:rsidP="0090447C">
            <w:pPr>
              <w:spacing w:after="0" w:line="240" w:lineRule="auto"/>
              <w:rPr>
                <w:rFonts w:ascii="Calibri" w:eastAsia="Times New Roman" w:hAnsi="Calibri" w:cs="Times New Roman"/>
                <w:sz w:val="20"/>
                <w:szCs w:val="20"/>
              </w:rPr>
            </w:pPr>
          </w:p>
        </w:tc>
      </w:tr>
    </w:tbl>
    <w:p w14:paraId="0E027A74" w14:textId="77777777" w:rsidR="00D6638C" w:rsidRPr="00D6638C" w:rsidRDefault="00D6638C" w:rsidP="0090447C">
      <w:pPr>
        <w:spacing w:after="0" w:line="240" w:lineRule="auto"/>
        <w:rPr>
          <w:rFonts w:ascii="Calibri" w:eastAsia="Times New Roman" w:hAnsi="Calibri" w:cs="Times New Roman"/>
          <w:sz w:val="20"/>
          <w:szCs w:val="20"/>
        </w:rPr>
      </w:pPr>
      <w:bookmarkStart w:id="80" w:name="_TOR_Annex_G:"/>
      <w:bookmarkStart w:id="81" w:name="_Toc299133058"/>
      <w:bookmarkStart w:id="82" w:name="_Toc299122848"/>
      <w:bookmarkStart w:id="83" w:name="_Toc299122870"/>
      <w:bookmarkStart w:id="84" w:name="_Toc299126634"/>
      <w:bookmarkEnd w:id="80"/>
    </w:p>
    <w:p w14:paraId="1020679F" w14:textId="77777777" w:rsidR="00D6638C" w:rsidRPr="00D6638C" w:rsidRDefault="00D6638C" w:rsidP="0090447C">
      <w:pPr>
        <w:spacing w:after="0" w:line="240" w:lineRule="auto"/>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4633EA12" w14:textId="4895C3CC" w:rsidR="00D6638C" w:rsidRPr="00F05366" w:rsidRDefault="00A77F92" w:rsidP="0090447C">
      <w:pPr>
        <w:pStyle w:val="Heading31"/>
        <w:spacing w:before="0" w:line="240" w:lineRule="auto"/>
      </w:pPr>
      <w:bookmarkStart w:id="85" w:name="_TOR_Annex_G:_1"/>
      <w:bookmarkStart w:id="86" w:name="_Toc321341568"/>
      <w:bookmarkEnd w:id="85"/>
      <w:r>
        <w:lastRenderedPageBreak/>
        <w:t>Annex G</w:t>
      </w:r>
      <w:r w:rsidR="00D6638C" w:rsidRPr="00F05366">
        <w:t>: Evaluation Report Clearance Form</w:t>
      </w:r>
      <w:bookmarkEnd w:id="81"/>
      <w:bookmarkEnd w:id="86"/>
    </w:p>
    <w:p w14:paraId="50A78DEE" w14:textId="77777777" w:rsidR="00D6638C" w:rsidRPr="00D6638C" w:rsidRDefault="00D6638C" w:rsidP="0090447C">
      <w:pPr>
        <w:spacing w:after="0" w:line="240" w:lineRule="auto"/>
        <w:rPr>
          <w:rFonts w:ascii="Calibri" w:eastAsia="Times New Roman" w:hAnsi="Calibri" w:cs="Times New Roman"/>
          <w:i/>
          <w:sz w:val="20"/>
          <w:szCs w:val="20"/>
        </w:rPr>
      </w:pPr>
      <w:r w:rsidRPr="00D6638C">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14:anchorId="037DDC3D" wp14:editId="0E76D061">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021B8260" w14:textId="77777777" w:rsidR="003E0E24" w:rsidRPr="0084083F" w:rsidRDefault="003E0E24" w:rsidP="00D6638C">
                            <w:pPr>
                              <w:rPr>
                                <w:rFonts w:eastAsia="Batang"/>
                              </w:rPr>
                            </w:pPr>
                            <w:r w:rsidRPr="0084083F">
                              <w:rPr>
                                <w:rFonts w:eastAsia="Batang"/>
                              </w:rPr>
                              <w:t>Evaluation Report Reviewed and Cleared by</w:t>
                            </w:r>
                          </w:p>
                          <w:p w14:paraId="74654230" w14:textId="77777777" w:rsidR="003E0E24" w:rsidRPr="0084083F" w:rsidRDefault="003E0E24" w:rsidP="00D6638C">
                            <w:r w:rsidRPr="0084083F">
                              <w:t>UNDP Country Office</w:t>
                            </w:r>
                          </w:p>
                          <w:p w14:paraId="6BA92DCE" w14:textId="77777777" w:rsidR="003E0E24" w:rsidRPr="0084083F" w:rsidRDefault="003E0E24" w:rsidP="00D6638C">
                            <w:r w:rsidRPr="0084083F">
                              <w:t>Name:  ___________________________________________________</w:t>
                            </w:r>
                          </w:p>
                          <w:p w14:paraId="544F32A4" w14:textId="77777777" w:rsidR="003E0E24" w:rsidRPr="0084083F" w:rsidRDefault="003E0E24" w:rsidP="00D6638C">
                            <w:r w:rsidRPr="0084083F">
                              <w:t>Signature: ______________________________       Date: _________________________________</w:t>
                            </w:r>
                          </w:p>
                          <w:p w14:paraId="7D56B2B0" w14:textId="77777777" w:rsidR="003E0E24" w:rsidRDefault="003E0E24" w:rsidP="00D6638C"/>
                          <w:p w14:paraId="02120679" w14:textId="77777777" w:rsidR="003E0E24" w:rsidRPr="0084083F" w:rsidRDefault="003E0E24" w:rsidP="00D6638C">
                            <w:r w:rsidRPr="0084083F">
                              <w:t>UNDP GEF R</w:t>
                            </w:r>
                            <w:r>
                              <w:t>TA</w:t>
                            </w:r>
                          </w:p>
                          <w:p w14:paraId="088EFF3E" w14:textId="77777777" w:rsidR="003E0E24" w:rsidRPr="0084083F" w:rsidRDefault="003E0E24" w:rsidP="00D6638C">
                            <w:r w:rsidRPr="0084083F">
                              <w:t>Name:  ___________________________________________________</w:t>
                            </w:r>
                          </w:p>
                          <w:p w14:paraId="70E2923D" w14:textId="77777777" w:rsidR="003E0E24" w:rsidRPr="0084083F" w:rsidRDefault="003E0E24"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7DDC3D"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021B8260" w14:textId="77777777" w:rsidR="003E0E24" w:rsidRPr="0084083F" w:rsidRDefault="003E0E24" w:rsidP="00D6638C">
                      <w:pPr>
                        <w:rPr>
                          <w:rFonts w:eastAsia="Batang"/>
                        </w:rPr>
                      </w:pPr>
                      <w:r w:rsidRPr="0084083F">
                        <w:rPr>
                          <w:rFonts w:eastAsia="Batang"/>
                        </w:rPr>
                        <w:t>Evaluation Report Reviewed and Cleared by</w:t>
                      </w:r>
                    </w:p>
                    <w:p w14:paraId="74654230" w14:textId="77777777" w:rsidR="003E0E24" w:rsidRPr="0084083F" w:rsidRDefault="003E0E24" w:rsidP="00D6638C">
                      <w:r w:rsidRPr="0084083F">
                        <w:t>UNDP Country Office</w:t>
                      </w:r>
                    </w:p>
                    <w:p w14:paraId="6BA92DCE" w14:textId="77777777" w:rsidR="003E0E24" w:rsidRPr="0084083F" w:rsidRDefault="003E0E24" w:rsidP="00D6638C">
                      <w:r w:rsidRPr="0084083F">
                        <w:t>Name:  ___________________________________________________</w:t>
                      </w:r>
                    </w:p>
                    <w:p w14:paraId="544F32A4" w14:textId="77777777" w:rsidR="003E0E24" w:rsidRPr="0084083F" w:rsidRDefault="003E0E24" w:rsidP="00D6638C">
                      <w:r w:rsidRPr="0084083F">
                        <w:t>Signature: ______________________________       Date: _________________________________</w:t>
                      </w:r>
                    </w:p>
                    <w:p w14:paraId="7D56B2B0" w14:textId="77777777" w:rsidR="003E0E24" w:rsidRDefault="003E0E24" w:rsidP="00D6638C"/>
                    <w:p w14:paraId="02120679" w14:textId="77777777" w:rsidR="003E0E24" w:rsidRPr="0084083F" w:rsidRDefault="003E0E24" w:rsidP="00D6638C">
                      <w:r w:rsidRPr="0084083F">
                        <w:t>UNDP GEF R</w:t>
                      </w:r>
                      <w:r>
                        <w:t>TA</w:t>
                      </w:r>
                    </w:p>
                    <w:p w14:paraId="088EFF3E" w14:textId="77777777" w:rsidR="003E0E24" w:rsidRPr="0084083F" w:rsidRDefault="003E0E24" w:rsidP="00D6638C">
                      <w:r w:rsidRPr="0084083F">
                        <w:t>Name:  ___________________________________________________</w:t>
                      </w:r>
                    </w:p>
                    <w:p w14:paraId="70E2923D" w14:textId="77777777" w:rsidR="003E0E24" w:rsidRPr="0084083F" w:rsidRDefault="003E0E24"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2"/>
      <w:bookmarkEnd w:id="83"/>
      <w:bookmarkEnd w:id="84"/>
    </w:p>
    <w:p w14:paraId="46FCB1B0" w14:textId="77777777" w:rsidR="00D6638C" w:rsidRPr="00D6638C" w:rsidRDefault="00D6638C" w:rsidP="0090447C">
      <w:pPr>
        <w:spacing w:after="0" w:line="240" w:lineRule="auto"/>
        <w:rPr>
          <w:rFonts w:ascii="Calibri" w:eastAsia="Times New Roman" w:hAnsi="Calibri" w:cs="Times New Roman"/>
          <w:i/>
          <w:sz w:val="20"/>
          <w:szCs w:val="20"/>
        </w:rPr>
      </w:pPr>
    </w:p>
    <w:p w14:paraId="673978B0" w14:textId="77777777" w:rsidR="00D6638C" w:rsidRPr="00D6638C" w:rsidRDefault="00D6638C" w:rsidP="0090447C">
      <w:pPr>
        <w:spacing w:after="0" w:line="240" w:lineRule="auto"/>
        <w:rPr>
          <w:rFonts w:ascii="Calibri" w:eastAsia="Times New Roman" w:hAnsi="Calibri" w:cs="Times New Roman"/>
          <w:i/>
          <w:sz w:val="20"/>
          <w:szCs w:val="20"/>
        </w:rPr>
      </w:pPr>
    </w:p>
    <w:p w14:paraId="22D7EA48" w14:textId="77777777" w:rsidR="00D6638C" w:rsidRPr="00D6638C" w:rsidRDefault="00D6638C" w:rsidP="0090447C">
      <w:pPr>
        <w:spacing w:after="0" w:line="240" w:lineRule="auto"/>
        <w:rPr>
          <w:rFonts w:ascii="Calibri" w:eastAsia="Times New Roman" w:hAnsi="Calibri" w:cs="Times New Roman"/>
          <w:i/>
          <w:sz w:val="20"/>
          <w:szCs w:val="20"/>
        </w:rPr>
      </w:pPr>
    </w:p>
    <w:p w14:paraId="504386AD" w14:textId="77777777" w:rsidR="00D6638C" w:rsidRPr="00D6638C" w:rsidRDefault="00D6638C" w:rsidP="0090447C">
      <w:pPr>
        <w:spacing w:after="0" w:line="240" w:lineRule="auto"/>
        <w:rPr>
          <w:rFonts w:ascii="Calibri" w:eastAsia="Times New Roman" w:hAnsi="Calibri" w:cs="Times New Roman"/>
          <w:sz w:val="20"/>
          <w:szCs w:val="20"/>
        </w:rPr>
      </w:pPr>
    </w:p>
    <w:p w14:paraId="49926F5E" w14:textId="77777777" w:rsidR="00D6638C" w:rsidRPr="00D6638C" w:rsidRDefault="00D6638C" w:rsidP="0090447C">
      <w:pPr>
        <w:spacing w:after="0" w:line="240" w:lineRule="auto"/>
        <w:rPr>
          <w:rFonts w:ascii="Calibri" w:eastAsia="Times New Roman" w:hAnsi="Calibri" w:cs="Times New Roman"/>
          <w:sz w:val="20"/>
          <w:szCs w:val="20"/>
        </w:rPr>
      </w:pPr>
    </w:p>
    <w:p w14:paraId="11C73ECB" w14:textId="77777777" w:rsidR="00D6638C" w:rsidRPr="00D6638C" w:rsidRDefault="00D6638C" w:rsidP="0090447C">
      <w:pPr>
        <w:spacing w:after="0" w:line="240" w:lineRule="auto"/>
        <w:rPr>
          <w:rFonts w:ascii="Calibri" w:eastAsia="Times New Roman" w:hAnsi="Calibri" w:cs="Times New Roman"/>
          <w:sz w:val="20"/>
          <w:szCs w:val="20"/>
        </w:rPr>
      </w:pPr>
    </w:p>
    <w:p w14:paraId="23C0BCD4" w14:textId="77777777" w:rsidR="00D6638C" w:rsidRPr="00D6638C" w:rsidRDefault="00D6638C" w:rsidP="0090447C">
      <w:pPr>
        <w:spacing w:after="0" w:line="240" w:lineRule="auto"/>
        <w:rPr>
          <w:rFonts w:ascii="Calibri" w:eastAsia="Times New Roman" w:hAnsi="Calibri" w:cs="Times New Roman"/>
          <w:sz w:val="20"/>
          <w:szCs w:val="20"/>
        </w:rPr>
      </w:pPr>
    </w:p>
    <w:p w14:paraId="3418C4A4" w14:textId="77777777" w:rsidR="00D6638C" w:rsidRPr="00D6638C" w:rsidRDefault="00D6638C" w:rsidP="0090447C">
      <w:pPr>
        <w:spacing w:after="0" w:line="240" w:lineRule="auto"/>
        <w:rPr>
          <w:rFonts w:ascii="Calibri" w:eastAsia="Times New Roman" w:hAnsi="Calibri" w:cs="Times New Roman"/>
          <w:sz w:val="20"/>
          <w:szCs w:val="20"/>
        </w:rPr>
      </w:pPr>
    </w:p>
    <w:p w14:paraId="353CA730" w14:textId="77777777" w:rsidR="00D6638C" w:rsidRPr="00D6638C" w:rsidRDefault="00D6638C" w:rsidP="0090447C">
      <w:pPr>
        <w:spacing w:after="0" w:line="240" w:lineRule="auto"/>
        <w:rPr>
          <w:rFonts w:ascii="Calibri" w:eastAsia="Times New Roman" w:hAnsi="Calibri" w:cs="Times New Roman"/>
          <w:sz w:val="20"/>
          <w:szCs w:val="20"/>
        </w:rPr>
      </w:pPr>
    </w:p>
    <w:p w14:paraId="72E6AD95" w14:textId="77777777" w:rsidR="00D6638C" w:rsidRPr="00D6638C" w:rsidRDefault="00D6638C" w:rsidP="0090447C">
      <w:pPr>
        <w:spacing w:after="0" w:line="240" w:lineRule="auto"/>
        <w:rPr>
          <w:rFonts w:ascii="Calibri" w:eastAsia="Times New Roman" w:hAnsi="Calibri" w:cs="Times New Roman"/>
          <w:sz w:val="20"/>
          <w:szCs w:val="20"/>
        </w:rPr>
      </w:pPr>
    </w:p>
    <w:p w14:paraId="169E2278" w14:textId="77777777" w:rsidR="00D6638C" w:rsidRPr="00D6638C" w:rsidRDefault="00D6638C" w:rsidP="0090447C">
      <w:pPr>
        <w:spacing w:after="0" w:line="240" w:lineRule="auto"/>
        <w:rPr>
          <w:rFonts w:ascii="Calibri" w:eastAsia="Times New Roman" w:hAnsi="Calibri" w:cs="Times New Roman"/>
          <w:sz w:val="20"/>
          <w:szCs w:val="20"/>
        </w:rPr>
      </w:pPr>
    </w:p>
    <w:p w14:paraId="4B9D1A74" w14:textId="77777777" w:rsidR="00D6638C" w:rsidRPr="00D6638C" w:rsidRDefault="00D6638C" w:rsidP="0090447C">
      <w:pPr>
        <w:spacing w:after="0" w:line="240" w:lineRule="auto"/>
        <w:rPr>
          <w:rFonts w:ascii="Calibri" w:eastAsia="Times New Roman" w:hAnsi="Calibri" w:cs="Times New Roman"/>
          <w:sz w:val="20"/>
          <w:szCs w:val="20"/>
        </w:rPr>
      </w:pPr>
    </w:p>
    <w:p w14:paraId="650CAB35" w14:textId="77777777" w:rsidR="00D6638C" w:rsidRPr="00D6638C" w:rsidRDefault="00D6638C" w:rsidP="0090447C">
      <w:pPr>
        <w:spacing w:after="0" w:line="240" w:lineRule="auto"/>
        <w:rPr>
          <w:rFonts w:ascii="Calibri" w:eastAsia="Times New Roman" w:hAnsi="Calibri" w:cs="Times New Roman"/>
          <w:sz w:val="20"/>
          <w:szCs w:val="20"/>
        </w:rPr>
      </w:pPr>
    </w:p>
    <w:p w14:paraId="3210ECA4" w14:textId="77777777" w:rsidR="00D6638C" w:rsidRPr="00D6638C" w:rsidRDefault="00D6638C" w:rsidP="0090447C">
      <w:pPr>
        <w:spacing w:after="0" w:line="240" w:lineRule="auto"/>
        <w:rPr>
          <w:rFonts w:ascii="Calibri" w:eastAsia="Times New Roman" w:hAnsi="Calibri" w:cs="Times New Roman"/>
          <w:sz w:val="20"/>
          <w:szCs w:val="20"/>
        </w:rPr>
      </w:pPr>
    </w:p>
    <w:p w14:paraId="4E5327FE" w14:textId="77777777" w:rsidR="00303541" w:rsidRDefault="00303541" w:rsidP="0090447C">
      <w:pPr>
        <w:spacing w:after="0" w:line="240" w:lineRule="auto"/>
      </w:pPr>
      <w:bookmarkStart w:id="87" w:name="_Annex_3._Sample"/>
      <w:bookmarkEnd w:id="87"/>
    </w:p>
    <w:p w14:paraId="67322200" w14:textId="77777777" w:rsidR="00537459" w:rsidRDefault="00537459" w:rsidP="0090447C">
      <w:pPr>
        <w:spacing w:after="0" w:line="240" w:lineRule="auto"/>
      </w:pPr>
    </w:p>
    <w:p w14:paraId="094F34F7" w14:textId="77777777" w:rsidR="00537459" w:rsidRDefault="00537459" w:rsidP="0090447C">
      <w:pPr>
        <w:spacing w:after="0" w:line="240" w:lineRule="auto"/>
      </w:pPr>
    </w:p>
    <w:p w14:paraId="3EAFAED6" w14:textId="77777777" w:rsidR="00537459" w:rsidRDefault="00537459" w:rsidP="0090447C">
      <w:pPr>
        <w:spacing w:after="0" w:line="240" w:lineRule="auto"/>
      </w:pPr>
    </w:p>
    <w:p w14:paraId="74D3300A" w14:textId="77777777" w:rsidR="00537459" w:rsidRDefault="00537459" w:rsidP="0090447C">
      <w:pPr>
        <w:spacing w:after="0" w:line="240" w:lineRule="auto"/>
      </w:pPr>
    </w:p>
    <w:p w14:paraId="09A5C0D7" w14:textId="616F5650" w:rsidR="00537459" w:rsidRPr="004E2FB7" w:rsidRDefault="00537459" w:rsidP="00537459">
      <w:pPr>
        <w:pStyle w:val="Heading31"/>
        <w:rPr>
          <w:rFonts w:ascii="Calibri" w:hAnsi="Calibri"/>
          <w:lang w:val="fr-FR"/>
        </w:rPr>
      </w:pPr>
      <w:r w:rsidRPr="004E2FB7">
        <w:rPr>
          <w:rFonts w:ascii="Calibri" w:hAnsi="Calibri"/>
          <w:lang w:val="fr-FR"/>
        </w:rPr>
        <w:t xml:space="preserve">Annex </w:t>
      </w:r>
      <w:r w:rsidR="00A77F92">
        <w:rPr>
          <w:rFonts w:ascii="Calibri" w:hAnsi="Calibri"/>
          <w:lang w:val="fr-FR"/>
        </w:rPr>
        <w:t>H</w:t>
      </w:r>
      <w:r w:rsidRPr="004E2FB7">
        <w:rPr>
          <w:rFonts w:ascii="Calibri" w:hAnsi="Calibri"/>
          <w:lang w:val="fr-FR"/>
        </w:rPr>
        <w:t>: TE Report audit trail</w:t>
      </w:r>
    </w:p>
    <w:p w14:paraId="36E3A284" w14:textId="77777777" w:rsidR="00537459" w:rsidRPr="00F4062B" w:rsidRDefault="00537459" w:rsidP="00537459">
      <w:pPr>
        <w:autoSpaceDE w:val="0"/>
        <w:autoSpaceDN w:val="0"/>
        <w:adjustRightInd w:val="0"/>
        <w:spacing w:line="240" w:lineRule="auto"/>
        <w:jc w:val="both"/>
        <w:rPr>
          <w:rFonts w:ascii="Calibri" w:hAnsi="Calibri"/>
          <w:sz w:val="20"/>
          <w:szCs w:val="20"/>
        </w:rPr>
      </w:pPr>
      <w:r w:rsidRPr="00F4062B">
        <w:rPr>
          <w:rFonts w:ascii="Calibri" w:hAnsi="Calibri"/>
          <w:sz w:val="20"/>
          <w:szCs w:val="20"/>
        </w:rPr>
        <w:t>The following is a template for the evaluator to show how the received comments on the draft TE report have (or have not) been incorporated into the final TE report. This audit trail should be included as an annex in the final TE report.</w:t>
      </w:r>
    </w:p>
    <w:p w14:paraId="55DE7473" w14:textId="77777777" w:rsidR="00537459" w:rsidRPr="00F4062B" w:rsidRDefault="00537459" w:rsidP="00537459">
      <w:pPr>
        <w:spacing w:line="240" w:lineRule="auto"/>
        <w:jc w:val="both"/>
        <w:rPr>
          <w:rFonts w:ascii="Calibri" w:hAnsi="Calibri"/>
          <w:b/>
          <w:sz w:val="20"/>
          <w:szCs w:val="20"/>
        </w:rPr>
      </w:pPr>
      <w:r w:rsidRPr="00F4062B">
        <w:rPr>
          <w:rFonts w:ascii="Calibri" w:hAnsi="Calibri"/>
          <w:b/>
          <w:sz w:val="20"/>
          <w:szCs w:val="20"/>
        </w:rPr>
        <w:t>To the comments received on (</w:t>
      </w:r>
      <w:r w:rsidRPr="00F4062B">
        <w:rPr>
          <w:rFonts w:ascii="Calibri" w:hAnsi="Calibri"/>
          <w:b/>
          <w:i/>
          <w:sz w:val="20"/>
          <w:szCs w:val="20"/>
          <w:highlight w:val="lightGray"/>
        </w:rPr>
        <w:t>date</w:t>
      </w:r>
      <w:r w:rsidRPr="00F4062B">
        <w:rPr>
          <w:rFonts w:ascii="Calibri" w:hAnsi="Calibri"/>
          <w:b/>
          <w:sz w:val="20"/>
          <w:szCs w:val="20"/>
        </w:rPr>
        <w:t>) from the Terminal Evaluation of (</w:t>
      </w:r>
      <w:r w:rsidRPr="00F4062B">
        <w:rPr>
          <w:rFonts w:ascii="Calibri" w:hAnsi="Calibri"/>
          <w:b/>
          <w:i/>
          <w:sz w:val="20"/>
          <w:szCs w:val="20"/>
          <w:highlight w:val="lightGray"/>
        </w:rPr>
        <w:t>project name</w:t>
      </w:r>
      <w:r w:rsidRPr="00F4062B">
        <w:rPr>
          <w:rFonts w:ascii="Calibri" w:hAnsi="Calibri"/>
          <w:b/>
          <w:sz w:val="20"/>
          <w:szCs w:val="20"/>
        </w:rPr>
        <w:t xml:space="preserve">) (UNDP </w:t>
      </w:r>
      <w:r w:rsidRPr="00F4062B">
        <w:rPr>
          <w:rFonts w:ascii="Calibri" w:hAnsi="Calibri"/>
          <w:b/>
          <w:i/>
          <w:sz w:val="20"/>
          <w:szCs w:val="20"/>
          <w:highlight w:val="lightGray"/>
        </w:rPr>
        <w:t>PIMS #)</w:t>
      </w:r>
    </w:p>
    <w:p w14:paraId="52263917" w14:textId="77777777" w:rsidR="00537459" w:rsidRPr="00F4062B" w:rsidRDefault="00537459" w:rsidP="00537459">
      <w:pPr>
        <w:spacing w:line="240" w:lineRule="auto"/>
        <w:jc w:val="both"/>
        <w:rPr>
          <w:rFonts w:ascii="Calibri" w:hAnsi="Calibri"/>
          <w:i/>
          <w:sz w:val="20"/>
          <w:szCs w:val="20"/>
        </w:rPr>
      </w:pPr>
      <w:r w:rsidRPr="00F4062B">
        <w:rPr>
          <w:rFonts w:ascii="Calibri" w:hAnsi="Calibri"/>
          <w:i/>
          <w:sz w:val="20"/>
          <w:szCs w:val="20"/>
        </w:rPr>
        <w:t xml:space="preserve">The following comments were provided in track changes to the draft Terminal Evaluation report; they are referenced by institution (“Author” column) and </w:t>
      </w:r>
      <w:r>
        <w:rPr>
          <w:rFonts w:ascii="Calibri" w:hAnsi="Calibri"/>
          <w:i/>
          <w:sz w:val="20"/>
          <w:szCs w:val="20"/>
        </w:rPr>
        <w:t>by</w:t>
      </w:r>
      <w:r w:rsidRPr="00F4062B">
        <w:rPr>
          <w:rFonts w:ascii="Calibri" w:hAnsi="Calibri"/>
          <w:i/>
          <w:sz w:val="20"/>
          <w:szCs w:val="20"/>
        </w:rPr>
        <w:t xml:space="preserve">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537459" w:rsidRPr="00F4062B" w14:paraId="39E3C798" w14:textId="77777777" w:rsidTr="00E55B47">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F6914FA" w14:textId="77777777" w:rsidR="00537459" w:rsidRPr="00F4062B" w:rsidRDefault="00537459" w:rsidP="00E55B47">
            <w:pPr>
              <w:jc w:val="center"/>
              <w:rPr>
                <w:rFonts w:ascii="Calibri" w:hAnsi="Calibri"/>
                <w:b/>
              </w:rPr>
            </w:pPr>
            <w:r w:rsidRPr="00F4062B">
              <w:rPr>
                <w:rFonts w:ascii="Calibri" w:hAnsi="Calibri"/>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568AB2" w14:textId="77777777" w:rsidR="00537459" w:rsidRPr="00F4062B" w:rsidRDefault="00537459" w:rsidP="00E55B47">
            <w:pPr>
              <w:jc w:val="center"/>
              <w:rPr>
                <w:rFonts w:ascii="Calibri" w:hAnsi="Calibri"/>
                <w:b/>
              </w:rPr>
            </w:pPr>
            <w:r w:rsidRPr="00F4062B">
              <w:rPr>
                <w:rFonts w:ascii="Calibri" w:hAnsi="Calibri"/>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C139A45" w14:textId="77777777" w:rsidR="00537459" w:rsidRPr="00F4062B" w:rsidRDefault="00537459" w:rsidP="00E55B47">
            <w:pPr>
              <w:jc w:val="center"/>
              <w:rPr>
                <w:rFonts w:ascii="Calibri" w:hAnsi="Calibri"/>
                <w:b/>
              </w:rPr>
            </w:pPr>
            <w:r w:rsidRPr="00F4062B">
              <w:rPr>
                <w:rFonts w:ascii="Calibri" w:hAnsi="Calibri"/>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712071C" w14:textId="77777777" w:rsidR="00537459" w:rsidRPr="00F4062B" w:rsidRDefault="00537459" w:rsidP="00E55B47">
            <w:pPr>
              <w:jc w:val="center"/>
              <w:rPr>
                <w:rFonts w:ascii="Calibri" w:hAnsi="Calibri"/>
                <w:b/>
              </w:rPr>
            </w:pPr>
            <w:r w:rsidRPr="00F4062B">
              <w:rPr>
                <w:rFonts w:ascii="Calibri" w:hAnsi="Calibri"/>
                <w:b/>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9A77FEF" w14:textId="77777777" w:rsidR="00537459" w:rsidRPr="00F4062B" w:rsidRDefault="00537459" w:rsidP="00E55B47">
            <w:pPr>
              <w:jc w:val="center"/>
              <w:rPr>
                <w:rFonts w:ascii="Calibri" w:hAnsi="Calibri"/>
                <w:b/>
              </w:rPr>
            </w:pPr>
            <w:r>
              <w:rPr>
                <w:rFonts w:ascii="Calibri" w:hAnsi="Calibri"/>
                <w:b/>
              </w:rPr>
              <w:t>Evaluator</w:t>
            </w:r>
            <w:r w:rsidRPr="00F4062B">
              <w:rPr>
                <w:rFonts w:ascii="Calibri" w:hAnsi="Calibri"/>
                <w:b/>
              </w:rPr>
              <w:t xml:space="preserve"> response and actions taken</w:t>
            </w:r>
          </w:p>
        </w:tc>
      </w:tr>
      <w:tr w:rsidR="00537459" w:rsidRPr="005A6F3A" w14:paraId="49ED7169" w14:textId="77777777" w:rsidTr="00E55B47">
        <w:trPr>
          <w:trHeight w:val="332"/>
        </w:trPr>
        <w:tc>
          <w:tcPr>
            <w:tcW w:w="901" w:type="dxa"/>
            <w:tcBorders>
              <w:top w:val="single" w:sz="4" w:space="0" w:color="FFFFFF" w:themeColor="background1"/>
            </w:tcBorders>
          </w:tcPr>
          <w:p w14:paraId="726CEEE7" w14:textId="77777777" w:rsidR="00537459" w:rsidRPr="005A6F3A" w:rsidRDefault="00537459" w:rsidP="00E55B47">
            <w:pPr>
              <w:jc w:val="center"/>
              <w:rPr>
                <w:rFonts w:ascii="Calibri" w:hAnsi="Calibri"/>
                <w:sz w:val="22"/>
                <w:szCs w:val="22"/>
              </w:rPr>
            </w:pPr>
          </w:p>
        </w:tc>
        <w:tc>
          <w:tcPr>
            <w:tcW w:w="644" w:type="dxa"/>
            <w:tcBorders>
              <w:top w:val="single" w:sz="4" w:space="0" w:color="FFFFFF" w:themeColor="background1"/>
            </w:tcBorders>
          </w:tcPr>
          <w:p w14:paraId="58160835" w14:textId="77777777" w:rsidR="00537459" w:rsidRPr="005A6F3A" w:rsidRDefault="00537459" w:rsidP="00E55B47">
            <w:pPr>
              <w:jc w:val="center"/>
              <w:rPr>
                <w:rFonts w:ascii="Calibri" w:hAnsi="Calibri"/>
                <w:sz w:val="22"/>
                <w:szCs w:val="22"/>
              </w:rPr>
            </w:pPr>
          </w:p>
        </w:tc>
        <w:tc>
          <w:tcPr>
            <w:tcW w:w="1605" w:type="dxa"/>
            <w:tcBorders>
              <w:top w:val="single" w:sz="4" w:space="0" w:color="FFFFFF" w:themeColor="background1"/>
            </w:tcBorders>
          </w:tcPr>
          <w:p w14:paraId="6045AF7F" w14:textId="77777777" w:rsidR="00537459" w:rsidRPr="005A6F3A" w:rsidRDefault="00537459" w:rsidP="00E55B47">
            <w:pPr>
              <w:jc w:val="center"/>
              <w:rPr>
                <w:rFonts w:ascii="Calibri" w:hAnsi="Calibri"/>
                <w:sz w:val="22"/>
                <w:szCs w:val="22"/>
              </w:rPr>
            </w:pPr>
          </w:p>
        </w:tc>
        <w:tc>
          <w:tcPr>
            <w:tcW w:w="3780" w:type="dxa"/>
            <w:tcBorders>
              <w:top w:val="single" w:sz="4" w:space="0" w:color="FFFFFF" w:themeColor="background1"/>
            </w:tcBorders>
          </w:tcPr>
          <w:p w14:paraId="6C6A7799" w14:textId="77777777" w:rsidR="00537459" w:rsidRPr="005A6F3A" w:rsidRDefault="00537459" w:rsidP="00E55B47">
            <w:pPr>
              <w:pStyle w:val="CommentText"/>
              <w:spacing w:before="0"/>
              <w:rPr>
                <w:rFonts w:ascii="Calibri" w:hAnsi="Calibri"/>
                <w:sz w:val="22"/>
                <w:szCs w:val="22"/>
              </w:rPr>
            </w:pPr>
          </w:p>
        </w:tc>
        <w:tc>
          <w:tcPr>
            <w:tcW w:w="2610" w:type="dxa"/>
            <w:tcBorders>
              <w:top w:val="single" w:sz="4" w:space="0" w:color="FFFFFF" w:themeColor="background1"/>
            </w:tcBorders>
          </w:tcPr>
          <w:p w14:paraId="4B7B07F7" w14:textId="77777777" w:rsidR="00537459" w:rsidRPr="005A6F3A" w:rsidRDefault="00537459" w:rsidP="00E55B47">
            <w:pPr>
              <w:rPr>
                <w:rFonts w:ascii="Calibri" w:hAnsi="Calibri"/>
                <w:sz w:val="22"/>
                <w:szCs w:val="22"/>
              </w:rPr>
            </w:pPr>
          </w:p>
        </w:tc>
      </w:tr>
      <w:tr w:rsidR="00537459" w:rsidRPr="005A6F3A" w14:paraId="306370BB" w14:textId="77777777" w:rsidTr="00E55B47">
        <w:trPr>
          <w:trHeight w:val="278"/>
        </w:trPr>
        <w:tc>
          <w:tcPr>
            <w:tcW w:w="901" w:type="dxa"/>
          </w:tcPr>
          <w:p w14:paraId="3524AB74" w14:textId="77777777" w:rsidR="00537459" w:rsidRPr="005A6F3A" w:rsidRDefault="00537459" w:rsidP="00E55B47">
            <w:pPr>
              <w:jc w:val="center"/>
              <w:rPr>
                <w:rFonts w:ascii="Calibri" w:hAnsi="Calibri"/>
                <w:sz w:val="22"/>
                <w:szCs w:val="22"/>
              </w:rPr>
            </w:pPr>
          </w:p>
        </w:tc>
        <w:tc>
          <w:tcPr>
            <w:tcW w:w="644" w:type="dxa"/>
          </w:tcPr>
          <w:p w14:paraId="5AD2409B" w14:textId="77777777" w:rsidR="00537459" w:rsidRPr="005A6F3A" w:rsidRDefault="00537459" w:rsidP="00E55B47">
            <w:pPr>
              <w:jc w:val="center"/>
              <w:rPr>
                <w:rFonts w:ascii="Calibri" w:hAnsi="Calibri"/>
                <w:sz w:val="22"/>
                <w:szCs w:val="22"/>
              </w:rPr>
            </w:pPr>
          </w:p>
        </w:tc>
        <w:tc>
          <w:tcPr>
            <w:tcW w:w="1605" w:type="dxa"/>
          </w:tcPr>
          <w:p w14:paraId="4F054E61" w14:textId="77777777" w:rsidR="00537459" w:rsidRPr="005A6F3A" w:rsidRDefault="00537459" w:rsidP="00E55B47">
            <w:pPr>
              <w:jc w:val="center"/>
              <w:rPr>
                <w:rFonts w:ascii="Calibri" w:hAnsi="Calibri"/>
                <w:sz w:val="22"/>
                <w:szCs w:val="22"/>
              </w:rPr>
            </w:pPr>
          </w:p>
        </w:tc>
        <w:tc>
          <w:tcPr>
            <w:tcW w:w="3780" w:type="dxa"/>
          </w:tcPr>
          <w:p w14:paraId="199CB170" w14:textId="77777777" w:rsidR="00537459" w:rsidRPr="005A6F3A" w:rsidRDefault="00537459" w:rsidP="00E55B47">
            <w:pPr>
              <w:pStyle w:val="CommentText"/>
              <w:spacing w:before="0"/>
              <w:rPr>
                <w:rFonts w:ascii="Calibri" w:hAnsi="Calibri"/>
                <w:sz w:val="22"/>
                <w:szCs w:val="22"/>
              </w:rPr>
            </w:pPr>
          </w:p>
        </w:tc>
        <w:tc>
          <w:tcPr>
            <w:tcW w:w="2610" w:type="dxa"/>
          </w:tcPr>
          <w:p w14:paraId="2B4FD321" w14:textId="77777777" w:rsidR="00537459" w:rsidRPr="005A6F3A" w:rsidRDefault="00537459" w:rsidP="00E55B47">
            <w:pPr>
              <w:rPr>
                <w:rFonts w:ascii="Calibri" w:hAnsi="Calibri"/>
                <w:sz w:val="22"/>
                <w:szCs w:val="22"/>
              </w:rPr>
            </w:pPr>
          </w:p>
        </w:tc>
      </w:tr>
      <w:tr w:rsidR="00537459" w:rsidRPr="005A6F3A" w14:paraId="5A28B1FF" w14:textId="77777777" w:rsidTr="00E55B47">
        <w:trPr>
          <w:trHeight w:val="248"/>
        </w:trPr>
        <w:tc>
          <w:tcPr>
            <w:tcW w:w="901" w:type="dxa"/>
          </w:tcPr>
          <w:p w14:paraId="71E8844E" w14:textId="77777777" w:rsidR="00537459" w:rsidRPr="005A6F3A" w:rsidRDefault="00537459" w:rsidP="00E55B47">
            <w:pPr>
              <w:jc w:val="center"/>
              <w:rPr>
                <w:rFonts w:ascii="Calibri" w:hAnsi="Calibri"/>
                <w:sz w:val="22"/>
                <w:szCs w:val="22"/>
              </w:rPr>
            </w:pPr>
          </w:p>
        </w:tc>
        <w:tc>
          <w:tcPr>
            <w:tcW w:w="644" w:type="dxa"/>
          </w:tcPr>
          <w:p w14:paraId="0028A465" w14:textId="77777777" w:rsidR="00537459" w:rsidRPr="005A6F3A" w:rsidRDefault="00537459" w:rsidP="00E55B47">
            <w:pPr>
              <w:jc w:val="center"/>
              <w:rPr>
                <w:rFonts w:ascii="Calibri" w:hAnsi="Calibri"/>
                <w:sz w:val="22"/>
                <w:szCs w:val="22"/>
              </w:rPr>
            </w:pPr>
          </w:p>
        </w:tc>
        <w:tc>
          <w:tcPr>
            <w:tcW w:w="1605" w:type="dxa"/>
          </w:tcPr>
          <w:p w14:paraId="32375424" w14:textId="77777777" w:rsidR="00537459" w:rsidRPr="005A6F3A" w:rsidRDefault="00537459" w:rsidP="00E55B47">
            <w:pPr>
              <w:jc w:val="center"/>
              <w:rPr>
                <w:rFonts w:ascii="Calibri" w:hAnsi="Calibri"/>
                <w:sz w:val="22"/>
                <w:szCs w:val="22"/>
              </w:rPr>
            </w:pPr>
          </w:p>
        </w:tc>
        <w:tc>
          <w:tcPr>
            <w:tcW w:w="3780" w:type="dxa"/>
          </w:tcPr>
          <w:p w14:paraId="0FA3AB52" w14:textId="77777777" w:rsidR="00537459" w:rsidRPr="005A6F3A" w:rsidRDefault="00537459" w:rsidP="00E55B47">
            <w:pPr>
              <w:rPr>
                <w:rFonts w:ascii="Calibri" w:hAnsi="Calibri"/>
                <w:sz w:val="22"/>
                <w:szCs w:val="22"/>
              </w:rPr>
            </w:pPr>
          </w:p>
        </w:tc>
        <w:tc>
          <w:tcPr>
            <w:tcW w:w="2610" w:type="dxa"/>
          </w:tcPr>
          <w:p w14:paraId="14F01A2B" w14:textId="77777777" w:rsidR="00537459" w:rsidRPr="005A6F3A" w:rsidRDefault="00537459" w:rsidP="00E55B47">
            <w:pPr>
              <w:rPr>
                <w:rFonts w:ascii="Calibri" w:hAnsi="Calibri"/>
                <w:sz w:val="22"/>
                <w:szCs w:val="22"/>
              </w:rPr>
            </w:pPr>
          </w:p>
        </w:tc>
      </w:tr>
      <w:tr w:rsidR="00537459" w:rsidRPr="005A6F3A" w14:paraId="68EAFB07" w14:textId="77777777" w:rsidTr="00E55B47">
        <w:trPr>
          <w:trHeight w:val="248"/>
        </w:trPr>
        <w:tc>
          <w:tcPr>
            <w:tcW w:w="901" w:type="dxa"/>
          </w:tcPr>
          <w:p w14:paraId="66415D53" w14:textId="77777777" w:rsidR="00537459" w:rsidRPr="005A6F3A" w:rsidRDefault="00537459" w:rsidP="00E55B47">
            <w:pPr>
              <w:jc w:val="center"/>
              <w:rPr>
                <w:rFonts w:ascii="Calibri" w:hAnsi="Calibri"/>
                <w:sz w:val="22"/>
                <w:szCs w:val="22"/>
              </w:rPr>
            </w:pPr>
          </w:p>
        </w:tc>
        <w:tc>
          <w:tcPr>
            <w:tcW w:w="644" w:type="dxa"/>
          </w:tcPr>
          <w:p w14:paraId="74A6233F" w14:textId="77777777" w:rsidR="00537459" w:rsidRPr="005A6F3A" w:rsidRDefault="00537459" w:rsidP="00E55B47">
            <w:pPr>
              <w:jc w:val="center"/>
              <w:rPr>
                <w:rFonts w:ascii="Calibri" w:hAnsi="Calibri"/>
                <w:sz w:val="22"/>
                <w:szCs w:val="22"/>
              </w:rPr>
            </w:pPr>
          </w:p>
        </w:tc>
        <w:tc>
          <w:tcPr>
            <w:tcW w:w="1605" w:type="dxa"/>
          </w:tcPr>
          <w:p w14:paraId="24A32FE2" w14:textId="77777777" w:rsidR="00537459" w:rsidRPr="005A6F3A" w:rsidRDefault="00537459" w:rsidP="00E55B47">
            <w:pPr>
              <w:jc w:val="center"/>
              <w:rPr>
                <w:rFonts w:ascii="Calibri" w:hAnsi="Calibri"/>
                <w:sz w:val="22"/>
                <w:szCs w:val="22"/>
              </w:rPr>
            </w:pPr>
          </w:p>
        </w:tc>
        <w:tc>
          <w:tcPr>
            <w:tcW w:w="3780" w:type="dxa"/>
          </w:tcPr>
          <w:p w14:paraId="2370BEA8" w14:textId="77777777" w:rsidR="00537459" w:rsidRPr="005A6F3A" w:rsidRDefault="00537459" w:rsidP="00E55B47">
            <w:pPr>
              <w:rPr>
                <w:rFonts w:ascii="Calibri" w:hAnsi="Calibri"/>
                <w:sz w:val="22"/>
                <w:szCs w:val="22"/>
              </w:rPr>
            </w:pPr>
          </w:p>
        </w:tc>
        <w:tc>
          <w:tcPr>
            <w:tcW w:w="2610" w:type="dxa"/>
          </w:tcPr>
          <w:p w14:paraId="374EE66F" w14:textId="77777777" w:rsidR="00537459" w:rsidRPr="005A6F3A" w:rsidRDefault="00537459" w:rsidP="00E55B47">
            <w:pPr>
              <w:rPr>
                <w:rFonts w:ascii="Calibri" w:hAnsi="Calibri"/>
                <w:sz w:val="22"/>
                <w:szCs w:val="22"/>
              </w:rPr>
            </w:pPr>
          </w:p>
        </w:tc>
      </w:tr>
      <w:tr w:rsidR="00537459" w:rsidRPr="005A6F3A" w14:paraId="047B8727" w14:textId="77777777" w:rsidTr="00E55B47">
        <w:trPr>
          <w:trHeight w:val="261"/>
        </w:trPr>
        <w:tc>
          <w:tcPr>
            <w:tcW w:w="901" w:type="dxa"/>
          </w:tcPr>
          <w:p w14:paraId="19AD190E" w14:textId="77777777" w:rsidR="00537459" w:rsidRPr="005A6F3A" w:rsidRDefault="00537459" w:rsidP="00E55B47">
            <w:pPr>
              <w:jc w:val="center"/>
              <w:rPr>
                <w:rFonts w:ascii="Calibri" w:hAnsi="Calibri"/>
                <w:sz w:val="22"/>
                <w:szCs w:val="22"/>
              </w:rPr>
            </w:pPr>
          </w:p>
        </w:tc>
        <w:tc>
          <w:tcPr>
            <w:tcW w:w="644" w:type="dxa"/>
          </w:tcPr>
          <w:p w14:paraId="20A6FBF0" w14:textId="77777777" w:rsidR="00537459" w:rsidRPr="005A6F3A" w:rsidRDefault="00537459" w:rsidP="00E55B47">
            <w:pPr>
              <w:jc w:val="center"/>
              <w:rPr>
                <w:rFonts w:ascii="Calibri" w:hAnsi="Calibri"/>
                <w:sz w:val="22"/>
                <w:szCs w:val="22"/>
              </w:rPr>
            </w:pPr>
          </w:p>
        </w:tc>
        <w:tc>
          <w:tcPr>
            <w:tcW w:w="1605" w:type="dxa"/>
          </w:tcPr>
          <w:p w14:paraId="411BF576" w14:textId="77777777" w:rsidR="00537459" w:rsidRPr="005A6F3A" w:rsidRDefault="00537459" w:rsidP="00E55B47">
            <w:pPr>
              <w:jc w:val="center"/>
              <w:rPr>
                <w:rFonts w:ascii="Calibri" w:hAnsi="Calibri"/>
                <w:sz w:val="22"/>
                <w:szCs w:val="22"/>
              </w:rPr>
            </w:pPr>
          </w:p>
        </w:tc>
        <w:tc>
          <w:tcPr>
            <w:tcW w:w="3780" w:type="dxa"/>
          </w:tcPr>
          <w:p w14:paraId="68A49073" w14:textId="77777777" w:rsidR="00537459" w:rsidRPr="005A6F3A" w:rsidRDefault="00537459" w:rsidP="00E55B47">
            <w:pPr>
              <w:rPr>
                <w:rFonts w:ascii="Calibri" w:hAnsi="Calibri"/>
                <w:sz w:val="22"/>
                <w:szCs w:val="22"/>
              </w:rPr>
            </w:pPr>
          </w:p>
        </w:tc>
        <w:tc>
          <w:tcPr>
            <w:tcW w:w="2610" w:type="dxa"/>
          </w:tcPr>
          <w:p w14:paraId="0C466ACA" w14:textId="77777777" w:rsidR="00537459" w:rsidRPr="005A6F3A" w:rsidRDefault="00537459" w:rsidP="00E55B47">
            <w:pPr>
              <w:rPr>
                <w:rFonts w:ascii="Calibri" w:hAnsi="Calibri"/>
                <w:sz w:val="22"/>
                <w:szCs w:val="22"/>
              </w:rPr>
            </w:pPr>
          </w:p>
        </w:tc>
      </w:tr>
      <w:tr w:rsidR="00537459" w:rsidRPr="005A6F3A" w14:paraId="6D4BE10F" w14:textId="77777777" w:rsidTr="00E55B47">
        <w:trPr>
          <w:trHeight w:val="261"/>
        </w:trPr>
        <w:tc>
          <w:tcPr>
            <w:tcW w:w="901" w:type="dxa"/>
          </w:tcPr>
          <w:p w14:paraId="11FC8663" w14:textId="77777777" w:rsidR="00537459" w:rsidRPr="005A6F3A" w:rsidRDefault="00537459" w:rsidP="00E55B47">
            <w:pPr>
              <w:jc w:val="center"/>
              <w:rPr>
                <w:rFonts w:ascii="Calibri" w:hAnsi="Calibri"/>
                <w:sz w:val="22"/>
                <w:szCs w:val="22"/>
              </w:rPr>
            </w:pPr>
          </w:p>
        </w:tc>
        <w:tc>
          <w:tcPr>
            <w:tcW w:w="644" w:type="dxa"/>
          </w:tcPr>
          <w:p w14:paraId="1FBC45AE" w14:textId="77777777" w:rsidR="00537459" w:rsidRPr="005A6F3A" w:rsidRDefault="00537459" w:rsidP="00E55B47">
            <w:pPr>
              <w:jc w:val="center"/>
              <w:rPr>
                <w:rFonts w:ascii="Calibri" w:hAnsi="Calibri"/>
                <w:sz w:val="22"/>
                <w:szCs w:val="22"/>
              </w:rPr>
            </w:pPr>
          </w:p>
        </w:tc>
        <w:tc>
          <w:tcPr>
            <w:tcW w:w="1605" w:type="dxa"/>
          </w:tcPr>
          <w:p w14:paraId="14C9E327" w14:textId="77777777" w:rsidR="00537459" w:rsidRPr="005A6F3A" w:rsidRDefault="00537459" w:rsidP="00E55B47">
            <w:pPr>
              <w:jc w:val="center"/>
              <w:rPr>
                <w:rFonts w:ascii="Calibri" w:hAnsi="Calibri"/>
                <w:sz w:val="22"/>
                <w:szCs w:val="22"/>
              </w:rPr>
            </w:pPr>
          </w:p>
        </w:tc>
        <w:tc>
          <w:tcPr>
            <w:tcW w:w="3780" w:type="dxa"/>
          </w:tcPr>
          <w:p w14:paraId="201C18D3" w14:textId="77777777" w:rsidR="00537459" w:rsidRPr="005A6F3A" w:rsidRDefault="00537459" w:rsidP="00E55B47">
            <w:pPr>
              <w:pStyle w:val="CommentText"/>
              <w:spacing w:before="0"/>
              <w:rPr>
                <w:rFonts w:ascii="Calibri" w:hAnsi="Calibri"/>
                <w:sz w:val="22"/>
                <w:szCs w:val="22"/>
              </w:rPr>
            </w:pPr>
          </w:p>
        </w:tc>
        <w:tc>
          <w:tcPr>
            <w:tcW w:w="2610" w:type="dxa"/>
          </w:tcPr>
          <w:p w14:paraId="70F11F55" w14:textId="77777777" w:rsidR="00537459" w:rsidRPr="005A6F3A" w:rsidRDefault="00537459" w:rsidP="00E55B47">
            <w:pPr>
              <w:rPr>
                <w:rFonts w:ascii="Calibri" w:hAnsi="Calibri"/>
                <w:sz w:val="22"/>
                <w:szCs w:val="22"/>
              </w:rPr>
            </w:pPr>
          </w:p>
        </w:tc>
      </w:tr>
      <w:tr w:rsidR="00537459" w:rsidRPr="005A6F3A" w14:paraId="22B45480" w14:textId="77777777" w:rsidTr="00E55B47">
        <w:trPr>
          <w:trHeight w:val="261"/>
        </w:trPr>
        <w:tc>
          <w:tcPr>
            <w:tcW w:w="901" w:type="dxa"/>
          </w:tcPr>
          <w:p w14:paraId="1305ECEB" w14:textId="77777777" w:rsidR="00537459" w:rsidRPr="005A6F3A" w:rsidRDefault="00537459" w:rsidP="00E55B47">
            <w:pPr>
              <w:jc w:val="center"/>
              <w:rPr>
                <w:rFonts w:ascii="Calibri" w:hAnsi="Calibri"/>
                <w:sz w:val="22"/>
                <w:szCs w:val="22"/>
              </w:rPr>
            </w:pPr>
          </w:p>
        </w:tc>
        <w:tc>
          <w:tcPr>
            <w:tcW w:w="644" w:type="dxa"/>
          </w:tcPr>
          <w:p w14:paraId="655EBF92" w14:textId="77777777" w:rsidR="00537459" w:rsidRPr="005A6F3A" w:rsidRDefault="00537459" w:rsidP="00E55B47">
            <w:pPr>
              <w:jc w:val="center"/>
              <w:rPr>
                <w:rFonts w:ascii="Calibri" w:hAnsi="Calibri"/>
                <w:sz w:val="22"/>
                <w:szCs w:val="22"/>
              </w:rPr>
            </w:pPr>
          </w:p>
        </w:tc>
        <w:tc>
          <w:tcPr>
            <w:tcW w:w="1605" w:type="dxa"/>
          </w:tcPr>
          <w:p w14:paraId="7EE839D3" w14:textId="77777777" w:rsidR="00537459" w:rsidRPr="005A6F3A" w:rsidRDefault="00537459" w:rsidP="00E55B47">
            <w:pPr>
              <w:jc w:val="center"/>
              <w:rPr>
                <w:rFonts w:ascii="Calibri" w:hAnsi="Calibri"/>
                <w:sz w:val="22"/>
                <w:szCs w:val="22"/>
              </w:rPr>
            </w:pPr>
          </w:p>
        </w:tc>
        <w:tc>
          <w:tcPr>
            <w:tcW w:w="3780" w:type="dxa"/>
          </w:tcPr>
          <w:p w14:paraId="2DFF422C" w14:textId="77777777" w:rsidR="00537459" w:rsidRPr="005A6F3A" w:rsidRDefault="00537459" w:rsidP="00E55B47">
            <w:pPr>
              <w:pStyle w:val="CommentText"/>
              <w:spacing w:before="0"/>
              <w:rPr>
                <w:rFonts w:ascii="Calibri" w:hAnsi="Calibri"/>
                <w:sz w:val="22"/>
                <w:szCs w:val="22"/>
              </w:rPr>
            </w:pPr>
          </w:p>
        </w:tc>
        <w:tc>
          <w:tcPr>
            <w:tcW w:w="2610" w:type="dxa"/>
          </w:tcPr>
          <w:p w14:paraId="349A68D4" w14:textId="77777777" w:rsidR="00537459" w:rsidRPr="005A6F3A" w:rsidRDefault="00537459" w:rsidP="00E55B47">
            <w:pPr>
              <w:rPr>
                <w:rFonts w:ascii="Calibri" w:hAnsi="Calibri"/>
                <w:sz w:val="22"/>
                <w:szCs w:val="22"/>
              </w:rPr>
            </w:pPr>
          </w:p>
        </w:tc>
      </w:tr>
      <w:tr w:rsidR="00537459" w:rsidRPr="005A6F3A" w14:paraId="4BEE1DCA" w14:textId="77777777" w:rsidTr="00E55B47">
        <w:trPr>
          <w:trHeight w:val="248"/>
        </w:trPr>
        <w:tc>
          <w:tcPr>
            <w:tcW w:w="901" w:type="dxa"/>
          </w:tcPr>
          <w:p w14:paraId="7B1A70E9" w14:textId="77777777" w:rsidR="00537459" w:rsidRPr="005A6F3A" w:rsidRDefault="00537459" w:rsidP="00E55B47">
            <w:pPr>
              <w:jc w:val="center"/>
              <w:rPr>
                <w:rFonts w:ascii="Calibri" w:hAnsi="Calibri"/>
                <w:sz w:val="22"/>
                <w:szCs w:val="22"/>
              </w:rPr>
            </w:pPr>
          </w:p>
        </w:tc>
        <w:tc>
          <w:tcPr>
            <w:tcW w:w="644" w:type="dxa"/>
          </w:tcPr>
          <w:p w14:paraId="406AA69C" w14:textId="77777777" w:rsidR="00537459" w:rsidRPr="005A6F3A" w:rsidRDefault="00537459" w:rsidP="00E55B47">
            <w:pPr>
              <w:jc w:val="center"/>
              <w:rPr>
                <w:rFonts w:ascii="Calibri" w:hAnsi="Calibri"/>
                <w:sz w:val="22"/>
                <w:szCs w:val="22"/>
              </w:rPr>
            </w:pPr>
          </w:p>
        </w:tc>
        <w:tc>
          <w:tcPr>
            <w:tcW w:w="1605" w:type="dxa"/>
          </w:tcPr>
          <w:p w14:paraId="56869433" w14:textId="77777777" w:rsidR="00537459" w:rsidRPr="005A6F3A" w:rsidRDefault="00537459" w:rsidP="00E55B47">
            <w:pPr>
              <w:jc w:val="center"/>
              <w:rPr>
                <w:rFonts w:ascii="Calibri" w:hAnsi="Calibri"/>
                <w:sz w:val="22"/>
                <w:szCs w:val="22"/>
              </w:rPr>
            </w:pPr>
          </w:p>
        </w:tc>
        <w:tc>
          <w:tcPr>
            <w:tcW w:w="3780" w:type="dxa"/>
          </w:tcPr>
          <w:p w14:paraId="03F04717" w14:textId="77777777" w:rsidR="00537459" w:rsidRPr="005A6F3A" w:rsidRDefault="00537459" w:rsidP="00E55B47">
            <w:pPr>
              <w:rPr>
                <w:rFonts w:ascii="Calibri" w:hAnsi="Calibri"/>
                <w:sz w:val="22"/>
                <w:szCs w:val="22"/>
              </w:rPr>
            </w:pPr>
          </w:p>
        </w:tc>
        <w:tc>
          <w:tcPr>
            <w:tcW w:w="2610" w:type="dxa"/>
          </w:tcPr>
          <w:p w14:paraId="33E3F9AC" w14:textId="77777777" w:rsidR="00537459" w:rsidRPr="005A6F3A" w:rsidRDefault="00537459" w:rsidP="00E55B47">
            <w:pPr>
              <w:rPr>
                <w:rFonts w:ascii="Calibri" w:hAnsi="Calibri"/>
                <w:sz w:val="22"/>
                <w:szCs w:val="22"/>
              </w:rPr>
            </w:pPr>
          </w:p>
        </w:tc>
      </w:tr>
      <w:tr w:rsidR="00537459" w:rsidRPr="005A6F3A" w14:paraId="01F4C8B3" w14:textId="77777777" w:rsidTr="00E55B47">
        <w:trPr>
          <w:trHeight w:val="248"/>
        </w:trPr>
        <w:tc>
          <w:tcPr>
            <w:tcW w:w="901" w:type="dxa"/>
          </w:tcPr>
          <w:p w14:paraId="08F9B437" w14:textId="77777777" w:rsidR="00537459" w:rsidRPr="005A6F3A" w:rsidRDefault="00537459" w:rsidP="00E55B47">
            <w:pPr>
              <w:jc w:val="center"/>
              <w:rPr>
                <w:rFonts w:ascii="Calibri" w:hAnsi="Calibri"/>
                <w:sz w:val="22"/>
                <w:szCs w:val="22"/>
              </w:rPr>
            </w:pPr>
          </w:p>
        </w:tc>
        <w:tc>
          <w:tcPr>
            <w:tcW w:w="644" w:type="dxa"/>
          </w:tcPr>
          <w:p w14:paraId="6E834FAF" w14:textId="77777777" w:rsidR="00537459" w:rsidRPr="005A6F3A" w:rsidRDefault="00537459" w:rsidP="00E55B47">
            <w:pPr>
              <w:jc w:val="center"/>
              <w:rPr>
                <w:rFonts w:ascii="Calibri" w:hAnsi="Calibri"/>
                <w:sz w:val="22"/>
                <w:szCs w:val="22"/>
              </w:rPr>
            </w:pPr>
          </w:p>
        </w:tc>
        <w:tc>
          <w:tcPr>
            <w:tcW w:w="1605" w:type="dxa"/>
          </w:tcPr>
          <w:p w14:paraId="3E94E522" w14:textId="77777777" w:rsidR="00537459" w:rsidRPr="005A6F3A" w:rsidRDefault="00537459" w:rsidP="00E55B47">
            <w:pPr>
              <w:jc w:val="center"/>
              <w:rPr>
                <w:rFonts w:ascii="Calibri" w:hAnsi="Calibri"/>
                <w:sz w:val="22"/>
                <w:szCs w:val="22"/>
              </w:rPr>
            </w:pPr>
          </w:p>
        </w:tc>
        <w:tc>
          <w:tcPr>
            <w:tcW w:w="3780" w:type="dxa"/>
          </w:tcPr>
          <w:p w14:paraId="71272D3A" w14:textId="77777777" w:rsidR="00537459" w:rsidRPr="005A6F3A" w:rsidRDefault="00537459" w:rsidP="00E55B47">
            <w:pPr>
              <w:rPr>
                <w:rFonts w:ascii="Calibri" w:hAnsi="Calibri"/>
                <w:sz w:val="22"/>
                <w:szCs w:val="22"/>
              </w:rPr>
            </w:pPr>
          </w:p>
        </w:tc>
        <w:tc>
          <w:tcPr>
            <w:tcW w:w="2610" w:type="dxa"/>
          </w:tcPr>
          <w:p w14:paraId="06FF0F26" w14:textId="77777777" w:rsidR="00537459" w:rsidRPr="005A6F3A" w:rsidRDefault="00537459" w:rsidP="00E55B47">
            <w:pPr>
              <w:rPr>
                <w:rFonts w:ascii="Calibri" w:hAnsi="Calibri"/>
                <w:sz w:val="22"/>
                <w:szCs w:val="22"/>
              </w:rPr>
            </w:pPr>
          </w:p>
        </w:tc>
      </w:tr>
      <w:tr w:rsidR="00537459" w:rsidRPr="005A6F3A" w14:paraId="7D86B565" w14:textId="77777777" w:rsidTr="00E55B47">
        <w:trPr>
          <w:trHeight w:val="261"/>
        </w:trPr>
        <w:tc>
          <w:tcPr>
            <w:tcW w:w="901" w:type="dxa"/>
          </w:tcPr>
          <w:p w14:paraId="26C42EBB" w14:textId="77777777" w:rsidR="00537459" w:rsidRPr="005A6F3A" w:rsidRDefault="00537459" w:rsidP="00E55B47">
            <w:pPr>
              <w:jc w:val="center"/>
              <w:rPr>
                <w:rFonts w:ascii="Calibri" w:hAnsi="Calibri"/>
                <w:sz w:val="22"/>
                <w:szCs w:val="22"/>
              </w:rPr>
            </w:pPr>
          </w:p>
        </w:tc>
        <w:tc>
          <w:tcPr>
            <w:tcW w:w="644" w:type="dxa"/>
          </w:tcPr>
          <w:p w14:paraId="4F417C26" w14:textId="77777777" w:rsidR="00537459" w:rsidRPr="005A6F3A" w:rsidRDefault="00537459" w:rsidP="00E55B47">
            <w:pPr>
              <w:jc w:val="center"/>
              <w:rPr>
                <w:rFonts w:ascii="Calibri" w:hAnsi="Calibri"/>
                <w:sz w:val="22"/>
                <w:szCs w:val="22"/>
              </w:rPr>
            </w:pPr>
          </w:p>
        </w:tc>
        <w:tc>
          <w:tcPr>
            <w:tcW w:w="1605" w:type="dxa"/>
          </w:tcPr>
          <w:p w14:paraId="1E44A1D6" w14:textId="77777777" w:rsidR="00537459" w:rsidRPr="005A6F3A" w:rsidRDefault="00537459" w:rsidP="00E55B47">
            <w:pPr>
              <w:jc w:val="center"/>
              <w:rPr>
                <w:rFonts w:ascii="Calibri" w:hAnsi="Calibri"/>
                <w:sz w:val="22"/>
                <w:szCs w:val="22"/>
              </w:rPr>
            </w:pPr>
          </w:p>
        </w:tc>
        <w:tc>
          <w:tcPr>
            <w:tcW w:w="3780" w:type="dxa"/>
          </w:tcPr>
          <w:p w14:paraId="4A015506" w14:textId="77777777" w:rsidR="00537459" w:rsidRPr="005A6F3A" w:rsidRDefault="00537459" w:rsidP="00E55B47">
            <w:pPr>
              <w:rPr>
                <w:rFonts w:ascii="Calibri" w:hAnsi="Calibri"/>
                <w:sz w:val="22"/>
                <w:szCs w:val="22"/>
              </w:rPr>
            </w:pPr>
          </w:p>
        </w:tc>
        <w:tc>
          <w:tcPr>
            <w:tcW w:w="2610" w:type="dxa"/>
          </w:tcPr>
          <w:p w14:paraId="3027AF8E" w14:textId="77777777" w:rsidR="00537459" w:rsidRPr="005A6F3A" w:rsidRDefault="00537459" w:rsidP="00E55B47">
            <w:pPr>
              <w:rPr>
                <w:rFonts w:ascii="Calibri" w:hAnsi="Calibri"/>
                <w:sz w:val="22"/>
                <w:szCs w:val="22"/>
              </w:rPr>
            </w:pPr>
          </w:p>
        </w:tc>
      </w:tr>
    </w:tbl>
    <w:p w14:paraId="33E9E997" w14:textId="599F1189" w:rsidR="00537459" w:rsidRDefault="00537459" w:rsidP="0090447C">
      <w:pPr>
        <w:spacing w:after="0" w:line="240" w:lineRule="auto"/>
      </w:pPr>
    </w:p>
    <w:p w14:paraId="467087B7" w14:textId="2D8BDF47" w:rsidR="00606A12" w:rsidRDefault="00606A12" w:rsidP="0090447C">
      <w:pPr>
        <w:spacing w:after="0" w:line="240" w:lineRule="auto"/>
      </w:pPr>
    </w:p>
    <w:p w14:paraId="6A017F22" w14:textId="25B0928C" w:rsidR="00606A12" w:rsidRDefault="00606A12" w:rsidP="0090447C">
      <w:pPr>
        <w:spacing w:after="0" w:line="240" w:lineRule="auto"/>
      </w:pPr>
    </w:p>
    <w:p w14:paraId="4872E434" w14:textId="1623E9ED" w:rsidR="00606A12" w:rsidRPr="004E2FB7" w:rsidRDefault="00606A12" w:rsidP="00606A12">
      <w:pPr>
        <w:pStyle w:val="Heading31"/>
        <w:rPr>
          <w:rFonts w:ascii="Calibri" w:hAnsi="Calibri"/>
          <w:lang w:val="fr-FR"/>
        </w:rPr>
      </w:pPr>
      <w:r w:rsidRPr="004E2FB7">
        <w:rPr>
          <w:rFonts w:ascii="Calibri" w:hAnsi="Calibri"/>
          <w:lang w:val="fr-FR"/>
        </w:rPr>
        <w:lastRenderedPageBreak/>
        <w:t xml:space="preserve">Annex </w:t>
      </w:r>
      <w:r w:rsidR="00A77F92">
        <w:rPr>
          <w:rFonts w:ascii="Calibri" w:hAnsi="Calibri"/>
          <w:lang w:val="fr-FR"/>
        </w:rPr>
        <w:t>i</w:t>
      </w:r>
      <w:r w:rsidR="00651187">
        <w:rPr>
          <w:rFonts w:ascii="Calibri" w:hAnsi="Calibri"/>
          <w:lang w:val="fr-FR"/>
        </w:rPr>
        <w:t xml:space="preserve">: </w:t>
      </w:r>
      <w:r w:rsidRPr="00606A12">
        <w:rPr>
          <w:rFonts w:ascii="Calibri" w:hAnsi="Calibri"/>
          <w:lang w:val="fr-FR"/>
        </w:rPr>
        <w:t>Terminal GEF Tracking Tool</w:t>
      </w:r>
    </w:p>
    <w:p w14:paraId="5248A1E2" w14:textId="77777777" w:rsidR="00606A12" w:rsidRDefault="00606A12" w:rsidP="0090447C">
      <w:pPr>
        <w:spacing w:after="0" w:line="240" w:lineRule="auto"/>
      </w:pPr>
    </w:p>
    <w:tbl>
      <w:tblPr>
        <w:tblW w:w="5000" w:type="pct"/>
        <w:tblLook w:val="04A0" w:firstRow="1" w:lastRow="0" w:firstColumn="1" w:lastColumn="0" w:noHBand="0" w:noVBand="1"/>
      </w:tblPr>
      <w:tblGrid>
        <w:gridCol w:w="1554"/>
        <w:gridCol w:w="1631"/>
        <w:gridCol w:w="996"/>
        <w:gridCol w:w="966"/>
        <w:gridCol w:w="857"/>
        <w:gridCol w:w="3356"/>
      </w:tblGrid>
      <w:tr w:rsidR="00606A12" w:rsidRPr="00606A12" w14:paraId="52B56E7E" w14:textId="77777777" w:rsidTr="00606A12">
        <w:trPr>
          <w:trHeight w:val="315"/>
        </w:trPr>
        <w:tc>
          <w:tcPr>
            <w:tcW w:w="5000" w:type="pct"/>
            <w:gridSpan w:val="6"/>
            <w:tcBorders>
              <w:top w:val="nil"/>
              <w:left w:val="nil"/>
              <w:bottom w:val="nil"/>
              <w:right w:val="nil"/>
            </w:tcBorders>
            <w:shd w:val="clear" w:color="auto" w:fill="auto"/>
            <w:noWrap/>
            <w:vAlign w:val="bottom"/>
            <w:hideMark/>
          </w:tcPr>
          <w:p w14:paraId="4279B8DB" w14:textId="77777777" w:rsidR="00606A12" w:rsidRPr="00606A12" w:rsidRDefault="00606A12" w:rsidP="00606A12">
            <w:pPr>
              <w:spacing w:after="0" w:line="240" w:lineRule="auto"/>
              <w:jc w:val="center"/>
              <w:rPr>
                <w:rFonts w:eastAsia="Times New Roman" w:cstheme="minorHAnsi"/>
                <w:b/>
                <w:bCs/>
                <w:sz w:val="20"/>
                <w:szCs w:val="20"/>
                <w:lang w:bidi="ar-SA"/>
              </w:rPr>
            </w:pPr>
            <w:r w:rsidRPr="00606A12">
              <w:rPr>
                <w:rFonts w:eastAsia="Times New Roman" w:cstheme="minorHAnsi"/>
                <w:b/>
                <w:bCs/>
                <w:sz w:val="20"/>
                <w:szCs w:val="20"/>
                <w:lang w:bidi="ar-SA"/>
              </w:rPr>
              <w:t>PHASE OUT OF ODS</w:t>
            </w:r>
          </w:p>
        </w:tc>
      </w:tr>
      <w:tr w:rsidR="00606A12" w:rsidRPr="00606A12" w14:paraId="4A6A00F5" w14:textId="77777777" w:rsidTr="00606A12">
        <w:trPr>
          <w:trHeight w:val="390"/>
        </w:trPr>
        <w:tc>
          <w:tcPr>
            <w:tcW w:w="83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4805FB" w14:textId="77777777" w:rsidR="00606A12" w:rsidRPr="00606A12" w:rsidRDefault="00606A12" w:rsidP="00606A12">
            <w:pPr>
              <w:spacing w:after="0" w:line="240" w:lineRule="auto"/>
              <w:jc w:val="center"/>
              <w:rPr>
                <w:rFonts w:eastAsia="Times New Roman" w:cstheme="minorHAnsi"/>
                <w:b/>
                <w:bCs/>
                <w:sz w:val="20"/>
                <w:szCs w:val="20"/>
                <w:lang w:bidi="ar-SA"/>
              </w:rPr>
            </w:pPr>
            <w:r w:rsidRPr="00606A12">
              <w:rPr>
                <w:rFonts w:eastAsia="Times New Roman" w:cstheme="minorHAnsi"/>
                <w:b/>
                <w:bCs/>
                <w:sz w:val="20"/>
                <w:szCs w:val="20"/>
                <w:lang w:bidi="ar-SA"/>
              </w:rPr>
              <w:t>Project title</w:t>
            </w:r>
          </w:p>
        </w:tc>
        <w:tc>
          <w:tcPr>
            <w:tcW w:w="4170"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2A1A34D8" w14:textId="77777777" w:rsidR="00606A12" w:rsidRPr="00606A12" w:rsidRDefault="00606A12" w:rsidP="00606A12">
            <w:pPr>
              <w:spacing w:after="0" w:line="240" w:lineRule="auto"/>
              <w:jc w:val="center"/>
              <w:rPr>
                <w:rFonts w:eastAsia="Times New Roman" w:cstheme="minorHAnsi"/>
                <w:b/>
                <w:bCs/>
                <w:sz w:val="20"/>
                <w:szCs w:val="20"/>
                <w:lang w:bidi="ar-SA"/>
              </w:rPr>
            </w:pPr>
            <w:r w:rsidRPr="00606A12">
              <w:rPr>
                <w:rFonts w:eastAsia="Times New Roman" w:cstheme="minorHAnsi"/>
                <w:b/>
                <w:bCs/>
                <w:sz w:val="20"/>
                <w:szCs w:val="20"/>
                <w:lang w:bidi="ar-SA"/>
              </w:rPr>
              <w:t> </w:t>
            </w:r>
          </w:p>
        </w:tc>
      </w:tr>
      <w:tr w:rsidR="00606A12" w:rsidRPr="00606A12" w14:paraId="05AC2723" w14:textId="77777777" w:rsidTr="00606A12">
        <w:trPr>
          <w:trHeight w:val="390"/>
        </w:trPr>
        <w:tc>
          <w:tcPr>
            <w:tcW w:w="830" w:type="pct"/>
            <w:tcBorders>
              <w:top w:val="nil"/>
              <w:left w:val="single" w:sz="8" w:space="0" w:color="auto"/>
              <w:bottom w:val="single" w:sz="8" w:space="0" w:color="auto"/>
              <w:right w:val="single" w:sz="8" w:space="0" w:color="auto"/>
            </w:tcBorders>
            <w:shd w:val="clear" w:color="auto" w:fill="auto"/>
            <w:noWrap/>
            <w:vAlign w:val="bottom"/>
            <w:hideMark/>
          </w:tcPr>
          <w:p w14:paraId="5FB3A393" w14:textId="77777777" w:rsidR="00606A12" w:rsidRPr="00606A12" w:rsidRDefault="00606A12" w:rsidP="00606A12">
            <w:pPr>
              <w:spacing w:after="0" w:line="240" w:lineRule="auto"/>
              <w:jc w:val="center"/>
              <w:rPr>
                <w:rFonts w:eastAsia="Times New Roman" w:cstheme="minorHAnsi"/>
                <w:b/>
                <w:bCs/>
                <w:sz w:val="20"/>
                <w:szCs w:val="20"/>
                <w:lang w:bidi="ar-SA"/>
              </w:rPr>
            </w:pPr>
            <w:r w:rsidRPr="00606A12">
              <w:rPr>
                <w:rFonts w:eastAsia="Times New Roman" w:cstheme="minorHAnsi"/>
                <w:b/>
                <w:bCs/>
                <w:sz w:val="20"/>
                <w:szCs w:val="20"/>
                <w:lang w:bidi="ar-SA"/>
              </w:rPr>
              <w:t>Country</w:t>
            </w:r>
          </w:p>
        </w:tc>
        <w:tc>
          <w:tcPr>
            <w:tcW w:w="4170"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09971FD0" w14:textId="77777777" w:rsidR="00606A12" w:rsidRPr="00606A12" w:rsidRDefault="00606A12" w:rsidP="00606A12">
            <w:pPr>
              <w:spacing w:after="0" w:line="240" w:lineRule="auto"/>
              <w:jc w:val="center"/>
              <w:rPr>
                <w:rFonts w:eastAsia="Times New Roman" w:cstheme="minorHAnsi"/>
                <w:b/>
                <w:bCs/>
                <w:sz w:val="20"/>
                <w:szCs w:val="20"/>
                <w:lang w:bidi="ar-SA"/>
              </w:rPr>
            </w:pPr>
            <w:r w:rsidRPr="00606A12">
              <w:rPr>
                <w:rFonts w:eastAsia="Times New Roman" w:cstheme="minorHAnsi"/>
                <w:b/>
                <w:bCs/>
                <w:sz w:val="20"/>
                <w:szCs w:val="20"/>
                <w:lang w:bidi="ar-SA"/>
              </w:rPr>
              <w:t> </w:t>
            </w:r>
          </w:p>
        </w:tc>
      </w:tr>
      <w:tr w:rsidR="00606A12" w:rsidRPr="00606A12" w14:paraId="53A50395" w14:textId="77777777" w:rsidTr="00606A12">
        <w:trPr>
          <w:trHeight w:val="390"/>
        </w:trPr>
        <w:tc>
          <w:tcPr>
            <w:tcW w:w="830" w:type="pct"/>
            <w:tcBorders>
              <w:top w:val="nil"/>
              <w:left w:val="single" w:sz="8" w:space="0" w:color="auto"/>
              <w:bottom w:val="single" w:sz="8" w:space="0" w:color="auto"/>
              <w:right w:val="single" w:sz="8" w:space="0" w:color="auto"/>
            </w:tcBorders>
            <w:shd w:val="clear" w:color="auto" w:fill="auto"/>
            <w:noWrap/>
            <w:vAlign w:val="bottom"/>
            <w:hideMark/>
          </w:tcPr>
          <w:p w14:paraId="38662283" w14:textId="77777777" w:rsidR="00606A12" w:rsidRPr="00606A12" w:rsidRDefault="00606A12" w:rsidP="00606A12">
            <w:pPr>
              <w:spacing w:after="0" w:line="240" w:lineRule="auto"/>
              <w:jc w:val="center"/>
              <w:rPr>
                <w:rFonts w:eastAsia="Times New Roman" w:cstheme="minorHAnsi"/>
                <w:b/>
                <w:bCs/>
                <w:sz w:val="20"/>
                <w:szCs w:val="20"/>
                <w:lang w:bidi="ar-SA"/>
              </w:rPr>
            </w:pPr>
            <w:r w:rsidRPr="00606A12">
              <w:rPr>
                <w:rFonts w:eastAsia="Times New Roman" w:cstheme="minorHAnsi"/>
                <w:b/>
                <w:bCs/>
                <w:sz w:val="20"/>
                <w:szCs w:val="20"/>
                <w:lang w:bidi="ar-SA"/>
              </w:rPr>
              <w:t>GEF Agency</w:t>
            </w:r>
          </w:p>
        </w:tc>
        <w:tc>
          <w:tcPr>
            <w:tcW w:w="4170"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4146C94A" w14:textId="77777777" w:rsidR="00606A12" w:rsidRPr="00606A12" w:rsidRDefault="00606A12" w:rsidP="00606A12">
            <w:pPr>
              <w:spacing w:after="0" w:line="240" w:lineRule="auto"/>
              <w:jc w:val="center"/>
              <w:rPr>
                <w:rFonts w:eastAsia="Times New Roman" w:cstheme="minorHAnsi"/>
                <w:b/>
                <w:bCs/>
                <w:sz w:val="20"/>
                <w:szCs w:val="20"/>
                <w:lang w:bidi="ar-SA"/>
              </w:rPr>
            </w:pPr>
            <w:r w:rsidRPr="00606A12">
              <w:rPr>
                <w:rFonts w:eastAsia="Times New Roman" w:cstheme="minorHAnsi"/>
                <w:b/>
                <w:bCs/>
                <w:sz w:val="20"/>
                <w:szCs w:val="20"/>
                <w:lang w:bidi="ar-SA"/>
              </w:rPr>
              <w:t> </w:t>
            </w:r>
          </w:p>
        </w:tc>
      </w:tr>
      <w:tr w:rsidR="00606A12" w:rsidRPr="00606A12" w14:paraId="6DFF85DF" w14:textId="77777777" w:rsidTr="00606A12">
        <w:trPr>
          <w:trHeight w:val="390"/>
        </w:trPr>
        <w:tc>
          <w:tcPr>
            <w:tcW w:w="830" w:type="pct"/>
            <w:tcBorders>
              <w:top w:val="nil"/>
              <w:left w:val="single" w:sz="8" w:space="0" w:color="auto"/>
              <w:bottom w:val="single" w:sz="8" w:space="0" w:color="auto"/>
              <w:right w:val="single" w:sz="8" w:space="0" w:color="auto"/>
            </w:tcBorders>
            <w:shd w:val="clear" w:color="auto" w:fill="auto"/>
            <w:noWrap/>
            <w:vAlign w:val="bottom"/>
            <w:hideMark/>
          </w:tcPr>
          <w:p w14:paraId="7C8753F3" w14:textId="77777777" w:rsidR="00606A12" w:rsidRPr="00606A12" w:rsidRDefault="00606A12" w:rsidP="00606A12">
            <w:pPr>
              <w:spacing w:after="0" w:line="240" w:lineRule="auto"/>
              <w:jc w:val="center"/>
              <w:rPr>
                <w:rFonts w:eastAsia="Times New Roman" w:cstheme="minorHAnsi"/>
                <w:b/>
                <w:bCs/>
                <w:sz w:val="20"/>
                <w:szCs w:val="20"/>
                <w:lang w:bidi="ar-SA"/>
              </w:rPr>
            </w:pPr>
            <w:r w:rsidRPr="00606A12">
              <w:rPr>
                <w:rFonts w:eastAsia="Times New Roman" w:cstheme="minorHAnsi"/>
                <w:b/>
                <w:bCs/>
                <w:sz w:val="20"/>
                <w:szCs w:val="20"/>
                <w:lang w:bidi="ar-SA"/>
              </w:rPr>
              <w:t>GEF PMIS #</w:t>
            </w:r>
          </w:p>
        </w:tc>
        <w:tc>
          <w:tcPr>
            <w:tcW w:w="4170"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6EAC95E6" w14:textId="77777777" w:rsidR="00606A12" w:rsidRPr="00606A12" w:rsidRDefault="00606A12" w:rsidP="00606A12">
            <w:pPr>
              <w:spacing w:after="0" w:line="240" w:lineRule="auto"/>
              <w:jc w:val="center"/>
              <w:rPr>
                <w:rFonts w:eastAsia="Times New Roman" w:cstheme="minorHAnsi"/>
                <w:b/>
                <w:bCs/>
                <w:sz w:val="20"/>
                <w:szCs w:val="20"/>
                <w:lang w:bidi="ar-SA"/>
              </w:rPr>
            </w:pPr>
            <w:r w:rsidRPr="00606A12">
              <w:rPr>
                <w:rFonts w:eastAsia="Times New Roman" w:cstheme="minorHAnsi"/>
                <w:b/>
                <w:bCs/>
                <w:sz w:val="20"/>
                <w:szCs w:val="20"/>
                <w:lang w:bidi="ar-SA"/>
              </w:rPr>
              <w:t> </w:t>
            </w:r>
          </w:p>
        </w:tc>
      </w:tr>
      <w:tr w:rsidR="00606A12" w:rsidRPr="00606A12" w14:paraId="6A65DA21" w14:textId="77777777" w:rsidTr="00095C6F">
        <w:trPr>
          <w:trHeight w:val="375"/>
        </w:trPr>
        <w:tc>
          <w:tcPr>
            <w:tcW w:w="3207" w:type="pct"/>
            <w:gridSpan w:val="5"/>
            <w:tcBorders>
              <w:top w:val="nil"/>
              <w:left w:val="nil"/>
              <w:bottom w:val="nil"/>
              <w:right w:val="nil"/>
            </w:tcBorders>
            <w:shd w:val="clear" w:color="auto" w:fill="auto"/>
            <w:noWrap/>
            <w:vAlign w:val="bottom"/>
            <w:hideMark/>
          </w:tcPr>
          <w:p w14:paraId="7138015C" w14:textId="77777777" w:rsidR="00606A12" w:rsidRPr="00606A12" w:rsidRDefault="00606A12" w:rsidP="00606A12">
            <w:pPr>
              <w:spacing w:after="0" w:line="240" w:lineRule="auto"/>
              <w:rPr>
                <w:rFonts w:eastAsia="Times New Roman" w:cstheme="minorHAnsi"/>
                <w:b/>
                <w:bCs/>
                <w:color w:val="000000"/>
                <w:sz w:val="20"/>
                <w:szCs w:val="20"/>
                <w:lang w:bidi="ar-SA"/>
              </w:rPr>
            </w:pPr>
            <w:r w:rsidRPr="00606A12">
              <w:rPr>
                <w:rFonts w:eastAsia="Times New Roman" w:cstheme="minorHAnsi"/>
                <w:b/>
                <w:bCs/>
                <w:color w:val="000000"/>
                <w:sz w:val="20"/>
                <w:szCs w:val="20"/>
                <w:lang w:bidi="ar-SA"/>
              </w:rPr>
              <w:t>[New tools and regulatory, and economic approaches]</w:t>
            </w:r>
          </w:p>
        </w:tc>
        <w:tc>
          <w:tcPr>
            <w:tcW w:w="1793" w:type="pct"/>
            <w:tcBorders>
              <w:top w:val="nil"/>
              <w:left w:val="nil"/>
              <w:bottom w:val="nil"/>
              <w:right w:val="nil"/>
            </w:tcBorders>
            <w:shd w:val="clear" w:color="auto" w:fill="auto"/>
            <w:noWrap/>
            <w:vAlign w:val="bottom"/>
            <w:hideMark/>
          </w:tcPr>
          <w:p w14:paraId="0C99267A" w14:textId="77777777" w:rsidR="00606A12" w:rsidRPr="00606A12" w:rsidRDefault="00606A12" w:rsidP="00606A12">
            <w:pPr>
              <w:spacing w:after="0" w:line="240" w:lineRule="auto"/>
              <w:rPr>
                <w:rFonts w:eastAsia="Times New Roman" w:cstheme="minorHAnsi"/>
                <w:b/>
                <w:bCs/>
                <w:color w:val="000000"/>
                <w:sz w:val="20"/>
                <w:szCs w:val="20"/>
                <w:lang w:bidi="ar-SA"/>
              </w:rPr>
            </w:pPr>
          </w:p>
        </w:tc>
      </w:tr>
      <w:tr w:rsidR="00095C6F" w:rsidRPr="00606A12" w14:paraId="561688D6" w14:textId="77777777" w:rsidTr="00095C6F">
        <w:trPr>
          <w:trHeight w:val="870"/>
        </w:trPr>
        <w:tc>
          <w:tcPr>
            <w:tcW w:w="170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06E0C96" w14:textId="77777777" w:rsidR="00606A12" w:rsidRPr="00606A12" w:rsidRDefault="00606A12" w:rsidP="00606A12">
            <w:pPr>
              <w:spacing w:after="0" w:line="240" w:lineRule="auto"/>
              <w:jc w:val="center"/>
              <w:rPr>
                <w:rFonts w:eastAsia="Times New Roman" w:cstheme="minorHAnsi"/>
                <w:b/>
                <w:bCs/>
                <w:color w:val="000000"/>
                <w:sz w:val="20"/>
                <w:szCs w:val="20"/>
                <w:lang w:bidi="ar-SA"/>
              </w:rPr>
            </w:pPr>
            <w:r w:rsidRPr="00606A12">
              <w:rPr>
                <w:rFonts w:eastAsia="Times New Roman" w:cstheme="minorHAnsi"/>
                <w:b/>
                <w:bCs/>
                <w:color w:val="000000"/>
                <w:sz w:val="20"/>
                <w:szCs w:val="20"/>
                <w:lang w:bidi="ar-SA"/>
              </w:rPr>
              <w:t>Indicators</w:t>
            </w:r>
          </w:p>
        </w:tc>
        <w:tc>
          <w:tcPr>
            <w:tcW w:w="532" w:type="pct"/>
            <w:tcBorders>
              <w:top w:val="single" w:sz="4" w:space="0" w:color="auto"/>
              <w:left w:val="nil"/>
              <w:bottom w:val="single" w:sz="4" w:space="0" w:color="auto"/>
              <w:right w:val="single" w:sz="4" w:space="0" w:color="auto"/>
            </w:tcBorders>
            <w:shd w:val="clear" w:color="000000" w:fill="D9D9D9"/>
            <w:vAlign w:val="center"/>
            <w:hideMark/>
          </w:tcPr>
          <w:p w14:paraId="78E5C635" w14:textId="77777777" w:rsidR="00606A12" w:rsidRPr="00606A12" w:rsidRDefault="00606A12" w:rsidP="00606A12">
            <w:pPr>
              <w:spacing w:after="0" w:line="240" w:lineRule="auto"/>
              <w:jc w:val="center"/>
              <w:rPr>
                <w:rFonts w:eastAsia="Times New Roman" w:cstheme="minorHAnsi"/>
                <w:b/>
                <w:bCs/>
                <w:color w:val="000000"/>
                <w:sz w:val="20"/>
                <w:szCs w:val="20"/>
                <w:lang w:bidi="ar-SA"/>
              </w:rPr>
            </w:pPr>
            <w:r w:rsidRPr="00606A12">
              <w:rPr>
                <w:rFonts w:eastAsia="Times New Roman" w:cstheme="minorHAnsi"/>
                <w:b/>
                <w:bCs/>
                <w:color w:val="000000"/>
                <w:sz w:val="20"/>
                <w:szCs w:val="20"/>
                <w:lang w:bidi="ar-SA"/>
              </w:rPr>
              <w:t>Number</w:t>
            </w:r>
          </w:p>
        </w:tc>
        <w:tc>
          <w:tcPr>
            <w:tcW w:w="2767" w:type="pct"/>
            <w:gridSpan w:val="3"/>
            <w:tcBorders>
              <w:top w:val="single" w:sz="4" w:space="0" w:color="auto"/>
              <w:left w:val="nil"/>
              <w:bottom w:val="single" w:sz="4" w:space="0" w:color="auto"/>
              <w:right w:val="single" w:sz="4" w:space="0" w:color="auto"/>
            </w:tcBorders>
            <w:shd w:val="clear" w:color="000000" w:fill="D9D9D9"/>
            <w:vAlign w:val="center"/>
            <w:hideMark/>
          </w:tcPr>
          <w:p w14:paraId="21F1D8CA" w14:textId="61B740D1" w:rsidR="00606A12" w:rsidRPr="00606A12" w:rsidRDefault="00606A12" w:rsidP="00606A12">
            <w:pPr>
              <w:spacing w:after="0" w:line="240" w:lineRule="auto"/>
              <w:jc w:val="center"/>
              <w:rPr>
                <w:rFonts w:eastAsia="Times New Roman" w:cstheme="minorHAnsi"/>
                <w:b/>
                <w:bCs/>
                <w:color w:val="000000"/>
                <w:sz w:val="20"/>
                <w:szCs w:val="20"/>
                <w:lang w:bidi="ar-SA"/>
              </w:rPr>
            </w:pPr>
            <w:r w:rsidRPr="00606A12">
              <w:rPr>
                <w:rFonts w:eastAsia="Times New Roman" w:cstheme="minorHAnsi"/>
                <w:b/>
                <w:bCs/>
                <w:color w:val="000000"/>
                <w:sz w:val="20"/>
                <w:szCs w:val="20"/>
                <w:lang w:bidi="ar-SA"/>
              </w:rPr>
              <w:t>Qualitative comments from the project team or the GEF Agency</w:t>
            </w:r>
          </w:p>
        </w:tc>
      </w:tr>
      <w:tr w:rsidR="00606A12" w:rsidRPr="00606A12" w14:paraId="629C2C62" w14:textId="77777777" w:rsidTr="00095C6F">
        <w:trPr>
          <w:trHeight w:val="728"/>
        </w:trPr>
        <w:tc>
          <w:tcPr>
            <w:tcW w:w="17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398C5036" w14:textId="77777777" w:rsidR="00606A12" w:rsidRPr="00606A12" w:rsidRDefault="00606A12" w:rsidP="00606A12">
            <w:pPr>
              <w:spacing w:after="0" w:line="240" w:lineRule="auto"/>
              <w:rPr>
                <w:rFonts w:eastAsia="Times New Roman" w:cstheme="minorHAnsi"/>
                <w:color w:val="000000"/>
                <w:sz w:val="20"/>
                <w:szCs w:val="20"/>
                <w:lang w:bidi="ar-SA"/>
              </w:rPr>
            </w:pPr>
            <w:r w:rsidRPr="00606A12">
              <w:rPr>
                <w:rFonts w:eastAsia="Times New Roman" w:cstheme="minorHAnsi"/>
                <w:color w:val="000000"/>
                <w:sz w:val="20"/>
                <w:szCs w:val="20"/>
                <w:lang w:bidi="ar-SA"/>
              </w:rPr>
              <w:t>Indicator 1.1.1: Number of demonstrated tools for ODS phase out</w:t>
            </w:r>
            <w:r w:rsidRPr="00606A12">
              <w:rPr>
                <w:rFonts w:eastAsia="Times New Roman" w:cstheme="minorHAnsi"/>
                <w:color w:val="000000"/>
                <w:sz w:val="20"/>
                <w:szCs w:val="20"/>
                <w:vertAlign w:val="superscript"/>
                <w:lang w:bidi="ar-SA"/>
              </w:rPr>
              <w:t>1</w:t>
            </w:r>
          </w:p>
        </w:tc>
        <w:tc>
          <w:tcPr>
            <w:tcW w:w="532" w:type="pct"/>
            <w:tcBorders>
              <w:top w:val="nil"/>
              <w:left w:val="nil"/>
              <w:bottom w:val="single" w:sz="4" w:space="0" w:color="auto"/>
              <w:right w:val="single" w:sz="4" w:space="0" w:color="auto"/>
            </w:tcBorders>
            <w:shd w:val="clear" w:color="auto" w:fill="auto"/>
            <w:hideMark/>
          </w:tcPr>
          <w:p w14:paraId="56EDF29F" w14:textId="77777777" w:rsidR="00606A12" w:rsidRPr="00606A12" w:rsidRDefault="00606A12" w:rsidP="00606A12">
            <w:pPr>
              <w:spacing w:after="0" w:line="240" w:lineRule="auto"/>
              <w:rPr>
                <w:rFonts w:eastAsia="Times New Roman" w:cstheme="minorHAnsi"/>
                <w:color w:val="000000"/>
                <w:sz w:val="20"/>
                <w:szCs w:val="20"/>
                <w:lang w:bidi="ar-SA"/>
              </w:rPr>
            </w:pPr>
            <w:r w:rsidRPr="00606A12">
              <w:rPr>
                <w:rFonts w:eastAsia="Times New Roman" w:cstheme="minorHAnsi"/>
                <w:color w:val="000000"/>
                <w:sz w:val="20"/>
                <w:szCs w:val="20"/>
                <w:lang w:bidi="ar-SA"/>
              </w:rPr>
              <w:t> </w:t>
            </w:r>
          </w:p>
        </w:tc>
        <w:tc>
          <w:tcPr>
            <w:tcW w:w="2767" w:type="pct"/>
            <w:gridSpan w:val="3"/>
            <w:tcBorders>
              <w:top w:val="single" w:sz="4" w:space="0" w:color="auto"/>
              <w:left w:val="nil"/>
              <w:bottom w:val="single" w:sz="4" w:space="0" w:color="auto"/>
              <w:right w:val="single" w:sz="4" w:space="0" w:color="auto"/>
            </w:tcBorders>
            <w:shd w:val="clear" w:color="auto" w:fill="auto"/>
            <w:noWrap/>
            <w:hideMark/>
          </w:tcPr>
          <w:p w14:paraId="018190C9" w14:textId="77777777" w:rsidR="00606A12" w:rsidRPr="00606A12" w:rsidRDefault="00606A12" w:rsidP="00606A12">
            <w:pPr>
              <w:spacing w:after="0" w:line="240" w:lineRule="auto"/>
              <w:jc w:val="center"/>
              <w:rPr>
                <w:rFonts w:eastAsia="Times New Roman" w:cstheme="minorHAnsi"/>
                <w:color w:val="000000"/>
                <w:sz w:val="20"/>
                <w:szCs w:val="20"/>
                <w:lang w:bidi="ar-SA"/>
              </w:rPr>
            </w:pPr>
            <w:r w:rsidRPr="00606A12">
              <w:rPr>
                <w:rFonts w:eastAsia="Times New Roman" w:cstheme="minorHAnsi"/>
                <w:color w:val="000000"/>
                <w:sz w:val="20"/>
                <w:szCs w:val="20"/>
                <w:lang w:bidi="ar-SA"/>
              </w:rPr>
              <w:t> </w:t>
            </w:r>
          </w:p>
        </w:tc>
      </w:tr>
      <w:tr w:rsidR="00606A12" w:rsidRPr="00606A12" w14:paraId="3E11E75C" w14:textId="77777777" w:rsidTr="00095C6F">
        <w:trPr>
          <w:trHeight w:val="782"/>
        </w:trPr>
        <w:tc>
          <w:tcPr>
            <w:tcW w:w="17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1C5FA2BE" w14:textId="77777777" w:rsidR="00606A12" w:rsidRPr="00606A12" w:rsidRDefault="00606A12" w:rsidP="00606A12">
            <w:pPr>
              <w:spacing w:after="0" w:line="240" w:lineRule="auto"/>
              <w:rPr>
                <w:rFonts w:eastAsia="Times New Roman" w:cstheme="minorHAnsi"/>
                <w:color w:val="000000"/>
                <w:sz w:val="20"/>
                <w:szCs w:val="20"/>
                <w:lang w:bidi="ar-SA"/>
              </w:rPr>
            </w:pPr>
            <w:r w:rsidRPr="00606A12">
              <w:rPr>
                <w:rFonts w:eastAsia="Times New Roman" w:cstheme="minorHAnsi"/>
                <w:color w:val="000000"/>
                <w:sz w:val="20"/>
                <w:szCs w:val="20"/>
                <w:lang w:bidi="ar-SA"/>
              </w:rPr>
              <w:t>Indicator 1.1.2: Prioritized list of actions for reducing/eliminating ODS</w:t>
            </w:r>
          </w:p>
        </w:tc>
        <w:tc>
          <w:tcPr>
            <w:tcW w:w="532" w:type="pct"/>
            <w:tcBorders>
              <w:top w:val="nil"/>
              <w:left w:val="nil"/>
              <w:bottom w:val="single" w:sz="4" w:space="0" w:color="auto"/>
              <w:right w:val="single" w:sz="4" w:space="0" w:color="auto"/>
            </w:tcBorders>
            <w:shd w:val="clear" w:color="auto" w:fill="auto"/>
            <w:vAlign w:val="center"/>
            <w:hideMark/>
          </w:tcPr>
          <w:p w14:paraId="1BF30A9F" w14:textId="77777777" w:rsidR="00606A12" w:rsidRPr="00606A12" w:rsidRDefault="00606A12" w:rsidP="00606A12">
            <w:pPr>
              <w:spacing w:after="0" w:line="240" w:lineRule="auto"/>
              <w:jc w:val="center"/>
              <w:rPr>
                <w:rFonts w:eastAsia="Times New Roman" w:cstheme="minorHAnsi"/>
                <w:color w:val="000000"/>
                <w:sz w:val="20"/>
                <w:szCs w:val="20"/>
                <w:lang w:bidi="ar-SA"/>
              </w:rPr>
            </w:pPr>
            <w:r w:rsidRPr="00606A12">
              <w:rPr>
                <w:rFonts w:eastAsia="Times New Roman" w:cstheme="minorHAnsi"/>
                <w:color w:val="000000"/>
                <w:sz w:val="20"/>
                <w:szCs w:val="20"/>
                <w:lang w:bidi="ar-SA"/>
              </w:rPr>
              <w:t>NA</w:t>
            </w:r>
          </w:p>
        </w:tc>
        <w:tc>
          <w:tcPr>
            <w:tcW w:w="2767" w:type="pct"/>
            <w:gridSpan w:val="3"/>
            <w:tcBorders>
              <w:top w:val="single" w:sz="4" w:space="0" w:color="auto"/>
              <w:left w:val="nil"/>
              <w:bottom w:val="single" w:sz="4" w:space="0" w:color="auto"/>
              <w:right w:val="single" w:sz="4" w:space="0" w:color="auto"/>
            </w:tcBorders>
            <w:shd w:val="clear" w:color="auto" w:fill="auto"/>
            <w:noWrap/>
            <w:hideMark/>
          </w:tcPr>
          <w:p w14:paraId="55EB470F" w14:textId="77777777" w:rsidR="00606A12" w:rsidRPr="00606A12" w:rsidRDefault="00606A12" w:rsidP="00606A12">
            <w:pPr>
              <w:spacing w:after="0" w:line="240" w:lineRule="auto"/>
              <w:jc w:val="center"/>
              <w:rPr>
                <w:rFonts w:eastAsia="Times New Roman" w:cstheme="minorHAnsi"/>
                <w:color w:val="000000"/>
                <w:sz w:val="20"/>
                <w:szCs w:val="20"/>
                <w:lang w:bidi="ar-SA"/>
              </w:rPr>
            </w:pPr>
            <w:r w:rsidRPr="00606A12">
              <w:rPr>
                <w:rFonts w:eastAsia="Times New Roman" w:cstheme="minorHAnsi"/>
                <w:color w:val="000000"/>
                <w:sz w:val="20"/>
                <w:szCs w:val="20"/>
                <w:lang w:bidi="ar-SA"/>
              </w:rPr>
              <w:t> </w:t>
            </w:r>
          </w:p>
        </w:tc>
      </w:tr>
      <w:tr w:rsidR="00606A12" w:rsidRPr="00606A12" w14:paraId="2DCBF33E" w14:textId="77777777" w:rsidTr="00095C6F">
        <w:trPr>
          <w:trHeight w:val="620"/>
        </w:trPr>
        <w:tc>
          <w:tcPr>
            <w:tcW w:w="17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4FE59740" w14:textId="77777777" w:rsidR="00606A12" w:rsidRPr="00606A12" w:rsidRDefault="00606A12" w:rsidP="00606A12">
            <w:pPr>
              <w:spacing w:after="0" w:line="240" w:lineRule="auto"/>
              <w:rPr>
                <w:rFonts w:eastAsia="Times New Roman" w:cstheme="minorHAnsi"/>
                <w:color w:val="000000"/>
                <w:sz w:val="20"/>
                <w:szCs w:val="20"/>
                <w:lang w:bidi="ar-SA"/>
              </w:rPr>
            </w:pPr>
            <w:r w:rsidRPr="00606A12">
              <w:rPr>
                <w:rFonts w:eastAsia="Times New Roman" w:cstheme="minorHAnsi"/>
                <w:color w:val="000000"/>
                <w:sz w:val="20"/>
                <w:szCs w:val="20"/>
                <w:lang w:bidi="ar-SA"/>
              </w:rPr>
              <w:t>Indicator 1.2: Number of technologies demonstrated, deployed and transferred</w:t>
            </w:r>
          </w:p>
        </w:tc>
        <w:tc>
          <w:tcPr>
            <w:tcW w:w="532" w:type="pct"/>
            <w:tcBorders>
              <w:top w:val="nil"/>
              <w:left w:val="nil"/>
              <w:bottom w:val="single" w:sz="4" w:space="0" w:color="auto"/>
              <w:right w:val="single" w:sz="4" w:space="0" w:color="auto"/>
            </w:tcBorders>
            <w:shd w:val="clear" w:color="auto" w:fill="auto"/>
            <w:hideMark/>
          </w:tcPr>
          <w:p w14:paraId="35E8627E" w14:textId="77777777" w:rsidR="00606A12" w:rsidRPr="00606A12" w:rsidRDefault="00606A12" w:rsidP="00606A12">
            <w:pPr>
              <w:spacing w:after="0" w:line="240" w:lineRule="auto"/>
              <w:rPr>
                <w:rFonts w:eastAsia="Times New Roman" w:cstheme="minorHAnsi"/>
                <w:color w:val="000000"/>
                <w:sz w:val="20"/>
                <w:szCs w:val="20"/>
                <w:lang w:bidi="ar-SA"/>
              </w:rPr>
            </w:pPr>
            <w:r w:rsidRPr="00606A12">
              <w:rPr>
                <w:rFonts w:eastAsia="Times New Roman" w:cstheme="minorHAnsi"/>
                <w:color w:val="000000"/>
                <w:sz w:val="20"/>
                <w:szCs w:val="20"/>
                <w:lang w:bidi="ar-SA"/>
              </w:rPr>
              <w:t> </w:t>
            </w:r>
          </w:p>
        </w:tc>
        <w:tc>
          <w:tcPr>
            <w:tcW w:w="2767" w:type="pct"/>
            <w:gridSpan w:val="3"/>
            <w:tcBorders>
              <w:top w:val="single" w:sz="4" w:space="0" w:color="auto"/>
              <w:left w:val="nil"/>
              <w:bottom w:val="single" w:sz="4" w:space="0" w:color="auto"/>
              <w:right w:val="single" w:sz="4" w:space="0" w:color="auto"/>
            </w:tcBorders>
            <w:shd w:val="clear" w:color="auto" w:fill="auto"/>
            <w:noWrap/>
            <w:hideMark/>
          </w:tcPr>
          <w:p w14:paraId="2F17595C" w14:textId="77777777" w:rsidR="00606A12" w:rsidRPr="00606A12" w:rsidRDefault="00606A12" w:rsidP="00606A12">
            <w:pPr>
              <w:spacing w:after="0" w:line="240" w:lineRule="auto"/>
              <w:jc w:val="center"/>
              <w:rPr>
                <w:rFonts w:eastAsia="Times New Roman" w:cstheme="minorHAnsi"/>
                <w:color w:val="000000"/>
                <w:sz w:val="20"/>
                <w:szCs w:val="20"/>
                <w:lang w:bidi="ar-SA"/>
              </w:rPr>
            </w:pPr>
            <w:r w:rsidRPr="00606A12">
              <w:rPr>
                <w:rFonts w:eastAsia="Times New Roman" w:cstheme="minorHAnsi"/>
                <w:color w:val="000000"/>
                <w:sz w:val="20"/>
                <w:szCs w:val="20"/>
                <w:lang w:bidi="ar-SA"/>
              </w:rPr>
              <w:t> </w:t>
            </w:r>
          </w:p>
        </w:tc>
      </w:tr>
      <w:tr w:rsidR="00095C6F" w:rsidRPr="00606A12" w14:paraId="38B6CD72" w14:textId="77777777" w:rsidTr="00095C6F">
        <w:trPr>
          <w:trHeight w:val="390"/>
        </w:trPr>
        <w:tc>
          <w:tcPr>
            <w:tcW w:w="1701" w:type="pct"/>
            <w:gridSpan w:val="2"/>
            <w:tcBorders>
              <w:top w:val="nil"/>
              <w:left w:val="nil"/>
              <w:bottom w:val="nil"/>
              <w:right w:val="nil"/>
            </w:tcBorders>
            <w:shd w:val="clear" w:color="auto" w:fill="auto"/>
            <w:noWrap/>
            <w:vAlign w:val="bottom"/>
            <w:hideMark/>
          </w:tcPr>
          <w:p w14:paraId="4B9D316A" w14:textId="447C20F4" w:rsidR="00606A12" w:rsidRPr="00606A12" w:rsidRDefault="00606A12" w:rsidP="00606A12">
            <w:pPr>
              <w:spacing w:after="0" w:line="240" w:lineRule="auto"/>
              <w:rPr>
                <w:rFonts w:eastAsia="Times New Roman" w:cstheme="minorHAnsi"/>
                <w:b/>
                <w:bCs/>
                <w:color w:val="000000"/>
                <w:sz w:val="20"/>
                <w:szCs w:val="20"/>
                <w:lang w:bidi="ar-SA"/>
              </w:rPr>
            </w:pPr>
            <w:r w:rsidRPr="00606A12">
              <w:rPr>
                <w:rFonts w:eastAsia="Times New Roman" w:cstheme="minorHAnsi"/>
                <w:b/>
                <w:bCs/>
                <w:color w:val="000000"/>
                <w:sz w:val="20"/>
                <w:szCs w:val="20"/>
                <w:lang w:bidi="ar-SA"/>
              </w:rPr>
              <w:t>[Phase out</w:t>
            </w:r>
            <w:r>
              <w:rPr>
                <w:rFonts w:eastAsia="Times New Roman" w:cstheme="minorHAnsi"/>
                <w:b/>
                <w:bCs/>
                <w:color w:val="000000"/>
                <w:sz w:val="20"/>
                <w:szCs w:val="20"/>
                <w:lang w:bidi="ar-SA"/>
              </w:rPr>
              <w:t xml:space="preserve"> </w:t>
            </w:r>
            <w:r w:rsidRPr="00606A12">
              <w:rPr>
                <w:rFonts w:eastAsia="Times New Roman" w:cstheme="minorHAnsi"/>
                <w:b/>
                <w:bCs/>
                <w:color w:val="000000"/>
                <w:sz w:val="20"/>
                <w:szCs w:val="20"/>
                <w:lang w:bidi="ar-SA"/>
              </w:rPr>
              <w:t>of ODS]</w:t>
            </w:r>
          </w:p>
        </w:tc>
        <w:tc>
          <w:tcPr>
            <w:tcW w:w="532" w:type="pct"/>
            <w:tcBorders>
              <w:top w:val="nil"/>
              <w:left w:val="nil"/>
              <w:bottom w:val="nil"/>
              <w:right w:val="nil"/>
            </w:tcBorders>
            <w:shd w:val="clear" w:color="auto" w:fill="auto"/>
            <w:noWrap/>
            <w:vAlign w:val="bottom"/>
            <w:hideMark/>
          </w:tcPr>
          <w:p w14:paraId="687D86B9" w14:textId="77777777" w:rsidR="00606A12" w:rsidRPr="00606A12" w:rsidRDefault="00606A12" w:rsidP="00606A12">
            <w:pPr>
              <w:spacing w:after="0" w:line="240" w:lineRule="auto"/>
              <w:rPr>
                <w:rFonts w:eastAsia="Times New Roman" w:cstheme="minorHAnsi"/>
                <w:b/>
                <w:bCs/>
                <w:color w:val="000000"/>
                <w:sz w:val="20"/>
                <w:szCs w:val="20"/>
                <w:lang w:bidi="ar-SA"/>
              </w:rPr>
            </w:pPr>
          </w:p>
        </w:tc>
        <w:tc>
          <w:tcPr>
            <w:tcW w:w="516" w:type="pct"/>
            <w:tcBorders>
              <w:top w:val="nil"/>
              <w:left w:val="nil"/>
              <w:bottom w:val="nil"/>
              <w:right w:val="nil"/>
            </w:tcBorders>
            <w:shd w:val="clear" w:color="auto" w:fill="auto"/>
            <w:noWrap/>
            <w:vAlign w:val="bottom"/>
            <w:hideMark/>
          </w:tcPr>
          <w:p w14:paraId="32A65188" w14:textId="77777777" w:rsidR="00606A12" w:rsidRPr="00606A12" w:rsidRDefault="00606A12" w:rsidP="00606A12">
            <w:pPr>
              <w:spacing w:after="0" w:line="240" w:lineRule="auto"/>
              <w:rPr>
                <w:rFonts w:eastAsia="Times New Roman" w:cstheme="minorHAnsi"/>
                <w:sz w:val="20"/>
                <w:szCs w:val="20"/>
                <w:lang w:bidi="ar-SA"/>
              </w:rPr>
            </w:pPr>
          </w:p>
        </w:tc>
        <w:tc>
          <w:tcPr>
            <w:tcW w:w="458" w:type="pct"/>
            <w:tcBorders>
              <w:top w:val="nil"/>
              <w:left w:val="nil"/>
              <w:bottom w:val="nil"/>
              <w:right w:val="nil"/>
            </w:tcBorders>
            <w:shd w:val="clear" w:color="auto" w:fill="auto"/>
            <w:noWrap/>
            <w:vAlign w:val="bottom"/>
            <w:hideMark/>
          </w:tcPr>
          <w:p w14:paraId="31929E95" w14:textId="77777777" w:rsidR="00606A12" w:rsidRPr="00606A12" w:rsidRDefault="00606A12" w:rsidP="00606A12">
            <w:pPr>
              <w:spacing w:after="0" w:line="240" w:lineRule="auto"/>
              <w:rPr>
                <w:rFonts w:eastAsia="Times New Roman" w:cstheme="minorHAnsi"/>
                <w:sz w:val="20"/>
                <w:szCs w:val="20"/>
                <w:lang w:bidi="ar-SA"/>
              </w:rPr>
            </w:pPr>
          </w:p>
        </w:tc>
        <w:tc>
          <w:tcPr>
            <w:tcW w:w="1793" w:type="pct"/>
            <w:tcBorders>
              <w:top w:val="nil"/>
              <w:left w:val="nil"/>
              <w:bottom w:val="nil"/>
              <w:right w:val="nil"/>
            </w:tcBorders>
            <w:shd w:val="clear" w:color="auto" w:fill="auto"/>
            <w:noWrap/>
            <w:vAlign w:val="bottom"/>
            <w:hideMark/>
          </w:tcPr>
          <w:p w14:paraId="60DA7B3D" w14:textId="77777777" w:rsidR="00606A12" w:rsidRPr="00606A12" w:rsidRDefault="00606A12" w:rsidP="00606A12">
            <w:pPr>
              <w:spacing w:after="0" w:line="240" w:lineRule="auto"/>
              <w:rPr>
                <w:rFonts w:eastAsia="Times New Roman" w:cstheme="minorHAnsi"/>
                <w:sz w:val="20"/>
                <w:szCs w:val="20"/>
                <w:lang w:bidi="ar-SA"/>
              </w:rPr>
            </w:pPr>
          </w:p>
        </w:tc>
      </w:tr>
      <w:tr w:rsidR="00606A12" w:rsidRPr="00606A12" w14:paraId="107D487F" w14:textId="77777777" w:rsidTr="00095C6F">
        <w:trPr>
          <w:trHeight w:val="705"/>
        </w:trPr>
        <w:tc>
          <w:tcPr>
            <w:tcW w:w="1701" w:type="pct"/>
            <w:gridSpan w:val="2"/>
            <w:vMerge w:val="restart"/>
            <w:tcBorders>
              <w:top w:val="double" w:sz="6" w:space="0" w:color="auto"/>
              <w:left w:val="double" w:sz="6" w:space="0" w:color="auto"/>
              <w:bottom w:val="single" w:sz="8" w:space="0" w:color="000000"/>
              <w:right w:val="nil"/>
            </w:tcBorders>
            <w:shd w:val="clear" w:color="000000" w:fill="D9D9D9"/>
            <w:vAlign w:val="center"/>
            <w:hideMark/>
          </w:tcPr>
          <w:p w14:paraId="57F452AC" w14:textId="77777777" w:rsidR="00606A12" w:rsidRPr="00606A12" w:rsidRDefault="00606A12" w:rsidP="00606A12">
            <w:pPr>
              <w:spacing w:after="0" w:line="240" w:lineRule="auto"/>
              <w:jc w:val="center"/>
              <w:rPr>
                <w:rFonts w:eastAsia="Times New Roman" w:cstheme="minorHAnsi"/>
                <w:b/>
                <w:bCs/>
                <w:sz w:val="20"/>
                <w:szCs w:val="20"/>
                <w:lang w:bidi="ar-SA"/>
              </w:rPr>
            </w:pPr>
            <w:r w:rsidRPr="00606A12">
              <w:rPr>
                <w:rFonts w:eastAsia="Times New Roman" w:cstheme="minorHAnsi"/>
                <w:b/>
                <w:bCs/>
                <w:sz w:val="20"/>
                <w:szCs w:val="20"/>
                <w:lang w:bidi="ar-SA"/>
              </w:rPr>
              <w:t>Indicators</w:t>
            </w:r>
          </w:p>
        </w:tc>
        <w:tc>
          <w:tcPr>
            <w:tcW w:w="1048" w:type="pct"/>
            <w:gridSpan w:val="2"/>
            <w:tcBorders>
              <w:top w:val="double" w:sz="6" w:space="0" w:color="auto"/>
              <w:left w:val="single" w:sz="8" w:space="0" w:color="auto"/>
              <w:bottom w:val="single" w:sz="4" w:space="0" w:color="auto"/>
              <w:right w:val="single" w:sz="8" w:space="0" w:color="000000"/>
            </w:tcBorders>
            <w:shd w:val="clear" w:color="000000" w:fill="D9D9D9"/>
            <w:vAlign w:val="center"/>
            <w:hideMark/>
          </w:tcPr>
          <w:p w14:paraId="53147C88" w14:textId="77777777" w:rsidR="00606A12" w:rsidRPr="00606A12" w:rsidRDefault="00606A12" w:rsidP="00606A12">
            <w:pPr>
              <w:spacing w:after="0" w:line="240" w:lineRule="auto"/>
              <w:jc w:val="center"/>
              <w:rPr>
                <w:rFonts w:eastAsia="Times New Roman" w:cstheme="minorHAnsi"/>
                <w:b/>
                <w:bCs/>
                <w:sz w:val="20"/>
                <w:szCs w:val="20"/>
                <w:lang w:bidi="ar-SA"/>
              </w:rPr>
            </w:pPr>
            <w:r w:rsidRPr="00606A12">
              <w:rPr>
                <w:rFonts w:eastAsia="Times New Roman" w:cstheme="minorHAnsi"/>
                <w:b/>
                <w:bCs/>
                <w:sz w:val="20"/>
                <w:szCs w:val="20"/>
                <w:lang w:bidi="ar-SA"/>
              </w:rPr>
              <w:t xml:space="preserve">Quantity </w:t>
            </w:r>
            <w:r w:rsidRPr="00606A12">
              <w:rPr>
                <w:rFonts w:eastAsia="Times New Roman" w:cstheme="minorHAnsi"/>
                <w:b/>
                <w:bCs/>
                <w:sz w:val="20"/>
                <w:szCs w:val="20"/>
                <w:lang w:bidi="ar-SA"/>
              </w:rPr>
              <w:br/>
              <w:t>(tons)</w:t>
            </w:r>
          </w:p>
        </w:tc>
        <w:tc>
          <w:tcPr>
            <w:tcW w:w="458" w:type="pct"/>
            <w:vMerge w:val="restart"/>
            <w:tcBorders>
              <w:top w:val="double" w:sz="6" w:space="0" w:color="auto"/>
              <w:left w:val="single" w:sz="8" w:space="0" w:color="auto"/>
              <w:bottom w:val="single" w:sz="8" w:space="0" w:color="000000"/>
              <w:right w:val="nil"/>
            </w:tcBorders>
            <w:shd w:val="clear" w:color="000000" w:fill="D9D9D9"/>
            <w:vAlign w:val="center"/>
            <w:hideMark/>
          </w:tcPr>
          <w:p w14:paraId="53FA4466" w14:textId="77777777" w:rsidR="00606A12" w:rsidRPr="00606A12" w:rsidRDefault="00606A12" w:rsidP="00606A12">
            <w:pPr>
              <w:spacing w:after="0" w:line="240" w:lineRule="auto"/>
              <w:jc w:val="center"/>
              <w:rPr>
                <w:rFonts w:eastAsia="Times New Roman" w:cstheme="minorHAnsi"/>
                <w:b/>
                <w:bCs/>
                <w:sz w:val="20"/>
                <w:szCs w:val="20"/>
                <w:lang w:bidi="ar-SA"/>
              </w:rPr>
            </w:pPr>
            <w:r w:rsidRPr="00606A12">
              <w:rPr>
                <w:rFonts w:eastAsia="Times New Roman" w:cstheme="minorHAnsi"/>
                <w:b/>
                <w:bCs/>
                <w:sz w:val="20"/>
                <w:szCs w:val="20"/>
                <w:lang w:bidi="ar-SA"/>
              </w:rPr>
              <w:t>Cost</w:t>
            </w:r>
            <w:r w:rsidRPr="00606A12">
              <w:rPr>
                <w:rFonts w:eastAsia="Times New Roman" w:cstheme="minorHAnsi"/>
                <w:b/>
                <w:bCs/>
                <w:sz w:val="20"/>
                <w:szCs w:val="20"/>
                <w:vertAlign w:val="superscript"/>
                <w:lang w:bidi="ar-SA"/>
              </w:rPr>
              <w:t>1</w:t>
            </w:r>
            <w:r w:rsidRPr="00606A12">
              <w:rPr>
                <w:rFonts w:eastAsia="Times New Roman" w:cstheme="minorHAnsi"/>
                <w:b/>
                <w:bCs/>
                <w:sz w:val="20"/>
                <w:szCs w:val="20"/>
                <w:lang w:bidi="ar-SA"/>
              </w:rPr>
              <w:t xml:space="preserve"> </w:t>
            </w:r>
            <w:r w:rsidRPr="00606A12">
              <w:rPr>
                <w:rFonts w:eastAsia="Times New Roman" w:cstheme="minorHAnsi"/>
                <w:b/>
                <w:bCs/>
                <w:sz w:val="20"/>
                <w:szCs w:val="20"/>
                <w:lang w:bidi="ar-SA"/>
              </w:rPr>
              <w:br/>
              <w:t>($ per ton)</w:t>
            </w:r>
          </w:p>
        </w:tc>
        <w:tc>
          <w:tcPr>
            <w:tcW w:w="1793" w:type="pct"/>
            <w:vMerge w:val="restart"/>
            <w:tcBorders>
              <w:top w:val="double" w:sz="6" w:space="0" w:color="auto"/>
              <w:left w:val="single" w:sz="8" w:space="0" w:color="auto"/>
              <w:bottom w:val="single" w:sz="8" w:space="0" w:color="000000"/>
              <w:right w:val="double" w:sz="6" w:space="0" w:color="auto"/>
            </w:tcBorders>
            <w:shd w:val="clear" w:color="000000" w:fill="D9D9D9"/>
            <w:vAlign w:val="center"/>
            <w:hideMark/>
          </w:tcPr>
          <w:p w14:paraId="431ED279" w14:textId="7C014CFB" w:rsidR="00606A12" w:rsidRPr="00606A12" w:rsidRDefault="00606A12" w:rsidP="00606A12">
            <w:pPr>
              <w:spacing w:after="0" w:line="240" w:lineRule="auto"/>
              <w:jc w:val="center"/>
              <w:rPr>
                <w:rFonts w:eastAsia="Times New Roman" w:cstheme="minorHAnsi"/>
                <w:b/>
                <w:bCs/>
                <w:sz w:val="20"/>
                <w:szCs w:val="20"/>
                <w:lang w:bidi="ar-SA"/>
              </w:rPr>
            </w:pPr>
            <w:r w:rsidRPr="00606A12">
              <w:rPr>
                <w:rFonts w:eastAsia="Times New Roman" w:cstheme="minorHAnsi"/>
                <w:b/>
                <w:bCs/>
                <w:sz w:val="20"/>
                <w:szCs w:val="20"/>
                <w:lang w:bidi="ar-SA"/>
              </w:rPr>
              <w:t>Qualitative comments</w:t>
            </w:r>
            <w:r w:rsidR="00095C6F">
              <w:rPr>
                <w:rFonts w:eastAsia="Times New Roman" w:cstheme="minorHAnsi"/>
                <w:b/>
                <w:bCs/>
                <w:sz w:val="20"/>
                <w:szCs w:val="20"/>
                <w:vertAlign w:val="superscript"/>
                <w:lang w:bidi="ar-SA"/>
              </w:rPr>
              <w:t>2</w:t>
            </w:r>
            <w:r w:rsidRPr="00606A12">
              <w:rPr>
                <w:rFonts w:eastAsia="Times New Roman" w:cstheme="minorHAnsi"/>
                <w:b/>
                <w:bCs/>
                <w:sz w:val="20"/>
                <w:szCs w:val="20"/>
                <w:lang w:bidi="ar-SA"/>
              </w:rPr>
              <w:t xml:space="preserve"> from the project team or the GEF Agency</w:t>
            </w:r>
          </w:p>
        </w:tc>
      </w:tr>
      <w:tr w:rsidR="00606A12" w:rsidRPr="00606A12" w14:paraId="32AB9EBB" w14:textId="77777777" w:rsidTr="00095C6F">
        <w:trPr>
          <w:trHeight w:val="780"/>
        </w:trPr>
        <w:tc>
          <w:tcPr>
            <w:tcW w:w="1701" w:type="pct"/>
            <w:gridSpan w:val="2"/>
            <w:vMerge/>
            <w:tcBorders>
              <w:top w:val="double" w:sz="6" w:space="0" w:color="auto"/>
              <w:left w:val="double" w:sz="6" w:space="0" w:color="auto"/>
              <w:bottom w:val="single" w:sz="8" w:space="0" w:color="000000"/>
              <w:right w:val="nil"/>
            </w:tcBorders>
            <w:vAlign w:val="center"/>
            <w:hideMark/>
          </w:tcPr>
          <w:p w14:paraId="3152F020" w14:textId="77777777" w:rsidR="00606A12" w:rsidRPr="00606A12" w:rsidRDefault="00606A12" w:rsidP="00606A12">
            <w:pPr>
              <w:spacing w:after="0" w:line="240" w:lineRule="auto"/>
              <w:rPr>
                <w:rFonts w:eastAsia="Times New Roman" w:cstheme="minorHAnsi"/>
                <w:b/>
                <w:bCs/>
                <w:sz w:val="20"/>
                <w:szCs w:val="20"/>
                <w:lang w:bidi="ar-SA"/>
              </w:rPr>
            </w:pPr>
          </w:p>
        </w:tc>
        <w:tc>
          <w:tcPr>
            <w:tcW w:w="532" w:type="pct"/>
            <w:tcBorders>
              <w:top w:val="nil"/>
              <w:left w:val="single" w:sz="8" w:space="0" w:color="auto"/>
              <w:bottom w:val="single" w:sz="8" w:space="0" w:color="auto"/>
              <w:right w:val="single" w:sz="4" w:space="0" w:color="auto"/>
            </w:tcBorders>
            <w:shd w:val="clear" w:color="000000" w:fill="D9D9D9"/>
            <w:vAlign w:val="center"/>
            <w:hideMark/>
          </w:tcPr>
          <w:p w14:paraId="55D2DA1C" w14:textId="77777777" w:rsidR="00606A12" w:rsidRPr="00606A12" w:rsidRDefault="00606A12" w:rsidP="00606A12">
            <w:pPr>
              <w:spacing w:after="0" w:line="240" w:lineRule="auto"/>
              <w:jc w:val="center"/>
              <w:rPr>
                <w:rFonts w:eastAsia="Times New Roman" w:cstheme="minorHAnsi"/>
                <w:sz w:val="20"/>
                <w:szCs w:val="20"/>
                <w:lang w:bidi="ar-SA"/>
              </w:rPr>
            </w:pPr>
            <w:r w:rsidRPr="00606A12">
              <w:rPr>
                <w:rFonts w:eastAsia="Times New Roman" w:cstheme="minorHAnsi"/>
                <w:sz w:val="20"/>
                <w:szCs w:val="20"/>
                <w:lang w:bidi="ar-SA"/>
              </w:rPr>
              <w:t>Project target</w:t>
            </w:r>
          </w:p>
        </w:tc>
        <w:tc>
          <w:tcPr>
            <w:tcW w:w="516" w:type="pct"/>
            <w:tcBorders>
              <w:top w:val="nil"/>
              <w:left w:val="nil"/>
              <w:bottom w:val="single" w:sz="8" w:space="0" w:color="auto"/>
              <w:right w:val="single" w:sz="8" w:space="0" w:color="auto"/>
            </w:tcBorders>
            <w:shd w:val="clear" w:color="000000" w:fill="D9D9D9"/>
            <w:vAlign w:val="center"/>
            <w:hideMark/>
          </w:tcPr>
          <w:p w14:paraId="15063FE3" w14:textId="77777777" w:rsidR="00606A12" w:rsidRPr="00606A12" w:rsidRDefault="00606A12" w:rsidP="00606A12">
            <w:pPr>
              <w:spacing w:after="0" w:line="240" w:lineRule="auto"/>
              <w:jc w:val="center"/>
              <w:rPr>
                <w:rFonts w:eastAsia="Times New Roman" w:cstheme="minorHAnsi"/>
                <w:sz w:val="20"/>
                <w:szCs w:val="20"/>
                <w:lang w:bidi="ar-SA"/>
              </w:rPr>
            </w:pPr>
            <w:r w:rsidRPr="00606A12">
              <w:rPr>
                <w:rFonts w:eastAsia="Times New Roman" w:cstheme="minorHAnsi"/>
                <w:sz w:val="20"/>
                <w:szCs w:val="20"/>
                <w:lang w:bidi="ar-SA"/>
              </w:rPr>
              <w:t>Achieved to date</w:t>
            </w:r>
          </w:p>
        </w:tc>
        <w:tc>
          <w:tcPr>
            <w:tcW w:w="458" w:type="pct"/>
            <w:vMerge/>
            <w:tcBorders>
              <w:top w:val="double" w:sz="6" w:space="0" w:color="auto"/>
              <w:left w:val="single" w:sz="8" w:space="0" w:color="auto"/>
              <w:bottom w:val="single" w:sz="8" w:space="0" w:color="000000"/>
              <w:right w:val="nil"/>
            </w:tcBorders>
            <w:vAlign w:val="center"/>
            <w:hideMark/>
          </w:tcPr>
          <w:p w14:paraId="2BCDA788" w14:textId="77777777" w:rsidR="00606A12" w:rsidRPr="00606A12" w:rsidRDefault="00606A12" w:rsidP="00606A12">
            <w:pPr>
              <w:spacing w:after="0" w:line="240" w:lineRule="auto"/>
              <w:rPr>
                <w:rFonts w:eastAsia="Times New Roman" w:cstheme="minorHAnsi"/>
                <w:b/>
                <w:bCs/>
                <w:sz w:val="20"/>
                <w:szCs w:val="20"/>
                <w:lang w:bidi="ar-SA"/>
              </w:rPr>
            </w:pPr>
          </w:p>
        </w:tc>
        <w:tc>
          <w:tcPr>
            <w:tcW w:w="1793" w:type="pct"/>
            <w:vMerge/>
            <w:tcBorders>
              <w:top w:val="double" w:sz="6" w:space="0" w:color="auto"/>
              <w:left w:val="single" w:sz="8" w:space="0" w:color="auto"/>
              <w:bottom w:val="single" w:sz="8" w:space="0" w:color="000000"/>
              <w:right w:val="double" w:sz="6" w:space="0" w:color="auto"/>
            </w:tcBorders>
            <w:vAlign w:val="center"/>
            <w:hideMark/>
          </w:tcPr>
          <w:p w14:paraId="0BA0CB80" w14:textId="77777777" w:rsidR="00606A12" w:rsidRPr="00606A12" w:rsidRDefault="00606A12" w:rsidP="00606A12">
            <w:pPr>
              <w:spacing w:after="0" w:line="240" w:lineRule="auto"/>
              <w:rPr>
                <w:rFonts w:eastAsia="Times New Roman" w:cstheme="minorHAnsi"/>
                <w:b/>
                <w:bCs/>
                <w:sz w:val="20"/>
                <w:szCs w:val="20"/>
                <w:lang w:bidi="ar-SA"/>
              </w:rPr>
            </w:pPr>
          </w:p>
        </w:tc>
      </w:tr>
      <w:tr w:rsidR="00095C6F" w:rsidRPr="00606A12" w14:paraId="02266BF9" w14:textId="77777777" w:rsidTr="00095C6F">
        <w:trPr>
          <w:trHeight w:val="538"/>
        </w:trPr>
        <w:tc>
          <w:tcPr>
            <w:tcW w:w="1701" w:type="pct"/>
            <w:gridSpan w:val="2"/>
            <w:tcBorders>
              <w:top w:val="single" w:sz="8" w:space="0" w:color="auto"/>
              <w:left w:val="double" w:sz="6" w:space="0" w:color="auto"/>
              <w:bottom w:val="single" w:sz="8" w:space="0" w:color="auto"/>
              <w:right w:val="single" w:sz="8" w:space="0" w:color="auto"/>
            </w:tcBorders>
            <w:shd w:val="clear" w:color="auto" w:fill="auto"/>
            <w:hideMark/>
          </w:tcPr>
          <w:p w14:paraId="7CF52C5E" w14:textId="77777777" w:rsidR="00606A12" w:rsidRPr="00606A12" w:rsidRDefault="00606A12" w:rsidP="00606A12">
            <w:pPr>
              <w:spacing w:after="0" w:line="240" w:lineRule="auto"/>
              <w:rPr>
                <w:rFonts w:eastAsia="Times New Roman" w:cstheme="minorHAnsi"/>
                <w:sz w:val="20"/>
                <w:szCs w:val="20"/>
                <w:lang w:bidi="ar-SA"/>
              </w:rPr>
            </w:pPr>
            <w:r w:rsidRPr="00606A12">
              <w:rPr>
                <w:rFonts w:eastAsia="Times New Roman" w:cstheme="minorHAnsi"/>
                <w:sz w:val="20"/>
                <w:szCs w:val="20"/>
                <w:lang w:bidi="ar-SA"/>
              </w:rPr>
              <w:t>Indicator 5.1.1: Tonnes of ODS phased out</w:t>
            </w:r>
          </w:p>
        </w:tc>
        <w:tc>
          <w:tcPr>
            <w:tcW w:w="532" w:type="pct"/>
            <w:tcBorders>
              <w:top w:val="nil"/>
              <w:left w:val="nil"/>
              <w:bottom w:val="single" w:sz="8" w:space="0" w:color="auto"/>
              <w:right w:val="single" w:sz="4" w:space="0" w:color="auto"/>
            </w:tcBorders>
            <w:shd w:val="clear" w:color="auto" w:fill="auto"/>
            <w:hideMark/>
          </w:tcPr>
          <w:p w14:paraId="64B41A71" w14:textId="77777777" w:rsidR="00606A12" w:rsidRPr="00606A12" w:rsidRDefault="00606A12" w:rsidP="00606A12">
            <w:pPr>
              <w:spacing w:after="0" w:line="240" w:lineRule="auto"/>
              <w:jc w:val="center"/>
              <w:rPr>
                <w:rFonts w:eastAsia="Times New Roman" w:cstheme="minorHAnsi"/>
                <w:sz w:val="20"/>
                <w:szCs w:val="20"/>
                <w:lang w:bidi="ar-SA"/>
              </w:rPr>
            </w:pPr>
            <w:r w:rsidRPr="00606A12">
              <w:rPr>
                <w:rFonts w:eastAsia="Times New Roman" w:cstheme="minorHAnsi"/>
                <w:sz w:val="20"/>
                <w:szCs w:val="20"/>
                <w:lang w:bidi="ar-SA"/>
              </w:rPr>
              <w:t> </w:t>
            </w:r>
          </w:p>
        </w:tc>
        <w:tc>
          <w:tcPr>
            <w:tcW w:w="516" w:type="pct"/>
            <w:tcBorders>
              <w:top w:val="nil"/>
              <w:left w:val="nil"/>
              <w:bottom w:val="single" w:sz="8" w:space="0" w:color="auto"/>
              <w:right w:val="single" w:sz="8" w:space="0" w:color="auto"/>
            </w:tcBorders>
            <w:shd w:val="clear" w:color="auto" w:fill="auto"/>
            <w:hideMark/>
          </w:tcPr>
          <w:p w14:paraId="6C674A79" w14:textId="77777777" w:rsidR="00606A12" w:rsidRPr="00606A12" w:rsidRDefault="00606A12" w:rsidP="00606A12">
            <w:pPr>
              <w:spacing w:after="0" w:line="240" w:lineRule="auto"/>
              <w:rPr>
                <w:rFonts w:eastAsia="Times New Roman" w:cstheme="minorHAnsi"/>
                <w:sz w:val="20"/>
                <w:szCs w:val="20"/>
                <w:lang w:bidi="ar-SA"/>
              </w:rPr>
            </w:pPr>
            <w:r w:rsidRPr="00606A12">
              <w:rPr>
                <w:rFonts w:eastAsia="Times New Roman" w:cstheme="minorHAnsi"/>
                <w:sz w:val="20"/>
                <w:szCs w:val="20"/>
                <w:lang w:bidi="ar-SA"/>
              </w:rPr>
              <w:t> </w:t>
            </w:r>
          </w:p>
        </w:tc>
        <w:tc>
          <w:tcPr>
            <w:tcW w:w="458" w:type="pct"/>
            <w:tcBorders>
              <w:top w:val="nil"/>
              <w:left w:val="nil"/>
              <w:bottom w:val="single" w:sz="8" w:space="0" w:color="auto"/>
              <w:right w:val="single" w:sz="8" w:space="0" w:color="auto"/>
            </w:tcBorders>
            <w:shd w:val="clear" w:color="auto" w:fill="auto"/>
            <w:noWrap/>
            <w:vAlign w:val="bottom"/>
            <w:hideMark/>
          </w:tcPr>
          <w:p w14:paraId="51A0F399" w14:textId="77777777" w:rsidR="00606A12" w:rsidRPr="00606A12" w:rsidRDefault="00606A12" w:rsidP="00606A12">
            <w:pPr>
              <w:spacing w:after="0" w:line="240" w:lineRule="auto"/>
              <w:jc w:val="center"/>
              <w:rPr>
                <w:rFonts w:eastAsia="Times New Roman" w:cstheme="minorHAnsi"/>
                <w:color w:val="000000"/>
                <w:sz w:val="20"/>
                <w:szCs w:val="20"/>
                <w:lang w:bidi="ar-SA"/>
              </w:rPr>
            </w:pPr>
            <w:r w:rsidRPr="00606A12">
              <w:rPr>
                <w:rFonts w:eastAsia="Times New Roman" w:cstheme="minorHAnsi"/>
                <w:color w:val="000000"/>
                <w:sz w:val="20"/>
                <w:szCs w:val="20"/>
                <w:lang w:bidi="ar-SA"/>
              </w:rPr>
              <w:t> </w:t>
            </w:r>
          </w:p>
        </w:tc>
        <w:tc>
          <w:tcPr>
            <w:tcW w:w="1793" w:type="pct"/>
            <w:tcBorders>
              <w:top w:val="nil"/>
              <w:left w:val="nil"/>
              <w:bottom w:val="single" w:sz="8" w:space="0" w:color="auto"/>
              <w:right w:val="double" w:sz="6" w:space="0" w:color="auto"/>
            </w:tcBorders>
            <w:shd w:val="clear" w:color="auto" w:fill="auto"/>
            <w:hideMark/>
          </w:tcPr>
          <w:p w14:paraId="26AE274D" w14:textId="77777777" w:rsidR="00606A12" w:rsidRPr="00606A12" w:rsidRDefault="00606A12" w:rsidP="00606A12">
            <w:pPr>
              <w:spacing w:after="0" w:line="240" w:lineRule="auto"/>
              <w:rPr>
                <w:rFonts w:eastAsia="Times New Roman" w:cstheme="minorHAnsi"/>
                <w:sz w:val="20"/>
                <w:szCs w:val="20"/>
                <w:lang w:bidi="ar-SA"/>
              </w:rPr>
            </w:pPr>
            <w:r w:rsidRPr="00606A12">
              <w:rPr>
                <w:rFonts w:eastAsia="Times New Roman" w:cstheme="minorHAnsi"/>
                <w:sz w:val="20"/>
                <w:szCs w:val="20"/>
                <w:lang w:bidi="ar-SA"/>
              </w:rPr>
              <w:t> </w:t>
            </w:r>
          </w:p>
        </w:tc>
      </w:tr>
      <w:tr w:rsidR="00095C6F" w:rsidRPr="00606A12" w14:paraId="0B8600DC" w14:textId="77777777" w:rsidTr="00095C6F">
        <w:trPr>
          <w:trHeight w:val="430"/>
        </w:trPr>
        <w:tc>
          <w:tcPr>
            <w:tcW w:w="1701" w:type="pct"/>
            <w:gridSpan w:val="2"/>
            <w:tcBorders>
              <w:top w:val="single" w:sz="8" w:space="0" w:color="auto"/>
              <w:left w:val="double" w:sz="6" w:space="0" w:color="auto"/>
              <w:bottom w:val="single" w:sz="8" w:space="0" w:color="auto"/>
              <w:right w:val="single" w:sz="8" w:space="0" w:color="auto"/>
            </w:tcBorders>
            <w:shd w:val="clear" w:color="auto" w:fill="auto"/>
            <w:hideMark/>
          </w:tcPr>
          <w:p w14:paraId="1708EF60" w14:textId="77777777" w:rsidR="00606A12" w:rsidRPr="00606A12" w:rsidRDefault="00606A12" w:rsidP="00606A12">
            <w:pPr>
              <w:spacing w:after="0" w:line="240" w:lineRule="auto"/>
              <w:rPr>
                <w:rFonts w:eastAsia="Times New Roman" w:cstheme="minorHAnsi"/>
                <w:sz w:val="20"/>
                <w:szCs w:val="20"/>
                <w:lang w:bidi="ar-SA"/>
              </w:rPr>
            </w:pPr>
            <w:r w:rsidRPr="00606A12">
              <w:rPr>
                <w:rFonts w:eastAsia="Times New Roman" w:cstheme="minorHAnsi"/>
                <w:sz w:val="20"/>
                <w:szCs w:val="20"/>
                <w:lang w:bidi="ar-SA"/>
              </w:rPr>
              <w:t>Indicator 5.1.2: Tonnes of CO2 equivalent phased out</w:t>
            </w:r>
          </w:p>
        </w:tc>
        <w:tc>
          <w:tcPr>
            <w:tcW w:w="532" w:type="pct"/>
            <w:tcBorders>
              <w:top w:val="nil"/>
              <w:left w:val="nil"/>
              <w:bottom w:val="single" w:sz="8" w:space="0" w:color="auto"/>
              <w:right w:val="single" w:sz="4" w:space="0" w:color="auto"/>
            </w:tcBorders>
            <w:shd w:val="clear" w:color="auto" w:fill="auto"/>
            <w:hideMark/>
          </w:tcPr>
          <w:p w14:paraId="4CD3E708" w14:textId="77777777" w:rsidR="00606A12" w:rsidRPr="00606A12" w:rsidRDefault="00606A12" w:rsidP="00606A12">
            <w:pPr>
              <w:spacing w:after="0" w:line="240" w:lineRule="auto"/>
              <w:jc w:val="center"/>
              <w:rPr>
                <w:rFonts w:eastAsia="Times New Roman" w:cstheme="minorHAnsi"/>
                <w:sz w:val="20"/>
                <w:szCs w:val="20"/>
                <w:lang w:bidi="ar-SA"/>
              </w:rPr>
            </w:pPr>
            <w:r w:rsidRPr="00606A12">
              <w:rPr>
                <w:rFonts w:eastAsia="Times New Roman" w:cstheme="minorHAnsi"/>
                <w:sz w:val="20"/>
                <w:szCs w:val="20"/>
                <w:lang w:bidi="ar-SA"/>
              </w:rPr>
              <w:t> </w:t>
            </w:r>
          </w:p>
        </w:tc>
        <w:tc>
          <w:tcPr>
            <w:tcW w:w="516" w:type="pct"/>
            <w:tcBorders>
              <w:top w:val="nil"/>
              <w:left w:val="nil"/>
              <w:bottom w:val="single" w:sz="8" w:space="0" w:color="auto"/>
              <w:right w:val="single" w:sz="8" w:space="0" w:color="auto"/>
            </w:tcBorders>
            <w:shd w:val="clear" w:color="auto" w:fill="auto"/>
            <w:hideMark/>
          </w:tcPr>
          <w:p w14:paraId="7852EE60" w14:textId="77777777" w:rsidR="00606A12" w:rsidRPr="00606A12" w:rsidRDefault="00606A12" w:rsidP="00606A12">
            <w:pPr>
              <w:spacing w:after="0" w:line="240" w:lineRule="auto"/>
              <w:rPr>
                <w:rFonts w:eastAsia="Times New Roman" w:cstheme="minorHAnsi"/>
                <w:sz w:val="20"/>
                <w:szCs w:val="20"/>
                <w:lang w:bidi="ar-SA"/>
              </w:rPr>
            </w:pPr>
            <w:r w:rsidRPr="00606A12">
              <w:rPr>
                <w:rFonts w:eastAsia="Times New Roman" w:cstheme="minorHAnsi"/>
                <w:sz w:val="20"/>
                <w:szCs w:val="20"/>
                <w:lang w:bidi="ar-SA"/>
              </w:rPr>
              <w:t> </w:t>
            </w:r>
          </w:p>
        </w:tc>
        <w:tc>
          <w:tcPr>
            <w:tcW w:w="458" w:type="pct"/>
            <w:tcBorders>
              <w:top w:val="nil"/>
              <w:left w:val="nil"/>
              <w:bottom w:val="single" w:sz="8" w:space="0" w:color="auto"/>
              <w:right w:val="single" w:sz="8" w:space="0" w:color="auto"/>
            </w:tcBorders>
            <w:shd w:val="clear" w:color="auto" w:fill="auto"/>
            <w:noWrap/>
            <w:vAlign w:val="bottom"/>
            <w:hideMark/>
          </w:tcPr>
          <w:p w14:paraId="208FDC3A" w14:textId="77777777" w:rsidR="00606A12" w:rsidRPr="00606A12" w:rsidRDefault="00606A12" w:rsidP="00606A12">
            <w:pPr>
              <w:spacing w:after="0" w:line="240" w:lineRule="auto"/>
              <w:jc w:val="center"/>
              <w:rPr>
                <w:rFonts w:eastAsia="Times New Roman" w:cstheme="minorHAnsi"/>
                <w:color w:val="000000"/>
                <w:sz w:val="20"/>
                <w:szCs w:val="20"/>
                <w:lang w:bidi="ar-SA"/>
              </w:rPr>
            </w:pPr>
            <w:r w:rsidRPr="00606A12">
              <w:rPr>
                <w:rFonts w:eastAsia="Times New Roman" w:cstheme="minorHAnsi"/>
                <w:color w:val="000000"/>
                <w:sz w:val="20"/>
                <w:szCs w:val="20"/>
                <w:lang w:bidi="ar-SA"/>
              </w:rPr>
              <w:t> </w:t>
            </w:r>
          </w:p>
        </w:tc>
        <w:tc>
          <w:tcPr>
            <w:tcW w:w="1793" w:type="pct"/>
            <w:tcBorders>
              <w:top w:val="nil"/>
              <w:left w:val="nil"/>
              <w:bottom w:val="single" w:sz="8" w:space="0" w:color="auto"/>
              <w:right w:val="double" w:sz="6" w:space="0" w:color="auto"/>
            </w:tcBorders>
            <w:shd w:val="clear" w:color="auto" w:fill="auto"/>
            <w:hideMark/>
          </w:tcPr>
          <w:p w14:paraId="4A006095" w14:textId="77777777" w:rsidR="00606A12" w:rsidRPr="00606A12" w:rsidRDefault="00606A12" w:rsidP="00606A12">
            <w:pPr>
              <w:spacing w:after="0" w:line="240" w:lineRule="auto"/>
              <w:rPr>
                <w:rFonts w:eastAsia="Times New Roman" w:cstheme="minorHAnsi"/>
                <w:sz w:val="20"/>
                <w:szCs w:val="20"/>
                <w:lang w:bidi="ar-SA"/>
              </w:rPr>
            </w:pPr>
            <w:r w:rsidRPr="00606A12">
              <w:rPr>
                <w:rFonts w:eastAsia="Times New Roman" w:cstheme="minorHAnsi"/>
                <w:sz w:val="20"/>
                <w:szCs w:val="20"/>
                <w:lang w:bidi="ar-SA"/>
              </w:rPr>
              <w:t> </w:t>
            </w:r>
          </w:p>
        </w:tc>
      </w:tr>
      <w:tr w:rsidR="00095C6F" w:rsidRPr="00606A12" w14:paraId="0E8A8528" w14:textId="77777777" w:rsidTr="00095C6F">
        <w:trPr>
          <w:trHeight w:val="315"/>
        </w:trPr>
        <w:tc>
          <w:tcPr>
            <w:tcW w:w="830" w:type="pct"/>
            <w:tcBorders>
              <w:top w:val="nil"/>
              <w:left w:val="nil"/>
              <w:bottom w:val="nil"/>
              <w:right w:val="nil"/>
            </w:tcBorders>
            <w:shd w:val="clear" w:color="auto" w:fill="auto"/>
            <w:noWrap/>
            <w:vAlign w:val="bottom"/>
            <w:hideMark/>
          </w:tcPr>
          <w:p w14:paraId="2EDBAB66" w14:textId="77777777" w:rsidR="00606A12" w:rsidRPr="00606A12" w:rsidRDefault="00606A12" w:rsidP="00606A12">
            <w:pPr>
              <w:spacing w:after="0" w:line="240" w:lineRule="auto"/>
              <w:rPr>
                <w:rFonts w:eastAsia="Times New Roman" w:cstheme="minorHAnsi"/>
                <w:color w:val="000000"/>
                <w:sz w:val="20"/>
                <w:szCs w:val="20"/>
                <w:lang w:bidi="ar-SA"/>
              </w:rPr>
            </w:pPr>
            <w:r w:rsidRPr="00606A12">
              <w:rPr>
                <w:rFonts w:eastAsia="Times New Roman" w:cstheme="minorHAnsi"/>
                <w:color w:val="000000"/>
                <w:sz w:val="20"/>
                <w:szCs w:val="20"/>
                <w:lang w:bidi="ar-SA"/>
              </w:rPr>
              <w:t>Notes</w:t>
            </w:r>
          </w:p>
        </w:tc>
        <w:tc>
          <w:tcPr>
            <w:tcW w:w="871" w:type="pct"/>
            <w:tcBorders>
              <w:top w:val="nil"/>
              <w:left w:val="nil"/>
              <w:bottom w:val="nil"/>
              <w:right w:val="nil"/>
            </w:tcBorders>
            <w:shd w:val="clear" w:color="auto" w:fill="auto"/>
            <w:noWrap/>
            <w:vAlign w:val="bottom"/>
            <w:hideMark/>
          </w:tcPr>
          <w:p w14:paraId="3C4B39BA" w14:textId="77777777" w:rsidR="00606A12" w:rsidRPr="00606A12" w:rsidRDefault="00606A12" w:rsidP="00606A12">
            <w:pPr>
              <w:spacing w:after="0" w:line="240" w:lineRule="auto"/>
              <w:rPr>
                <w:rFonts w:eastAsia="Times New Roman" w:cstheme="minorHAnsi"/>
                <w:color w:val="000000"/>
                <w:sz w:val="20"/>
                <w:szCs w:val="20"/>
                <w:lang w:bidi="ar-SA"/>
              </w:rPr>
            </w:pPr>
          </w:p>
        </w:tc>
        <w:tc>
          <w:tcPr>
            <w:tcW w:w="532" w:type="pct"/>
            <w:tcBorders>
              <w:top w:val="nil"/>
              <w:left w:val="nil"/>
              <w:bottom w:val="nil"/>
              <w:right w:val="nil"/>
            </w:tcBorders>
            <w:shd w:val="clear" w:color="auto" w:fill="auto"/>
            <w:noWrap/>
            <w:vAlign w:val="bottom"/>
            <w:hideMark/>
          </w:tcPr>
          <w:p w14:paraId="2CF26DF6" w14:textId="77777777" w:rsidR="00606A12" w:rsidRPr="00606A12" w:rsidRDefault="00606A12" w:rsidP="00606A12">
            <w:pPr>
              <w:spacing w:after="0" w:line="240" w:lineRule="auto"/>
              <w:rPr>
                <w:rFonts w:eastAsia="Times New Roman" w:cstheme="minorHAnsi"/>
                <w:sz w:val="20"/>
                <w:szCs w:val="20"/>
                <w:lang w:bidi="ar-SA"/>
              </w:rPr>
            </w:pPr>
          </w:p>
        </w:tc>
        <w:tc>
          <w:tcPr>
            <w:tcW w:w="516" w:type="pct"/>
            <w:tcBorders>
              <w:top w:val="nil"/>
              <w:left w:val="nil"/>
              <w:bottom w:val="nil"/>
              <w:right w:val="nil"/>
            </w:tcBorders>
            <w:shd w:val="clear" w:color="auto" w:fill="auto"/>
            <w:noWrap/>
            <w:vAlign w:val="bottom"/>
            <w:hideMark/>
          </w:tcPr>
          <w:p w14:paraId="6B714497" w14:textId="77777777" w:rsidR="00606A12" w:rsidRPr="00606A12" w:rsidRDefault="00606A12" w:rsidP="00606A12">
            <w:pPr>
              <w:spacing w:after="0" w:line="240" w:lineRule="auto"/>
              <w:rPr>
                <w:rFonts w:eastAsia="Times New Roman" w:cstheme="minorHAnsi"/>
                <w:sz w:val="20"/>
                <w:szCs w:val="20"/>
                <w:lang w:bidi="ar-SA"/>
              </w:rPr>
            </w:pPr>
          </w:p>
        </w:tc>
        <w:tc>
          <w:tcPr>
            <w:tcW w:w="458" w:type="pct"/>
            <w:tcBorders>
              <w:top w:val="nil"/>
              <w:left w:val="nil"/>
              <w:bottom w:val="nil"/>
              <w:right w:val="nil"/>
            </w:tcBorders>
            <w:shd w:val="clear" w:color="auto" w:fill="auto"/>
            <w:noWrap/>
            <w:vAlign w:val="bottom"/>
            <w:hideMark/>
          </w:tcPr>
          <w:p w14:paraId="736146F8" w14:textId="77777777" w:rsidR="00606A12" w:rsidRPr="00606A12" w:rsidRDefault="00606A12" w:rsidP="00606A12">
            <w:pPr>
              <w:spacing w:after="0" w:line="240" w:lineRule="auto"/>
              <w:rPr>
                <w:rFonts w:eastAsia="Times New Roman" w:cstheme="minorHAnsi"/>
                <w:sz w:val="20"/>
                <w:szCs w:val="20"/>
                <w:lang w:bidi="ar-SA"/>
              </w:rPr>
            </w:pPr>
          </w:p>
        </w:tc>
        <w:tc>
          <w:tcPr>
            <w:tcW w:w="1793" w:type="pct"/>
            <w:tcBorders>
              <w:top w:val="nil"/>
              <w:left w:val="nil"/>
              <w:bottom w:val="nil"/>
              <w:right w:val="nil"/>
            </w:tcBorders>
            <w:shd w:val="clear" w:color="auto" w:fill="auto"/>
            <w:noWrap/>
            <w:vAlign w:val="bottom"/>
            <w:hideMark/>
          </w:tcPr>
          <w:p w14:paraId="75EC8A82" w14:textId="77777777" w:rsidR="00606A12" w:rsidRPr="00606A12" w:rsidRDefault="00606A12" w:rsidP="00606A12">
            <w:pPr>
              <w:spacing w:after="0" w:line="240" w:lineRule="auto"/>
              <w:rPr>
                <w:rFonts w:eastAsia="Times New Roman" w:cstheme="minorHAnsi"/>
                <w:sz w:val="20"/>
                <w:szCs w:val="20"/>
                <w:lang w:bidi="ar-SA"/>
              </w:rPr>
            </w:pPr>
          </w:p>
        </w:tc>
      </w:tr>
      <w:tr w:rsidR="00606A12" w:rsidRPr="00606A12" w14:paraId="20DB398A" w14:textId="77777777" w:rsidTr="00606A12">
        <w:trPr>
          <w:trHeight w:val="345"/>
        </w:trPr>
        <w:tc>
          <w:tcPr>
            <w:tcW w:w="5000" w:type="pct"/>
            <w:gridSpan w:val="6"/>
            <w:tcBorders>
              <w:top w:val="nil"/>
              <w:left w:val="nil"/>
              <w:bottom w:val="nil"/>
              <w:right w:val="nil"/>
            </w:tcBorders>
            <w:shd w:val="clear" w:color="auto" w:fill="auto"/>
            <w:hideMark/>
          </w:tcPr>
          <w:p w14:paraId="7323009B" w14:textId="77777777" w:rsidR="00606A12" w:rsidRPr="00606A12" w:rsidRDefault="00606A12" w:rsidP="00606A12">
            <w:pPr>
              <w:spacing w:after="0" w:line="240" w:lineRule="auto"/>
              <w:rPr>
                <w:rFonts w:eastAsia="Times New Roman" w:cstheme="minorHAnsi"/>
                <w:color w:val="000000"/>
                <w:sz w:val="20"/>
                <w:szCs w:val="20"/>
                <w:lang w:bidi="ar-SA"/>
              </w:rPr>
            </w:pPr>
            <w:r w:rsidRPr="00606A12">
              <w:rPr>
                <w:rFonts w:eastAsia="Times New Roman" w:cstheme="minorHAnsi"/>
                <w:color w:val="000000"/>
                <w:sz w:val="20"/>
                <w:szCs w:val="20"/>
                <w:lang w:bidi="ar-SA"/>
              </w:rPr>
              <w:t>1. Overall costs including packaging, transport, safe storage, and treatment or disposal as appropriate.</w:t>
            </w:r>
          </w:p>
        </w:tc>
      </w:tr>
      <w:tr w:rsidR="00606A12" w:rsidRPr="00606A12" w14:paraId="32277942" w14:textId="77777777" w:rsidTr="00606A12">
        <w:trPr>
          <w:trHeight w:val="315"/>
        </w:trPr>
        <w:tc>
          <w:tcPr>
            <w:tcW w:w="5000" w:type="pct"/>
            <w:gridSpan w:val="6"/>
            <w:tcBorders>
              <w:top w:val="nil"/>
              <w:left w:val="nil"/>
              <w:bottom w:val="nil"/>
              <w:right w:val="nil"/>
            </w:tcBorders>
            <w:shd w:val="clear" w:color="auto" w:fill="auto"/>
            <w:noWrap/>
            <w:hideMark/>
          </w:tcPr>
          <w:p w14:paraId="4FD1794E" w14:textId="2ADED619" w:rsidR="00606A12" w:rsidRPr="00606A12" w:rsidRDefault="00095C6F" w:rsidP="00606A12">
            <w:pPr>
              <w:spacing w:after="0" w:line="240" w:lineRule="auto"/>
              <w:rPr>
                <w:rFonts w:eastAsia="Times New Roman" w:cstheme="minorHAnsi"/>
                <w:color w:val="000000"/>
                <w:sz w:val="20"/>
                <w:szCs w:val="20"/>
                <w:lang w:bidi="ar-SA"/>
              </w:rPr>
            </w:pPr>
            <w:r>
              <w:rPr>
                <w:rFonts w:eastAsia="Times New Roman" w:cstheme="minorHAnsi"/>
                <w:color w:val="000000"/>
                <w:sz w:val="20"/>
                <w:szCs w:val="20"/>
                <w:lang w:bidi="ar-SA"/>
              </w:rPr>
              <w:t>2</w:t>
            </w:r>
            <w:r w:rsidR="00606A12" w:rsidRPr="00606A12">
              <w:rPr>
                <w:rFonts w:eastAsia="Times New Roman" w:cstheme="minorHAnsi"/>
                <w:color w:val="000000"/>
                <w:sz w:val="20"/>
                <w:szCs w:val="20"/>
                <w:lang w:bidi="ar-SA"/>
              </w:rPr>
              <w:t xml:space="preserve">. Provide information on disposal technology and whether in-country or abroad. </w:t>
            </w:r>
          </w:p>
        </w:tc>
      </w:tr>
    </w:tbl>
    <w:p w14:paraId="0C7FCE6A" w14:textId="77777777" w:rsidR="00606A12" w:rsidRPr="00606A12" w:rsidRDefault="00606A12" w:rsidP="0090447C">
      <w:pPr>
        <w:spacing w:after="0" w:line="240" w:lineRule="auto"/>
        <w:rPr>
          <w:rFonts w:cstheme="minorHAnsi"/>
          <w:sz w:val="20"/>
          <w:szCs w:val="20"/>
        </w:rPr>
      </w:pPr>
    </w:p>
    <w:sectPr w:rsidR="00606A12" w:rsidRPr="00606A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4F1DF" w14:textId="77777777" w:rsidR="003E0E24" w:rsidRDefault="003E0E24" w:rsidP="00D6638C">
      <w:pPr>
        <w:spacing w:after="0" w:line="240" w:lineRule="auto"/>
      </w:pPr>
      <w:r>
        <w:separator/>
      </w:r>
    </w:p>
  </w:endnote>
  <w:endnote w:type="continuationSeparator" w:id="0">
    <w:p w14:paraId="665D11B3" w14:textId="77777777" w:rsidR="003E0E24" w:rsidRDefault="003E0E24"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99955"/>
      <w:docPartObj>
        <w:docPartGallery w:val="Page Numbers (Bottom of Page)"/>
        <w:docPartUnique/>
      </w:docPartObj>
    </w:sdtPr>
    <w:sdtEndPr>
      <w:rPr>
        <w:noProof/>
      </w:rPr>
    </w:sdtEndPr>
    <w:sdtContent>
      <w:p w14:paraId="2031E626" w14:textId="6D53F8A0" w:rsidR="003E0E24" w:rsidRDefault="003E0E24">
        <w:pPr>
          <w:pStyle w:val="Footer"/>
          <w:jc w:val="right"/>
        </w:pPr>
        <w:r>
          <w:fldChar w:fldCharType="begin"/>
        </w:r>
        <w:r>
          <w:instrText xml:space="preserve"> PAGE   \* MERGEFORMAT </w:instrText>
        </w:r>
        <w:r>
          <w:fldChar w:fldCharType="separate"/>
        </w:r>
        <w:r w:rsidR="00066284">
          <w:rPr>
            <w:noProof/>
          </w:rPr>
          <w:t>9</w:t>
        </w:r>
        <w:r>
          <w:rPr>
            <w:noProof/>
          </w:rPr>
          <w:fldChar w:fldCharType="end"/>
        </w:r>
      </w:p>
    </w:sdtContent>
  </w:sdt>
  <w:p w14:paraId="35570DCE" w14:textId="77777777" w:rsidR="003E0E24" w:rsidRDefault="003E0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559C2" w14:textId="77777777" w:rsidR="003E0E24" w:rsidRDefault="003E0E24" w:rsidP="00D6638C">
      <w:pPr>
        <w:spacing w:after="0" w:line="240" w:lineRule="auto"/>
      </w:pPr>
      <w:r>
        <w:separator/>
      </w:r>
    </w:p>
  </w:footnote>
  <w:footnote w:type="continuationSeparator" w:id="0">
    <w:p w14:paraId="61EDB766" w14:textId="77777777" w:rsidR="003E0E24" w:rsidRDefault="003E0E24" w:rsidP="00D6638C">
      <w:pPr>
        <w:spacing w:after="0" w:line="240" w:lineRule="auto"/>
      </w:pPr>
      <w:r>
        <w:continuationSeparator/>
      </w:r>
    </w:p>
  </w:footnote>
  <w:footnote w:id="1">
    <w:p w14:paraId="42CF23C9" w14:textId="77777777" w:rsidR="003E0E24" w:rsidRDefault="003E0E24"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1F9CB51B" w14:textId="77777777" w:rsidR="003E0E24" w:rsidRPr="00022F8E" w:rsidRDefault="003E0E24">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108E3FAA" w14:textId="2B2D69AE" w:rsidR="003E0E24" w:rsidRDefault="003E0E24">
      <w:pPr>
        <w:pStyle w:val="FootnoteText"/>
      </w:pPr>
      <w:r>
        <w:rPr>
          <w:rStyle w:val="FootnoteReference"/>
        </w:rPr>
        <w:footnoteRef/>
      </w:r>
      <w:r>
        <w:t xml:space="preserve"> Please note that indicated mission days do not include days spent on travel between the duty station and the project country.</w:t>
      </w:r>
    </w:p>
  </w:footnote>
  <w:footnote w:id="4">
    <w:p w14:paraId="1B9E6102" w14:textId="77777777" w:rsidR="003E0E24" w:rsidRPr="00CD720A" w:rsidRDefault="003E0E24" w:rsidP="00954428">
      <w:pPr>
        <w:pStyle w:val="FootnoteText"/>
        <w:rPr>
          <w:rFonts w:ascii="Times New Roman" w:hAnsi="Times New Roman"/>
          <w:sz w:val="16"/>
          <w:szCs w:val="16"/>
        </w:rPr>
      </w:pPr>
      <w:r w:rsidRPr="00CD720A">
        <w:rPr>
          <w:rStyle w:val="FootnoteReference"/>
          <w:rFonts w:ascii="Times New Roman" w:hAnsi="Times New Roman"/>
          <w:sz w:val="16"/>
          <w:szCs w:val="16"/>
        </w:rPr>
        <w:footnoteRef/>
      </w:r>
      <w:r w:rsidRPr="00CD720A">
        <w:rPr>
          <w:rFonts w:ascii="Times New Roman" w:hAnsi="Times New Roman"/>
          <w:sz w:val="16"/>
          <w:szCs w:val="16"/>
        </w:rPr>
        <w:t xml:space="preserve"> Except Ukraine which will request separate assistance in servicing sector.</w:t>
      </w:r>
    </w:p>
  </w:footnote>
  <w:footnote w:id="5">
    <w:p w14:paraId="7E1500F3" w14:textId="77777777" w:rsidR="003E0E24" w:rsidRDefault="003E0E24" w:rsidP="00D6638C">
      <w:pPr>
        <w:pStyle w:val="FootnoteText"/>
      </w:pPr>
      <w:r w:rsidRPr="004B6248">
        <w:rPr>
          <w:rStyle w:val="FootnoteReference"/>
        </w:rPr>
        <w:footnoteRef/>
      </w:r>
      <w:r w:rsidRPr="00FB1376">
        <w:t>www.unevaluation.org/unegcodeofconduct</w:t>
      </w:r>
    </w:p>
    <w:p w14:paraId="06D27918" w14:textId="77777777" w:rsidR="003E0E24" w:rsidRDefault="003E0E24" w:rsidP="00D6638C">
      <w:pPr>
        <w:pStyle w:val="FootnoteText"/>
      </w:pPr>
    </w:p>
  </w:footnote>
  <w:footnote w:id="6">
    <w:p w14:paraId="537C4949" w14:textId="77777777" w:rsidR="003E0E24" w:rsidRPr="002B7151" w:rsidRDefault="003E0E24"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7">
    <w:p w14:paraId="62145EDE" w14:textId="77777777" w:rsidR="003E0E24" w:rsidRPr="002B7151" w:rsidRDefault="003E0E24"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8">
    <w:p w14:paraId="42885353" w14:textId="77777777" w:rsidR="003E0E24" w:rsidRPr="002B7151" w:rsidRDefault="003E0E24"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C7393"/>
    <w:multiLevelType w:val="hybridMultilevel"/>
    <w:tmpl w:val="9F1C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70053A"/>
    <w:multiLevelType w:val="hybridMultilevel"/>
    <w:tmpl w:val="3950FA7A"/>
    <w:lvl w:ilvl="0" w:tplc="04090001">
      <w:start w:val="1"/>
      <w:numFmt w:val="bullet"/>
      <w:lvlText w:val=""/>
      <w:lvlJc w:val="left"/>
      <w:pPr>
        <w:ind w:left="360" w:hanging="360"/>
      </w:pPr>
      <w:rPr>
        <w:rFonts w:ascii="Symbol" w:hAnsi="Symbol" w:hint="default"/>
      </w:rPr>
    </w:lvl>
    <w:lvl w:ilvl="1" w:tplc="DD56ACD0">
      <w:start w:val="1"/>
      <w:numFmt w:val="bullet"/>
      <w:lvlText w:val="-"/>
      <w:lvlJc w:val="left"/>
      <w:pPr>
        <w:tabs>
          <w:tab w:val="num" w:pos="1080"/>
        </w:tabs>
        <w:ind w:left="1080" w:hanging="360"/>
      </w:pPr>
      <w:rPr>
        <w:rFonts w:ascii="Times New Roman" w:eastAsia="Times New Roman" w:hAnsi="Times New Roman" w:cs="Times New Roman" w:hint="default"/>
      </w:rPr>
    </w:lvl>
    <w:lvl w:ilvl="2" w:tplc="C750BDDA">
      <w:start w:val="1"/>
      <w:numFmt w:val="bullet"/>
      <w:lvlText w:val=""/>
      <w:lvlJc w:val="left"/>
      <w:pPr>
        <w:ind w:left="1800" w:hanging="360"/>
      </w:pPr>
      <w:rPr>
        <w:rFonts w:ascii="Wingdings" w:hAnsi="Wingdings" w:hint="default"/>
        <w:lang w:val="en-US"/>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4" w15:restartNumberingAfterBreak="0">
    <w:nsid w:val="309B72B0"/>
    <w:multiLevelType w:val="hybridMultilevel"/>
    <w:tmpl w:val="4A18E326"/>
    <w:lvl w:ilvl="0" w:tplc="DDA0CA1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7"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5"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7"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8"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49127E"/>
    <w:multiLevelType w:val="hybridMultilevel"/>
    <w:tmpl w:val="25E2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A4833"/>
    <w:multiLevelType w:val="hybridMultilevel"/>
    <w:tmpl w:val="BACEF75E"/>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27831"/>
    <w:multiLevelType w:val="hybridMultilevel"/>
    <w:tmpl w:val="75B0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26"/>
  </w:num>
  <w:num w:numId="4">
    <w:abstractNumId w:val="19"/>
  </w:num>
  <w:num w:numId="5">
    <w:abstractNumId w:val="2"/>
  </w:num>
  <w:num w:numId="6">
    <w:abstractNumId w:val="23"/>
  </w:num>
  <w:num w:numId="7">
    <w:abstractNumId w:val="1"/>
  </w:num>
  <w:num w:numId="8">
    <w:abstractNumId w:val="28"/>
  </w:num>
  <w:num w:numId="9">
    <w:abstractNumId w:val="13"/>
  </w:num>
  <w:num w:numId="10">
    <w:abstractNumId w:val="27"/>
  </w:num>
  <w:num w:numId="11">
    <w:abstractNumId w:val="11"/>
  </w:num>
  <w:num w:numId="12">
    <w:abstractNumId w:val="24"/>
  </w:num>
  <w:num w:numId="13">
    <w:abstractNumId w:val="22"/>
  </w:num>
  <w:num w:numId="14">
    <w:abstractNumId w:val="3"/>
  </w:num>
  <w:num w:numId="15">
    <w:abstractNumId w:val="21"/>
  </w:num>
  <w:num w:numId="16">
    <w:abstractNumId w:val="16"/>
  </w:num>
  <w:num w:numId="17">
    <w:abstractNumId w:val="5"/>
  </w:num>
  <w:num w:numId="18">
    <w:abstractNumId w:val="15"/>
  </w:num>
  <w:num w:numId="19">
    <w:abstractNumId w:val="34"/>
  </w:num>
  <w:num w:numId="20">
    <w:abstractNumId w:val="17"/>
  </w:num>
  <w:num w:numId="21">
    <w:abstractNumId w:val="12"/>
  </w:num>
  <w:num w:numId="22">
    <w:abstractNumId w:val="6"/>
  </w:num>
  <w:num w:numId="23">
    <w:abstractNumId w:val="8"/>
  </w:num>
  <w:num w:numId="24">
    <w:abstractNumId w:val="30"/>
  </w:num>
  <w:num w:numId="25">
    <w:abstractNumId w:val="0"/>
  </w:num>
  <w:num w:numId="26">
    <w:abstractNumId w:val="36"/>
  </w:num>
  <w:num w:numId="27">
    <w:abstractNumId w:val="10"/>
  </w:num>
  <w:num w:numId="28">
    <w:abstractNumId w:val="31"/>
  </w:num>
  <w:num w:numId="29">
    <w:abstractNumId w:val="20"/>
  </w:num>
  <w:num w:numId="30">
    <w:abstractNumId w:val="18"/>
  </w:num>
  <w:num w:numId="31">
    <w:abstractNumId w:val="25"/>
  </w:num>
  <w:num w:numId="32">
    <w:abstractNumId w:val="4"/>
  </w:num>
  <w:num w:numId="33">
    <w:abstractNumId w:val="7"/>
  </w:num>
  <w:num w:numId="34">
    <w:abstractNumId w:val="32"/>
  </w:num>
  <w:num w:numId="35">
    <w:abstractNumId w:val="33"/>
  </w:num>
  <w:num w:numId="36">
    <w:abstractNumId w:val="2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3457E"/>
    <w:rsid w:val="00066284"/>
    <w:rsid w:val="00085CD7"/>
    <w:rsid w:val="00095C6F"/>
    <w:rsid w:val="000C0780"/>
    <w:rsid w:val="001105E9"/>
    <w:rsid w:val="001364B8"/>
    <w:rsid w:val="00147F6F"/>
    <w:rsid w:val="00182DAE"/>
    <w:rsid w:val="001A534D"/>
    <w:rsid w:val="00211948"/>
    <w:rsid w:val="00223DE0"/>
    <w:rsid w:val="00224F9C"/>
    <w:rsid w:val="00235FED"/>
    <w:rsid w:val="0024514A"/>
    <w:rsid w:val="002523B8"/>
    <w:rsid w:val="00256314"/>
    <w:rsid w:val="0029083C"/>
    <w:rsid w:val="002B6C4B"/>
    <w:rsid w:val="002C208B"/>
    <w:rsid w:val="003027D6"/>
    <w:rsid w:val="00303541"/>
    <w:rsid w:val="00310398"/>
    <w:rsid w:val="0034301E"/>
    <w:rsid w:val="003554B0"/>
    <w:rsid w:val="00392290"/>
    <w:rsid w:val="003A1C86"/>
    <w:rsid w:val="003B7C15"/>
    <w:rsid w:val="003E0E24"/>
    <w:rsid w:val="003F7218"/>
    <w:rsid w:val="004524DD"/>
    <w:rsid w:val="00461306"/>
    <w:rsid w:val="00475833"/>
    <w:rsid w:val="00476369"/>
    <w:rsid w:val="004A3238"/>
    <w:rsid w:val="004D7C8D"/>
    <w:rsid w:val="004E2FB7"/>
    <w:rsid w:val="004F3291"/>
    <w:rsid w:val="005027A6"/>
    <w:rsid w:val="00537459"/>
    <w:rsid w:val="00557657"/>
    <w:rsid w:val="005908DD"/>
    <w:rsid w:val="005C3FE8"/>
    <w:rsid w:val="00600202"/>
    <w:rsid w:val="00606A12"/>
    <w:rsid w:val="00620B69"/>
    <w:rsid w:val="00635958"/>
    <w:rsid w:val="00643B3C"/>
    <w:rsid w:val="00651187"/>
    <w:rsid w:val="00666F8B"/>
    <w:rsid w:val="00670690"/>
    <w:rsid w:val="0068720E"/>
    <w:rsid w:val="00695D5F"/>
    <w:rsid w:val="006C1964"/>
    <w:rsid w:val="006C3FBA"/>
    <w:rsid w:val="006C7B20"/>
    <w:rsid w:val="006D1317"/>
    <w:rsid w:val="00706A3C"/>
    <w:rsid w:val="00716363"/>
    <w:rsid w:val="00762AD9"/>
    <w:rsid w:val="007648DB"/>
    <w:rsid w:val="007840E7"/>
    <w:rsid w:val="007909A9"/>
    <w:rsid w:val="007C1314"/>
    <w:rsid w:val="007C789B"/>
    <w:rsid w:val="008A4358"/>
    <w:rsid w:val="008B144F"/>
    <w:rsid w:val="008B583F"/>
    <w:rsid w:val="008C6199"/>
    <w:rsid w:val="008C7BB8"/>
    <w:rsid w:val="008F3E91"/>
    <w:rsid w:val="0090447C"/>
    <w:rsid w:val="00931A33"/>
    <w:rsid w:val="00934662"/>
    <w:rsid w:val="00944ADC"/>
    <w:rsid w:val="00954428"/>
    <w:rsid w:val="0096312E"/>
    <w:rsid w:val="009B3208"/>
    <w:rsid w:val="00A42E2A"/>
    <w:rsid w:val="00A77F92"/>
    <w:rsid w:val="00A9031A"/>
    <w:rsid w:val="00B30B2F"/>
    <w:rsid w:val="00B70BAF"/>
    <w:rsid w:val="00B913F1"/>
    <w:rsid w:val="00BD6E43"/>
    <w:rsid w:val="00C0531B"/>
    <w:rsid w:val="00C25B2C"/>
    <w:rsid w:val="00C36E3F"/>
    <w:rsid w:val="00C44071"/>
    <w:rsid w:val="00C57A4E"/>
    <w:rsid w:val="00C736F6"/>
    <w:rsid w:val="00C82338"/>
    <w:rsid w:val="00CC1775"/>
    <w:rsid w:val="00CD0ED8"/>
    <w:rsid w:val="00D045D1"/>
    <w:rsid w:val="00D6638C"/>
    <w:rsid w:val="00D87162"/>
    <w:rsid w:val="00DD7C13"/>
    <w:rsid w:val="00E23201"/>
    <w:rsid w:val="00E41B8F"/>
    <w:rsid w:val="00E55B47"/>
    <w:rsid w:val="00E602E7"/>
    <w:rsid w:val="00E77635"/>
    <w:rsid w:val="00E9195B"/>
    <w:rsid w:val="00EA332D"/>
    <w:rsid w:val="00EC48C5"/>
    <w:rsid w:val="00EC5A05"/>
    <w:rsid w:val="00EC66C5"/>
    <w:rsid w:val="00F00A85"/>
    <w:rsid w:val="00F05366"/>
    <w:rsid w:val="00F06155"/>
    <w:rsid w:val="00F20E3C"/>
    <w:rsid w:val="00F44544"/>
    <w:rsid w:val="00F901F7"/>
    <w:rsid w:val="00F90D76"/>
    <w:rsid w:val="00FB0515"/>
    <w:rsid w:val="00FC109B"/>
    <w:rsid w:val="00FD452B"/>
    <w:rsid w:val="00FD48F2"/>
    <w:rsid w:val="00FD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A8144D"/>
  <w15:docId w15:val="{86DDA2E5-8618-4E24-B2A6-08FB7372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ftref,Superscript 6 Point + 11 pt,BVI fnr,BVI fnr Car Car,BVI fnr Car,BVI fnr Car Car Car Car,Footnote text,Footnotes refss,Footnote Reference1"/>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UnresolvedMention">
    <w:name w:val="Unresolved Mention"/>
    <w:basedOn w:val="DefaultParagraphFont"/>
    <w:uiPriority w:val="99"/>
    <w:semiHidden/>
    <w:unhideWhenUsed/>
    <w:rsid w:val="00FD48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uation.org/ethicalguidelines" TargetMode="External"/><Relationship Id="rId5" Type="http://schemas.openxmlformats.org/officeDocument/2006/relationships/webSettings" Target="webSettings.xml"/><Relationship Id="rId10" Type="http://schemas.openxmlformats.org/officeDocument/2006/relationships/hyperlink" Target="http://web.undp.org/evaluation/documents/guidance/GEF/UNDP-GEF-TE-Guide.pdf"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B0634-B11F-478A-95C4-89683668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5083</Words>
  <Characters>28977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Selimcan Azizoglu</cp:lastModifiedBy>
  <cp:revision>48</cp:revision>
  <dcterms:created xsi:type="dcterms:W3CDTF">2017-10-24T20:14:00Z</dcterms:created>
  <dcterms:modified xsi:type="dcterms:W3CDTF">2017-11-22T12:07:00Z</dcterms:modified>
</cp:coreProperties>
</file>