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5A" w:rsidRDefault="00FC3E23" w:rsidP="009A6C5A">
      <w:pPr>
        <w:pStyle w:val="Ttulo1"/>
        <w:keepLines/>
        <w:shd w:val="clear" w:color="auto" w:fill="4D4D4D"/>
        <w:tabs>
          <w:tab w:val="left" w:pos="333"/>
          <w:tab w:val="center" w:pos="4252"/>
        </w:tabs>
        <w:spacing w:after="120"/>
        <w:ind w:left="-284"/>
        <w:rPr>
          <w:rFonts w:eastAsia="SimSun" w:cs="Arial"/>
          <w:bCs w:val="0"/>
          <w:color w:val="8AB833"/>
          <w:sz w:val="32"/>
          <w:szCs w:val="32"/>
          <w:lang w:val="es-PE" w:eastAsia="es-PE"/>
        </w:rPr>
      </w:pPr>
      <w:r>
        <w:rPr>
          <w:rFonts w:eastAsia="SimSun" w:cs="Arial"/>
          <w:bCs w:val="0"/>
          <w:color w:val="8AB833"/>
          <w:sz w:val="32"/>
          <w:szCs w:val="32"/>
          <w:lang w:val="es-PE" w:eastAsia="es-PE"/>
        </w:rPr>
        <w:t xml:space="preserve">REPORTE </w:t>
      </w:r>
      <w:r w:rsidR="009A6C5A">
        <w:rPr>
          <w:rFonts w:eastAsia="SimSun" w:cs="Arial"/>
          <w:bCs w:val="0"/>
          <w:color w:val="8AB833"/>
          <w:sz w:val="32"/>
          <w:szCs w:val="32"/>
          <w:lang w:val="es-PE" w:eastAsia="es-PE"/>
        </w:rPr>
        <w:t>DE ENTREVISTA</w:t>
      </w:r>
      <w:r>
        <w:rPr>
          <w:rFonts w:eastAsia="SimSun" w:cs="Arial"/>
          <w:bCs w:val="0"/>
          <w:color w:val="8AB833"/>
          <w:sz w:val="32"/>
          <w:szCs w:val="32"/>
          <w:lang w:val="es-PE" w:eastAsia="es-PE"/>
        </w:rPr>
        <w:t>S</w:t>
      </w:r>
      <w:bookmarkStart w:id="0" w:name="_GoBack"/>
      <w:bookmarkEnd w:id="0"/>
      <w:r w:rsidR="009A6C5A">
        <w:rPr>
          <w:rFonts w:eastAsia="SimSun" w:cs="Arial"/>
          <w:bCs w:val="0"/>
          <w:color w:val="8AB833"/>
          <w:sz w:val="32"/>
          <w:szCs w:val="32"/>
          <w:lang w:val="es-PE" w:eastAsia="es-PE"/>
        </w:rPr>
        <w:t xml:space="preserve"> A FUNCIONARIOS</w:t>
      </w:r>
    </w:p>
    <w:p w:rsidR="00DC6DAA" w:rsidRDefault="001369B0"/>
    <w:p w:rsidR="002821D2" w:rsidRPr="00073889" w:rsidRDefault="009612EA" w:rsidP="009612EA">
      <w:pPr>
        <w:pStyle w:val="Prrafodelista"/>
        <w:numPr>
          <w:ilvl w:val="0"/>
          <w:numId w:val="4"/>
        </w:numPr>
        <w:ind w:left="142" w:hanging="426"/>
        <w:rPr>
          <w:rFonts w:ascii="Arial" w:hAnsi="Arial" w:cs="Arial"/>
          <w:b/>
        </w:rPr>
      </w:pPr>
      <w:r w:rsidRPr="00073889">
        <w:rPr>
          <w:rFonts w:ascii="Arial" w:hAnsi="Arial" w:cs="Arial"/>
          <w:b/>
        </w:rPr>
        <w:t>OBJETIVO</w:t>
      </w:r>
    </w:p>
    <w:p w:rsidR="003744FB" w:rsidRPr="00073889" w:rsidRDefault="0078487A" w:rsidP="003744FB">
      <w:pPr>
        <w:pStyle w:val="Prrafodelista"/>
        <w:spacing w:after="0" w:line="240" w:lineRule="auto"/>
        <w:ind w:left="142"/>
        <w:jc w:val="both"/>
        <w:rPr>
          <w:rFonts w:ascii="Arial" w:hAnsi="Arial" w:cs="Arial"/>
        </w:rPr>
      </w:pPr>
      <w:r>
        <w:rPr>
          <w:rFonts w:ascii="Arial" w:hAnsi="Arial" w:cs="Arial"/>
        </w:rPr>
        <w:t>Obtener la percepción de los principales actores del PNUD y del PNAEQW,  respecto a la implementación de los principales componentes del Proyecto “Fortalecimiento de Capacidades del Programa Nacional Alimentario Escolar Qali Warma”.</w:t>
      </w:r>
    </w:p>
    <w:p w:rsidR="009612EA" w:rsidRPr="00073889" w:rsidRDefault="009612EA" w:rsidP="009612EA">
      <w:pPr>
        <w:rPr>
          <w:rFonts w:ascii="Arial" w:hAnsi="Arial" w:cs="Arial"/>
          <w:b/>
        </w:rPr>
      </w:pPr>
    </w:p>
    <w:p w:rsidR="002821D2" w:rsidRPr="00073889" w:rsidRDefault="009612EA" w:rsidP="009612EA">
      <w:pPr>
        <w:pStyle w:val="Prrafodelista"/>
        <w:numPr>
          <w:ilvl w:val="0"/>
          <w:numId w:val="4"/>
        </w:numPr>
        <w:ind w:left="142" w:hanging="426"/>
        <w:rPr>
          <w:rFonts w:ascii="Arial" w:hAnsi="Arial" w:cs="Arial"/>
          <w:b/>
        </w:rPr>
      </w:pPr>
      <w:r w:rsidRPr="00073889">
        <w:rPr>
          <w:rFonts w:ascii="Arial" w:hAnsi="Arial" w:cs="Arial"/>
          <w:b/>
        </w:rPr>
        <w:t>METODOLOGÍA</w:t>
      </w:r>
    </w:p>
    <w:p w:rsidR="0078487A" w:rsidRDefault="00073889" w:rsidP="0078487A">
      <w:pPr>
        <w:pStyle w:val="Prrafodelista"/>
        <w:spacing w:after="0" w:line="240" w:lineRule="auto"/>
        <w:ind w:left="142"/>
        <w:jc w:val="both"/>
        <w:rPr>
          <w:rFonts w:ascii="Arial" w:hAnsi="Arial" w:cs="Arial"/>
        </w:rPr>
      </w:pPr>
      <w:r w:rsidRPr="00073889">
        <w:rPr>
          <w:rFonts w:ascii="Arial" w:hAnsi="Arial" w:cs="Arial"/>
        </w:rPr>
        <w:t xml:space="preserve">Aplicación de la Ficha de entrevista a los funcionarios del PNUD y </w:t>
      </w:r>
      <w:r w:rsidR="0078487A">
        <w:rPr>
          <w:rFonts w:ascii="Arial" w:hAnsi="Arial" w:cs="Arial"/>
        </w:rPr>
        <w:t>especialistas d</w:t>
      </w:r>
      <w:r w:rsidRPr="00073889">
        <w:rPr>
          <w:rFonts w:ascii="Arial" w:hAnsi="Arial" w:cs="Arial"/>
        </w:rPr>
        <w:t xml:space="preserve">el Proyecto </w:t>
      </w:r>
      <w:r w:rsidR="0078487A">
        <w:rPr>
          <w:rFonts w:ascii="Arial" w:hAnsi="Arial" w:cs="Arial"/>
        </w:rPr>
        <w:t>“Fortalecimiento de Capacidades del Programa Nacional Alimentario Escolar Qali Warma”.</w:t>
      </w:r>
    </w:p>
    <w:p w:rsidR="0078487A" w:rsidRDefault="0078487A" w:rsidP="0078487A">
      <w:pPr>
        <w:pStyle w:val="Prrafodelista"/>
        <w:spacing w:after="0" w:line="240" w:lineRule="auto"/>
        <w:ind w:left="142"/>
        <w:jc w:val="both"/>
        <w:rPr>
          <w:rFonts w:ascii="Arial" w:hAnsi="Arial" w:cs="Arial"/>
        </w:rPr>
      </w:pPr>
    </w:p>
    <w:p w:rsidR="0078487A" w:rsidRPr="00073889" w:rsidRDefault="00064BDA" w:rsidP="0078487A">
      <w:pPr>
        <w:pStyle w:val="Prrafodelista"/>
        <w:spacing w:after="0" w:line="240" w:lineRule="auto"/>
        <w:ind w:left="142"/>
        <w:jc w:val="both"/>
        <w:rPr>
          <w:rFonts w:ascii="Arial" w:hAnsi="Arial" w:cs="Arial"/>
        </w:rPr>
      </w:pPr>
      <w:r>
        <w:rPr>
          <w:rFonts w:ascii="Arial" w:hAnsi="Arial" w:cs="Arial"/>
        </w:rPr>
        <w:t xml:space="preserve">Las actividades desarrolladas fueron de entrevistas directas pactadas con los funcionarios y/o especialistas, acudiendo tanto a las instalaciones del PNUD como de Qali Warma. </w:t>
      </w:r>
      <w:r w:rsidR="0078487A">
        <w:rPr>
          <w:rFonts w:ascii="Arial" w:hAnsi="Arial" w:cs="Arial"/>
        </w:rPr>
        <w:t>El período de aplicación se realizó del 09 al 31 de Agosto de 2017.</w:t>
      </w:r>
    </w:p>
    <w:p w:rsidR="009612EA" w:rsidRPr="00073889" w:rsidRDefault="00073889" w:rsidP="00073889">
      <w:pPr>
        <w:pStyle w:val="Prrafodelista"/>
        <w:spacing w:after="0" w:line="240" w:lineRule="auto"/>
        <w:ind w:left="142"/>
        <w:jc w:val="both"/>
        <w:rPr>
          <w:rFonts w:ascii="Arial" w:hAnsi="Arial" w:cs="Arial"/>
        </w:rPr>
      </w:pPr>
      <w:r w:rsidRPr="00073889">
        <w:rPr>
          <w:rFonts w:ascii="Arial" w:hAnsi="Arial" w:cs="Arial"/>
        </w:rPr>
        <w:t>.</w:t>
      </w:r>
    </w:p>
    <w:p w:rsidR="009612EA" w:rsidRPr="00073889" w:rsidRDefault="009612EA" w:rsidP="009612EA">
      <w:pPr>
        <w:rPr>
          <w:rFonts w:ascii="Arial" w:hAnsi="Arial" w:cs="Arial"/>
          <w:b/>
        </w:rPr>
      </w:pPr>
    </w:p>
    <w:p w:rsidR="009A6C5A" w:rsidRPr="00073889" w:rsidRDefault="009612EA" w:rsidP="009612EA">
      <w:pPr>
        <w:pStyle w:val="Prrafodelista"/>
        <w:numPr>
          <w:ilvl w:val="0"/>
          <w:numId w:val="4"/>
        </w:numPr>
        <w:ind w:left="142" w:hanging="426"/>
        <w:rPr>
          <w:rFonts w:ascii="Arial" w:hAnsi="Arial" w:cs="Arial"/>
          <w:b/>
        </w:rPr>
      </w:pPr>
      <w:r w:rsidRPr="00073889">
        <w:rPr>
          <w:rFonts w:ascii="Arial" w:hAnsi="Arial" w:cs="Arial"/>
          <w:b/>
        </w:rPr>
        <w:t>FUNCIONARIOS ENTREVISTADOS</w:t>
      </w:r>
    </w:p>
    <w:p w:rsidR="009612EA" w:rsidRPr="00073889" w:rsidRDefault="009612EA" w:rsidP="009612EA">
      <w:pPr>
        <w:pStyle w:val="Prrafodelista"/>
        <w:ind w:left="284"/>
        <w:jc w:val="both"/>
        <w:rPr>
          <w:rFonts w:ascii="Arial" w:hAnsi="Arial" w:cs="Arial"/>
          <w:b/>
          <w:u w:val="single"/>
        </w:rPr>
      </w:pPr>
    </w:p>
    <w:p w:rsidR="002821D2" w:rsidRDefault="002821D2" w:rsidP="00A2503C">
      <w:pPr>
        <w:pStyle w:val="Prrafodelista"/>
        <w:numPr>
          <w:ilvl w:val="1"/>
          <w:numId w:val="4"/>
        </w:numPr>
        <w:ind w:left="142"/>
        <w:jc w:val="both"/>
        <w:rPr>
          <w:rFonts w:ascii="Arial" w:hAnsi="Arial" w:cs="Arial"/>
          <w:b/>
          <w:u w:val="single"/>
        </w:rPr>
      </w:pPr>
      <w:r w:rsidRPr="00073889">
        <w:rPr>
          <w:rFonts w:ascii="Arial" w:hAnsi="Arial" w:cs="Arial"/>
          <w:b/>
          <w:u w:val="single"/>
        </w:rPr>
        <w:t>FUNCIONARIOS DEL PNUD</w:t>
      </w:r>
    </w:p>
    <w:p w:rsidR="00A2503C" w:rsidRPr="00073889" w:rsidRDefault="00A2503C" w:rsidP="00A2503C">
      <w:pPr>
        <w:pStyle w:val="Prrafodelista"/>
        <w:jc w:val="both"/>
        <w:rPr>
          <w:rFonts w:ascii="Arial" w:hAnsi="Arial" w:cs="Arial"/>
          <w:b/>
          <w:u w:val="single"/>
        </w:rPr>
      </w:pPr>
    </w:p>
    <w:p w:rsidR="002821D2" w:rsidRPr="00073889" w:rsidRDefault="002821D2" w:rsidP="00A2503C">
      <w:pPr>
        <w:pStyle w:val="Prrafodelista"/>
        <w:numPr>
          <w:ilvl w:val="1"/>
          <w:numId w:val="11"/>
        </w:numPr>
        <w:ind w:left="709"/>
        <w:jc w:val="both"/>
        <w:rPr>
          <w:rFonts w:ascii="Arial" w:hAnsi="Arial" w:cs="Arial"/>
        </w:rPr>
      </w:pPr>
      <w:r w:rsidRPr="00073889">
        <w:rPr>
          <w:rFonts w:ascii="Arial" w:hAnsi="Arial" w:cs="Arial"/>
        </w:rPr>
        <w:t xml:space="preserve">Gerente de Proyecto  </w:t>
      </w:r>
      <w:r w:rsidRPr="00073889">
        <w:rPr>
          <w:rFonts w:ascii="Arial" w:hAnsi="Arial" w:cs="Arial"/>
        </w:rPr>
        <w:tab/>
      </w:r>
      <w:r w:rsidRPr="00073889">
        <w:rPr>
          <w:rFonts w:ascii="Arial" w:hAnsi="Arial" w:cs="Arial"/>
        </w:rPr>
        <w:tab/>
      </w:r>
      <w:r w:rsidRPr="00073889">
        <w:rPr>
          <w:rFonts w:ascii="Arial" w:hAnsi="Arial" w:cs="Arial"/>
        </w:rPr>
        <w:tab/>
        <w:t>:  Luis E. Martorellet</w:t>
      </w:r>
    </w:p>
    <w:p w:rsidR="002821D2" w:rsidRPr="00073889" w:rsidRDefault="002821D2" w:rsidP="00A2503C">
      <w:pPr>
        <w:pStyle w:val="Prrafodelista"/>
        <w:numPr>
          <w:ilvl w:val="0"/>
          <w:numId w:val="11"/>
        </w:numPr>
        <w:jc w:val="both"/>
        <w:rPr>
          <w:rFonts w:ascii="Arial" w:hAnsi="Arial" w:cs="Arial"/>
        </w:rPr>
      </w:pPr>
      <w:r w:rsidRPr="00073889">
        <w:rPr>
          <w:rFonts w:ascii="Arial" w:hAnsi="Arial" w:cs="Arial"/>
        </w:rPr>
        <w:t xml:space="preserve">Administradora del Proyecto </w:t>
      </w:r>
      <w:r w:rsidRPr="00073889">
        <w:rPr>
          <w:rFonts w:ascii="Arial" w:hAnsi="Arial" w:cs="Arial"/>
        </w:rPr>
        <w:tab/>
      </w:r>
      <w:r w:rsidRPr="00073889">
        <w:rPr>
          <w:rFonts w:ascii="Arial" w:hAnsi="Arial" w:cs="Arial"/>
        </w:rPr>
        <w:tab/>
        <w:t>:  Carla Vindrola</w:t>
      </w:r>
    </w:p>
    <w:p w:rsidR="002821D2" w:rsidRPr="00073889" w:rsidRDefault="002821D2" w:rsidP="00A2503C">
      <w:pPr>
        <w:pStyle w:val="Prrafodelista"/>
        <w:numPr>
          <w:ilvl w:val="0"/>
          <w:numId w:val="11"/>
        </w:numPr>
        <w:jc w:val="both"/>
        <w:rPr>
          <w:rFonts w:ascii="Arial" w:hAnsi="Arial" w:cs="Arial"/>
        </w:rPr>
      </w:pPr>
      <w:r w:rsidRPr="00073889">
        <w:rPr>
          <w:rFonts w:ascii="Arial" w:hAnsi="Arial" w:cs="Arial"/>
        </w:rPr>
        <w:t>Asesor Técnico -Oficial del Programa</w:t>
      </w:r>
      <w:r w:rsidRPr="00073889">
        <w:rPr>
          <w:rFonts w:ascii="Arial" w:hAnsi="Arial" w:cs="Arial"/>
        </w:rPr>
        <w:tab/>
        <w:t>:</w:t>
      </w:r>
      <w:r w:rsidR="00876BFB">
        <w:rPr>
          <w:rFonts w:ascii="Arial" w:hAnsi="Arial" w:cs="Arial"/>
        </w:rPr>
        <w:t xml:space="preserve"> </w:t>
      </w:r>
      <w:r w:rsidRPr="00073889">
        <w:rPr>
          <w:rFonts w:ascii="Arial" w:hAnsi="Arial" w:cs="Arial"/>
        </w:rPr>
        <w:t xml:space="preserve"> Rolando Wilson Arancibia</w:t>
      </w:r>
    </w:p>
    <w:p w:rsidR="002821D2" w:rsidRPr="00073889" w:rsidRDefault="002821D2" w:rsidP="00A2503C">
      <w:pPr>
        <w:pStyle w:val="Prrafodelista"/>
        <w:numPr>
          <w:ilvl w:val="0"/>
          <w:numId w:val="11"/>
        </w:numPr>
        <w:jc w:val="both"/>
        <w:rPr>
          <w:rFonts w:ascii="Arial" w:hAnsi="Arial" w:cs="Arial"/>
        </w:rPr>
      </w:pPr>
      <w:r w:rsidRPr="00073889">
        <w:rPr>
          <w:rFonts w:ascii="Arial" w:hAnsi="Arial" w:cs="Arial"/>
        </w:rPr>
        <w:t>FAO</w:t>
      </w:r>
      <w:r w:rsidR="00D216EB">
        <w:rPr>
          <w:rFonts w:ascii="Arial" w:hAnsi="Arial" w:cs="Arial"/>
        </w:rPr>
        <w:tab/>
      </w:r>
      <w:r w:rsidR="00D216EB">
        <w:rPr>
          <w:rFonts w:ascii="Arial" w:hAnsi="Arial" w:cs="Arial"/>
        </w:rPr>
        <w:tab/>
      </w:r>
      <w:r w:rsidR="00D216EB">
        <w:rPr>
          <w:rFonts w:ascii="Arial" w:hAnsi="Arial" w:cs="Arial"/>
        </w:rPr>
        <w:tab/>
      </w:r>
      <w:r w:rsidR="00D216EB">
        <w:rPr>
          <w:rFonts w:ascii="Arial" w:hAnsi="Arial" w:cs="Arial"/>
        </w:rPr>
        <w:tab/>
      </w:r>
      <w:r w:rsidR="00D216EB">
        <w:rPr>
          <w:rFonts w:ascii="Arial" w:hAnsi="Arial" w:cs="Arial"/>
        </w:rPr>
        <w:tab/>
      </w:r>
      <w:r w:rsidRPr="00073889">
        <w:rPr>
          <w:rFonts w:ascii="Arial" w:hAnsi="Arial" w:cs="Arial"/>
        </w:rPr>
        <w:tab/>
        <w:t>:  Eva Fanny Montellanos</w:t>
      </w:r>
    </w:p>
    <w:p w:rsidR="002821D2" w:rsidRPr="00073889" w:rsidRDefault="002821D2" w:rsidP="00A2503C">
      <w:pPr>
        <w:pStyle w:val="Prrafodelista"/>
        <w:numPr>
          <w:ilvl w:val="0"/>
          <w:numId w:val="11"/>
        </w:numPr>
        <w:jc w:val="both"/>
        <w:rPr>
          <w:rFonts w:ascii="Arial" w:hAnsi="Arial" w:cs="Arial"/>
        </w:rPr>
      </w:pPr>
      <w:r w:rsidRPr="00073889">
        <w:rPr>
          <w:rFonts w:ascii="Arial" w:hAnsi="Arial" w:cs="Arial"/>
        </w:rPr>
        <w:t>PMA</w:t>
      </w:r>
      <w:r w:rsidR="00D216EB">
        <w:rPr>
          <w:rFonts w:ascii="Arial" w:hAnsi="Arial" w:cs="Arial"/>
        </w:rPr>
        <w:t>- Asesora en alimentación Escolar</w:t>
      </w:r>
      <w:r w:rsidRPr="00073889">
        <w:rPr>
          <w:rFonts w:ascii="Arial" w:hAnsi="Arial" w:cs="Arial"/>
        </w:rPr>
        <w:tab/>
        <w:t>:  Tania Rodríguez</w:t>
      </w:r>
    </w:p>
    <w:p w:rsidR="002821D2" w:rsidRPr="00073889" w:rsidRDefault="000A77C6" w:rsidP="00A2503C">
      <w:pPr>
        <w:pStyle w:val="Prrafodelista"/>
        <w:numPr>
          <w:ilvl w:val="0"/>
          <w:numId w:val="11"/>
        </w:numPr>
        <w:jc w:val="both"/>
        <w:rPr>
          <w:rFonts w:ascii="Arial" w:hAnsi="Arial" w:cs="Arial"/>
        </w:rPr>
      </w:pPr>
      <w:r>
        <w:rPr>
          <w:rFonts w:ascii="Arial" w:hAnsi="Arial" w:cs="Arial"/>
        </w:rPr>
        <w:t>Coordinadora de Programa</w:t>
      </w:r>
      <w:r w:rsidR="002821D2" w:rsidRPr="00073889">
        <w:rPr>
          <w:rFonts w:ascii="Arial" w:hAnsi="Arial" w:cs="Arial"/>
        </w:rPr>
        <w:tab/>
      </w:r>
      <w:r w:rsidR="002821D2" w:rsidRPr="00073889">
        <w:rPr>
          <w:rFonts w:ascii="Arial" w:hAnsi="Arial" w:cs="Arial"/>
        </w:rPr>
        <w:tab/>
      </w:r>
      <w:r w:rsidR="002821D2" w:rsidRPr="00073889">
        <w:rPr>
          <w:rFonts w:ascii="Arial" w:hAnsi="Arial" w:cs="Arial"/>
        </w:rPr>
        <w:tab/>
        <w:t xml:space="preserve">: </w:t>
      </w:r>
      <w:r w:rsidR="00876BFB">
        <w:rPr>
          <w:rFonts w:ascii="Arial" w:hAnsi="Arial" w:cs="Arial"/>
        </w:rPr>
        <w:t xml:space="preserve"> </w:t>
      </w:r>
      <w:r w:rsidR="002821D2" w:rsidRPr="00073889">
        <w:rPr>
          <w:rFonts w:ascii="Arial" w:hAnsi="Arial" w:cs="Arial"/>
        </w:rPr>
        <w:t>María Eugenia Mujica</w:t>
      </w:r>
    </w:p>
    <w:p w:rsidR="002821D2" w:rsidRPr="00073889" w:rsidRDefault="002821D2" w:rsidP="002821D2">
      <w:pPr>
        <w:pStyle w:val="Prrafodelista"/>
        <w:ind w:left="284"/>
        <w:jc w:val="both"/>
        <w:rPr>
          <w:rFonts w:ascii="Arial" w:hAnsi="Arial" w:cs="Arial"/>
          <w:b/>
          <w:u w:val="single"/>
        </w:rPr>
      </w:pPr>
    </w:p>
    <w:p w:rsidR="002821D2" w:rsidRPr="00073889" w:rsidRDefault="00A2503C" w:rsidP="00A2503C">
      <w:pPr>
        <w:pStyle w:val="Prrafodelista"/>
        <w:numPr>
          <w:ilvl w:val="1"/>
          <w:numId w:val="4"/>
        </w:numPr>
        <w:ind w:left="142"/>
        <w:jc w:val="both"/>
        <w:rPr>
          <w:rFonts w:ascii="Arial" w:hAnsi="Arial" w:cs="Arial"/>
          <w:b/>
          <w:u w:val="single"/>
        </w:rPr>
      </w:pPr>
      <w:r>
        <w:rPr>
          <w:rFonts w:ascii="Arial" w:hAnsi="Arial" w:cs="Arial"/>
          <w:b/>
          <w:u w:val="single"/>
        </w:rPr>
        <w:t>FUNCIONARIOS DE QALI WARMA</w:t>
      </w:r>
    </w:p>
    <w:p w:rsidR="002821D2" w:rsidRPr="00073889" w:rsidRDefault="002821D2" w:rsidP="002821D2">
      <w:pPr>
        <w:pStyle w:val="Prrafodelista"/>
        <w:ind w:left="284"/>
        <w:jc w:val="both"/>
        <w:rPr>
          <w:rFonts w:ascii="Arial" w:hAnsi="Arial" w:cs="Arial"/>
          <w:b/>
          <w:u w:val="single"/>
        </w:rPr>
      </w:pPr>
    </w:p>
    <w:p w:rsidR="002821D2" w:rsidRPr="00073889" w:rsidRDefault="002821D2" w:rsidP="00A2503C">
      <w:pPr>
        <w:pStyle w:val="Prrafodelista"/>
        <w:numPr>
          <w:ilvl w:val="0"/>
          <w:numId w:val="12"/>
        </w:numPr>
        <w:jc w:val="both"/>
        <w:rPr>
          <w:rFonts w:ascii="Arial" w:hAnsi="Arial" w:cs="Arial"/>
        </w:rPr>
      </w:pPr>
      <w:r w:rsidRPr="00073889">
        <w:rPr>
          <w:rFonts w:ascii="Arial" w:hAnsi="Arial" w:cs="Arial"/>
        </w:rPr>
        <w:t>Especialista en Planeamiento</w:t>
      </w:r>
      <w:r w:rsidRPr="00073889">
        <w:rPr>
          <w:rFonts w:ascii="Arial" w:hAnsi="Arial" w:cs="Arial"/>
        </w:rPr>
        <w:tab/>
      </w:r>
      <w:r w:rsidRPr="00073889">
        <w:rPr>
          <w:rFonts w:ascii="Arial" w:hAnsi="Arial" w:cs="Arial"/>
        </w:rPr>
        <w:tab/>
        <w:t>: Paula Ruiz</w:t>
      </w:r>
    </w:p>
    <w:p w:rsidR="002821D2" w:rsidRPr="00073889" w:rsidRDefault="002821D2" w:rsidP="00A2503C">
      <w:pPr>
        <w:pStyle w:val="Prrafodelista"/>
        <w:numPr>
          <w:ilvl w:val="0"/>
          <w:numId w:val="12"/>
        </w:numPr>
        <w:jc w:val="both"/>
        <w:rPr>
          <w:rFonts w:ascii="Arial" w:hAnsi="Arial" w:cs="Arial"/>
        </w:rPr>
      </w:pPr>
      <w:r w:rsidRPr="00073889">
        <w:rPr>
          <w:rFonts w:ascii="Arial" w:hAnsi="Arial" w:cs="Arial"/>
        </w:rPr>
        <w:t xml:space="preserve">Especialista Comp. </w:t>
      </w:r>
      <w:r w:rsidR="009612EA" w:rsidRPr="00073889">
        <w:rPr>
          <w:rFonts w:ascii="Arial" w:hAnsi="Arial" w:cs="Arial"/>
        </w:rPr>
        <w:t>Educativo</w:t>
      </w:r>
      <w:r w:rsidR="009612EA" w:rsidRPr="00073889">
        <w:rPr>
          <w:rFonts w:ascii="Arial" w:hAnsi="Arial" w:cs="Arial"/>
        </w:rPr>
        <w:tab/>
      </w:r>
      <w:r w:rsidRPr="00073889">
        <w:rPr>
          <w:rFonts w:ascii="Arial" w:hAnsi="Arial" w:cs="Arial"/>
        </w:rPr>
        <w:tab/>
        <w:t xml:space="preserve">: Ronald Coronado </w:t>
      </w:r>
    </w:p>
    <w:p w:rsidR="002821D2" w:rsidRPr="00073889" w:rsidRDefault="002821D2" w:rsidP="00A2503C">
      <w:pPr>
        <w:pStyle w:val="Prrafodelista"/>
        <w:numPr>
          <w:ilvl w:val="0"/>
          <w:numId w:val="12"/>
        </w:numPr>
        <w:jc w:val="both"/>
        <w:rPr>
          <w:rFonts w:ascii="Arial" w:hAnsi="Arial" w:cs="Arial"/>
        </w:rPr>
      </w:pPr>
      <w:r w:rsidRPr="00073889">
        <w:rPr>
          <w:rFonts w:ascii="Arial" w:hAnsi="Arial" w:cs="Arial"/>
        </w:rPr>
        <w:t>Especialista Equipamiento</w:t>
      </w:r>
      <w:r w:rsidRPr="00073889">
        <w:rPr>
          <w:rFonts w:ascii="Arial" w:hAnsi="Arial" w:cs="Arial"/>
        </w:rPr>
        <w:tab/>
      </w:r>
      <w:r w:rsidRPr="00073889">
        <w:rPr>
          <w:rFonts w:ascii="Arial" w:hAnsi="Arial" w:cs="Arial"/>
        </w:rPr>
        <w:tab/>
      </w:r>
      <w:r w:rsidR="00073889">
        <w:rPr>
          <w:rFonts w:ascii="Arial" w:hAnsi="Arial" w:cs="Arial"/>
        </w:rPr>
        <w:tab/>
      </w:r>
      <w:r w:rsidRPr="00073889">
        <w:rPr>
          <w:rFonts w:ascii="Arial" w:hAnsi="Arial" w:cs="Arial"/>
        </w:rPr>
        <w:t>: Manuel Prado Merino</w:t>
      </w:r>
    </w:p>
    <w:p w:rsidR="002821D2" w:rsidRPr="00073889" w:rsidRDefault="002821D2" w:rsidP="00A2503C">
      <w:pPr>
        <w:pStyle w:val="Prrafodelista"/>
        <w:numPr>
          <w:ilvl w:val="0"/>
          <w:numId w:val="12"/>
        </w:numPr>
        <w:jc w:val="both"/>
        <w:rPr>
          <w:rFonts w:ascii="Arial" w:hAnsi="Arial" w:cs="Arial"/>
        </w:rPr>
      </w:pPr>
      <w:r w:rsidRPr="00073889">
        <w:rPr>
          <w:rFonts w:ascii="Arial" w:hAnsi="Arial" w:cs="Arial"/>
        </w:rPr>
        <w:t>Especialista Herramientas educativas</w:t>
      </w:r>
      <w:r w:rsidRPr="00073889">
        <w:rPr>
          <w:rFonts w:ascii="Arial" w:hAnsi="Arial" w:cs="Arial"/>
        </w:rPr>
        <w:tab/>
        <w:t>: Marianela Saire Choquemaqui</w:t>
      </w:r>
    </w:p>
    <w:p w:rsidR="002821D2" w:rsidRPr="00073889" w:rsidRDefault="002821D2" w:rsidP="00A2503C">
      <w:pPr>
        <w:pStyle w:val="Prrafodelista"/>
        <w:numPr>
          <w:ilvl w:val="0"/>
          <w:numId w:val="12"/>
        </w:numPr>
        <w:jc w:val="both"/>
        <w:rPr>
          <w:rFonts w:ascii="Arial" w:hAnsi="Arial" w:cs="Arial"/>
        </w:rPr>
      </w:pPr>
      <w:r w:rsidRPr="00073889">
        <w:rPr>
          <w:rFonts w:ascii="Arial" w:hAnsi="Arial" w:cs="Arial"/>
        </w:rPr>
        <w:t>Especialista Componente 5</w:t>
      </w:r>
      <w:r w:rsidR="00CC329A">
        <w:rPr>
          <w:rFonts w:ascii="Arial" w:hAnsi="Arial" w:cs="Arial"/>
        </w:rPr>
        <w:t>. Huertos</w:t>
      </w:r>
      <w:r w:rsidRPr="00073889">
        <w:rPr>
          <w:rFonts w:ascii="Arial" w:hAnsi="Arial" w:cs="Arial"/>
        </w:rPr>
        <w:tab/>
        <w:t>: Hebelina Cordova Melendez</w:t>
      </w:r>
    </w:p>
    <w:p w:rsidR="009612EA" w:rsidRDefault="009612EA" w:rsidP="009612EA">
      <w:pPr>
        <w:jc w:val="both"/>
        <w:rPr>
          <w:rFonts w:ascii="Arial" w:hAnsi="Arial" w:cs="Arial"/>
        </w:rPr>
      </w:pPr>
    </w:p>
    <w:p w:rsidR="00064BDA" w:rsidRDefault="00064BDA" w:rsidP="009612EA">
      <w:pPr>
        <w:jc w:val="both"/>
        <w:rPr>
          <w:rFonts w:ascii="Arial" w:hAnsi="Arial" w:cs="Arial"/>
        </w:rPr>
      </w:pPr>
    </w:p>
    <w:p w:rsidR="00064BDA" w:rsidRDefault="00064BDA" w:rsidP="009612EA">
      <w:pPr>
        <w:jc w:val="both"/>
        <w:rPr>
          <w:rFonts w:ascii="Arial" w:hAnsi="Arial" w:cs="Arial"/>
        </w:rPr>
      </w:pPr>
    </w:p>
    <w:p w:rsidR="00064BDA" w:rsidRPr="00073889" w:rsidRDefault="00064BDA" w:rsidP="009612EA">
      <w:pPr>
        <w:jc w:val="both"/>
        <w:rPr>
          <w:rFonts w:ascii="Arial" w:hAnsi="Arial" w:cs="Arial"/>
        </w:rPr>
      </w:pPr>
    </w:p>
    <w:p w:rsidR="009612EA" w:rsidRDefault="009612EA" w:rsidP="009612EA">
      <w:pPr>
        <w:pStyle w:val="Prrafodelista"/>
        <w:numPr>
          <w:ilvl w:val="0"/>
          <w:numId w:val="4"/>
        </w:numPr>
        <w:ind w:left="142" w:hanging="426"/>
        <w:rPr>
          <w:rFonts w:ascii="Arial" w:hAnsi="Arial" w:cs="Arial"/>
          <w:b/>
        </w:rPr>
      </w:pPr>
      <w:r w:rsidRPr="00073889">
        <w:rPr>
          <w:rFonts w:ascii="Arial" w:hAnsi="Arial" w:cs="Arial"/>
          <w:b/>
        </w:rPr>
        <w:lastRenderedPageBreak/>
        <w:t>RESULTADOS</w:t>
      </w:r>
    </w:p>
    <w:p w:rsidR="003F4844" w:rsidRDefault="003F4844" w:rsidP="003F4844">
      <w:pPr>
        <w:pStyle w:val="Prrafodelista"/>
        <w:spacing w:after="0" w:line="240" w:lineRule="auto"/>
        <w:ind w:left="142"/>
        <w:jc w:val="both"/>
        <w:rPr>
          <w:rFonts w:ascii="Arial" w:hAnsi="Arial" w:cs="Arial"/>
        </w:rPr>
      </w:pPr>
      <w:r w:rsidRPr="003F4844">
        <w:rPr>
          <w:rFonts w:ascii="Arial" w:hAnsi="Arial" w:cs="Arial"/>
        </w:rPr>
        <w:t>En el siguiente cuadro se sistematizan los resultados obtenidos a nivel de los componentes del proyecto.</w:t>
      </w:r>
    </w:p>
    <w:p w:rsidR="003F4844" w:rsidRPr="003F4844" w:rsidRDefault="003F4844" w:rsidP="003F4844">
      <w:pPr>
        <w:pStyle w:val="Prrafodelista"/>
        <w:spacing w:after="0" w:line="240" w:lineRule="auto"/>
        <w:ind w:left="142"/>
        <w:jc w:val="both"/>
        <w:rPr>
          <w:rFonts w:ascii="Arial" w:hAnsi="Arial" w:cs="Arial"/>
        </w:rPr>
      </w:pPr>
    </w:p>
    <w:tbl>
      <w:tblPr>
        <w:tblStyle w:val="Tablaconcuadrcula"/>
        <w:tblW w:w="9158" w:type="dxa"/>
        <w:tblLayout w:type="fixed"/>
        <w:tblLook w:val="04A0" w:firstRow="1" w:lastRow="0" w:firstColumn="1" w:lastColumn="0" w:noHBand="0" w:noVBand="1"/>
      </w:tblPr>
      <w:tblGrid>
        <w:gridCol w:w="1809"/>
        <w:gridCol w:w="2291"/>
        <w:gridCol w:w="2812"/>
        <w:gridCol w:w="2246"/>
      </w:tblGrid>
      <w:tr w:rsidR="00820415" w:rsidRPr="00F04348" w:rsidTr="00BA6A28">
        <w:trPr>
          <w:tblHeader/>
        </w:trPr>
        <w:tc>
          <w:tcPr>
            <w:tcW w:w="4100" w:type="dxa"/>
            <w:gridSpan w:val="2"/>
            <w:shd w:val="clear" w:color="auto" w:fill="BFBFBF" w:themeFill="background1" w:themeFillShade="BF"/>
            <w:vAlign w:val="center"/>
          </w:tcPr>
          <w:p w:rsidR="00820415" w:rsidRPr="00820415" w:rsidRDefault="00820415" w:rsidP="00820415">
            <w:pPr>
              <w:jc w:val="center"/>
              <w:rPr>
                <w:rFonts w:ascii="Arial" w:hAnsi="Arial" w:cs="Arial"/>
                <w:b/>
                <w:sz w:val="16"/>
                <w:szCs w:val="16"/>
              </w:rPr>
            </w:pPr>
            <w:r w:rsidRPr="00820415">
              <w:rPr>
                <w:rFonts w:ascii="Arial" w:hAnsi="Arial" w:cs="Arial"/>
                <w:b/>
                <w:sz w:val="16"/>
                <w:szCs w:val="16"/>
              </w:rPr>
              <w:t>COMPONENTES DEL PROYECTO</w:t>
            </w:r>
          </w:p>
        </w:tc>
        <w:tc>
          <w:tcPr>
            <w:tcW w:w="2812" w:type="dxa"/>
            <w:shd w:val="clear" w:color="auto" w:fill="BFBFBF" w:themeFill="background1" w:themeFillShade="BF"/>
            <w:vAlign w:val="center"/>
          </w:tcPr>
          <w:p w:rsidR="00820415" w:rsidRPr="00820415" w:rsidRDefault="00820415" w:rsidP="00820415">
            <w:pPr>
              <w:jc w:val="center"/>
              <w:rPr>
                <w:rFonts w:ascii="Arial" w:hAnsi="Arial" w:cs="Arial"/>
                <w:b/>
                <w:sz w:val="16"/>
                <w:szCs w:val="16"/>
              </w:rPr>
            </w:pPr>
            <w:r w:rsidRPr="00820415">
              <w:rPr>
                <w:rFonts w:ascii="Arial" w:hAnsi="Arial" w:cs="Arial"/>
                <w:b/>
                <w:sz w:val="16"/>
                <w:szCs w:val="16"/>
              </w:rPr>
              <w:t>PERCEPCIÓN DE LOS FUNCIONARIOS</w:t>
            </w:r>
          </w:p>
        </w:tc>
        <w:tc>
          <w:tcPr>
            <w:tcW w:w="2246" w:type="dxa"/>
            <w:shd w:val="clear" w:color="auto" w:fill="BFBFBF" w:themeFill="background1" w:themeFillShade="BF"/>
            <w:vAlign w:val="center"/>
          </w:tcPr>
          <w:p w:rsidR="00820415" w:rsidRPr="00820415" w:rsidRDefault="00820415" w:rsidP="00820415">
            <w:pPr>
              <w:jc w:val="center"/>
              <w:rPr>
                <w:rFonts w:ascii="Arial" w:hAnsi="Arial" w:cs="Arial"/>
                <w:b/>
                <w:sz w:val="16"/>
                <w:szCs w:val="16"/>
              </w:rPr>
            </w:pPr>
            <w:r>
              <w:rPr>
                <w:rFonts w:ascii="Arial" w:hAnsi="Arial" w:cs="Arial"/>
                <w:b/>
                <w:sz w:val="16"/>
                <w:szCs w:val="16"/>
              </w:rPr>
              <w:t>CITAS MÁS SIGNIFICATIVAS</w:t>
            </w:r>
          </w:p>
        </w:tc>
      </w:tr>
      <w:tr w:rsidR="00820415" w:rsidRPr="00F04348" w:rsidTr="00BA6A28">
        <w:tc>
          <w:tcPr>
            <w:tcW w:w="1809" w:type="dxa"/>
            <w:vMerge w:val="restart"/>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lang w:val="es-PE"/>
              </w:rPr>
            </w:pPr>
            <w:r w:rsidRPr="00F04348">
              <w:rPr>
                <w:rFonts w:ascii="Arial" w:hAnsi="Arial" w:cs="Arial"/>
                <w:b/>
                <w:sz w:val="16"/>
                <w:szCs w:val="16"/>
              </w:rPr>
              <w:t>Servicio alimentario oportuno y de calidad</w:t>
            </w:r>
          </w:p>
          <w:p w:rsidR="00820415" w:rsidRPr="00F04348" w:rsidRDefault="00820415" w:rsidP="00820415">
            <w:pPr>
              <w:ind w:left="142" w:hanging="142"/>
              <w:rPr>
                <w:rFonts w:ascii="Arial" w:hAnsi="Arial" w:cs="Arial"/>
                <w:sz w:val="16"/>
                <w:szCs w:val="16"/>
                <w:lang w:val="es-PE"/>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lang w:val="es-PE"/>
              </w:rPr>
            </w:pPr>
            <w:r w:rsidRPr="00F04348">
              <w:rPr>
                <w:rFonts w:ascii="Arial" w:hAnsi="Arial" w:cs="Arial"/>
                <w:sz w:val="16"/>
                <w:szCs w:val="16"/>
              </w:rPr>
              <w:t>Coméntenos sobre la conformación de los CAEs en las II.EE. beneficiarias del proyecto.</w:t>
            </w:r>
          </w:p>
          <w:p w:rsidR="00820415" w:rsidRPr="00F04348" w:rsidRDefault="00820415" w:rsidP="00820415">
            <w:pPr>
              <w:ind w:left="176" w:hanging="284"/>
              <w:jc w:val="both"/>
              <w:rPr>
                <w:rFonts w:ascii="Arial" w:hAnsi="Arial" w:cs="Arial"/>
                <w:sz w:val="16"/>
                <w:szCs w:val="16"/>
                <w:lang w:val="es-PE"/>
              </w:rPr>
            </w:pPr>
          </w:p>
        </w:tc>
        <w:tc>
          <w:tcPr>
            <w:tcW w:w="2812" w:type="dxa"/>
            <w:vAlign w:val="center"/>
          </w:tcPr>
          <w:p w:rsidR="00820415" w:rsidRPr="00F04348" w:rsidRDefault="00F4752D" w:rsidP="000661EA">
            <w:pPr>
              <w:spacing w:line="276" w:lineRule="auto"/>
              <w:jc w:val="both"/>
              <w:rPr>
                <w:rFonts w:ascii="Arial" w:hAnsi="Arial" w:cs="Arial"/>
                <w:sz w:val="16"/>
                <w:szCs w:val="16"/>
              </w:rPr>
            </w:pPr>
            <w:r>
              <w:rPr>
                <w:rFonts w:ascii="Arial" w:hAnsi="Arial" w:cs="Arial"/>
                <w:sz w:val="16"/>
                <w:szCs w:val="16"/>
              </w:rPr>
              <w:t>Todos los funcionarios indicaron que la conformación de los CAEs estuvo a cargo del PNAEQW.</w:t>
            </w:r>
          </w:p>
        </w:tc>
        <w:tc>
          <w:tcPr>
            <w:tcW w:w="2246" w:type="dxa"/>
            <w:vAlign w:val="center"/>
          </w:tcPr>
          <w:p w:rsidR="00820415" w:rsidRPr="00F04348" w:rsidRDefault="00F4752D" w:rsidP="000661EA">
            <w:pPr>
              <w:spacing w:line="276" w:lineRule="auto"/>
              <w:jc w:val="both"/>
              <w:rPr>
                <w:rFonts w:ascii="Arial" w:hAnsi="Arial" w:cs="Arial"/>
                <w:sz w:val="16"/>
                <w:szCs w:val="16"/>
              </w:rPr>
            </w:pPr>
            <w:r>
              <w:rPr>
                <w:rFonts w:ascii="Arial" w:hAnsi="Arial" w:cs="Arial"/>
                <w:sz w:val="16"/>
                <w:szCs w:val="16"/>
              </w:rPr>
              <w:t>“El proyecto como tal no tuvo como actividad la conformación de los CAEs, fue responsabilidad directa del PNAEQW”</w:t>
            </w:r>
            <w:r w:rsidR="00CF2025">
              <w:rPr>
                <w:rFonts w:ascii="Arial" w:hAnsi="Arial" w:cs="Arial"/>
                <w:sz w:val="16"/>
                <w:szCs w:val="16"/>
              </w:rPr>
              <w:t>. 3.1.c</w:t>
            </w:r>
          </w:p>
        </w:tc>
      </w:tr>
      <w:tr w:rsidR="00820415" w:rsidRPr="00F04348" w:rsidTr="00BA6A28">
        <w:tc>
          <w:tcPr>
            <w:tcW w:w="1809" w:type="dxa"/>
            <w:vMerge/>
            <w:vAlign w:val="center"/>
          </w:tcPr>
          <w:p w:rsidR="00820415" w:rsidRPr="00F04348" w:rsidRDefault="00820415" w:rsidP="00820415">
            <w:pPr>
              <w:pStyle w:val="Prrafodelista"/>
              <w:spacing w:before="160" w:after="160" w:line="259" w:lineRule="auto"/>
              <w:ind w:left="142" w:hanging="142"/>
              <w:contextualSpacing w:val="0"/>
              <w:rPr>
                <w:rFonts w:ascii="Arial" w:hAnsi="Arial" w:cs="Arial"/>
                <w:b/>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Coméntenos sobre la implementación de los CAEs con equipamiento (cocinas, mesas, parihuelas, utensilios, menaje, vestuario), en razón de la cantidad de elementos y el cronograma previsto si se cumplió.</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136873" w:rsidP="000661EA">
            <w:pPr>
              <w:spacing w:line="276" w:lineRule="auto"/>
              <w:jc w:val="both"/>
              <w:rPr>
                <w:rFonts w:ascii="Arial" w:hAnsi="Arial" w:cs="Arial"/>
                <w:sz w:val="16"/>
                <w:szCs w:val="16"/>
              </w:rPr>
            </w:pPr>
            <w:r>
              <w:rPr>
                <w:rFonts w:ascii="Arial" w:hAnsi="Arial" w:cs="Arial"/>
                <w:sz w:val="16"/>
                <w:szCs w:val="16"/>
              </w:rPr>
              <w:t>Las actividades programadas para implementar los CAEs con equipamiento, se llegó a cumplir con las entregas a pesar de que siempre fue un problema la determinación de la lista de beneficiarios, constantes cambios por parte del PNAEQW, que dificultaba realizar los procesos de contrataciones.</w:t>
            </w:r>
          </w:p>
          <w:p w:rsidR="00136873" w:rsidRDefault="00136873" w:rsidP="000661EA">
            <w:pPr>
              <w:spacing w:line="276" w:lineRule="auto"/>
              <w:jc w:val="both"/>
              <w:rPr>
                <w:rFonts w:ascii="Arial" w:hAnsi="Arial" w:cs="Arial"/>
                <w:sz w:val="16"/>
                <w:szCs w:val="16"/>
              </w:rPr>
            </w:pPr>
            <w:r>
              <w:rPr>
                <w:rFonts w:ascii="Arial" w:hAnsi="Arial" w:cs="Arial"/>
                <w:sz w:val="16"/>
                <w:szCs w:val="16"/>
              </w:rPr>
              <w:t>Es preciso indicar que con cada cambio de administración tanto del MIDIS, como del PNAEQW, significaba nuevos criterios que retrasaban las posibilidades de atender de manera adecuada a los beneficiarios al interior del País.</w:t>
            </w:r>
          </w:p>
          <w:p w:rsidR="00136873" w:rsidRPr="00F04348" w:rsidRDefault="00136873" w:rsidP="000661EA">
            <w:pPr>
              <w:spacing w:line="276" w:lineRule="auto"/>
              <w:jc w:val="both"/>
              <w:rPr>
                <w:rFonts w:ascii="Arial" w:hAnsi="Arial" w:cs="Arial"/>
                <w:sz w:val="16"/>
                <w:szCs w:val="16"/>
              </w:rPr>
            </w:pPr>
            <w:r>
              <w:rPr>
                <w:rFonts w:ascii="Arial" w:hAnsi="Arial" w:cs="Arial"/>
                <w:sz w:val="16"/>
                <w:szCs w:val="16"/>
              </w:rPr>
              <w:t>Finalmente indicar que se realizaron visitas a las II.EE beneficiarias para verificar que los equipos estén en funcionamiento y bajo las condiciones pactadas con el contratista.</w:t>
            </w:r>
          </w:p>
        </w:tc>
        <w:tc>
          <w:tcPr>
            <w:tcW w:w="2246" w:type="dxa"/>
          </w:tcPr>
          <w:p w:rsidR="00820415" w:rsidRDefault="00136873" w:rsidP="000661EA">
            <w:pPr>
              <w:spacing w:line="276" w:lineRule="auto"/>
              <w:jc w:val="both"/>
              <w:rPr>
                <w:rFonts w:ascii="Arial" w:hAnsi="Arial" w:cs="Arial"/>
                <w:sz w:val="16"/>
                <w:szCs w:val="16"/>
              </w:rPr>
            </w:pPr>
            <w:r>
              <w:rPr>
                <w:rFonts w:ascii="Arial" w:hAnsi="Arial" w:cs="Arial"/>
                <w:sz w:val="16"/>
                <w:szCs w:val="16"/>
              </w:rPr>
              <w:t>“La determinación de la lista de beneficiarios fue un gran problema, pero conforme se fue implementando se mejoraron los procesos</w:t>
            </w:r>
            <w:r w:rsidR="000661EA">
              <w:rPr>
                <w:rFonts w:ascii="Arial" w:hAnsi="Arial" w:cs="Arial"/>
                <w:sz w:val="16"/>
                <w:szCs w:val="16"/>
              </w:rPr>
              <w:t>...”</w:t>
            </w:r>
            <w:r w:rsidR="00964C60">
              <w:rPr>
                <w:rFonts w:ascii="Arial" w:hAnsi="Arial" w:cs="Arial"/>
                <w:sz w:val="16"/>
                <w:szCs w:val="16"/>
              </w:rPr>
              <w:t>.</w:t>
            </w:r>
            <w:r w:rsidR="00CF2025">
              <w:rPr>
                <w:rFonts w:ascii="Arial" w:hAnsi="Arial" w:cs="Arial"/>
                <w:sz w:val="16"/>
                <w:szCs w:val="16"/>
              </w:rPr>
              <w:t xml:space="preserve"> 3.2.a</w:t>
            </w:r>
          </w:p>
          <w:p w:rsidR="00964C60" w:rsidRDefault="00964C60" w:rsidP="000661EA">
            <w:pPr>
              <w:spacing w:line="276" w:lineRule="auto"/>
              <w:jc w:val="both"/>
              <w:rPr>
                <w:rFonts w:ascii="Arial" w:hAnsi="Arial" w:cs="Arial"/>
                <w:sz w:val="16"/>
                <w:szCs w:val="16"/>
              </w:rPr>
            </w:pPr>
          </w:p>
          <w:p w:rsidR="00964C60" w:rsidRDefault="00964C60" w:rsidP="000661EA">
            <w:pPr>
              <w:spacing w:line="276" w:lineRule="auto"/>
              <w:jc w:val="both"/>
              <w:rPr>
                <w:rFonts w:ascii="Arial" w:hAnsi="Arial" w:cs="Arial"/>
                <w:sz w:val="16"/>
                <w:szCs w:val="16"/>
              </w:rPr>
            </w:pPr>
          </w:p>
          <w:p w:rsidR="00964C60" w:rsidRPr="00F04348" w:rsidRDefault="00964C60" w:rsidP="000661EA">
            <w:pPr>
              <w:spacing w:line="276" w:lineRule="auto"/>
              <w:jc w:val="both"/>
              <w:rPr>
                <w:rFonts w:ascii="Arial" w:hAnsi="Arial" w:cs="Arial"/>
                <w:sz w:val="16"/>
                <w:szCs w:val="16"/>
              </w:rPr>
            </w:pPr>
            <w:r>
              <w:rPr>
                <w:rFonts w:ascii="Arial" w:hAnsi="Arial" w:cs="Arial"/>
                <w:sz w:val="16"/>
                <w:szCs w:val="16"/>
              </w:rPr>
              <w:t>“Al no contar con línea de base, era muy complicado determinar las necesidades de los CAEs.”</w:t>
            </w:r>
            <w:r w:rsidR="00064F66">
              <w:rPr>
                <w:rFonts w:ascii="Arial" w:hAnsi="Arial" w:cs="Arial"/>
                <w:sz w:val="16"/>
                <w:szCs w:val="16"/>
              </w:rPr>
              <w:t xml:space="preserve"> </w:t>
            </w:r>
            <w:r w:rsidR="001A3686">
              <w:rPr>
                <w:rFonts w:ascii="Arial" w:hAnsi="Arial" w:cs="Arial"/>
                <w:sz w:val="16"/>
                <w:szCs w:val="16"/>
              </w:rPr>
              <w:t>3.1.f</w:t>
            </w:r>
          </w:p>
        </w:tc>
      </w:tr>
      <w:tr w:rsidR="00820415" w:rsidRPr="00F04348" w:rsidTr="00BA6A28">
        <w:tc>
          <w:tcPr>
            <w:tcW w:w="1809" w:type="dxa"/>
            <w:vMerge/>
            <w:vAlign w:val="center"/>
          </w:tcPr>
          <w:p w:rsidR="00820415" w:rsidRPr="00F04348" w:rsidRDefault="00820415" w:rsidP="00820415">
            <w:pPr>
              <w:pStyle w:val="Prrafodelista"/>
              <w:spacing w:before="160" w:after="160" w:line="259" w:lineRule="auto"/>
              <w:ind w:left="142" w:hanging="142"/>
              <w:contextualSpacing w:val="0"/>
              <w:rPr>
                <w:rFonts w:ascii="Arial" w:hAnsi="Arial" w:cs="Arial"/>
                <w:b/>
                <w:sz w:val="16"/>
                <w:szCs w:val="16"/>
              </w:rPr>
            </w:pPr>
          </w:p>
        </w:tc>
        <w:tc>
          <w:tcPr>
            <w:tcW w:w="2291" w:type="dxa"/>
          </w:tcPr>
          <w:p w:rsidR="00820415" w:rsidRPr="00F04348" w:rsidRDefault="00820415" w:rsidP="0048640C">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Coméntenos sobre la estrategia de fortalecimiento de capacidades: a nivel de líneas estratégicas generales y a nivel de la metodología pedagógica (por ejemplo: método expositivo transmisivo pasivo o magistral, demostrativo, interrogativo, activo o descubrimiento, experimental) para llegar de manera efectiva al forta</w:t>
            </w:r>
            <w:r w:rsidR="0048640C">
              <w:rPr>
                <w:rFonts w:ascii="Arial" w:hAnsi="Arial" w:cs="Arial"/>
                <w:sz w:val="16"/>
                <w:szCs w:val="16"/>
              </w:rPr>
              <w:t>lecimiento de los beneficiarios</w:t>
            </w:r>
          </w:p>
        </w:tc>
        <w:tc>
          <w:tcPr>
            <w:tcW w:w="2812" w:type="dxa"/>
          </w:tcPr>
          <w:p w:rsidR="00820415" w:rsidRDefault="0048640C" w:rsidP="0048640C">
            <w:pPr>
              <w:spacing w:line="276" w:lineRule="auto"/>
              <w:jc w:val="both"/>
              <w:rPr>
                <w:rFonts w:ascii="Arial" w:hAnsi="Arial" w:cs="Arial"/>
                <w:sz w:val="16"/>
                <w:szCs w:val="16"/>
              </w:rPr>
            </w:pPr>
            <w:r>
              <w:rPr>
                <w:rFonts w:ascii="Arial" w:hAnsi="Arial" w:cs="Arial"/>
                <w:sz w:val="16"/>
                <w:szCs w:val="16"/>
              </w:rPr>
              <w:t>Respecto al fortalecimiento de capacidades a los beneficiarios, los funcionarios manifestaron que no se realizó como parte del Proyecto, sino como una actividad cotidiana del PNAEQW.</w:t>
            </w:r>
          </w:p>
          <w:p w:rsidR="0048640C" w:rsidRDefault="0048640C" w:rsidP="0048640C">
            <w:pPr>
              <w:spacing w:line="276" w:lineRule="auto"/>
              <w:jc w:val="both"/>
              <w:rPr>
                <w:rFonts w:ascii="Arial" w:hAnsi="Arial" w:cs="Arial"/>
                <w:sz w:val="16"/>
                <w:szCs w:val="16"/>
              </w:rPr>
            </w:pPr>
            <w:r>
              <w:rPr>
                <w:rFonts w:ascii="Arial" w:hAnsi="Arial" w:cs="Arial"/>
                <w:sz w:val="16"/>
                <w:szCs w:val="16"/>
              </w:rPr>
              <w:t>Solo como parte del contrato de cocinas GLP, se realizaba una sensibilización a los miembros del CAEs respecto al uso de las mismas, lo cual fue realizado por el contratista. Asimismo si se presentaban incidencias eran comunicados a las Unidades Territoriales.</w:t>
            </w:r>
          </w:p>
          <w:p w:rsidR="0048640C" w:rsidRDefault="0048640C" w:rsidP="0048640C">
            <w:pPr>
              <w:spacing w:line="276" w:lineRule="auto"/>
              <w:jc w:val="both"/>
              <w:rPr>
                <w:rFonts w:ascii="Arial" w:hAnsi="Arial" w:cs="Arial"/>
                <w:sz w:val="16"/>
                <w:szCs w:val="16"/>
              </w:rPr>
            </w:pPr>
          </w:p>
          <w:p w:rsidR="0048640C" w:rsidRPr="00F04348" w:rsidRDefault="0048640C" w:rsidP="0048640C">
            <w:pPr>
              <w:spacing w:line="276" w:lineRule="auto"/>
              <w:jc w:val="both"/>
              <w:rPr>
                <w:rFonts w:ascii="Arial" w:hAnsi="Arial" w:cs="Arial"/>
                <w:sz w:val="16"/>
                <w:szCs w:val="16"/>
              </w:rPr>
            </w:pPr>
          </w:p>
        </w:tc>
        <w:tc>
          <w:tcPr>
            <w:tcW w:w="2246" w:type="dxa"/>
          </w:tcPr>
          <w:p w:rsidR="0048640C" w:rsidRDefault="0048640C" w:rsidP="0048640C">
            <w:pPr>
              <w:spacing w:line="276" w:lineRule="auto"/>
              <w:jc w:val="both"/>
              <w:rPr>
                <w:rFonts w:ascii="Arial" w:hAnsi="Arial" w:cs="Arial"/>
                <w:sz w:val="16"/>
                <w:szCs w:val="16"/>
              </w:rPr>
            </w:pPr>
            <w:r>
              <w:rPr>
                <w:rFonts w:ascii="Arial" w:hAnsi="Arial" w:cs="Arial"/>
                <w:sz w:val="16"/>
                <w:szCs w:val="16"/>
              </w:rPr>
              <w:t>“Cuando de concibió el Proyecto se planteó instalar un Plan de Fortalecimiento de Capacidades con Enfoque por Proceso”.</w:t>
            </w:r>
            <w:r w:rsidR="00064F66">
              <w:rPr>
                <w:rFonts w:ascii="Arial" w:hAnsi="Arial" w:cs="Arial"/>
                <w:sz w:val="16"/>
                <w:szCs w:val="16"/>
              </w:rPr>
              <w:t>3.1.c</w:t>
            </w:r>
          </w:p>
          <w:p w:rsidR="0048640C" w:rsidRDefault="0048640C" w:rsidP="0048640C">
            <w:pPr>
              <w:spacing w:line="276" w:lineRule="auto"/>
              <w:jc w:val="both"/>
              <w:rPr>
                <w:rFonts w:ascii="Arial" w:hAnsi="Arial" w:cs="Arial"/>
                <w:sz w:val="16"/>
                <w:szCs w:val="16"/>
              </w:rPr>
            </w:pPr>
          </w:p>
          <w:p w:rsidR="00820415" w:rsidRDefault="0048640C" w:rsidP="0048640C">
            <w:pPr>
              <w:spacing w:line="276" w:lineRule="auto"/>
              <w:jc w:val="both"/>
              <w:rPr>
                <w:rFonts w:ascii="Arial" w:hAnsi="Arial" w:cs="Arial"/>
                <w:sz w:val="16"/>
                <w:szCs w:val="16"/>
              </w:rPr>
            </w:pPr>
            <w:r>
              <w:rPr>
                <w:rFonts w:ascii="Arial" w:hAnsi="Arial" w:cs="Arial"/>
                <w:sz w:val="16"/>
                <w:szCs w:val="16"/>
              </w:rPr>
              <w:t xml:space="preserve"> “MIDIS y PNAEQW, cambiaron las decisiones y acuerdos del Proyecto respecto al fortalecimiento de capacidades”</w:t>
            </w:r>
            <w:r w:rsidR="00351297">
              <w:rPr>
                <w:rFonts w:ascii="Arial" w:hAnsi="Arial" w:cs="Arial"/>
                <w:sz w:val="16"/>
                <w:szCs w:val="16"/>
              </w:rPr>
              <w:t>3.1.f</w:t>
            </w:r>
          </w:p>
          <w:p w:rsidR="0048640C" w:rsidRPr="00F04348" w:rsidRDefault="0048640C" w:rsidP="0048640C">
            <w:pPr>
              <w:spacing w:line="276" w:lineRule="auto"/>
              <w:jc w:val="both"/>
              <w:rPr>
                <w:rFonts w:ascii="Arial" w:hAnsi="Arial" w:cs="Arial"/>
                <w:sz w:val="16"/>
                <w:szCs w:val="16"/>
              </w:rPr>
            </w:pPr>
          </w:p>
        </w:tc>
      </w:tr>
      <w:tr w:rsidR="00820415" w:rsidRPr="00F04348" w:rsidTr="00BA6A28">
        <w:tc>
          <w:tcPr>
            <w:tcW w:w="1809" w:type="dxa"/>
            <w:vMerge w:val="restart"/>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t>Gestión técnica: gestión y alimentación</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 xml:space="preserve">¿Qué cambios se generaron en la gestión técnica del PNEA Qali Warma con la </w:t>
            </w:r>
            <w:r w:rsidRPr="00F04348">
              <w:rPr>
                <w:rFonts w:ascii="Arial" w:hAnsi="Arial" w:cs="Arial"/>
                <w:sz w:val="16"/>
                <w:szCs w:val="16"/>
              </w:rPr>
              <w:lastRenderedPageBreak/>
              <w:t>implementación (A nivel de gobierno central y de las unidades territoriales por ejemplo: con la entrega de camionetas, motos y tablets)?</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9432E3" w:rsidP="009432E3">
            <w:pPr>
              <w:spacing w:line="276" w:lineRule="auto"/>
              <w:jc w:val="both"/>
              <w:rPr>
                <w:rFonts w:ascii="Arial" w:hAnsi="Arial" w:cs="Arial"/>
                <w:sz w:val="16"/>
                <w:szCs w:val="16"/>
              </w:rPr>
            </w:pPr>
            <w:r>
              <w:rPr>
                <w:rFonts w:ascii="Arial" w:hAnsi="Arial" w:cs="Arial"/>
                <w:sz w:val="16"/>
                <w:szCs w:val="16"/>
              </w:rPr>
              <w:lastRenderedPageBreak/>
              <w:t>Esta actividad estuvo dirigida a mejorar la gestión de los monitores locales, encargados de supervisar el proceso de alimentación escolar en las escuelas beneficiarias.</w:t>
            </w:r>
          </w:p>
          <w:p w:rsidR="009432E3" w:rsidRDefault="009432E3" w:rsidP="009432E3">
            <w:pPr>
              <w:spacing w:line="276" w:lineRule="auto"/>
              <w:jc w:val="both"/>
              <w:rPr>
                <w:rFonts w:ascii="Arial" w:hAnsi="Arial" w:cs="Arial"/>
                <w:sz w:val="16"/>
                <w:szCs w:val="16"/>
              </w:rPr>
            </w:pPr>
            <w:r>
              <w:rPr>
                <w:rFonts w:ascii="Arial" w:hAnsi="Arial" w:cs="Arial"/>
                <w:sz w:val="16"/>
                <w:szCs w:val="16"/>
              </w:rPr>
              <w:lastRenderedPageBreak/>
              <w:t>Se presentaron dificultades en los procesos de contrataciones y en los procesos de distribución y uso, dado que se tenían que realizar los registros correspondientes en la SUNARP, licencias, etc,  lo cual no fue previsto por el PNAEQW.</w:t>
            </w:r>
          </w:p>
          <w:p w:rsidR="009432E3" w:rsidRDefault="009432E3" w:rsidP="009432E3">
            <w:pPr>
              <w:spacing w:line="276" w:lineRule="auto"/>
              <w:jc w:val="both"/>
              <w:rPr>
                <w:rFonts w:ascii="Arial" w:hAnsi="Arial" w:cs="Arial"/>
                <w:sz w:val="16"/>
                <w:szCs w:val="16"/>
              </w:rPr>
            </w:pPr>
            <w:r>
              <w:rPr>
                <w:rFonts w:ascii="Arial" w:hAnsi="Arial" w:cs="Arial"/>
                <w:sz w:val="16"/>
                <w:szCs w:val="16"/>
              </w:rPr>
              <w:t>Asimismo se tiene una bitácora de uso para las camionetas, mas no así para las motocicletas y Tablet.</w:t>
            </w:r>
          </w:p>
          <w:p w:rsidR="009432E3" w:rsidRDefault="009432E3" w:rsidP="009432E3">
            <w:pPr>
              <w:spacing w:line="276" w:lineRule="auto"/>
              <w:jc w:val="both"/>
              <w:rPr>
                <w:rFonts w:ascii="Arial" w:hAnsi="Arial" w:cs="Arial"/>
                <w:sz w:val="16"/>
                <w:szCs w:val="16"/>
              </w:rPr>
            </w:pPr>
            <w:r>
              <w:rPr>
                <w:rFonts w:ascii="Arial" w:hAnsi="Arial" w:cs="Arial"/>
                <w:sz w:val="16"/>
                <w:szCs w:val="16"/>
              </w:rPr>
              <w:t>El diseño y las necesidades se determinaron a nivel central y no se tuvo en cuenta las características de los relieves para el uso de las motos por ejemplo.</w:t>
            </w:r>
          </w:p>
          <w:p w:rsidR="009432E3" w:rsidRPr="00F04348" w:rsidRDefault="009432E3" w:rsidP="009612EA">
            <w:pPr>
              <w:jc w:val="both"/>
              <w:rPr>
                <w:rFonts w:ascii="Arial" w:hAnsi="Arial" w:cs="Arial"/>
                <w:sz w:val="16"/>
                <w:szCs w:val="16"/>
              </w:rPr>
            </w:pPr>
          </w:p>
        </w:tc>
        <w:tc>
          <w:tcPr>
            <w:tcW w:w="2246" w:type="dxa"/>
          </w:tcPr>
          <w:p w:rsidR="00820415" w:rsidRDefault="009432E3" w:rsidP="009612EA">
            <w:pPr>
              <w:jc w:val="both"/>
              <w:rPr>
                <w:rFonts w:ascii="Arial" w:hAnsi="Arial" w:cs="Arial"/>
                <w:sz w:val="16"/>
                <w:szCs w:val="16"/>
              </w:rPr>
            </w:pPr>
            <w:r>
              <w:rPr>
                <w:rFonts w:ascii="Arial" w:hAnsi="Arial" w:cs="Arial"/>
                <w:sz w:val="16"/>
                <w:szCs w:val="16"/>
              </w:rPr>
              <w:lastRenderedPageBreak/>
              <w:t>“El PNAEQW cambio como cuatro veces los términos de referencia para la adquisición de las camionetas, motos y tablets”</w:t>
            </w:r>
            <w:r w:rsidR="00351297">
              <w:rPr>
                <w:rFonts w:ascii="Arial" w:hAnsi="Arial" w:cs="Arial"/>
                <w:sz w:val="16"/>
                <w:szCs w:val="16"/>
              </w:rPr>
              <w:t>3.1.a</w:t>
            </w:r>
          </w:p>
          <w:p w:rsidR="009432E3" w:rsidRDefault="009432E3" w:rsidP="009612EA">
            <w:pPr>
              <w:jc w:val="both"/>
              <w:rPr>
                <w:rFonts w:ascii="Arial" w:hAnsi="Arial" w:cs="Arial"/>
                <w:sz w:val="16"/>
                <w:szCs w:val="16"/>
              </w:rPr>
            </w:pPr>
          </w:p>
          <w:p w:rsidR="009432E3" w:rsidRPr="00F04348" w:rsidRDefault="00FB7080" w:rsidP="009612EA">
            <w:pPr>
              <w:jc w:val="both"/>
              <w:rPr>
                <w:rFonts w:ascii="Arial" w:hAnsi="Arial" w:cs="Arial"/>
                <w:sz w:val="16"/>
                <w:szCs w:val="16"/>
              </w:rPr>
            </w:pPr>
            <w:r>
              <w:rPr>
                <w:rFonts w:ascii="Arial" w:hAnsi="Arial" w:cs="Arial"/>
                <w:sz w:val="16"/>
                <w:szCs w:val="16"/>
              </w:rPr>
              <w:t>“Estas han contribuido en incrementar la cobertura de atención y las actividades de supervisión de las unidades territoriales”</w:t>
            </w:r>
            <w:r w:rsidR="00351297">
              <w:rPr>
                <w:rFonts w:ascii="Arial" w:hAnsi="Arial" w:cs="Arial"/>
                <w:sz w:val="16"/>
                <w:szCs w:val="16"/>
              </w:rPr>
              <w:t>3.1.c</w:t>
            </w:r>
          </w:p>
        </w:tc>
      </w:tr>
      <w:tr w:rsidR="00820415" w:rsidRPr="00F04348" w:rsidTr="00BA6A28">
        <w:tc>
          <w:tcPr>
            <w:tcW w:w="1809" w:type="dxa"/>
            <w:vMerge/>
            <w:vAlign w:val="center"/>
          </w:tcPr>
          <w:p w:rsidR="00820415" w:rsidRPr="00F04348" w:rsidRDefault="00820415" w:rsidP="00820415">
            <w:pPr>
              <w:pStyle w:val="Prrafodelista"/>
              <w:spacing w:before="160" w:after="160" w:line="259" w:lineRule="auto"/>
              <w:ind w:left="142" w:hanging="142"/>
              <w:contextualSpacing w:val="0"/>
              <w:rPr>
                <w:rFonts w:ascii="Arial" w:hAnsi="Arial" w:cs="Arial"/>
                <w:b/>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Coméntenos sobre la asistencia técnica en temas de: Genero e Interculturalidad (a nivel de funcionarios de Qali Warma)</w:t>
            </w:r>
          </w:p>
          <w:p w:rsidR="00820415" w:rsidRPr="00F04348" w:rsidRDefault="00820415" w:rsidP="00820415">
            <w:pPr>
              <w:pStyle w:val="Prrafodelista"/>
              <w:spacing w:before="160" w:after="160"/>
              <w:ind w:left="176" w:hanging="284"/>
              <w:contextualSpacing w:val="0"/>
              <w:jc w:val="both"/>
              <w:rPr>
                <w:rFonts w:ascii="Arial" w:hAnsi="Arial" w:cs="Arial"/>
                <w:sz w:val="16"/>
                <w:szCs w:val="16"/>
              </w:rPr>
            </w:pPr>
          </w:p>
        </w:tc>
        <w:tc>
          <w:tcPr>
            <w:tcW w:w="2812" w:type="dxa"/>
          </w:tcPr>
          <w:p w:rsidR="00820415" w:rsidRPr="00F04348" w:rsidRDefault="007A223E" w:rsidP="006E6EFB">
            <w:pPr>
              <w:spacing w:line="276" w:lineRule="auto"/>
              <w:jc w:val="both"/>
              <w:rPr>
                <w:rFonts w:ascii="Arial" w:hAnsi="Arial" w:cs="Arial"/>
                <w:sz w:val="16"/>
                <w:szCs w:val="16"/>
              </w:rPr>
            </w:pPr>
            <w:r>
              <w:rPr>
                <w:rFonts w:ascii="Arial" w:hAnsi="Arial" w:cs="Arial"/>
                <w:sz w:val="16"/>
                <w:szCs w:val="16"/>
              </w:rPr>
              <w:t xml:space="preserve">Se realizó todo un proceso </w:t>
            </w:r>
            <w:r w:rsidR="009E4936">
              <w:rPr>
                <w:rFonts w:ascii="Arial" w:hAnsi="Arial" w:cs="Arial"/>
                <w:sz w:val="16"/>
                <w:szCs w:val="16"/>
              </w:rPr>
              <w:t xml:space="preserve">de asistencia técnica </w:t>
            </w:r>
            <w:r>
              <w:rPr>
                <w:rFonts w:ascii="Arial" w:hAnsi="Arial" w:cs="Arial"/>
                <w:sz w:val="16"/>
                <w:szCs w:val="16"/>
              </w:rPr>
              <w:t xml:space="preserve">a cargo del PNUD. En ese sentido se contrató una consultoría la mismo que tenía a su cargo realizar un diagnóstico </w:t>
            </w:r>
            <w:r w:rsidR="009E4936">
              <w:rPr>
                <w:rFonts w:ascii="Arial" w:hAnsi="Arial" w:cs="Arial"/>
                <w:sz w:val="16"/>
                <w:szCs w:val="16"/>
              </w:rPr>
              <w:t xml:space="preserve">inicial, para ver </w:t>
            </w:r>
            <w:r>
              <w:rPr>
                <w:rFonts w:ascii="Arial" w:hAnsi="Arial" w:cs="Arial"/>
                <w:sz w:val="16"/>
                <w:szCs w:val="16"/>
              </w:rPr>
              <w:t xml:space="preserve"> </w:t>
            </w:r>
            <w:r w:rsidR="009E4936">
              <w:rPr>
                <w:rFonts w:ascii="Arial" w:hAnsi="Arial" w:cs="Arial"/>
                <w:sz w:val="16"/>
                <w:szCs w:val="16"/>
              </w:rPr>
              <w:t>de qué manera concebía el PNAEQW, el tema de género e interculturalidad, luego se realizaron talleres de validación en  Cusco, Puno, Amazonas, Bagua y Yurimaguas. Posteriormente se establecieron los lineamientos de para incorporar como elementos claves en el PNAEQW, los mismos que fueron validados en Lima con los funcionarios del PNAEQW. Finalmente se aprobó el Plan de transversalización de los temas de género e interculturalidad.</w:t>
            </w:r>
          </w:p>
        </w:tc>
        <w:tc>
          <w:tcPr>
            <w:tcW w:w="2246" w:type="dxa"/>
          </w:tcPr>
          <w:p w:rsidR="00820415" w:rsidRDefault="009E4936" w:rsidP="006E6EFB">
            <w:pPr>
              <w:spacing w:line="276" w:lineRule="auto"/>
              <w:jc w:val="both"/>
              <w:rPr>
                <w:rFonts w:ascii="Arial" w:hAnsi="Arial" w:cs="Arial"/>
                <w:sz w:val="16"/>
                <w:szCs w:val="16"/>
              </w:rPr>
            </w:pPr>
            <w:r>
              <w:rPr>
                <w:rFonts w:ascii="Arial" w:hAnsi="Arial" w:cs="Arial"/>
                <w:sz w:val="16"/>
                <w:szCs w:val="16"/>
              </w:rPr>
              <w:t>“En lo que respecta al género, se trata de promover la igualdad de participación y determinación”.</w:t>
            </w:r>
            <w:r w:rsidR="00351297">
              <w:rPr>
                <w:rFonts w:ascii="Arial" w:hAnsi="Arial" w:cs="Arial"/>
                <w:sz w:val="16"/>
                <w:szCs w:val="16"/>
              </w:rPr>
              <w:t xml:space="preserve"> 3.2.a</w:t>
            </w:r>
          </w:p>
          <w:p w:rsidR="009E4936" w:rsidRDefault="009E4936" w:rsidP="006E6EFB">
            <w:pPr>
              <w:spacing w:line="276" w:lineRule="auto"/>
              <w:jc w:val="both"/>
              <w:rPr>
                <w:rFonts w:ascii="Arial" w:hAnsi="Arial" w:cs="Arial"/>
                <w:sz w:val="16"/>
                <w:szCs w:val="16"/>
              </w:rPr>
            </w:pPr>
          </w:p>
          <w:p w:rsidR="009E4936" w:rsidRPr="00F04348" w:rsidRDefault="00475E9A" w:rsidP="006E6EFB">
            <w:pPr>
              <w:spacing w:line="276" w:lineRule="auto"/>
              <w:jc w:val="both"/>
              <w:rPr>
                <w:rFonts w:ascii="Arial" w:hAnsi="Arial" w:cs="Arial"/>
                <w:sz w:val="16"/>
                <w:szCs w:val="16"/>
              </w:rPr>
            </w:pPr>
            <w:r>
              <w:rPr>
                <w:rFonts w:ascii="Arial" w:hAnsi="Arial" w:cs="Arial"/>
                <w:sz w:val="16"/>
                <w:szCs w:val="16"/>
              </w:rPr>
              <w:t>“Se determinaron los lineamientos y se logró aprobar el Plan de Transversalización de los temas de género e interculturalidad” 3.1.c</w:t>
            </w:r>
          </w:p>
        </w:tc>
      </w:tr>
      <w:tr w:rsidR="00820415" w:rsidRPr="00F04348" w:rsidTr="00BA6A28">
        <w:tc>
          <w:tcPr>
            <w:tcW w:w="1809" w:type="dxa"/>
            <w:vMerge w:val="restart"/>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t>Gestión técnica: educativo</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Coméntenos sobre las herramientas educativas</w:t>
            </w:r>
            <w:r w:rsidRPr="00F04348">
              <w:rPr>
                <w:rStyle w:val="Refdenotaalpie"/>
                <w:rFonts w:ascii="Arial" w:hAnsi="Arial" w:cs="Arial"/>
                <w:sz w:val="16"/>
                <w:szCs w:val="16"/>
              </w:rPr>
              <w:footnoteReference w:id="1"/>
            </w:r>
            <w:r w:rsidRPr="00F04348">
              <w:rPr>
                <w:rFonts w:ascii="Arial" w:hAnsi="Arial" w:cs="Arial"/>
                <w:sz w:val="16"/>
                <w:szCs w:val="16"/>
              </w:rPr>
              <w:t xml:space="preserve"> (a nivel de contenido: relevancia y pertinencia, comunicacional: facilidad de uso y nivel gráfico, enfoque: interculturalidad y genero) y el cronograma de entregas.</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FD57DE" w:rsidP="006E6EFB">
            <w:pPr>
              <w:spacing w:line="276" w:lineRule="auto"/>
              <w:jc w:val="both"/>
              <w:rPr>
                <w:rFonts w:ascii="Arial" w:hAnsi="Arial" w:cs="Arial"/>
                <w:sz w:val="16"/>
                <w:szCs w:val="16"/>
              </w:rPr>
            </w:pPr>
            <w:r>
              <w:rPr>
                <w:rFonts w:ascii="Arial" w:hAnsi="Arial" w:cs="Arial"/>
                <w:sz w:val="16"/>
                <w:szCs w:val="16"/>
              </w:rPr>
              <w:t>Se trabajaron 7 herramientas educativas.</w:t>
            </w:r>
          </w:p>
          <w:p w:rsidR="00FD57DE" w:rsidRDefault="00FD57DE" w:rsidP="006E6EFB">
            <w:pPr>
              <w:spacing w:line="276" w:lineRule="auto"/>
              <w:jc w:val="both"/>
              <w:rPr>
                <w:rFonts w:ascii="Arial" w:hAnsi="Arial" w:cs="Arial"/>
                <w:sz w:val="16"/>
                <w:szCs w:val="16"/>
              </w:rPr>
            </w:pPr>
            <w:r>
              <w:rPr>
                <w:rFonts w:ascii="Arial" w:hAnsi="Arial" w:cs="Arial"/>
                <w:sz w:val="16"/>
                <w:szCs w:val="16"/>
              </w:rPr>
              <w:t>A nivel de contenido es bastante completo pues se soporta técnicamente con la normatividad que maneja el PNAEQW.</w:t>
            </w:r>
          </w:p>
          <w:p w:rsidR="00FD57DE" w:rsidRDefault="00FD57DE" w:rsidP="006E6EFB">
            <w:pPr>
              <w:spacing w:line="276" w:lineRule="auto"/>
              <w:jc w:val="both"/>
              <w:rPr>
                <w:rFonts w:ascii="Arial" w:hAnsi="Arial" w:cs="Arial"/>
                <w:sz w:val="16"/>
                <w:szCs w:val="16"/>
              </w:rPr>
            </w:pPr>
            <w:r>
              <w:rPr>
                <w:rFonts w:ascii="Arial" w:hAnsi="Arial" w:cs="Arial"/>
                <w:sz w:val="16"/>
                <w:szCs w:val="16"/>
              </w:rPr>
              <w:t>Incorpora el tema de género e interculturalidad por Unidad Territorial. Se ha contextualizado de acuerdo a la realidad de cada una de ellas.</w:t>
            </w:r>
          </w:p>
          <w:p w:rsidR="00FD57DE" w:rsidRDefault="00FD57DE" w:rsidP="006E6EFB">
            <w:pPr>
              <w:spacing w:line="276" w:lineRule="auto"/>
              <w:jc w:val="both"/>
              <w:rPr>
                <w:rFonts w:ascii="Arial" w:hAnsi="Arial" w:cs="Arial"/>
                <w:sz w:val="16"/>
                <w:szCs w:val="16"/>
              </w:rPr>
            </w:pPr>
            <w:r>
              <w:rPr>
                <w:rFonts w:ascii="Arial" w:hAnsi="Arial" w:cs="Arial"/>
                <w:sz w:val="16"/>
                <w:szCs w:val="16"/>
              </w:rPr>
              <w:t>En la gestión administrativa hay que mejorar el tema de diseño. Con el PNUD se sometió a validación la Guía de preparación de desayunos y almuerzos con los beneficiarios y los expertos en el tema con el apoyo del PMA.</w:t>
            </w:r>
          </w:p>
          <w:p w:rsidR="00FD57DE" w:rsidRDefault="00FD57DE" w:rsidP="006E6EFB">
            <w:pPr>
              <w:spacing w:line="276" w:lineRule="auto"/>
              <w:jc w:val="both"/>
              <w:rPr>
                <w:rFonts w:ascii="Arial" w:hAnsi="Arial" w:cs="Arial"/>
                <w:sz w:val="16"/>
                <w:szCs w:val="16"/>
              </w:rPr>
            </w:pPr>
            <w:r>
              <w:rPr>
                <w:rFonts w:ascii="Arial" w:hAnsi="Arial" w:cs="Arial"/>
                <w:sz w:val="16"/>
                <w:szCs w:val="16"/>
              </w:rPr>
              <w:t xml:space="preserve">Está actividad estuvo programada para desarrollarse en 4 meses y al </w:t>
            </w:r>
            <w:r>
              <w:rPr>
                <w:rFonts w:ascii="Arial" w:hAnsi="Arial" w:cs="Arial"/>
                <w:sz w:val="16"/>
                <w:szCs w:val="16"/>
              </w:rPr>
              <w:lastRenderedPageBreak/>
              <w:t>final se amplió hasta 8 meses.</w:t>
            </w:r>
          </w:p>
          <w:p w:rsidR="00327AEB" w:rsidRPr="00F04348" w:rsidRDefault="00327AEB" w:rsidP="006E6EFB">
            <w:pPr>
              <w:spacing w:line="276" w:lineRule="auto"/>
              <w:jc w:val="both"/>
              <w:rPr>
                <w:rFonts w:ascii="Arial" w:hAnsi="Arial" w:cs="Arial"/>
                <w:sz w:val="16"/>
                <w:szCs w:val="16"/>
              </w:rPr>
            </w:pPr>
          </w:p>
        </w:tc>
        <w:tc>
          <w:tcPr>
            <w:tcW w:w="2246" w:type="dxa"/>
          </w:tcPr>
          <w:p w:rsidR="00820415" w:rsidRDefault="00FD57DE" w:rsidP="006E6EFB">
            <w:pPr>
              <w:spacing w:line="276" w:lineRule="auto"/>
              <w:jc w:val="both"/>
              <w:rPr>
                <w:rFonts w:ascii="Arial" w:hAnsi="Arial" w:cs="Arial"/>
                <w:sz w:val="16"/>
                <w:szCs w:val="16"/>
              </w:rPr>
            </w:pPr>
            <w:r>
              <w:rPr>
                <w:rFonts w:ascii="Arial" w:hAnsi="Arial" w:cs="Arial"/>
                <w:sz w:val="16"/>
                <w:szCs w:val="16"/>
              </w:rPr>
              <w:lastRenderedPageBreak/>
              <w:t>“Todo lo planificado se coordinó con PNAEQW, con las áreas involucradas se definió los contenidos con la asistencia técnica del PNUD y finalmente se contrató el desarrollo, la impresión y distribución</w:t>
            </w:r>
            <w:r w:rsidR="00327AEB">
              <w:rPr>
                <w:rFonts w:ascii="Arial" w:hAnsi="Arial" w:cs="Arial"/>
                <w:sz w:val="16"/>
                <w:szCs w:val="16"/>
              </w:rPr>
              <w:t>”</w:t>
            </w:r>
            <w:r w:rsidR="00D216EB">
              <w:rPr>
                <w:rFonts w:ascii="Arial" w:hAnsi="Arial" w:cs="Arial"/>
                <w:sz w:val="16"/>
                <w:szCs w:val="16"/>
              </w:rPr>
              <w:t xml:space="preserve"> 3.1.c</w:t>
            </w:r>
          </w:p>
          <w:p w:rsidR="006E6EFB" w:rsidRDefault="006E6EFB" w:rsidP="006E6EFB">
            <w:pPr>
              <w:spacing w:line="276" w:lineRule="auto"/>
              <w:jc w:val="both"/>
              <w:rPr>
                <w:rFonts w:ascii="Arial" w:hAnsi="Arial" w:cs="Arial"/>
                <w:sz w:val="16"/>
                <w:szCs w:val="16"/>
              </w:rPr>
            </w:pPr>
          </w:p>
          <w:p w:rsidR="006E6EFB" w:rsidRPr="00F04348" w:rsidRDefault="006E6EFB" w:rsidP="006E6EFB">
            <w:pPr>
              <w:spacing w:line="276" w:lineRule="auto"/>
              <w:jc w:val="both"/>
              <w:rPr>
                <w:rFonts w:ascii="Arial" w:hAnsi="Arial" w:cs="Arial"/>
                <w:sz w:val="16"/>
                <w:szCs w:val="16"/>
              </w:rPr>
            </w:pPr>
            <w:r>
              <w:rPr>
                <w:rFonts w:ascii="Arial" w:hAnsi="Arial" w:cs="Arial"/>
                <w:sz w:val="16"/>
                <w:szCs w:val="16"/>
              </w:rPr>
              <w:t>“Resistencia para incorporar los cambios en el diseño que incorporé los temas de género e interculturalidad”</w:t>
            </w:r>
            <w:r w:rsidR="00D216EB">
              <w:rPr>
                <w:rFonts w:ascii="Arial" w:hAnsi="Arial" w:cs="Arial"/>
                <w:sz w:val="16"/>
                <w:szCs w:val="16"/>
              </w:rPr>
              <w:t>3.1.e</w:t>
            </w:r>
          </w:p>
        </w:tc>
      </w:tr>
      <w:tr w:rsidR="00820415" w:rsidRPr="00F04348" w:rsidTr="00BA6A28">
        <w:tc>
          <w:tcPr>
            <w:tcW w:w="1809" w:type="dxa"/>
            <w:vMerge/>
            <w:vAlign w:val="center"/>
          </w:tcPr>
          <w:p w:rsidR="00820415" w:rsidRPr="00F04348" w:rsidRDefault="00820415" w:rsidP="00820415">
            <w:pPr>
              <w:pStyle w:val="Prrafodelista"/>
              <w:spacing w:before="160" w:after="160" w:line="259" w:lineRule="auto"/>
              <w:ind w:left="142" w:hanging="142"/>
              <w:contextualSpacing w:val="0"/>
              <w:rPr>
                <w:rFonts w:ascii="Arial" w:hAnsi="Arial" w:cs="Arial"/>
                <w:b/>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Comentarios sobre la distribución de las herramientas educativas (a nivel de usuarios, CAEs, Unidades Territoriales y Qali Warma)</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6E6EFB" w:rsidP="003D1040">
            <w:pPr>
              <w:spacing w:line="276" w:lineRule="auto"/>
              <w:jc w:val="both"/>
              <w:rPr>
                <w:rFonts w:ascii="Arial" w:hAnsi="Arial" w:cs="Arial"/>
                <w:sz w:val="16"/>
                <w:szCs w:val="16"/>
              </w:rPr>
            </w:pPr>
            <w:r>
              <w:rPr>
                <w:rFonts w:ascii="Arial" w:hAnsi="Arial" w:cs="Arial"/>
                <w:sz w:val="16"/>
                <w:szCs w:val="16"/>
              </w:rPr>
              <w:t>Las herramientas educativas se han distribuido entre octubre y diciembre del 2016, para su uso en la campaña del 2017.</w:t>
            </w:r>
          </w:p>
          <w:p w:rsidR="006E6EFB" w:rsidRPr="00F04348" w:rsidRDefault="006E6EFB" w:rsidP="003D1040">
            <w:pPr>
              <w:spacing w:line="276" w:lineRule="auto"/>
              <w:jc w:val="both"/>
              <w:rPr>
                <w:rFonts w:ascii="Arial" w:hAnsi="Arial" w:cs="Arial"/>
                <w:sz w:val="16"/>
                <w:szCs w:val="16"/>
              </w:rPr>
            </w:pPr>
            <w:r>
              <w:rPr>
                <w:rFonts w:ascii="Arial" w:hAnsi="Arial" w:cs="Arial"/>
                <w:sz w:val="16"/>
                <w:szCs w:val="16"/>
              </w:rPr>
              <w:t>La entrega se ha realizado a las Unidades Territoriales y luego a los CAEs.</w:t>
            </w:r>
          </w:p>
        </w:tc>
        <w:tc>
          <w:tcPr>
            <w:tcW w:w="2246" w:type="dxa"/>
          </w:tcPr>
          <w:p w:rsidR="00820415" w:rsidRPr="00F04348" w:rsidRDefault="006E6EFB" w:rsidP="006E6EFB">
            <w:pPr>
              <w:spacing w:line="276" w:lineRule="auto"/>
              <w:jc w:val="both"/>
              <w:rPr>
                <w:rFonts w:ascii="Arial" w:hAnsi="Arial" w:cs="Arial"/>
                <w:sz w:val="16"/>
                <w:szCs w:val="16"/>
              </w:rPr>
            </w:pPr>
            <w:r>
              <w:rPr>
                <w:rFonts w:ascii="Arial" w:hAnsi="Arial" w:cs="Arial"/>
                <w:sz w:val="16"/>
                <w:szCs w:val="16"/>
              </w:rPr>
              <w:t>“Sacar las guías duro mucho tiempo. Falta de voluntad política, que ha hecho que recién se distribuyan a fines del 2016”</w:t>
            </w:r>
            <w:r w:rsidR="00D216EB">
              <w:rPr>
                <w:rFonts w:ascii="Arial" w:hAnsi="Arial" w:cs="Arial"/>
                <w:sz w:val="16"/>
                <w:szCs w:val="16"/>
              </w:rPr>
              <w:t xml:space="preserve"> 3.1.e</w:t>
            </w:r>
          </w:p>
        </w:tc>
      </w:tr>
      <w:tr w:rsidR="00820415" w:rsidRPr="00F04348" w:rsidTr="00BA6A28">
        <w:tc>
          <w:tcPr>
            <w:tcW w:w="1809" w:type="dxa"/>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t>Gestión comunicacional</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Comentarios y/o sugerencias sobre las acciones comunicacionales en el marco del PNAE Qali Warma.</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6E6EFB" w:rsidP="003D1040">
            <w:pPr>
              <w:spacing w:line="276" w:lineRule="auto"/>
              <w:jc w:val="both"/>
              <w:rPr>
                <w:rFonts w:ascii="Arial" w:hAnsi="Arial" w:cs="Arial"/>
                <w:sz w:val="16"/>
                <w:szCs w:val="16"/>
              </w:rPr>
            </w:pPr>
            <w:r>
              <w:rPr>
                <w:rFonts w:ascii="Arial" w:hAnsi="Arial" w:cs="Arial"/>
                <w:sz w:val="16"/>
                <w:szCs w:val="16"/>
              </w:rPr>
              <w:t>Está componente no se llega a desarrollar.</w:t>
            </w:r>
          </w:p>
          <w:p w:rsidR="006E6EFB" w:rsidRDefault="006E6EFB" w:rsidP="003D1040">
            <w:pPr>
              <w:spacing w:line="276" w:lineRule="auto"/>
              <w:jc w:val="both"/>
              <w:rPr>
                <w:rFonts w:ascii="Arial" w:hAnsi="Arial" w:cs="Arial"/>
                <w:sz w:val="16"/>
                <w:szCs w:val="16"/>
              </w:rPr>
            </w:pPr>
            <w:r>
              <w:rPr>
                <w:rFonts w:ascii="Arial" w:hAnsi="Arial" w:cs="Arial"/>
                <w:sz w:val="16"/>
                <w:szCs w:val="16"/>
              </w:rPr>
              <w:t>Inicialmente se solicitó al PMA elaborar todo el diseño de la estrategía comunicacional, sin embargo, nunca se concretó hasta que finalmente en julio de 2015 se comunica oficialmente que no se desarrollaría este componente.</w:t>
            </w:r>
          </w:p>
          <w:p w:rsidR="00041E8E" w:rsidRDefault="00041E8E" w:rsidP="003D1040">
            <w:pPr>
              <w:spacing w:line="276" w:lineRule="auto"/>
              <w:jc w:val="both"/>
              <w:rPr>
                <w:rFonts w:ascii="Arial" w:hAnsi="Arial" w:cs="Arial"/>
                <w:sz w:val="16"/>
                <w:szCs w:val="16"/>
              </w:rPr>
            </w:pPr>
            <w:r>
              <w:rPr>
                <w:rFonts w:ascii="Arial" w:hAnsi="Arial" w:cs="Arial"/>
                <w:sz w:val="16"/>
                <w:szCs w:val="16"/>
              </w:rPr>
              <w:t>Con el proyecto se logró temas logísticos como la entrega de toldos y mesas a las Unidades Territoriales a fin de poder participar en ferias y comunicar los beneficios del proyecto.</w:t>
            </w:r>
          </w:p>
          <w:p w:rsidR="00041E8E" w:rsidRDefault="00041E8E" w:rsidP="003D1040">
            <w:pPr>
              <w:spacing w:line="276" w:lineRule="auto"/>
              <w:jc w:val="both"/>
              <w:rPr>
                <w:rFonts w:ascii="Arial" w:hAnsi="Arial" w:cs="Arial"/>
                <w:sz w:val="16"/>
                <w:szCs w:val="16"/>
              </w:rPr>
            </w:pPr>
            <w:r>
              <w:rPr>
                <w:rFonts w:ascii="Arial" w:hAnsi="Arial" w:cs="Arial"/>
                <w:sz w:val="16"/>
                <w:szCs w:val="16"/>
              </w:rPr>
              <w:t>Con el proyecto se cubrió la logística para el desarrollo del “Seminario Internacional de Alimentación Escolar”</w:t>
            </w:r>
          </w:p>
          <w:p w:rsidR="00041E8E" w:rsidRPr="00F04348" w:rsidRDefault="00041E8E" w:rsidP="003D1040">
            <w:pPr>
              <w:spacing w:line="276" w:lineRule="auto"/>
              <w:jc w:val="both"/>
              <w:rPr>
                <w:rFonts w:ascii="Arial" w:hAnsi="Arial" w:cs="Arial"/>
                <w:sz w:val="16"/>
                <w:szCs w:val="16"/>
              </w:rPr>
            </w:pPr>
          </w:p>
        </w:tc>
        <w:tc>
          <w:tcPr>
            <w:tcW w:w="2246" w:type="dxa"/>
          </w:tcPr>
          <w:p w:rsidR="00820415" w:rsidRPr="00F04348" w:rsidRDefault="00820415" w:rsidP="006E6EFB">
            <w:pPr>
              <w:spacing w:line="276" w:lineRule="auto"/>
              <w:jc w:val="both"/>
              <w:rPr>
                <w:rFonts w:ascii="Arial" w:hAnsi="Arial" w:cs="Arial"/>
                <w:sz w:val="16"/>
                <w:szCs w:val="16"/>
              </w:rPr>
            </w:pPr>
          </w:p>
        </w:tc>
      </w:tr>
      <w:tr w:rsidR="00820415" w:rsidRPr="00F04348" w:rsidTr="00BA6A28">
        <w:tc>
          <w:tcPr>
            <w:tcW w:w="1809" w:type="dxa"/>
            <w:vMerge w:val="restart"/>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t>Estrategias de complementación alimentaria y educativa con pertinencia intercultural para fortalecer la gestión del programa</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Comentarios sobre el estudio "Aporte alimentario nutricional de la dieta de los usuarios del PNAE QW y su relación con el nivel nutricional". (alcance, resultados, pertinencia, relevancia)</w:t>
            </w:r>
          </w:p>
          <w:p w:rsidR="00820415" w:rsidRPr="00F04348" w:rsidRDefault="00820415" w:rsidP="00820415">
            <w:pPr>
              <w:ind w:left="176" w:hanging="284"/>
              <w:jc w:val="both"/>
              <w:rPr>
                <w:rFonts w:ascii="Arial" w:hAnsi="Arial" w:cs="Arial"/>
                <w:sz w:val="16"/>
                <w:szCs w:val="16"/>
              </w:rPr>
            </w:pPr>
          </w:p>
        </w:tc>
        <w:tc>
          <w:tcPr>
            <w:tcW w:w="2812" w:type="dxa"/>
          </w:tcPr>
          <w:p w:rsidR="00820415" w:rsidRDefault="00590192" w:rsidP="003D1040">
            <w:pPr>
              <w:spacing w:line="276" w:lineRule="auto"/>
              <w:jc w:val="both"/>
              <w:rPr>
                <w:rFonts w:ascii="Arial" w:hAnsi="Arial" w:cs="Arial"/>
                <w:sz w:val="16"/>
                <w:szCs w:val="16"/>
              </w:rPr>
            </w:pPr>
            <w:r>
              <w:rPr>
                <w:rFonts w:ascii="Arial" w:hAnsi="Arial" w:cs="Arial"/>
                <w:sz w:val="16"/>
                <w:szCs w:val="16"/>
              </w:rPr>
              <w:t xml:space="preserve">Este componente se desarrolló con la Asistencia Técnica del PMA. </w:t>
            </w:r>
          </w:p>
          <w:p w:rsidR="00590192" w:rsidRDefault="00590192"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Estudio de consumo. </w:t>
            </w:r>
            <w:r w:rsidRPr="00590192">
              <w:rPr>
                <w:rFonts w:ascii="Arial" w:hAnsi="Arial" w:cs="Arial"/>
                <w:sz w:val="16"/>
                <w:szCs w:val="16"/>
              </w:rPr>
              <w:t xml:space="preserve">Se tenía que generar una caracterización de </w:t>
            </w:r>
            <w:r>
              <w:rPr>
                <w:rFonts w:ascii="Arial" w:hAnsi="Arial" w:cs="Arial"/>
                <w:sz w:val="16"/>
                <w:szCs w:val="16"/>
              </w:rPr>
              <w:t>usuarios a nivel nacional, pero finalmente sólo se centró en Lima Metropolitana.</w:t>
            </w:r>
          </w:p>
          <w:p w:rsidR="00590192" w:rsidRDefault="00590192"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Luego realizar un piloto para incorporar alimentos frescos en la ración. Tuvo dos miradas: zonas productivas en las zonas más lejanas y tres pilotos en la costa, sierra y selva. Pero PNAEQW, dijo que solo se haga el piloto en Lima.</w:t>
            </w:r>
          </w:p>
          <w:p w:rsidR="00590192" w:rsidRDefault="00590192" w:rsidP="003D1040">
            <w:pPr>
              <w:pStyle w:val="Prrafodelista"/>
              <w:spacing w:line="276" w:lineRule="auto"/>
              <w:ind w:left="153"/>
              <w:jc w:val="both"/>
              <w:rPr>
                <w:rFonts w:ascii="Arial" w:hAnsi="Arial" w:cs="Arial"/>
                <w:sz w:val="16"/>
                <w:szCs w:val="16"/>
              </w:rPr>
            </w:pPr>
          </w:p>
          <w:p w:rsidR="00590192" w:rsidRPr="00590192" w:rsidRDefault="00590192" w:rsidP="003D1040">
            <w:pPr>
              <w:pStyle w:val="Prrafodelista"/>
              <w:spacing w:line="276" w:lineRule="auto"/>
              <w:ind w:left="153"/>
              <w:jc w:val="both"/>
              <w:rPr>
                <w:rFonts w:ascii="Arial" w:hAnsi="Arial" w:cs="Arial"/>
                <w:sz w:val="16"/>
                <w:szCs w:val="16"/>
              </w:rPr>
            </w:pPr>
            <w:r>
              <w:rPr>
                <w:rFonts w:ascii="Arial" w:hAnsi="Arial" w:cs="Arial"/>
                <w:sz w:val="16"/>
                <w:szCs w:val="16"/>
              </w:rPr>
              <w:t>Se buscaba incorporar alimentos frescos y frutas a las escuelas. Se aplicó la estrategía SABER, con talleres abiertos.</w:t>
            </w:r>
          </w:p>
          <w:p w:rsidR="00590192" w:rsidRPr="00F04348" w:rsidRDefault="00590192" w:rsidP="003D1040">
            <w:pPr>
              <w:spacing w:line="276" w:lineRule="auto"/>
              <w:jc w:val="both"/>
              <w:rPr>
                <w:rFonts w:ascii="Arial" w:hAnsi="Arial" w:cs="Arial"/>
                <w:sz w:val="16"/>
                <w:szCs w:val="16"/>
              </w:rPr>
            </w:pPr>
          </w:p>
        </w:tc>
        <w:tc>
          <w:tcPr>
            <w:tcW w:w="2246" w:type="dxa"/>
          </w:tcPr>
          <w:p w:rsidR="00820415" w:rsidRPr="00F04348" w:rsidRDefault="00590192" w:rsidP="006E6EFB">
            <w:pPr>
              <w:spacing w:line="276" w:lineRule="auto"/>
              <w:jc w:val="both"/>
              <w:rPr>
                <w:rFonts w:ascii="Arial" w:hAnsi="Arial" w:cs="Arial"/>
                <w:sz w:val="16"/>
                <w:szCs w:val="16"/>
              </w:rPr>
            </w:pPr>
            <w:r>
              <w:rPr>
                <w:rFonts w:ascii="Arial" w:hAnsi="Arial" w:cs="Arial"/>
                <w:sz w:val="16"/>
                <w:szCs w:val="16"/>
              </w:rPr>
              <w:t xml:space="preserve">“Se </w:t>
            </w:r>
            <w:r w:rsidR="003D1040">
              <w:rPr>
                <w:rFonts w:ascii="Arial" w:hAnsi="Arial" w:cs="Arial"/>
                <w:sz w:val="16"/>
                <w:szCs w:val="16"/>
              </w:rPr>
              <w:t>presentaron</w:t>
            </w:r>
            <w:r>
              <w:rPr>
                <w:rFonts w:ascii="Arial" w:hAnsi="Arial" w:cs="Arial"/>
                <w:sz w:val="16"/>
                <w:szCs w:val="16"/>
              </w:rPr>
              <w:t xml:space="preserve"> dificultades en el tema de definición de objetivos y lineamientos</w:t>
            </w:r>
            <w:r w:rsidR="003D1040">
              <w:rPr>
                <w:rFonts w:ascii="Arial" w:hAnsi="Arial" w:cs="Arial"/>
                <w:sz w:val="16"/>
                <w:szCs w:val="16"/>
              </w:rPr>
              <w:t>, que limitaron su desarrollo”</w:t>
            </w:r>
            <w:r w:rsidR="00D216EB">
              <w:rPr>
                <w:rFonts w:ascii="Arial" w:hAnsi="Arial" w:cs="Arial"/>
                <w:sz w:val="16"/>
                <w:szCs w:val="16"/>
              </w:rPr>
              <w:t xml:space="preserve"> 3.2.1</w:t>
            </w:r>
          </w:p>
        </w:tc>
      </w:tr>
      <w:tr w:rsidR="00820415" w:rsidRPr="00F04348" w:rsidTr="00BA6A28">
        <w:tc>
          <w:tcPr>
            <w:tcW w:w="1809" w:type="dxa"/>
            <w:vMerge/>
            <w:vAlign w:val="center"/>
          </w:tcPr>
          <w:p w:rsidR="00820415" w:rsidRPr="00F04348" w:rsidRDefault="00820415" w:rsidP="00820415">
            <w:pPr>
              <w:pStyle w:val="Prrafodelista"/>
              <w:spacing w:before="160" w:after="160" w:line="259" w:lineRule="auto"/>
              <w:ind w:left="142" w:hanging="142"/>
              <w:contextualSpacing w:val="0"/>
              <w:rPr>
                <w:rFonts w:ascii="Arial" w:hAnsi="Arial" w:cs="Arial"/>
                <w:b/>
                <w:sz w:val="16"/>
                <w:szCs w:val="16"/>
              </w:rPr>
            </w:pPr>
          </w:p>
        </w:tc>
        <w:tc>
          <w:tcPr>
            <w:tcW w:w="2291" w:type="dxa"/>
          </w:tcPr>
          <w:p w:rsidR="00820415" w:rsidRPr="00F04348" w:rsidRDefault="00820415" w:rsidP="00820415">
            <w:pPr>
              <w:pStyle w:val="Prrafodelista"/>
              <w:numPr>
                <w:ilvl w:val="1"/>
                <w:numId w:val="5"/>
              </w:numPr>
              <w:spacing w:before="160" w:after="160" w:line="276" w:lineRule="auto"/>
              <w:ind w:left="176" w:hanging="284"/>
              <w:contextualSpacing w:val="0"/>
              <w:jc w:val="both"/>
              <w:rPr>
                <w:rFonts w:ascii="Arial" w:hAnsi="Arial" w:cs="Arial"/>
                <w:sz w:val="16"/>
                <w:szCs w:val="16"/>
              </w:rPr>
            </w:pPr>
            <w:r w:rsidRPr="00F04348">
              <w:rPr>
                <w:rFonts w:ascii="Arial" w:hAnsi="Arial" w:cs="Arial"/>
                <w:sz w:val="16"/>
                <w:szCs w:val="16"/>
              </w:rPr>
              <w:t xml:space="preserve">Comentarios relacionados al diseño e implementación de huertos (pasantías, guías metodológicas, kit de </w:t>
            </w:r>
            <w:r w:rsidRPr="00F04348">
              <w:rPr>
                <w:rFonts w:ascii="Arial" w:hAnsi="Arial" w:cs="Arial"/>
                <w:sz w:val="16"/>
                <w:szCs w:val="16"/>
              </w:rPr>
              <w:lastRenderedPageBreak/>
              <w:t>huertos)</w:t>
            </w:r>
          </w:p>
          <w:p w:rsidR="00820415" w:rsidRPr="00F04348" w:rsidRDefault="00820415" w:rsidP="00820415">
            <w:pPr>
              <w:ind w:left="176" w:hanging="284"/>
              <w:jc w:val="both"/>
              <w:rPr>
                <w:rFonts w:ascii="Arial" w:hAnsi="Arial" w:cs="Arial"/>
                <w:sz w:val="16"/>
                <w:szCs w:val="16"/>
              </w:rPr>
            </w:pPr>
          </w:p>
        </w:tc>
        <w:tc>
          <w:tcPr>
            <w:tcW w:w="2812" w:type="dxa"/>
          </w:tcPr>
          <w:p w:rsidR="003D1040" w:rsidRDefault="003D1040" w:rsidP="003D1040">
            <w:pPr>
              <w:spacing w:line="276" w:lineRule="auto"/>
              <w:jc w:val="both"/>
              <w:rPr>
                <w:rFonts w:ascii="Arial" w:hAnsi="Arial" w:cs="Arial"/>
                <w:sz w:val="16"/>
                <w:szCs w:val="16"/>
              </w:rPr>
            </w:pPr>
            <w:r>
              <w:rPr>
                <w:rFonts w:ascii="Arial" w:hAnsi="Arial" w:cs="Arial"/>
                <w:sz w:val="16"/>
                <w:szCs w:val="16"/>
              </w:rPr>
              <w:lastRenderedPageBreak/>
              <w:t>Este componente se desarrolló con la Asistencia Técnica de la FAO.</w:t>
            </w:r>
          </w:p>
          <w:p w:rsidR="003D1040" w:rsidRDefault="003D1040"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Para elaborar el diseño se hizo el diagnóstico. Verificándose que solo algunas escuelas tenían el enfoque productivo. </w:t>
            </w:r>
          </w:p>
          <w:p w:rsidR="003D1040" w:rsidRDefault="003D1040"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lastRenderedPageBreak/>
              <w:t xml:space="preserve">Se incorporó el enfoque educativo </w:t>
            </w:r>
            <w:r w:rsidR="004B6151">
              <w:rPr>
                <w:rFonts w:ascii="Arial" w:hAnsi="Arial" w:cs="Arial"/>
                <w:sz w:val="16"/>
                <w:szCs w:val="16"/>
              </w:rPr>
              <w:t>para que los alumnos puedan incorporar estos conocimientos en el área de sus cursos.</w:t>
            </w:r>
          </w:p>
          <w:p w:rsidR="004B6151" w:rsidRDefault="004B6151"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Enfoque holístico educativo y productivo, por contacto directo.</w:t>
            </w:r>
          </w:p>
          <w:p w:rsidR="004B6151" w:rsidRDefault="004B6151"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Se elaboró una guía para la implementación de talleres en las unidades territoriales.</w:t>
            </w:r>
            <w:r w:rsidR="009C11C9">
              <w:rPr>
                <w:rFonts w:ascii="Arial" w:hAnsi="Arial" w:cs="Arial"/>
                <w:sz w:val="16"/>
                <w:szCs w:val="16"/>
              </w:rPr>
              <w:t xml:space="preserve"> Salió sin opinión del MINEDU.</w:t>
            </w:r>
          </w:p>
          <w:p w:rsidR="004B6151" w:rsidRDefault="004B6151"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Se seleccionaron y capacitaron a  600 personas.</w:t>
            </w:r>
          </w:p>
          <w:p w:rsidR="004B6151" w:rsidRDefault="004B6151"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Involucramiento de los padres de familia y la sociedad.</w:t>
            </w:r>
          </w:p>
          <w:p w:rsidR="004B6151" w:rsidRPr="003D1040" w:rsidRDefault="004B6151" w:rsidP="003D1040">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Se realizaron videos y pasantías.</w:t>
            </w:r>
          </w:p>
          <w:p w:rsidR="00820415" w:rsidRPr="00F04348" w:rsidRDefault="00820415" w:rsidP="00F01C91">
            <w:pPr>
              <w:pStyle w:val="Prrafodelista"/>
              <w:ind w:left="153"/>
              <w:jc w:val="both"/>
              <w:rPr>
                <w:rFonts w:ascii="Arial" w:hAnsi="Arial" w:cs="Arial"/>
                <w:sz w:val="16"/>
                <w:szCs w:val="16"/>
              </w:rPr>
            </w:pPr>
          </w:p>
        </w:tc>
        <w:tc>
          <w:tcPr>
            <w:tcW w:w="2246" w:type="dxa"/>
          </w:tcPr>
          <w:p w:rsidR="00820415" w:rsidRDefault="004B6151" w:rsidP="004B6151">
            <w:pPr>
              <w:spacing w:line="276" w:lineRule="auto"/>
              <w:jc w:val="both"/>
              <w:rPr>
                <w:rFonts w:ascii="Arial" w:hAnsi="Arial" w:cs="Arial"/>
                <w:sz w:val="16"/>
                <w:szCs w:val="16"/>
              </w:rPr>
            </w:pPr>
            <w:r>
              <w:rPr>
                <w:rFonts w:ascii="Arial" w:hAnsi="Arial" w:cs="Arial"/>
                <w:sz w:val="16"/>
                <w:szCs w:val="16"/>
              </w:rPr>
              <w:lastRenderedPageBreak/>
              <w:t>“ Las limitaciones presupuestales hicieron que se seleccionen unidades territoriales”</w:t>
            </w:r>
            <w:r w:rsidR="00D216EB">
              <w:rPr>
                <w:rFonts w:ascii="Arial" w:hAnsi="Arial" w:cs="Arial"/>
                <w:sz w:val="16"/>
                <w:szCs w:val="16"/>
              </w:rPr>
              <w:t>3.2.1</w:t>
            </w:r>
          </w:p>
          <w:p w:rsidR="004B6151" w:rsidRDefault="004B6151" w:rsidP="004B6151">
            <w:pPr>
              <w:spacing w:line="276" w:lineRule="auto"/>
              <w:jc w:val="both"/>
              <w:rPr>
                <w:rFonts w:ascii="Arial" w:hAnsi="Arial" w:cs="Arial"/>
                <w:sz w:val="16"/>
                <w:szCs w:val="16"/>
              </w:rPr>
            </w:pPr>
          </w:p>
          <w:p w:rsidR="004B6151" w:rsidRPr="00F04348" w:rsidRDefault="004B6151" w:rsidP="004B6151">
            <w:pPr>
              <w:spacing w:line="276" w:lineRule="auto"/>
              <w:jc w:val="both"/>
              <w:rPr>
                <w:rFonts w:ascii="Arial" w:hAnsi="Arial" w:cs="Arial"/>
                <w:sz w:val="16"/>
                <w:szCs w:val="16"/>
              </w:rPr>
            </w:pPr>
            <w:r>
              <w:rPr>
                <w:rFonts w:ascii="Arial" w:hAnsi="Arial" w:cs="Arial"/>
                <w:sz w:val="16"/>
                <w:szCs w:val="16"/>
              </w:rPr>
              <w:t xml:space="preserve">“ Las comunicaciones con la </w:t>
            </w:r>
            <w:r>
              <w:rPr>
                <w:rFonts w:ascii="Arial" w:hAnsi="Arial" w:cs="Arial"/>
                <w:sz w:val="16"/>
                <w:szCs w:val="16"/>
              </w:rPr>
              <w:lastRenderedPageBreak/>
              <w:t>FAO y el PNAEQW deben formalizarse con documentos”</w:t>
            </w:r>
            <w:r w:rsidR="00D216EB">
              <w:rPr>
                <w:rFonts w:ascii="Arial" w:hAnsi="Arial" w:cs="Arial"/>
                <w:sz w:val="16"/>
                <w:szCs w:val="16"/>
              </w:rPr>
              <w:t xml:space="preserve"> 3.2.e.</w:t>
            </w:r>
          </w:p>
        </w:tc>
      </w:tr>
      <w:tr w:rsidR="00820415" w:rsidRPr="00F04348" w:rsidTr="00BA6A28">
        <w:tc>
          <w:tcPr>
            <w:tcW w:w="1809" w:type="dxa"/>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lastRenderedPageBreak/>
              <w:t>Recomendaciones</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9612EA">
            <w:pPr>
              <w:jc w:val="both"/>
              <w:rPr>
                <w:rFonts w:ascii="Arial" w:hAnsi="Arial" w:cs="Arial"/>
                <w:sz w:val="16"/>
                <w:szCs w:val="16"/>
              </w:rPr>
            </w:pPr>
          </w:p>
        </w:tc>
        <w:tc>
          <w:tcPr>
            <w:tcW w:w="2812" w:type="dxa"/>
          </w:tcPr>
          <w:p w:rsidR="00CA7432" w:rsidRDefault="00CA7432"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Realizar reuniones previas entre el PNAEQW, MIDIS y PNUD para establecer procesos claves en cada etapa estratégica del servicio ofrecido por el PNAEQW.</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Brindar cooperación y generar posibilidades en el largo plazo para generar alto valor agregado.</w:t>
            </w:r>
          </w:p>
          <w:p w:rsidR="00CA7432" w:rsidRDefault="00CA7432"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En términos de la gestión, no se desarrollaban juntas de proyecto frecuentemente para identificar problemas y corregir.</w:t>
            </w:r>
          </w:p>
          <w:p w:rsidR="00DB5521" w:rsidRDefault="00DB552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Deben orientarse a diseñar modelos y </w:t>
            </w:r>
            <w:r w:rsidR="00BA6A28">
              <w:rPr>
                <w:rFonts w:ascii="Arial" w:hAnsi="Arial" w:cs="Arial"/>
                <w:sz w:val="16"/>
                <w:szCs w:val="16"/>
              </w:rPr>
              <w:t>estrategias</w:t>
            </w:r>
            <w:r>
              <w:rPr>
                <w:rFonts w:ascii="Arial" w:hAnsi="Arial" w:cs="Arial"/>
                <w:sz w:val="16"/>
                <w:szCs w:val="16"/>
              </w:rPr>
              <w:t>, que permitan utilizar a la cooperación de manera técnica.</w:t>
            </w:r>
          </w:p>
          <w:p w:rsidR="009C11C9" w:rsidRDefault="009C11C9"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Tener mapeados los cronogramas pero en tiempos reales.</w:t>
            </w:r>
          </w:p>
          <w:p w:rsidR="009C11C9" w:rsidRDefault="009C11C9"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Tener claros los procedimientos para los gastos.</w:t>
            </w:r>
          </w:p>
          <w:p w:rsidR="00BA6A28" w:rsidRDefault="00BA6A28"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Tener una base de datos con información actualizada de los equipamientos y espacios que dispone las escuelas en tiempo real.</w:t>
            </w:r>
          </w:p>
          <w:p w:rsidR="00BA6A28" w:rsidRDefault="00BA6A28"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Los tiempos de validación técnica deben ser mejorados.</w:t>
            </w:r>
          </w:p>
          <w:p w:rsidR="00820415" w:rsidRDefault="00F01C9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Fortalecer el componente pedagógico del PNAEQW, con el componente de huertos escolares como herramienta pedagógica.</w:t>
            </w:r>
          </w:p>
          <w:p w:rsidR="00F01C91" w:rsidRDefault="00F01C9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Incluir asistencia técnica profesional, con ing, agrónomos, ya que todos los insumos son naturales y se producen alimentos orgánicos.</w:t>
            </w:r>
          </w:p>
          <w:p w:rsidR="00F01C91" w:rsidRPr="00F01C91" w:rsidRDefault="00F01C91" w:rsidP="00CA7432">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Continuar con la asistencia técnica de la FAO (aprovechar sus experiencias en otros países).</w:t>
            </w:r>
          </w:p>
        </w:tc>
        <w:tc>
          <w:tcPr>
            <w:tcW w:w="2246" w:type="dxa"/>
          </w:tcPr>
          <w:p w:rsidR="00820415" w:rsidRPr="00F04348" w:rsidRDefault="00820415" w:rsidP="006E6EFB">
            <w:pPr>
              <w:spacing w:line="276" w:lineRule="auto"/>
              <w:jc w:val="both"/>
              <w:rPr>
                <w:rFonts w:ascii="Arial" w:hAnsi="Arial" w:cs="Arial"/>
                <w:sz w:val="16"/>
                <w:szCs w:val="16"/>
              </w:rPr>
            </w:pPr>
          </w:p>
        </w:tc>
      </w:tr>
      <w:tr w:rsidR="00820415" w:rsidRPr="00F04348" w:rsidTr="00BA6A28">
        <w:tc>
          <w:tcPr>
            <w:tcW w:w="1809" w:type="dxa"/>
            <w:vAlign w:val="center"/>
          </w:tcPr>
          <w:p w:rsidR="00820415" w:rsidRPr="00F04348" w:rsidRDefault="00820415" w:rsidP="00820415">
            <w:pPr>
              <w:pStyle w:val="Prrafodelista"/>
              <w:numPr>
                <w:ilvl w:val="0"/>
                <w:numId w:val="5"/>
              </w:numPr>
              <w:spacing w:before="160" w:after="160" w:line="259" w:lineRule="auto"/>
              <w:ind w:left="142" w:hanging="142"/>
              <w:contextualSpacing w:val="0"/>
              <w:rPr>
                <w:rFonts w:ascii="Arial" w:hAnsi="Arial" w:cs="Arial"/>
                <w:b/>
                <w:sz w:val="16"/>
                <w:szCs w:val="16"/>
              </w:rPr>
            </w:pPr>
            <w:r w:rsidRPr="00F04348">
              <w:rPr>
                <w:rFonts w:ascii="Arial" w:hAnsi="Arial" w:cs="Arial"/>
                <w:b/>
                <w:sz w:val="16"/>
                <w:szCs w:val="16"/>
              </w:rPr>
              <w:t>Lecciones aprendidas</w:t>
            </w:r>
          </w:p>
          <w:p w:rsidR="00820415" w:rsidRPr="00F04348" w:rsidRDefault="00820415" w:rsidP="00820415">
            <w:pPr>
              <w:ind w:left="142" w:hanging="142"/>
              <w:rPr>
                <w:rFonts w:ascii="Arial" w:hAnsi="Arial" w:cs="Arial"/>
                <w:sz w:val="16"/>
                <w:szCs w:val="16"/>
              </w:rPr>
            </w:pPr>
          </w:p>
        </w:tc>
        <w:tc>
          <w:tcPr>
            <w:tcW w:w="2291" w:type="dxa"/>
          </w:tcPr>
          <w:p w:rsidR="00820415" w:rsidRPr="00F04348" w:rsidRDefault="00820415" w:rsidP="009612EA">
            <w:pPr>
              <w:jc w:val="both"/>
              <w:rPr>
                <w:rFonts w:ascii="Arial" w:hAnsi="Arial" w:cs="Arial"/>
                <w:sz w:val="16"/>
                <w:szCs w:val="16"/>
              </w:rPr>
            </w:pPr>
          </w:p>
        </w:tc>
        <w:tc>
          <w:tcPr>
            <w:tcW w:w="2812" w:type="dxa"/>
          </w:tcPr>
          <w:p w:rsidR="00CA7432" w:rsidRDefault="00CA7432"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La asistencia técnica en conjunto PNUD-FAO-PMA contribuyen a posicionar de manera estratégica </w:t>
            </w:r>
            <w:r>
              <w:rPr>
                <w:rFonts w:ascii="Arial" w:hAnsi="Arial" w:cs="Arial"/>
                <w:sz w:val="16"/>
                <w:szCs w:val="16"/>
              </w:rPr>
              <w:lastRenderedPageBreak/>
              <w:t>a las mismas.</w:t>
            </w:r>
          </w:p>
          <w:p w:rsidR="00CA7432" w:rsidRDefault="00CA7432"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Involucrar no sólo a funcionarios del PNAEQW, sino también, a actores y asesores regionales, mesa de concertación y complementar esfuerzos.</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La personas que gestionan los entes cooperantes deben garantizar su transparencia y si se encuentran dificultades plantear los correctivos.</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El diseño inicial del proyecto fue mucho más rico en alcance y resultados que el proyecto final. </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Cambios políticos afectaron negativamente al proyecto y al PNAEQW.</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Elaborar la línea de base en cualquier implementación a futuro.</w:t>
            </w:r>
          </w:p>
          <w:p w:rsidR="00B31641" w:rsidRDefault="00B3164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Instauran en los procesos de gestión la evaluación y el monitoreo.</w:t>
            </w:r>
          </w:p>
          <w:p w:rsidR="009C11C9" w:rsidRDefault="009C11C9"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Coordinaciones a Alto Nivel y un Comité debería ser el que decida las acciones del Gobierno y evitar la injerencia política.</w:t>
            </w:r>
          </w:p>
          <w:p w:rsidR="009C11C9" w:rsidRDefault="009C11C9"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Las coordinaciones deben ser más fluidas con el PNUD y el MIDIS, PNAEQW.</w:t>
            </w:r>
          </w:p>
          <w:p w:rsidR="003F4844" w:rsidRDefault="003F4844"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Procesos de selección suspendidos para el caso de las cocinas mejoradas, evaluación y comunicaciones.</w:t>
            </w:r>
          </w:p>
          <w:p w:rsidR="00CA7432" w:rsidRDefault="00CA7432"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Desarrollar herramientas educativas no solo en físico, sino audiovisuales, etc.</w:t>
            </w:r>
          </w:p>
          <w:p w:rsidR="00BA6A28" w:rsidRDefault="00BA6A28"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Establecer los protocolos de uso para el caso de las motos, para poder monitorear.</w:t>
            </w:r>
          </w:p>
          <w:p w:rsidR="00820415" w:rsidRDefault="00F01C91"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 xml:space="preserve">Los huertos escolares son sostenibles y escalables en la medida que se incorporen a todos los actores sociales </w:t>
            </w:r>
            <w:r w:rsidR="009C11C9">
              <w:rPr>
                <w:rFonts w:ascii="Arial" w:hAnsi="Arial" w:cs="Arial"/>
                <w:sz w:val="16"/>
                <w:szCs w:val="16"/>
              </w:rPr>
              <w:t>(SENASA</w:t>
            </w:r>
            <w:r>
              <w:rPr>
                <w:rFonts w:ascii="Arial" w:hAnsi="Arial" w:cs="Arial"/>
                <w:sz w:val="16"/>
                <w:szCs w:val="16"/>
              </w:rPr>
              <w:t>, GD Social, Gobierno Regional, locales)</w:t>
            </w:r>
            <w:r w:rsidR="00485BFB">
              <w:rPr>
                <w:rFonts w:ascii="Arial" w:hAnsi="Arial" w:cs="Arial"/>
                <w:sz w:val="16"/>
                <w:szCs w:val="16"/>
              </w:rPr>
              <w:t>.</w:t>
            </w:r>
          </w:p>
          <w:p w:rsidR="00485BFB" w:rsidRDefault="00485BFB"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Responsabilidad compartida de MINEDU y PNAEQW.</w:t>
            </w:r>
          </w:p>
          <w:p w:rsidR="00485BFB" w:rsidRPr="00F01C91" w:rsidRDefault="00485BFB" w:rsidP="00F01C91">
            <w:pPr>
              <w:pStyle w:val="Prrafodelista"/>
              <w:numPr>
                <w:ilvl w:val="0"/>
                <w:numId w:val="9"/>
              </w:numPr>
              <w:spacing w:line="276" w:lineRule="auto"/>
              <w:ind w:left="153" w:hanging="153"/>
              <w:jc w:val="both"/>
              <w:rPr>
                <w:rFonts w:ascii="Arial" w:hAnsi="Arial" w:cs="Arial"/>
                <w:sz w:val="16"/>
                <w:szCs w:val="16"/>
              </w:rPr>
            </w:pPr>
            <w:r>
              <w:rPr>
                <w:rFonts w:ascii="Arial" w:hAnsi="Arial" w:cs="Arial"/>
                <w:sz w:val="16"/>
                <w:szCs w:val="16"/>
              </w:rPr>
              <w:t>Continuar con la articulación a través de acuerdos interagenciales para experiencias como la alimentaci</w:t>
            </w:r>
            <w:r w:rsidR="009C11C9">
              <w:rPr>
                <w:rFonts w:ascii="Arial" w:hAnsi="Arial" w:cs="Arial"/>
                <w:sz w:val="16"/>
                <w:szCs w:val="16"/>
              </w:rPr>
              <w:t>ón escolar.</w:t>
            </w:r>
          </w:p>
        </w:tc>
        <w:tc>
          <w:tcPr>
            <w:tcW w:w="2246" w:type="dxa"/>
          </w:tcPr>
          <w:p w:rsidR="00820415" w:rsidRPr="00F04348" w:rsidRDefault="00820415" w:rsidP="006E6EFB">
            <w:pPr>
              <w:spacing w:line="276" w:lineRule="auto"/>
              <w:jc w:val="both"/>
              <w:rPr>
                <w:rFonts w:ascii="Arial" w:hAnsi="Arial" w:cs="Arial"/>
                <w:sz w:val="16"/>
                <w:szCs w:val="16"/>
              </w:rPr>
            </w:pPr>
          </w:p>
        </w:tc>
      </w:tr>
    </w:tbl>
    <w:p w:rsidR="00F04348" w:rsidRDefault="00F04348" w:rsidP="009612EA">
      <w:pPr>
        <w:jc w:val="both"/>
      </w:pPr>
    </w:p>
    <w:p w:rsidR="00F04348" w:rsidRDefault="00F04348" w:rsidP="009612EA">
      <w:pPr>
        <w:jc w:val="both"/>
      </w:pPr>
    </w:p>
    <w:p w:rsidR="003F4844" w:rsidRDefault="003F4844" w:rsidP="009612EA">
      <w:pPr>
        <w:jc w:val="both"/>
      </w:pPr>
    </w:p>
    <w:p w:rsidR="003F4844" w:rsidRDefault="003F4844" w:rsidP="009612EA">
      <w:pPr>
        <w:jc w:val="both"/>
      </w:pPr>
    </w:p>
    <w:p w:rsidR="009612EA" w:rsidRPr="009612EA" w:rsidRDefault="009612EA" w:rsidP="009612EA">
      <w:pPr>
        <w:pStyle w:val="Prrafodelista"/>
        <w:numPr>
          <w:ilvl w:val="0"/>
          <w:numId w:val="4"/>
        </w:numPr>
        <w:ind w:left="142" w:hanging="426"/>
        <w:rPr>
          <w:b/>
        </w:rPr>
      </w:pPr>
      <w:r w:rsidRPr="009612EA">
        <w:rPr>
          <w:b/>
        </w:rPr>
        <w:t>CONCLUSIONES</w:t>
      </w:r>
    </w:p>
    <w:p w:rsidR="00064BDA" w:rsidRDefault="00064BDA" w:rsidP="00064BDA">
      <w:pPr>
        <w:pStyle w:val="Prrafodelista"/>
        <w:ind w:left="1080"/>
        <w:rPr>
          <w:b/>
        </w:rPr>
      </w:pPr>
    </w:p>
    <w:p w:rsidR="003F4844" w:rsidRPr="009B42CD" w:rsidRDefault="003F4844" w:rsidP="003F4844">
      <w:pPr>
        <w:pStyle w:val="Prrafodelista"/>
        <w:spacing w:after="0" w:line="240" w:lineRule="auto"/>
        <w:ind w:left="142"/>
        <w:jc w:val="both"/>
        <w:rPr>
          <w:rFonts w:ascii="Arial" w:hAnsi="Arial" w:cs="Arial"/>
        </w:rPr>
      </w:pPr>
      <w:r w:rsidRPr="009B42CD">
        <w:rPr>
          <w:rFonts w:ascii="Arial" w:hAnsi="Arial" w:cs="Arial"/>
        </w:rPr>
        <w:t>De acuerdo a la percepción de los funcionarios y especialistas del proyecto “Fortalecimiento de Capacidades del Programa Nacional Alimentario Escolar Qali Warma” podemos anotar las siguientes conclusiones</w:t>
      </w:r>
    </w:p>
    <w:p w:rsidR="003F4844" w:rsidRPr="003F4844" w:rsidRDefault="003F4844" w:rsidP="003F4844">
      <w:pPr>
        <w:pStyle w:val="Prrafodelista"/>
        <w:spacing w:after="0" w:line="240" w:lineRule="auto"/>
        <w:ind w:left="142"/>
        <w:jc w:val="both"/>
        <w:rPr>
          <w:rFonts w:ascii="Arial" w:hAnsi="Arial" w:cs="Arial"/>
        </w:rPr>
      </w:pPr>
    </w:p>
    <w:p w:rsidR="003F4844" w:rsidRPr="00AF6FB3" w:rsidRDefault="003F4844" w:rsidP="00AF6FB3">
      <w:pPr>
        <w:pStyle w:val="Prrafodelista"/>
        <w:numPr>
          <w:ilvl w:val="0"/>
          <w:numId w:val="10"/>
        </w:numPr>
        <w:ind w:left="426"/>
        <w:jc w:val="both"/>
        <w:rPr>
          <w:rFonts w:ascii="Arial" w:hAnsi="Arial" w:cs="Arial"/>
        </w:rPr>
      </w:pPr>
      <w:r w:rsidRPr="00AF6FB3">
        <w:rPr>
          <w:rFonts w:ascii="Arial" w:hAnsi="Arial" w:cs="Arial"/>
        </w:rPr>
        <w:t xml:space="preserve">Todos </w:t>
      </w:r>
      <w:r w:rsidR="00AF6FB3" w:rsidRPr="00AF6FB3">
        <w:rPr>
          <w:rFonts w:ascii="Arial" w:hAnsi="Arial" w:cs="Arial"/>
        </w:rPr>
        <w:t xml:space="preserve">los funcionarios </w:t>
      </w:r>
      <w:r w:rsidRPr="00AF6FB3">
        <w:rPr>
          <w:rFonts w:ascii="Arial" w:hAnsi="Arial" w:cs="Arial"/>
        </w:rPr>
        <w:t xml:space="preserve">coinciden </w:t>
      </w:r>
      <w:r w:rsidR="00AF6FB3" w:rsidRPr="00AF6FB3">
        <w:rPr>
          <w:rFonts w:ascii="Arial" w:hAnsi="Arial" w:cs="Arial"/>
        </w:rPr>
        <w:t xml:space="preserve">en indicar </w:t>
      </w:r>
      <w:r w:rsidRPr="00AF6FB3">
        <w:rPr>
          <w:rFonts w:ascii="Arial" w:hAnsi="Arial" w:cs="Arial"/>
        </w:rPr>
        <w:t xml:space="preserve">que es una buena intervención, sin embargo </w:t>
      </w:r>
      <w:r w:rsidR="00AF6FB3" w:rsidRPr="00AF6FB3">
        <w:rPr>
          <w:rFonts w:ascii="Arial" w:hAnsi="Arial" w:cs="Arial"/>
        </w:rPr>
        <w:t>ha</w:t>
      </w:r>
      <w:r w:rsidRPr="00AF6FB3">
        <w:rPr>
          <w:rFonts w:ascii="Arial" w:hAnsi="Arial" w:cs="Arial"/>
        </w:rPr>
        <w:t xml:space="preserve"> sufrido muchos cambios desde su concepción inicial en el 2013 hasta el cierre final 2016.</w:t>
      </w:r>
    </w:p>
    <w:p w:rsidR="003F4844" w:rsidRDefault="00AF6FB3" w:rsidP="00AF6FB3">
      <w:pPr>
        <w:pStyle w:val="Prrafodelista"/>
        <w:numPr>
          <w:ilvl w:val="0"/>
          <w:numId w:val="10"/>
        </w:numPr>
        <w:ind w:left="426"/>
        <w:jc w:val="both"/>
        <w:rPr>
          <w:rFonts w:ascii="Arial" w:hAnsi="Arial" w:cs="Arial"/>
        </w:rPr>
      </w:pPr>
      <w:r w:rsidRPr="00AF6FB3">
        <w:rPr>
          <w:rFonts w:ascii="Arial" w:hAnsi="Arial" w:cs="Arial"/>
        </w:rPr>
        <w:t>No todos los componentes del proyecto se lograron implementar, tal es el caso del componente comunicacional, que fue suspendido.</w:t>
      </w:r>
    </w:p>
    <w:p w:rsidR="00FF703A" w:rsidRPr="00AF6FB3" w:rsidRDefault="00FF703A" w:rsidP="00AF6FB3">
      <w:pPr>
        <w:pStyle w:val="Prrafodelista"/>
        <w:numPr>
          <w:ilvl w:val="0"/>
          <w:numId w:val="10"/>
        </w:numPr>
        <w:ind w:left="426"/>
        <w:jc w:val="both"/>
        <w:rPr>
          <w:rFonts w:ascii="Arial" w:hAnsi="Arial" w:cs="Arial"/>
        </w:rPr>
      </w:pPr>
      <w:r>
        <w:rPr>
          <w:rFonts w:ascii="Arial" w:hAnsi="Arial" w:cs="Arial"/>
        </w:rPr>
        <w:t xml:space="preserve">El proyecto </w:t>
      </w:r>
      <w:r w:rsidRPr="009B42CD">
        <w:rPr>
          <w:rFonts w:ascii="Arial" w:hAnsi="Arial" w:cs="Arial"/>
        </w:rPr>
        <w:t>“Fortalecimiento de Capacidades del Programa Nacional Alimentario Escolar Qali Warma”</w:t>
      </w:r>
      <w:r>
        <w:rPr>
          <w:rFonts w:ascii="Arial" w:hAnsi="Arial" w:cs="Arial"/>
        </w:rPr>
        <w:t xml:space="preserve">, no ha logrado desarrollar al 100% actividades directamente relacionadas con el fortalecimiento de capacidades recomendadas en el informe de la Defensoría del Pueblo. </w:t>
      </w:r>
    </w:p>
    <w:p w:rsidR="00AF6FB3" w:rsidRDefault="00AF6FB3" w:rsidP="00AF6FB3">
      <w:pPr>
        <w:pStyle w:val="Prrafodelista"/>
        <w:numPr>
          <w:ilvl w:val="0"/>
          <w:numId w:val="10"/>
        </w:numPr>
        <w:ind w:left="426"/>
        <w:jc w:val="both"/>
        <w:rPr>
          <w:rFonts w:ascii="Arial" w:hAnsi="Arial" w:cs="Arial"/>
        </w:rPr>
      </w:pPr>
      <w:r>
        <w:rPr>
          <w:rFonts w:ascii="Arial" w:hAnsi="Arial" w:cs="Arial"/>
        </w:rPr>
        <w:t>No se ha desarrollado una Línea de Base, que permita luego de su implementación medir los resultados y el impacto.</w:t>
      </w:r>
    </w:p>
    <w:p w:rsidR="00AF6FB3" w:rsidRDefault="00AF6FB3" w:rsidP="00AF6FB3">
      <w:pPr>
        <w:pStyle w:val="Prrafodelista"/>
        <w:numPr>
          <w:ilvl w:val="0"/>
          <w:numId w:val="10"/>
        </w:numPr>
        <w:ind w:left="426"/>
        <w:jc w:val="both"/>
        <w:rPr>
          <w:rFonts w:ascii="Arial" w:hAnsi="Arial" w:cs="Arial"/>
        </w:rPr>
      </w:pPr>
      <w:r>
        <w:rPr>
          <w:rFonts w:ascii="Arial" w:hAnsi="Arial" w:cs="Arial"/>
        </w:rPr>
        <w:t>La asistencia técnica de parte de PNUD-FAO-PMA, debe ser aprovechada considerando las experiencias internacionales de las mismas.</w:t>
      </w:r>
    </w:p>
    <w:p w:rsidR="00AF6FB3" w:rsidRDefault="00AF6FB3" w:rsidP="00AF6FB3">
      <w:pPr>
        <w:pStyle w:val="Prrafodelista"/>
        <w:numPr>
          <w:ilvl w:val="0"/>
          <w:numId w:val="10"/>
        </w:numPr>
        <w:ind w:left="426"/>
        <w:jc w:val="both"/>
        <w:rPr>
          <w:rFonts w:ascii="Arial" w:hAnsi="Arial" w:cs="Arial"/>
        </w:rPr>
      </w:pPr>
      <w:r>
        <w:rPr>
          <w:rFonts w:ascii="Arial" w:hAnsi="Arial" w:cs="Arial"/>
        </w:rPr>
        <w:t>Se debe tener un Comité Técnico para establecer los acuerdos y líneas de acción que no permitan la injerencia política, ni se vea afectada por los cambios de gobierno.</w:t>
      </w:r>
    </w:p>
    <w:p w:rsidR="00AF6FB3" w:rsidRDefault="00AF6FB3" w:rsidP="00AF6FB3">
      <w:pPr>
        <w:pStyle w:val="Prrafodelista"/>
        <w:numPr>
          <w:ilvl w:val="0"/>
          <w:numId w:val="10"/>
        </w:numPr>
        <w:ind w:left="426"/>
        <w:jc w:val="both"/>
        <w:rPr>
          <w:rFonts w:ascii="Arial" w:hAnsi="Arial" w:cs="Arial"/>
        </w:rPr>
      </w:pPr>
      <w:r>
        <w:rPr>
          <w:rFonts w:ascii="Arial" w:hAnsi="Arial" w:cs="Arial"/>
        </w:rPr>
        <w:t>El proceso de validación de las herramientas educativas se debe hacer con los beneficiarios directos y no a nivel de las unidades territoriales o a nivel central.</w:t>
      </w:r>
    </w:p>
    <w:p w:rsidR="00AF6FB3" w:rsidRDefault="00AF6FB3" w:rsidP="00AF6FB3">
      <w:pPr>
        <w:pStyle w:val="Prrafodelista"/>
        <w:numPr>
          <w:ilvl w:val="0"/>
          <w:numId w:val="10"/>
        </w:numPr>
        <w:ind w:left="426"/>
        <w:jc w:val="both"/>
        <w:rPr>
          <w:rFonts w:ascii="Arial" w:hAnsi="Arial" w:cs="Arial"/>
        </w:rPr>
      </w:pPr>
      <w:r>
        <w:rPr>
          <w:rFonts w:ascii="Arial" w:hAnsi="Arial" w:cs="Arial"/>
        </w:rPr>
        <w:t xml:space="preserve"> Establecer canales de comunicación entre las otras instancias como el MINEDU, MINAGRI, Mesa de Concertación, a fin de validar los productos y lograr el involucramiento de los mismos.</w:t>
      </w:r>
    </w:p>
    <w:p w:rsidR="00AF6FB3" w:rsidRDefault="00AF6FB3" w:rsidP="00AF6FB3">
      <w:pPr>
        <w:pStyle w:val="Prrafodelista"/>
        <w:numPr>
          <w:ilvl w:val="0"/>
          <w:numId w:val="10"/>
        </w:numPr>
        <w:ind w:left="426"/>
        <w:jc w:val="both"/>
        <w:rPr>
          <w:rFonts w:ascii="Arial" w:hAnsi="Arial" w:cs="Arial"/>
        </w:rPr>
      </w:pPr>
      <w:r>
        <w:rPr>
          <w:rFonts w:ascii="Arial" w:hAnsi="Arial" w:cs="Arial"/>
        </w:rPr>
        <w:t>Tener una base de datos actualizada y en tiempo real con toda la información que se requiere para que las intervenciones sean efectivas y evitemos reclamos y dilatación de los tiempos de implementación.</w:t>
      </w:r>
    </w:p>
    <w:p w:rsidR="00E83706" w:rsidRDefault="00E83706" w:rsidP="00AF6FB3">
      <w:pPr>
        <w:pStyle w:val="Prrafodelista"/>
        <w:numPr>
          <w:ilvl w:val="0"/>
          <w:numId w:val="10"/>
        </w:numPr>
        <w:ind w:left="426"/>
        <w:jc w:val="both"/>
        <w:rPr>
          <w:rFonts w:ascii="Arial" w:hAnsi="Arial" w:cs="Arial"/>
        </w:rPr>
      </w:pPr>
      <w:r>
        <w:rPr>
          <w:rFonts w:ascii="Arial" w:hAnsi="Arial" w:cs="Arial"/>
        </w:rPr>
        <w:t>Replicar intervenciones futuras tomando en consideración las lecciones aprendidas.</w:t>
      </w:r>
    </w:p>
    <w:p w:rsidR="009B42CD" w:rsidRDefault="009B42CD" w:rsidP="009B42CD">
      <w:pPr>
        <w:jc w:val="both"/>
        <w:rPr>
          <w:rFonts w:ascii="Arial" w:hAnsi="Arial" w:cs="Arial"/>
        </w:rPr>
      </w:pPr>
    </w:p>
    <w:p w:rsidR="009B42CD" w:rsidRDefault="009B42CD" w:rsidP="009B42CD">
      <w:pPr>
        <w:pStyle w:val="Prrafodelista"/>
        <w:numPr>
          <w:ilvl w:val="0"/>
          <w:numId w:val="4"/>
        </w:numPr>
        <w:ind w:left="142" w:hanging="426"/>
        <w:rPr>
          <w:b/>
        </w:rPr>
      </w:pPr>
      <w:r w:rsidRPr="009B42CD">
        <w:rPr>
          <w:b/>
        </w:rPr>
        <w:t>ANEXOS</w:t>
      </w:r>
    </w:p>
    <w:p w:rsidR="009B42CD" w:rsidRPr="009B42CD" w:rsidRDefault="009B42CD" w:rsidP="009B42CD">
      <w:pPr>
        <w:pStyle w:val="Prrafodelista"/>
        <w:spacing w:after="0" w:line="240" w:lineRule="auto"/>
        <w:ind w:left="142"/>
        <w:jc w:val="both"/>
        <w:rPr>
          <w:rFonts w:ascii="Arial" w:hAnsi="Arial" w:cs="Arial"/>
        </w:rPr>
      </w:pPr>
      <w:r w:rsidRPr="009B42CD">
        <w:rPr>
          <w:rFonts w:ascii="Arial" w:hAnsi="Arial" w:cs="Arial"/>
        </w:rPr>
        <w:t>Fichas de entrevistas a funcionarios aplicadas</w:t>
      </w:r>
    </w:p>
    <w:sectPr w:rsidR="009B42CD" w:rsidRPr="009B42C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9B0" w:rsidRDefault="001369B0" w:rsidP="009A6C5A">
      <w:pPr>
        <w:spacing w:after="0" w:line="240" w:lineRule="auto"/>
      </w:pPr>
      <w:r>
        <w:separator/>
      </w:r>
    </w:p>
  </w:endnote>
  <w:endnote w:type="continuationSeparator" w:id="0">
    <w:p w:rsidR="001369B0" w:rsidRDefault="001369B0" w:rsidP="009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9B0" w:rsidRDefault="001369B0" w:rsidP="009A6C5A">
      <w:pPr>
        <w:spacing w:after="0" w:line="240" w:lineRule="auto"/>
      </w:pPr>
      <w:r>
        <w:separator/>
      </w:r>
    </w:p>
  </w:footnote>
  <w:footnote w:type="continuationSeparator" w:id="0">
    <w:p w:rsidR="001369B0" w:rsidRDefault="001369B0" w:rsidP="009A6C5A">
      <w:pPr>
        <w:spacing w:after="0" w:line="240" w:lineRule="auto"/>
      </w:pPr>
      <w:r>
        <w:continuationSeparator/>
      </w:r>
    </w:p>
  </w:footnote>
  <w:footnote w:id="1">
    <w:p w:rsidR="00820415" w:rsidRPr="000271C9" w:rsidRDefault="00820415" w:rsidP="00F04348">
      <w:pPr>
        <w:pStyle w:val="Textonotapie"/>
        <w:rPr>
          <w:i/>
        </w:rPr>
      </w:pPr>
      <w:r>
        <w:rPr>
          <w:rStyle w:val="Refdenotaalpie"/>
        </w:rPr>
        <w:footnoteRef/>
      </w:r>
      <w:r>
        <w:t xml:space="preserve"> </w:t>
      </w:r>
      <w:r w:rsidRPr="000271C9">
        <w:rPr>
          <w:b/>
          <w:i/>
        </w:rPr>
        <w:t>Herramientas Educativas:</w:t>
      </w:r>
      <w:r w:rsidRPr="000271C9">
        <w:rPr>
          <w:i/>
        </w:rPr>
        <w:t xml:space="preserve"> Protocolos educativos, rótulos informativos, manual para la gestión del servicio alimentario, guía </w:t>
      </w:r>
      <w:r>
        <w:rPr>
          <w:i/>
        </w:rPr>
        <w:t>de preparación de</w:t>
      </w:r>
      <w:r w:rsidRPr="000271C9">
        <w:rPr>
          <w:i/>
        </w:rPr>
        <w:t xml:space="preserve"> alimentos.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83" w:type="pct"/>
      <w:tblInd w:w="-318" w:type="dxa"/>
      <w:tblBorders>
        <w:insideH w:val="single" w:sz="18" w:space="0" w:color="3E762A"/>
        <w:insideV w:val="single" w:sz="18" w:space="0" w:color="BEDC50"/>
      </w:tblBorders>
      <w:tblLook w:val="01E0" w:firstRow="1" w:lastRow="1" w:firstColumn="1" w:lastColumn="1" w:noHBand="0" w:noVBand="0"/>
    </w:tblPr>
    <w:tblGrid>
      <w:gridCol w:w="8977"/>
      <w:gridCol w:w="589"/>
    </w:tblGrid>
    <w:tr w:rsidR="009A6C5A" w:rsidRPr="00FF3DDB" w:rsidTr="00721942">
      <w:trPr>
        <w:trHeight w:val="105"/>
      </w:trPr>
      <w:tc>
        <w:tcPr>
          <w:tcW w:w="4692" w:type="pct"/>
          <w:tcBorders>
            <w:top w:val="nil"/>
            <w:bottom w:val="nil"/>
            <w:right w:val="single" w:sz="24" w:space="0" w:color="4D4D4D"/>
          </w:tcBorders>
        </w:tcPr>
        <w:p w:rsidR="009A6C5A" w:rsidRPr="009A6C5A" w:rsidRDefault="009A6C5A" w:rsidP="009A6C5A">
          <w:pPr>
            <w:tabs>
              <w:tab w:val="center" w:pos="4419"/>
              <w:tab w:val="right" w:pos="8838"/>
            </w:tabs>
            <w:jc w:val="both"/>
            <w:rPr>
              <w:rFonts w:ascii="Arial" w:hAnsi="Arial" w:cs="Arial"/>
              <w:b/>
              <w:color w:val="8AB833"/>
              <w:sz w:val="16"/>
              <w:lang w:eastAsia="es-PE"/>
            </w:rPr>
          </w:pPr>
          <w:r w:rsidRPr="009A6C5A">
            <w:rPr>
              <w:rFonts w:ascii="Arial" w:hAnsi="Arial" w:cs="Arial"/>
              <w:b/>
              <w:color w:val="8AB833"/>
              <w:sz w:val="16"/>
              <w:lang w:eastAsia="es-PE"/>
            </w:rPr>
            <w:t xml:space="preserve">EVALUACIÓN DEL PROYECTO “FORTALECIMIENTO DE CAPACIDADES DEL PROGRAMA NACIONAL DE ALIMENTACIÓN ESCOLAR QALI WARMA”  </w:t>
          </w:r>
        </w:p>
      </w:tc>
      <w:tc>
        <w:tcPr>
          <w:tcW w:w="308" w:type="pct"/>
          <w:tcBorders>
            <w:top w:val="nil"/>
            <w:left w:val="single" w:sz="24" w:space="0" w:color="4D4D4D"/>
          </w:tcBorders>
          <w:vAlign w:val="center"/>
        </w:tcPr>
        <w:p w:rsidR="009A6C5A" w:rsidRPr="00FF3DDB" w:rsidRDefault="009A6C5A" w:rsidP="00721942">
          <w:pPr>
            <w:tabs>
              <w:tab w:val="center" w:pos="4419"/>
              <w:tab w:val="right" w:pos="8838"/>
            </w:tabs>
            <w:jc w:val="both"/>
            <w:rPr>
              <w:rFonts w:ascii="Arial" w:hAnsi="Arial" w:cs="Arial"/>
              <w:b/>
              <w:bCs/>
              <w:color w:val="4D4D4D"/>
              <w:sz w:val="18"/>
              <w:lang w:eastAsia="es-PE"/>
            </w:rPr>
          </w:pPr>
          <w:r w:rsidRPr="00FF3DDB">
            <w:rPr>
              <w:rFonts w:ascii="Arial" w:hAnsi="Arial" w:cs="Arial"/>
              <w:color w:val="8AB833"/>
              <w:sz w:val="18"/>
              <w:lang w:eastAsia="es-PE"/>
            </w:rPr>
            <w:fldChar w:fldCharType="begin"/>
          </w:r>
          <w:r w:rsidRPr="00FF3DDB">
            <w:rPr>
              <w:rFonts w:ascii="Arial" w:hAnsi="Arial" w:cs="Arial"/>
              <w:color w:val="8AB833"/>
              <w:sz w:val="18"/>
              <w:lang w:eastAsia="es-PE"/>
            </w:rPr>
            <w:instrText>PAGE   \* MERGEFORMAT</w:instrText>
          </w:r>
          <w:r w:rsidRPr="00FF3DDB">
            <w:rPr>
              <w:rFonts w:ascii="Arial" w:hAnsi="Arial" w:cs="Arial"/>
              <w:color w:val="8AB833"/>
              <w:sz w:val="18"/>
              <w:lang w:eastAsia="es-PE"/>
            </w:rPr>
            <w:fldChar w:fldCharType="separate"/>
          </w:r>
          <w:r w:rsidR="00FC3E23">
            <w:rPr>
              <w:rFonts w:ascii="Arial" w:hAnsi="Arial" w:cs="Arial"/>
              <w:noProof/>
              <w:color w:val="8AB833"/>
              <w:sz w:val="18"/>
              <w:lang w:eastAsia="es-PE"/>
            </w:rPr>
            <w:t>1</w:t>
          </w:r>
          <w:r w:rsidRPr="00FF3DDB">
            <w:rPr>
              <w:rFonts w:ascii="Arial" w:hAnsi="Arial" w:cs="Arial"/>
              <w:color w:val="8AB833"/>
              <w:sz w:val="18"/>
              <w:lang w:eastAsia="es-PE"/>
            </w:rPr>
            <w:fldChar w:fldCharType="end"/>
          </w:r>
        </w:p>
      </w:tc>
    </w:tr>
  </w:tbl>
  <w:p w:rsidR="009A6C5A" w:rsidRDefault="009A6C5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73CA4"/>
    <w:multiLevelType w:val="hybridMultilevel"/>
    <w:tmpl w:val="AA2E2648"/>
    <w:lvl w:ilvl="0" w:tplc="3050B4CC">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EFF4FA9"/>
    <w:multiLevelType w:val="hybridMultilevel"/>
    <w:tmpl w:val="B202742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3913C47"/>
    <w:multiLevelType w:val="multilevel"/>
    <w:tmpl w:val="C720CE26"/>
    <w:lvl w:ilvl="0">
      <w:start w:val="1"/>
      <w:numFmt w:val="decimal"/>
      <w:lvlText w:val="%1"/>
      <w:lvlJc w:val="left"/>
      <w:pPr>
        <w:ind w:left="432" w:hanging="432"/>
      </w:pPr>
      <w:rPr>
        <w:rFonts w:ascii="Arial" w:hAnsi="Arial" w:cs="Arial" w:hint="default"/>
        <w:sz w:val="16"/>
        <w:szCs w:val="16"/>
      </w:rPr>
    </w:lvl>
    <w:lvl w:ilvl="1">
      <w:start w:val="1"/>
      <w:numFmt w:val="decimal"/>
      <w:lvlText w:val="%1.%2"/>
      <w:lvlJc w:val="left"/>
      <w:pPr>
        <w:ind w:left="576" w:hanging="576"/>
      </w:pPr>
      <w:rPr>
        <w:sz w:val="16"/>
        <w:szCs w:val="1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6B35CBF"/>
    <w:multiLevelType w:val="multilevel"/>
    <w:tmpl w:val="62967D68"/>
    <w:lvl w:ilvl="0">
      <w:start w:val="1"/>
      <w:numFmt w:val="decimal"/>
      <w:lvlText w:val="%1"/>
      <w:lvlJc w:val="left"/>
      <w:pPr>
        <w:ind w:left="432" w:hanging="432"/>
      </w:pPr>
      <w:rPr>
        <w:rFonts w:ascii="Arial" w:hAnsi="Arial" w:cs="Arial" w:hint="default"/>
        <w:sz w:val="24"/>
        <w:szCs w:val="24"/>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05F62B2"/>
    <w:multiLevelType w:val="hybridMultilevel"/>
    <w:tmpl w:val="83C6B356"/>
    <w:lvl w:ilvl="0" w:tplc="68F02206">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5" w15:restartNumberingAfterBreak="0">
    <w:nsid w:val="45173F6E"/>
    <w:multiLevelType w:val="multilevel"/>
    <w:tmpl w:val="62967D68"/>
    <w:lvl w:ilvl="0">
      <w:start w:val="1"/>
      <w:numFmt w:val="decimal"/>
      <w:lvlText w:val="%1"/>
      <w:lvlJc w:val="left"/>
      <w:pPr>
        <w:ind w:left="432" w:hanging="432"/>
      </w:pPr>
      <w:rPr>
        <w:rFonts w:ascii="Arial" w:hAnsi="Arial" w:cs="Arial" w:hint="default"/>
        <w:sz w:val="24"/>
        <w:szCs w:val="24"/>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85F1737"/>
    <w:multiLevelType w:val="hybridMultilevel"/>
    <w:tmpl w:val="9C20E0B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E206B08"/>
    <w:multiLevelType w:val="hybridMultilevel"/>
    <w:tmpl w:val="6B4848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B1D42F9"/>
    <w:multiLevelType w:val="multilevel"/>
    <w:tmpl w:val="62967D68"/>
    <w:lvl w:ilvl="0">
      <w:start w:val="1"/>
      <w:numFmt w:val="decimal"/>
      <w:lvlText w:val="%1"/>
      <w:lvlJc w:val="left"/>
      <w:pPr>
        <w:ind w:left="432" w:hanging="432"/>
      </w:pPr>
      <w:rPr>
        <w:rFonts w:ascii="Arial" w:hAnsi="Arial" w:cs="Arial" w:hint="default"/>
        <w:sz w:val="24"/>
        <w:szCs w:val="24"/>
      </w:rPr>
    </w:lvl>
    <w:lvl w:ilvl="1">
      <w:start w:val="1"/>
      <w:numFmt w:val="decimal"/>
      <w:lvlText w:val="%1.%2"/>
      <w:lvlJc w:val="left"/>
      <w:pPr>
        <w:ind w:left="576" w:hanging="576"/>
      </w:pPr>
      <w:rPr>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F616664"/>
    <w:multiLevelType w:val="hybridMultilevel"/>
    <w:tmpl w:val="5A643EA6"/>
    <w:lvl w:ilvl="0" w:tplc="6F4ACDD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620D5BA1"/>
    <w:multiLevelType w:val="hybridMultilevel"/>
    <w:tmpl w:val="3A42728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71494EFE"/>
    <w:multiLevelType w:val="multilevel"/>
    <w:tmpl w:val="780AB5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0"/>
  </w:num>
  <w:num w:numId="3">
    <w:abstractNumId w:val="7"/>
  </w:num>
  <w:num w:numId="4">
    <w:abstractNumId w:val="11"/>
  </w:num>
  <w:num w:numId="5">
    <w:abstractNumId w:val="2"/>
  </w:num>
  <w:num w:numId="6">
    <w:abstractNumId w:val="8"/>
  </w:num>
  <w:num w:numId="7">
    <w:abstractNumId w:val="5"/>
  </w:num>
  <w:num w:numId="8">
    <w:abstractNumId w:val="3"/>
  </w:num>
  <w:num w:numId="9">
    <w:abstractNumId w:val="0"/>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C5A"/>
    <w:rsid w:val="00041E8E"/>
    <w:rsid w:val="00062AB0"/>
    <w:rsid w:val="00064BDA"/>
    <w:rsid w:val="00064F66"/>
    <w:rsid w:val="000661EA"/>
    <w:rsid w:val="00073889"/>
    <w:rsid w:val="000A77C6"/>
    <w:rsid w:val="00136873"/>
    <w:rsid w:val="001369B0"/>
    <w:rsid w:val="001A3686"/>
    <w:rsid w:val="002821D2"/>
    <w:rsid w:val="00327AEB"/>
    <w:rsid w:val="00351297"/>
    <w:rsid w:val="003744FB"/>
    <w:rsid w:val="003D1040"/>
    <w:rsid w:val="003F4844"/>
    <w:rsid w:val="00475E9A"/>
    <w:rsid w:val="00485BFB"/>
    <w:rsid w:val="0048640C"/>
    <w:rsid w:val="00487906"/>
    <w:rsid w:val="004B6151"/>
    <w:rsid w:val="005635D6"/>
    <w:rsid w:val="00590192"/>
    <w:rsid w:val="005D1C13"/>
    <w:rsid w:val="005F51A4"/>
    <w:rsid w:val="006E6EFB"/>
    <w:rsid w:val="0078487A"/>
    <w:rsid w:val="007A223E"/>
    <w:rsid w:val="007B33CA"/>
    <w:rsid w:val="00802B28"/>
    <w:rsid w:val="00820415"/>
    <w:rsid w:val="00861339"/>
    <w:rsid w:val="00876BFB"/>
    <w:rsid w:val="0089276D"/>
    <w:rsid w:val="008A06C7"/>
    <w:rsid w:val="009432E3"/>
    <w:rsid w:val="009612EA"/>
    <w:rsid w:val="00964C60"/>
    <w:rsid w:val="009A6C5A"/>
    <w:rsid w:val="009B42CD"/>
    <w:rsid w:val="009C11C9"/>
    <w:rsid w:val="009E4936"/>
    <w:rsid w:val="009E5367"/>
    <w:rsid w:val="00A2503C"/>
    <w:rsid w:val="00AF6FB3"/>
    <w:rsid w:val="00B31641"/>
    <w:rsid w:val="00BA6A28"/>
    <w:rsid w:val="00BE1461"/>
    <w:rsid w:val="00C043E0"/>
    <w:rsid w:val="00C13EA4"/>
    <w:rsid w:val="00CA7432"/>
    <w:rsid w:val="00CC329A"/>
    <w:rsid w:val="00CF2025"/>
    <w:rsid w:val="00D216EB"/>
    <w:rsid w:val="00DB5521"/>
    <w:rsid w:val="00E83706"/>
    <w:rsid w:val="00F01C91"/>
    <w:rsid w:val="00F04348"/>
    <w:rsid w:val="00F46E0D"/>
    <w:rsid w:val="00F4752D"/>
    <w:rsid w:val="00F62104"/>
    <w:rsid w:val="00FB7080"/>
    <w:rsid w:val="00FC3E23"/>
    <w:rsid w:val="00FD57DE"/>
    <w:rsid w:val="00FF70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8E49"/>
  <w15:docId w15:val="{F6A82185-16CF-4052-B3F6-C0C1E8114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6C5A"/>
    <w:pPr>
      <w:keepNext/>
      <w:spacing w:after="0" w:line="240" w:lineRule="auto"/>
      <w:jc w:val="center"/>
      <w:outlineLvl w:val="0"/>
    </w:pPr>
    <w:rPr>
      <w:rFonts w:ascii="Arial" w:eastAsia="Times New Roman" w:hAnsi="Arial" w:cs="Times New Roman"/>
      <w:b/>
      <w:bCs/>
      <w:color w:val="000000"/>
      <w:sz w:val="24"/>
      <w:szCs w:val="24"/>
      <w:lang w:val="es-C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6C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6C5A"/>
  </w:style>
  <w:style w:type="paragraph" w:styleId="Piedepgina">
    <w:name w:val="footer"/>
    <w:basedOn w:val="Normal"/>
    <w:link w:val="PiedepginaCar"/>
    <w:uiPriority w:val="99"/>
    <w:unhideWhenUsed/>
    <w:rsid w:val="009A6C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6C5A"/>
  </w:style>
  <w:style w:type="character" w:customStyle="1" w:styleId="Ttulo1Car">
    <w:name w:val="Título 1 Car"/>
    <w:basedOn w:val="Fuentedeprrafopredeter"/>
    <w:link w:val="Ttulo1"/>
    <w:uiPriority w:val="9"/>
    <w:rsid w:val="009A6C5A"/>
    <w:rPr>
      <w:rFonts w:ascii="Arial" w:eastAsia="Times New Roman" w:hAnsi="Arial" w:cs="Times New Roman"/>
      <w:b/>
      <w:bCs/>
      <w:color w:val="000000"/>
      <w:sz w:val="24"/>
      <w:szCs w:val="24"/>
      <w:lang w:val="es-CR" w:eastAsia="es-ES"/>
    </w:rPr>
  </w:style>
  <w:style w:type="paragraph" w:styleId="Prrafodelista">
    <w:name w:val="List Paragraph"/>
    <w:aliases w:val="Antes de enumeración,Párrafo de lista1,List Paragraph"/>
    <w:basedOn w:val="Normal"/>
    <w:link w:val="PrrafodelistaCar"/>
    <w:uiPriority w:val="34"/>
    <w:qFormat/>
    <w:rsid w:val="002821D2"/>
    <w:pPr>
      <w:ind w:left="720"/>
      <w:contextualSpacing/>
    </w:pPr>
  </w:style>
  <w:style w:type="character" w:customStyle="1" w:styleId="PrrafodelistaCar">
    <w:name w:val="Párrafo de lista Car"/>
    <w:aliases w:val="Antes de enumeración Car,Párrafo de lista1 Car,List Paragraph Car"/>
    <w:link w:val="Prrafodelista"/>
    <w:uiPriority w:val="34"/>
    <w:locked/>
    <w:rsid w:val="003744FB"/>
  </w:style>
  <w:style w:type="table" w:styleId="Tablaconcuadrcula">
    <w:name w:val="Table Grid"/>
    <w:basedOn w:val="Tablanormal"/>
    <w:uiPriority w:val="39"/>
    <w:rsid w:val="003744F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04348"/>
    <w:pPr>
      <w:spacing w:after="0" w:line="240" w:lineRule="auto"/>
    </w:pPr>
    <w:rPr>
      <w:sz w:val="20"/>
      <w:szCs w:val="20"/>
      <w:lang w:val="es-ES"/>
    </w:rPr>
  </w:style>
  <w:style w:type="character" w:customStyle="1" w:styleId="TextonotapieCar">
    <w:name w:val="Texto nota pie Car"/>
    <w:basedOn w:val="Fuentedeprrafopredeter"/>
    <w:link w:val="Textonotapie"/>
    <w:uiPriority w:val="99"/>
    <w:semiHidden/>
    <w:rsid w:val="00F04348"/>
    <w:rPr>
      <w:sz w:val="20"/>
      <w:szCs w:val="20"/>
      <w:lang w:val="es-ES"/>
    </w:rPr>
  </w:style>
  <w:style w:type="character" w:styleId="Refdenotaalpie">
    <w:name w:val="footnote reference"/>
    <w:basedOn w:val="Fuentedeprrafopredeter"/>
    <w:uiPriority w:val="99"/>
    <w:semiHidden/>
    <w:unhideWhenUsed/>
    <w:rsid w:val="00F043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5C08-D4DA-49EE-884E-A4DB0511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2309</Words>
  <Characters>12704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2017-09-16T14:03:00Z</dcterms:created>
  <dcterms:modified xsi:type="dcterms:W3CDTF">2017-09-20T23:47:00Z</dcterms:modified>
</cp:coreProperties>
</file>