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1B3BA" w14:textId="3986C34C" w:rsidR="00BA3DC6" w:rsidRDefault="00EA74DA" w:rsidP="00B96F0F">
      <w:pPr>
        <w:spacing w:after="0" w:line="240" w:lineRule="auto"/>
        <w:rPr>
          <w:rFonts w:ascii="Times New Roman" w:hAnsi="Times New Roman"/>
          <w:b/>
          <w:sz w:val="28"/>
          <w:szCs w:val="28"/>
        </w:rPr>
      </w:pPr>
      <w:bookmarkStart w:id="0" w:name="_Toc355533880"/>
      <w:bookmarkStart w:id="1" w:name="_GoBack"/>
      <w:bookmarkEnd w:id="1"/>
      <w:r>
        <w:rPr>
          <w:noProof/>
          <w:lang w:eastAsia="fr-FR"/>
        </w:rPr>
        <mc:AlternateContent>
          <mc:Choice Requires="wps">
            <w:drawing>
              <wp:anchor distT="0" distB="0" distL="114300" distR="114300" simplePos="0" relativeHeight="251672064" behindDoc="0" locked="0" layoutInCell="1" allowOverlap="1" wp14:anchorId="0968928A" wp14:editId="0822C907">
                <wp:simplePos x="0" y="0"/>
                <wp:positionH relativeFrom="column">
                  <wp:posOffset>488315</wp:posOffset>
                </wp:positionH>
                <wp:positionV relativeFrom="paragraph">
                  <wp:posOffset>6272530</wp:posOffset>
                </wp:positionV>
                <wp:extent cx="4740275" cy="1967865"/>
                <wp:effectExtent l="7620" t="10160" r="5080" b="12700"/>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275" cy="1967865"/>
                        </a:xfrm>
                        <a:prstGeom prst="rect">
                          <a:avLst/>
                        </a:prstGeom>
                        <a:solidFill>
                          <a:srgbClr val="FFFFFF"/>
                        </a:solidFill>
                        <a:ln w="9525">
                          <a:solidFill>
                            <a:srgbClr val="000000"/>
                          </a:solidFill>
                          <a:miter lim="800000"/>
                          <a:headEnd/>
                          <a:tailEnd/>
                        </a:ln>
                      </wps:spPr>
                      <wps:txbx>
                        <w:txbxContent>
                          <w:p w14:paraId="7AEDEFAA" w14:textId="77777777" w:rsidR="004F261E" w:rsidRDefault="004F261E">
                            <w:r w:rsidRPr="007D6BF6">
                              <w:rPr>
                                <w:noProof/>
                                <w:lang w:eastAsia="fr-FR"/>
                              </w:rPr>
                              <w:drawing>
                                <wp:inline distT="0" distB="0" distL="0" distR="0" wp14:anchorId="391F34C7" wp14:editId="7D3885A3">
                                  <wp:extent cx="4553940" cy="1916582"/>
                                  <wp:effectExtent l="0" t="0" r="0" b="0"/>
                                  <wp:docPr id="1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8928A" id="_x0000_t202" coordsize="21600,21600" o:spt="202" path="m,l,21600r21600,l21600,xe">
                <v:stroke joinstyle="miter"/>
                <v:path gradientshapeok="t" o:connecttype="rect"/>
              </v:shapetype>
              <v:shape id="Text Box 27" o:spid="_x0000_s1026" type="#_x0000_t202" style="position:absolute;margin-left:38.45pt;margin-top:493.9pt;width:373.25pt;height:154.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">
                <v:textbox>
                  <w:txbxContent>
                    <w:p w14:paraId="7AEDEFAA" w14:textId="77777777" w:rsidR="004F261E" w:rsidRDefault="004F261E">
                      <w:r w:rsidRPr="007D6BF6">
                        <w:rPr>
                          <w:noProof/>
                          <w:lang w:eastAsia="fr-FR"/>
                        </w:rPr>
                        <w:drawing>
                          <wp:inline distT="0" distB="0" distL="0" distR="0" wp14:anchorId="391F34C7" wp14:editId="7D3885A3">
                            <wp:extent cx="4553940" cy="1916582"/>
                            <wp:effectExtent l="0" t="0" r="0" b="0"/>
                            <wp:docPr id="1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56704" behindDoc="0" locked="0" layoutInCell="1" allowOverlap="1" wp14:anchorId="0BCA80BE" wp14:editId="565F3BC4">
                <wp:simplePos x="0" y="0"/>
                <wp:positionH relativeFrom="column">
                  <wp:posOffset>537845</wp:posOffset>
                </wp:positionH>
                <wp:positionV relativeFrom="paragraph">
                  <wp:posOffset>3575685</wp:posOffset>
                </wp:positionV>
                <wp:extent cx="4688205" cy="2267585"/>
                <wp:effectExtent l="0" t="0" r="0" b="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205" cy="2267585"/>
                        </a:xfrm>
                        <a:prstGeom prst="rect">
                          <a:avLst/>
                        </a:prstGeom>
                        <a:solidFill>
                          <a:srgbClr val="FFFFFF"/>
                        </a:solidFill>
                        <a:ln w="9525">
                          <a:solidFill>
                            <a:srgbClr val="000000"/>
                          </a:solidFill>
                          <a:miter lim="800000"/>
                          <a:headEnd/>
                          <a:tailEnd/>
                        </a:ln>
                      </wps:spPr>
                      <wps:txbx>
                        <w:txbxContent>
                          <w:p w14:paraId="2D87C990" w14:textId="77777777" w:rsidR="004F261E" w:rsidRDefault="004F261E" w:rsidP="00BA3DC6">
                            <w:pPr>
                              <w:spacing w:after="0" w:line="240" w:lineRule="auto"/>
                              <w:jc w:val="center"/>
                              <w:rPr>
                                <w:rFonts w:ascii="Arial Black" w:hAnsi="Arial Black" w:cs="Arial"/>
                                <w:b/>
                                <w:sz w:val="28"/>
                                <w:szCs w:val="28"/>
                              </w:rPr>
                            </w:pPr>
                            <w:r w:rsidRPr="00D877C0">
                              <w:rPr>
                                <w:rFonts w:ascii="Arial Black" w:hAnsi="Arial Black" w:cs="Arial"/>
                                <w:b/>
                                <w:sz w:val="28"/>
                                <w:szCs w:val="28"/>
                              </w:rPr>
                              <w:t xml:space="preserve">EVALUATION </w:t>
                            </w:r>
                            <w:r>
                              <w:rPr>
                                <w:rFonts w:ascii="Arial Black" w:hAnsi="Arial Black" w:cs="Arial"/>
                                <w:b/>
                                <w:sz w:val="28"/>
                                <w:szCs w:val="28"/>
                              </w:rPr>
                              <w:t>A MI PARCOURS DU PROGRAMME PAYS CYCLE 2015-2019</w:t>
                            </w:r>
                          </w:p>
                          <w:p w14:paraId="4D4C6E95" w14:textId="77777777" w:rsidR="004F261E" w:rsidRPr="003917D0" w:rsidRDefault="004F261E" w:rsidP="00BA3DC6">
                            <w:pPr>
                              <w:spacing w:after="0" w:line="240" w:lineRule="auto"/>
                              <w:jc w:val="center"/>
                              <w:rPr>
                                <w:rFonts w:ascii="Arial Black" w:hAnsi="Arial Black" w:cs="Arial"/>
                                <w:b/>
                                <w:sz w:val="28"/>
                                <w:szCs w:val="28"/>
                              </w:rPr>
                            </w:pPr>
                            <w:r>
                              <w:rPr>
                                <w:rFonts w:ascii="Arial Black" w:hAnsi="Arial Black" w:cs="Arial"/>
                                <w:b/>
                                <w:sz w:val="28"/>
                                <w:szCs w:val="28"/>
                              </w:rPr>
                              <w:t>---------------</w:t>
                            </w:r>
                          </w:p>
                          <w:p w14:paraId="083B18BB" w14:textId="77777777" w:rsidR="004F261E" w:rsidRPr="00D80844" w:rsidRDefault="004F261E" w:rsidP="00BA3DC6">
                            <w:pPr>
                              <w:spacing w:after="0" w:line="240" w:lineRule="auto"/>
                              <w:jc w:val="center"/>
                              <w:rPr>
                                <w:rFonts w:ascii="Arial Narrow" w:hAnsi="Arial Narrow"/>
                                <w:b/>
                                <w:bCs/>
                              </w:rPr>
                            </w:pPr>
                          </w:p>
                          <w:p w14:paraId="5E30862A" w14:textId="77777777" w:rsidR="004F261E" w:rsidRPr="00D877C0" w:rsidRDefault="004F261E" w:rsidP="00BA3DC6">
                            <w:pPr>
                              <w:spacing w:after="0" w:line="240" w:lineRule="auto"/>
                              <w:jc w:val="center"/>
                              <w:rPr>
                                <w:rFonts w:ascii="Arial Narrow" w:hAnsi="Arial Narrow"/>
                                <w:b/>
                                <w:bCs/>
                                <w:sz w:val="36"/>
                                <w:szCs w:val="36"/>
                              </w:rPr>
                            </w:pPr>
                            <w:r>
                              <w:rPr>
                                <w:rFonts w:ascii="Arial Narrow" w:hAnsi="Arial Narrow"/>
                                <w:b/>
                                <w:bCs/>
                                <w:sz w:val="36"/>
                                <w:szCs w:val="36"/>
                              </w:rPr>
                              <w:t>RAPPORT FINAL</w:t>
                            </w:r>
                          </w:p>
                          <w:p w14:paraId="0697D6FF" w14:textId="77777777" w:rsidR="004F261E" w:rsidRPr="00D80844" w:rsidRDefault="004F261E" w:rsidP="00BA3DC6">
                            <w:pPr>
                              <w:spacing w:after="0" w:line="240" w:lineRule="auto"/>
                              <w:jc w:val="center"/>
                              <w:rPr>
                                <w:rFonts w:ascii="Arial Narrow" w:hAnsi="Arial Narrow"/>
                                <w:b/>
                                <w:bCs/>
                                <w:sz w:val="28"/>
                                <w:szCs w:val="28"/>
                              </w:rPr>
                            </w:pPr>
                            <w:r>
                              <w:rPr>
                                <w:rFonts w:ascii="Arial Black" w:hAnsi="Arial Black" w:cs="Arial"/>
                                <w:b/>
                                <w:sz w:val="28"/>
                                <w:szCs w:val="28"/>
                              </w:rPr>
                              <w:t>---------------</w:t>
                            </w:r>
                          </w:p>
                          <w:p w14:paraId="0A1FB108" w14:textId="77777777" w:rsidR="004F261E" w:rsidRDefault="004F261E" w:rsidP="00BA3DC6">
                            <w:pPr>
                              <w:spacing w:after="0" w:line="240" w:lineRule="auto"/>
                              <w:jc w:val="center"/>
                              <w:rPr>
                                <w:rFonts w:ascii="Arial Narrow" w:hAnsi="Arial Narrow"/>
                                <w:b/>
                                <w:bCs/>
                                <w:sz w:val="28"/>
                                <w:szCs w:val="28"/>
                              </w:rPr>
                            </w:pPr>
                            <w:r w:rsidRPr="00D80844">
                              <w:rPr>
                                <w:rFonts w:ascii="Arial Narrow" w:hAnsi="Arial Narrow"/>
                                <w:b/>
                                <w:bCs/>
                                <w:sz w:val="28"/>
                                <w:szCs w:val="28"/>
                              </w:rPr>
                              <w:t>Cheikh FAYE</w:t>
                            </w:r>
                            <w:r>
                              <w:rPr>
                                <w:rFonts w:ascii="Arial Narrow" w:hAnsi="Arial Narrow"/>
                                <w:b/>
                                <w:bCs/>
                                <w:sz w:val="28"/>
                                <w:szCs w:val="28"/>
                              </w:rPr>
                              <w:t xml:space="preserve">, </w:t>
                            </w:r>
                            <w:r w:rsidRPr="00D80844">
                              <w:rPr>
                                <w:rFonts w:ascii="Arial Narrow" w:hAnsi="Arial Narrow"/>
                                <w:b/>
                                <w:bCs/>
                                <w:sz w:val="28"/>
                                <w:szCs w:val="28"/>
                              </w:rPr>
                              <w:t>Consultant International</w:t>
                            </w:r>
                            <w:r>
                              <w:rPr>
                                <w:rFonts w:ascii="Arial Narrow" w:hAnsi="Arial Narrow"/>
                                <w:b/>
                                <w:bCs/>
                                <w:sz w:val="28"/>
                                <w:szCs w:val="28"/>
                              </w:rPr>
                              <w:t>, Chef de Mission</w:t>
                            </w:r>
                          </w:p>
                          <w:p w14:paraId="7CD742D0" w14:textId="77777777" w:rsidR="004F261E" w:rsidRDefault="004F261E" w:rsidP="00BA3DC6">
                            <w:pPr>
                              <w:spacing w:after="0" w:line="240" w:lineRule="auto"/>
                              <w:jc w:val="center"/>
                              <w:rPr>
                                <w:rFonts w:ascii="Arial Narrow" w:hAnsi="Arial Narrow"/>
                                <w:b/>
                                <w:bCs/>
                                <w:sz w:val="28"/>
                                <w:szCs w:val="28"/>
                              </w:rPr>
                            </w:pPr>
                            <w:r>
                              <w:rPr>
                                <w:rFonts w:ascii="Arial Narrow" w:hAnsi="Arial Narrow"/>
                                <w:b/>
                                <w:bCs/>
                                <w:sz w:val="28"/>
                                <w:szCs w:val="28"/>
                              </w:rPr>
                              <w:t>Hamidou ONGOÏBA, Consultant national, Membre</w:t>
                            </w:r>
                          </w:p>
                          <w:p w14:paraId="692B2DA1" w14:textId="77777777" w:rsidR="004F261E" w:rsidRDefault="004F261E" w:rsidP="002D2F61">
                            <w:pPr>
                              <w:spacing w:after="0" w:line="240" w:lineRule="auto"/>
                              <w:jc w:val="center"/>
                              <w:rPr>
                                <w:rFonts w:ascii="Arial Narrow" w:hAnsi="Arial Narrow"/>
                                <w:b/>
                                <w:bCs/>
                                <w:sz w:val="28"/>
                                <w:szCs w:val="28"/>
                              </w:rPr>
                            </w:pPr>
                            <w:r>
                              <w:rPr>
                                <w:rFonts w:ascii="Arial Narrow" w:hAnsi="Arial Narrow"/>
                                <w:b/>
                                <w:bCs/>
                                <w:sz w:val="28"/>
                                <w:szCs w:val="28"/>
                              </w:rPr>
                              <w:t>Ibrahim NIENTA, Consultant national, Membre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A80BE" id="Text Box 15" o:spid="_x0000_s1027" type="#_x0000_t202" style="position:absolute;margin-left:42.35pt;margin-top:281.55pt;width:369.15pt;height:17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">
                <v:textbox>
                  <w:txbxContent>
                    <w:p w14:paraId="2D87C990" w14:textId="77777777" w:rsidR="004F261E" w:rsidRDefault="004F261E" w:rsidP="00BA3DC6">
                      <w:pPr>
                        <w:spacing w:after="0" w:line="240" w:lineRule="auto"/>
                        <w:jc w:val="center"/>
                        <w:rPr>
                          <w:rFonts w:ascii="Arial Black" w:hAnsi="Arial Black" w:cs="Arial"/>
                          <w:b/>
                          <w:sz w:val="28"/>
                          <w:szCs w:val="28"/>
                        </w:rPr>
                      </w:pPr>
                      <w:r w:rsidRPr="00D877C0">
                        <w:rPr>
                          <w:rFonts w:ascii="Arial Black" w:hAnsi="Arial Black" w:cs="Arial"/>
                          <w:b/>
                          <w:sz w:val="28"/>
                          <w:szCs w:val="28"/>
                        </w:rPr>
                        <w:t xml:space="preserve">EVALUATION </w:t>
                      </w:r>
                      <w:r>
                        <w:rPr>
                          <w:rFonts w:ascii="Arial Black" w:hAnsi="Arial Black" w:cs="Arial"/>
                          <w:b/>
                          <w:sz w:val="28"/>
                          <w:szCs w:val="28"/>
                        </w:rPr>
                        <w:t>A MI PARCOURS DU PROGRAMME PAYS CYCLE 2015-2019</w:t>
                      </w:r>
                    </w:p>
                    <w:p w14:paraId="4D4C6E95" w14:textId="77777777" w:rsidR="004F261E" w:rsidRPr="003917D0" w:rsidRDefault="004F261E" w:rsidP="00BA3DC6">
                      <w:pPr>
                        <w:spacing w:after="0" w:line="240" w:lineRule="auto"/>
                        <w:jc w:val="center"/>
                        <w:rPr>
                          <w:rFonts w:ascii="Arial Black" w:hAnsi="Arial Black" w:cs="Arial"/>
                          <w:b/>
                          <w:sz w:val="28"/>
                          <w:szCs w:val="28"/>
                        </w:rPr>
                      </w:pPr>
                      <w:r>
                        <w:rPr>
                          <w:rFonts w:ascii="Arial Black" w:hAnsi="Arial Black" w:cs="Arial"/>
                          <w:b/>
                          <w:sz w:val="28"/>
                          <w:szCs w:val="28"/>
                        </w:rPr>
                        <w:t>---------------</w:t>
                      </w:r>
                    </w:p>
                    <w:p w14:paraId="083B18BB" w14:textId="77777777" w:rsidR="004F261E" w:rsidRPr="00D80844" w:rsidRDefault="004F261E" w:rsidP="00BA3DC6">
                      <w:pPr>
                        <w:spacing w:after="0" w:line="240" w:lineRule="auto"/>
                        <w:jc w:val="center"/>
                        <w:rPr>
                          <w:rFonts w:ascii="Arial Narrow" w:hAnsi="Arial Narrow"/>
                          <w:b/>
                          <w:bCs/>
                        </w:rPr>
                      </w:pPr>
                    </w:p>
                    <w:p w14:paraId="5E30862A" w14:textId="77777777" w:rsidR="004F261E" w:rsidRPr="00D877C0" w:rsidRDefault="004F261E" w:rsidP="00BA3DC6">
                      <w:pPr>
                        <w:spacing w:after="0" w:line="240" w:lineRule="auto"/>
                        <w:jc w:val="center"/>
                        <w:rPr>
                          <w:rFonts w:ascii="Arial Narrow" w:hAnsi="Arial Narrow"/>
                          <w:b/>
                          <w:bCs/>
                          <w:sz w:val="36"/>
                          <w:szCs w:val="36"/>
                        </w:rPr>
                      </w:pPr>
                      <w:r>
                        <w:rPr>
                          <w:rFonts w:ascii="Arial Narrow" w:hAnsi="Arial Narrow"/>
                          <w:b/>
                          <w:bCs/>
                          <w:sz w:val="36"/>
                          <w:szCs w:val="36"/>
                        </w:rPr>
                        <w:t>RAPPORT FINAL</w:t>
                      </w:r>
                    </w:p>
                    <w:p w14:paraId="0697D6FF" w14:textId="77777777" w:rsidR="004F261E" w:rsidRPr="00D80844" w:rsidRDefault="004F261E" w:rsidP="00BA3DC6">
                      <w:pPr>
                        <w:spacing w:after="0" w:line="240" w:lineRule="auto"/>
                        <w:jc w:val="center"/>
                        <w:rPr>
                          <w:rFonts w:ascii="Arial Narrow" w:hAnsi="Arial Narrow"/>
                          <w:b/>
                          <w:bCs/>
                          <w:sz w:val="28"/>
                          <w:szCs w:val="28"/>
                        </w:rPr>
                      </w:pPr>
                      <w:r>
                        <w:rPr>
                          <w:rFonts w:ascii="Arial Black" w:hAnsi="Arial Black" w:cs="Arial"/>
                          <w:b/>
                          <w:sz w:val="28"/>
                          <w:szCs w:val="28"/>
                        </w:rPr>
                        <w:t>---------------</w:t>
                      </w:r>
                    </w:p>
                    <w:p w14:paraId="0A1FB108" w14:textId="77777777" w:rsidR="004F261E" w:rsidRDefault="004F261E" w:rsidP="00BA3DC6">
                      <w:pPr>
                        <w:spacing w:after="0" w:line="240" w:lineRule="auto"/>
                        <w:jc w:val="center"/>
                        <w:rPr>
                          <w:rFonts w:ascii="Arial Narrow" w:hAnsi="Arial Narrow"/>
                          <w:b/>
                          <w:bCs/>
                          <w:sz w:val="28"/>
                          <w:szCs w:val="28"/>
                        </w:rPr>
                      </w:pPr>
                      <w:r w:rsidRPr="00D80844">
                        <w:rPr>
                          <w:rFonts w:ascii="Arial Narrow" w:hAnsi="Arial Narrow"/>
                          <w:b/>
                          <w:bCs/>
                          <w:sz w:val="28"/>
                          <w:szCs w:val="28"/>
                        </w:rPr>
                        <w:t>Cheikh FAYE</w:t>
                      </w:r>
                      <w:r>
                        <w:rPr>
                          <w:rFonts w:ascii="Arial Narrow" w:hAnsi="Arial Narrow"/>
                          <w:b/>
                          <w:bCs/>
                          <w:sz w:val="28"/>
                          <w:szCs w:val="28"/>
                        </w:rPr>
                        <w:t xml:space="preserve">, </w:t>
                      </w:r>
                      <w:r w:rsidRPr="00D80844">
                        <w:rPr>
                          <w:rFonts w:ascii="Arial Narrow" w:hAnsi="Arial Narrow"/>
                          <w:b/>
                          <w:bCs/>
                          <w:sz w:val="28"/>
                          <w:szCs w:val="28"/>
                        </w:rPr>
                        <w:t>Consultant International</w:t>
                      </w:r>
                      <w:r>
                        <w:rPr>
                          <w:rFonts w:ascii="Arial Narrow" w:hAnsi="Arial Narrow"/>
                          <w:b/>
                          <w:bCs/>
                          <w:sz w:val="28"/>
                          <w:szCs w:val="28"/>
                        </w:rPr>
                        <w:t>, Chef de Mission</w:t>
                      </w:r>
                    </w:p>
                    <w:p w14:paraId="7CD742D0" w14:textId="77777777" w:rsidR="004F261E" w:rsidRDefault="004F261E" w:rsidP="00BA3DC6">
                      <w:pPr>
                        <w:spacing w:after="0" w:line="240" w:lineRule="auto"/>
                        <w:jc w:val="center"/>
                        <w:rPr>
                          <w:rFonts w:ascii="Arial Narrow" w:hAnsi="Arial Narrow"/>
                          <w:b/>
                          <w:bCs/>
                          <w:sz w:val="28"/>
                          <w:szCs w:val="28"/>
                        </w:rPr>
                      </w:pPr>
                      <w:r>
                        <w:rPr>
                          <w:rFonts w:ascii="Arial Narrow" w:hAnsi="Arial Narrow"/>
                          <w:b/>
                          <w:bCs/>
                          <w:sz w:val="28"/>
                          <w:szCs w:val="28"/>
                        </w:rPr>
                        <w:t>Hamidou ONGOÏBA, Consultant national, Membre</w:t>
                      </w:r>
                    </w:p>
                    <w:p w14:paraId="692B2DA1" w14:textId="77777777" w:rsidR="004F261E" w:rsidRDefault="004F261E" w:rsidP="002D2F61">
                      <w:pPr>
                        <w:spacing w:after="0" w:line="240" w:lineRule="auto"/>
                        <w:jc w:val="center"/>
                        <w:rPr>
                          <w:rFonts w:ascii="Arial Narrow" w:hAnsi="Arial Narrow"/>
                          <w:b/>
                          <w:bCs/>
                          <w:sz w:val="28"/>
                          <w:szCs w:val="28"/>
                        </w:rPr>
                      </w:pPr>
                      <w:r>
                        <w:rPr>
                          <w:rFonts w:ascii="Arial Narrow" w:hAnsi="Arial Narrow"/>
                          <w:b/>
                          <w:bCs/>
                          <w:sz w:val="28"/>
                          <w:szCs w:val="28"/>
                        </w:rPr>
                        <w:t>Ibrahim NIENTA, Consultant national, Membre</w:t>
                      </w:r>
                    </w:p>
                  </w:txbxContent>
                </v:textbox>
              </v:shape>
            </w:pict>
          </mc:Fallback>
        </mc:AlternateContent>
      </w:r>
      <w:r>
        <w:rPr>
          <w:noProof/>
          <w:lang w:eastAsia="fr-FR"/>
        </w:rPr>
        <mc:AlternateContent>
          <mc:Choice Requires="wps">
            <w:drawing>
              <wp:anchor distT="0" distB="0" distL="114300" distR="114300" simplePos="0" relativeHeight="251654656" behindDoc="0" locked="0" layoutInCell="1" allowOverlap="1" wp14:anchorId="72B9ACDF" wp14:editId="663C8AAD">
                <wp:simplePos x="0" y="0"/>
                <wp:positionH relativeFrom="column">
                  <wp:posOffset>1416050</wp:posOffset>
                </wp:positionH>
                <wp:positionV relativeFrom="paragraph">
                  <wp:posOffset>1098550</wp:posOffset>
                </wp:positionV>
                <wp:extent cx="3191510" cy="402590"/>
                <wp:effectExtent l="0" t="0" r="0" b="0"/>
                <wp:wrapNone/>
                <wp:docPr id="2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40259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7FB45648" w14:textId="77777777" w:rsidR="004F261E" w:rsidRPr="00EE0E47" w:rsidRDefault="004F261E" w:rsidP="00246CC6">
                            <w:pPr>
                              <w:spacing w:after="0" w:line="240" w:lineRule="auto"/>
                              <w:jc w:val="center"/>
                              <w:rPr>
                                <w:b/>
                                <w:sz w:val="20"/>
                                <w:szCs w:val="20"/>
                              </w:rPr>
                            </w:pPr>
                            <w:r w:rsidRPr="00EE0E47">
                              <w:rPr>
                                <w:b/>
                                <w:sz w:val="20"/>
                                <w:szCs w:val="20"/>
                              </w:rPr>
                              <w:t>Programme des Nations Unies pour le Développement</w:t>
                            </w:r>
                          </w:p>
                          <w:p w14:paraId="445EFDB8" w14:textId="77777777" w:rsidR="004F261E" w:rsidRPr="00D877C0" w:rsidRDefault="004F261E" w:rsidP="00246CC6">
                            <w:pPr>
                              <w:spacing w:after="0" w:line="240" w:lineRule="auto"/>
                              <w:jc w:val="center"/>
                              <w:rPr>
                                <w:b/>
                                <w:sz w:val="20"/>
                                <w:szCs w:val="20"/>
                              </w:rPr>
                            </w:pPr>
                            <w:r w:rsidRPr="00D877C0">
                              <w:rPr>
                                <w:b/>
                              </w:rPr>
                              <w:t>BUREAU PAYS d</w:t>
                            </w:r>
                            <w:r>
                              <w:rPr>
                                <w:b/>
                              </w:rPr>
                              <w:t>u MALI-BAMAKO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B9ACDF" id="Text Box 98" o:spid="_x0000_s1028" type="#_x0000_t202" style="position:absolute;margin-left:111.5pt;margin-top:86.5pt;width:251.3pt;height:3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" stroked="f" strokecolor="black [3213]">
                <v:textbox>
                  <w:txbxContent>
                    <w:p w14:paraId="7FB45648" w14:textId="77777777" w:rsidR="004F261E" w:rsidRPr="00EE0E47" w:rsidRDefault="004F261E" w:rsidP="00246CC6">
                      <w:pPr>
                        <w:spacing w:after="0" w:line="240" w:lineRule="auto"/>
                        <w:jc w:val="center"/>
                        <w:rPr>
                          <w:b/>
                          <w:sz w:val="20"/>
                          <w:szCs w:val="20"/>
                        </w:rPr>
                      </w:pPr>
                      <w:r w:rsidRPr="00EE0E47">
                        <w:rPr>
                          <w:b/>
                          <w:sz w:val="20"/>
                          <w:szCs w:val="20"/>
                        </w:rPr>
                        <w:t>Programme des Nations Unies pour le Développement</w:t>
                      </w:r>
                    </w:p>
                    <w:p w14:paraId="445EFDB8" w14:textId="77777777" w:rsidR="004F261E" w:rsidRPr="00D877C0" w:rsidRDefault="004F261E" w:rsidP="00246CC6">
                      <w:pPr>
                        <w:spacing w:after="0" w:line="240" w:lineRule="auto"/>
                        <w:jc w:val="center"/>
                        <w:rPr>
                          <w:b/>
                          <w:sz w:val="20"/>
                          <w:szCs w:val="20"/>
                        </w:rPr>
                      </w:pPr>
                      <w:r w:rsidRPr="00D877C0">
                        <w:rPr>
                          <w:b/>
                        </w:rPr>
                        <w:t>BUREAU PAYS d</w:t>
                      </w:r>
                      <w:r>
                        <w:rPr>
                          <w:b/>
                        </w:rPr>
                        <w:t>u MALI-BAMAKO</w:t>
                      </w:r>
                    </w:p>
                  </w:txbxContent>
                </v:textbox>
              </v:shape>
            </w:pict>
          </mc:Fallback>
        </mc:AlternateContent>
      </w:r>
      <w:r>
        <w:rPr>
          <w:noProof/>
          <w:lang w:eastAsia="fr-FR"/>
        </w:rPr>
        <mc:AlternateContent>
          <mc:Choice Requires="wps">
            <w:drawing>
              <wp:anchor distT="0" distB="0" distL="114300" distR="114300" simplePos="0" relativeHeight="251653632" behindDoc="0" locked="0" layoutInCell="1" allowOverlap="1" wp14:anchorId="5829DB86" wp14:editId="0EFDA23E">
                <wp:simplePos x="0" y="0"/>
                <wp:positionH relativeFrom="column">
                  <wp:posOffset>2407285</wp:posOffset>
                </wp:positionH>
                <wp:positionV relativeFrom="paragraph">
                  <wp:posOffset>-295910</wp:posOffset>
                </wp:positionV>
                <wp:extent cx="1232535" cy="1378585"/>
                <wp:effectExtent l="0" t="0" r="0" b="0"/>
                <wp:wrapNone/>
                <wp:docPr id="2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1378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62C82" w14:textId="77777777" w:rsidR="004F261E" w:rsidRDefault="004F261E" w:rsidP="00BA3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9DB86" id="Text Box 96" o:spid="_x0000_s1029" type="#_x0000_t202" style="position:absolute;margin-left:189.55pt;margin-top:-23.3pt;width:97.05pt;height:108.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" stroked="f">
                <v:textbox>
                  <w:txbxContent>
                    <w:p w14:paraId="0B362C82" w14:textId="77777777" w:rsidR="004F261E" w:rsidRDefault="004F261E" w:rsidP="00BA3DC6"/>
                  </w:txbxContent>
                </v:textbox>
              </v:shape>
            </w:pict>
          </mc:Fallback>
        </mc:AlternateContent>
      </w:r>
      <w:r>
        <w:rPr>
          <w:noProof/>
          <w:lang w:eastAsia="fr-FR"/>
        </w:rPr>
        <mc:AlternateContent>
          <mc:Choice Requires="wps">
            <w:drawing>
              <wp:anchor distT="0" distB="0" distL="114300" distR="114300" simplePos="0" relativeHeight="251657728" behindDoc="0" locked="0" layoutInCell="1" allowOverlap="1" wp14:anchorId="58D78EE7" wp14:editId="1EE2BED3">
                <wp:simplePos x="0" y="0"/>
                <wp:positionH relativeFrom="column">
                  <wp:posOffset>1087755</wp:posOffset>
                </wp:positionH>
                <wp:positionV relativeFrom="paragraph">
                  <wp:posOffset>8602345</wp:posOffset>
                </wp:positionV>
                <wp:extent cx="3764280" cy="329565"/>
                <wp:effectExtent l="0" t="0" r="0" b="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BFF9C" w14:textId="77777777" w:rsidR="004F261E" w:rsidRPr="00D877C0" w:rsidRDefault="004F261E" w:rsidP="00BA3DC6">
                            <w:pPr>
                              <w:jc w:val="center"/>
                              <w:rPr>
                                <w:b/>
                                <w:sz w:val="24"/>
                                <w:szCs w:val="24"/>
                              </w:rPr>
                            </w:pPr>
                            <w:r>
                              <w:rPr>
                                <w:b/>
                                <w:sz w:val="24"/>
                                <w:szCs w:val="24"/>
                              </w:rPr>
                              <w:t>NOVEMBRE</w:t>
                            </w:r>
                            <w:r w:rsidRPr="00D877C0">
                              <w:rPr>
                                <w:b/>
                                <w:sz w:val="24"/>
                                <w:szCs w:val="24"/>
                              </w:rPr>
                              <w:t xml:space="preserve"> 201</w:t>
                            </w:r>
                            <w:r>
                              <w:rPr>
                                <w:b/>
                                <w:sz w:val="24"/>
                                <w:szCs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78EE7" id="Text Box 16" o:spid="_x0000_s1030" type="#_x0000_t202" style="position:absolute;margin-left:85.65pt;margin-top:677.35pt;width:296.4pt;height:2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8ePhw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" stroked="f">
                <v:textbox>
                  <w:txbxContent>
                    <w:p w14:paraId="5DDBFF9C" w14:textId="77777777" w:rsidR="004F261E" w:rsidRPr="00D877C0" w:rsidRDefault="004F261E" w:rsidP="00BA3DC6">
                      <w:pPr>
                        <w:jc w:val="center"/>
                        <w:rPr>
                          <w:b/>
                          <w:sz w:val="24"/>
                          <w:szCs w:val="24"/>
                        </w:rPr>
                      </w:pPr>
                      <w:r>
                        <w:rPr>
                          <w:b/>
                          <w:sz w:val="24"/>
                          <w:szCs w:val="24"/>
                        </w:rPr>
                        <w:t>NOVEMBRE</w:t>
                      </w:r>
                      <w:r w:rsidRPr="00D877C0">
                        <w:rPr>
                          <w:b/>
                          <w:sz w:val="24"/>
                          <w:szCs w:val="24"/>
                        </w:rPr>
                        <w:t xml:space="preserve"> 201</w:t>
                      </w:r>
                      <w:r>
                        <w:rPr>
                          <w:b/>
                          <w:sz w:val="24"/>
                          <w:szCs w:val="24"/>
                        </w:rPr>
                        <w:t>7</w:t>
                      </w:r>
                    </w:p>
                  </w:txbxContent>
                </v:textbox>
              </v:shape>
            </w:pict>
          </mc:Fallback>
        </mc:AlternateContent>
      </w:r>
      <w:r>
        <w:rPr>
          <w:noProof/>
          <w:lang w:eastAsia="fr-FR"/>
        </w:rPr>
        <mc:AlternateContent>
          <mc:Choice Requires="wps">
            <w:drawing>
              <wp:anchor distT="0" distB="0" distL="114300" distR="114300" simplePos="0" relativeHeight="251655680" behindDoc="0" locked="0" layoutInCell="1" allowOverlap="1" wp14:anchorId="60920AFC" wp14:editId="2A590874">
                <wp:simplePos x="0" y="0"/>
                <wp:positionH relativeFrom="column">
                  <wp:posOffset>-45720</wp:posOffset>
                </wp:positionH>
                <wp:positionV relativeFrom="paragraph">
                  <wp:posOffset>-299720</wp:posOffset>
                </wp:positionV>
                <wp:extent cx="5878830" cy="9375140"/>
                <wp:effectExtent l="57150" t="57150" r="64770" b="54610"/>
                <wp:wrapNone/>
                <wp:docPr id="2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8830" cy="9375140"/>
                        </a:xfrm>
                        <a:prstGeom prst="rect">
                          <a:avLst/>
                        </a:prstGeom>
                        <a:noFill/>
                        <a:ln w="127000" cmpd="dbl">
                          <a:solidFill>
                            <a:srgbClr val="44546A">
                              <a:lumMod val="100000"/>
                              <a:lumOff val="0"/>
                            </a:srgbClr>
                          </a:solidFill>
                          <a:miter lim="800000"/>
                          <a:headEnd/>
                          <a:tailEnd/>
                        </a:ln>
                        <a:effectLst/>
                        <a:extLst>
                          <a:ext uri="{909E8E84-426E-40DD-AFC4-6F175D3DCCD1}">
                            <a14:hiddenFill xmlns:a14="http://schemas.microsoft.com/office/drawing/2010/main">
                              <a:solidFill>
                                <a:schemeClr val="accen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41FF3" id="Rectangle 100" o:spid="_x0000_s1026" style="position:absolute;margin-left:-3.6pt;margin-top:-23.6pt;width:462.9pt;height:73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" filled="f" fillcolor="#5b9bd5 [3204]" strokecolor="#44546a" strokeweight="10pt">
                <v:stroke linestyle="thinThin"/>
                <v:shadow color="#868686"/>
              </v:rect>
            </w:pict>
          </mc:Fallback>
        </mc:AlternateContent>
      </w:r>
      <w:r w:rsidR="00BA3DC6" w:rsidRPr="006B309F">
        <w:br w:type="page"/>
      </w:r>
      <w:r w:rsidR="00BA3DC6" w:rsidRPr="006B309F">
        <w:rPr>
          <w:rFonts w:ascii="Times New Roman" w:hAnsi="Times New Roman"/>
          <w:b/>
          <w:sz w:val="28"/>
          <w:szCs w:val="28"/>
        </w:rPr>
        <w:lastRenderedPageBreak/>
        <w:t>Sommaire</w:t>
      </w:r>
    </w:p>
    <w:p w14:paraId="3758AD14" w14:textId="77777777" w:rsidR="005B0739" w:rsidRPr="00B04B1D" w:rsidRDefault="005B0739" w:rsidP="00B04B1D">
      <w:pPr>
        <w:spacing w:after="0" w:line="240" w:lineRule="auto"/>
        <w:rPr>
          <w:rFonts w:ascii="Times New Roman" w:hAnsi="Times New Roman"/>
          <w:b/>
          <w:sz w:val="24"/>
          <w:szCs w:val="24"/>
        </w:rPr>
      </w:pPr>
    </w:p>
    <w:p w14:paraId="5FF4AF2E" w14:textId="77777777" w:rsidR="00B04B1D" w:rsidRPr="00B04B1D" w:rsidRDefault="008B499C" w:rsidP="00B04B1D">
      <w:pPr>
        <w:pStyle w:val="TM1"/>
        <w:tabs>
          <w:tab w:val="right" w:leader="dot" w:pos="9060"/>
        </w:tabs>
        <w:spacing w:after="0" w:line="240" w:lineRule="auto"/>
        <w:rPr>
          <w:rFonts w:ascii="Times New Roman" w:eastAsiaTheme="minorEastAsia" w:hAnsi="Times New Roman"/>
          <w:noProof/>
          <w:sz w:val="24"/>
          <w:szCs w:val="24"/>
          <w:lang w:eastAsia="fr-FR"/>
        </w:rPr>
      </w:pPr>
      <w:r w:rsidRPr="00B04B1D">
        <w:rPr>
          <w:rFonts w:ascii="Times New Roman" w:hAnsi="Times New Roman"/>
          <w:sz w:val="24"/>
          <w:szCs w:val="24"/>
        </w:rPr>
        <w:fldChar w:fldCharType="begin"/>
      </w:r>
      <w:r w:rsidR="00BA3DC6" w:rsidRPr="00B04B1D">
        <w:rPr>
          <w:rFonts w:ascii="Times New Roman" w:hAnsi="Times New Roman"/>
          <w:sz w:val="24"/>
          <w:szCs w:val="24"/>
        </w:rPr>
        <w:instrText xml:space="preserve"> TOC \o "1-3" \h \z \u </w:instrText>
      </w:r>
      <w:r w:rsidRPr="00B04B1D">
        <w:rPr>
          <w:rFonts w:ascii="Times New Roman" w:hAnsi="Times New Roman"/>
          <w:sz w:val="24"/>
          <w:szCs w:val="24"/>
        </w:rPr>
        <w:fldChar w:fldCharType="separate"/>
      </w:r>
      <w:hyperlink w:anchor="_Toc499213842" w:history="1">
        <w:r w:rsidR="00B04B1D" w:rsidRPr="00B04B1D">
          <w:rPr>
            <w:rStyle w:val="Lienhypertexte"/>
            <w:rFonts w:ascii="Times New Roman" w:hAnsi="Times New Roman"/>
            <w:noProof/>
            <w:sz w:val="24"/>
            <w:szCs w:val="24"/>
          </w:rPr>
          <w:t>Acronymes</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_Toc499213842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5</w:t>
        </w:r>
        <w:r w:rsidR="00B04B1D" w:rsidRPr="00B04B1D">
          <w:rPr>
            <w:rFonts w:ascii="Times New Roman" w:hAnsi="Times New Roman"/>
            <w:noProof/>
            <w:webHidden/>
            <w:sz w:val="24"/>
            <w:szCs w:val="24"/>
          </w:rPr>
          <w:fldChar w:fldCharType="end"/>
        </w:r>
      </w:hyperlink>
    </w:p>
    <w:p w14:paraId="48F16C86" w14:textId="77777777" w:rsidR="00B04B1D" w:rsidRPr="00B04B1D" w:rsidRDefault="004F261E" w:rsidP="00B04B1D">
      <w:pPr>
        <w:pStyle w:val="TM1"/>
        <w:tabs>
          <w:tab w:val="right" w:leader="dot" w:pos="9060"/>
        </w:tabs>
        <w:spacing w:after="0" w:line="240" w:lineRule="auto"/>
        <w:rPr>
          <w:rFonts w:ascii="Times New Roman" w:eastAsiaTheme="minorEastAsia" w:hAnsi="Times New Roman"/>
          <w:noProof/>
          <w:sz w:val="24"/>
          <w:szCs w:val="24"/>
          <w:lang w:eastAsia="fr-FR"/>
        </w:rPr>
      </w:pPr>
      <w:hyperlink w:anchor="_Toc499213843" w:history="1">
        <w:r w:rsidR="00B04B1D" w:rsidRPr="00B04B1D">
          <w:rPr>
            <w:rStyle w:val="Lienhypertexte"/>
            <w:rFonts w:ascii="Times New Roman" w:hAnsi="Times New Roman"/>
            <w:noProof/>
            <w:sz w:val="24"/>
            <w:szCs w:val="24"/>
          </w:rPr>
          <w:t xml:space="preserve">Résumé </w:t>
        </w:r>
        <w:r w:rsidR="00B04B1D" w:rsidRPr="00EA74DA">
          <w:rPr>
            <w:rStyle w:val="Lienhypertexte"/>
            <w:rFonts w:ascii="Times New Roman" w:hAnsi="Times New Roman"/>
            <w:noProof/>
            <w:sz w:val="24"/>
            <w:szCs w:val="24"/>
            <w:shd w:val="clear" w:color="auto" w:fill="FFFFFF" w:themeFill="background1"/>
          </w:rPr>
          <w:t>Exécutif</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_Toc499213843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7</w:t>
        </w:r>
        <w:r w:rsidR="00B04B1D" w:rsidRPr="00B04B1D">
          <w:rPr>
            <w:rFonts w:ascii="Times New Roman" w:hAnsi="Times New Roman"/>
            <w:noProof/>
            <w:webHidden/>
            <w:sz w:val="24"/>
            <w:szCs w:val="24"/>
          </w:rPr>
          <w:fldChar w:fldCharType="end"/>
        </w:r>
      </w:hyperlink>
    </w:p>
    <w:p w14:paraId="70DD3156" w14:textId="77777777" w:rsidR="00B04B1D" w:rsidRPr="00B04B1D" w:rsidRDefault="004F261E" w:rsidP="00B04B1D">
      <w:pPr>
        <w:pStyle w:val="TM2"/>
        <w:tabs>
          <w:tab w:val="left" w:pos="660"/>
          <w:tab w:val="right" w:leader="dot" w:pos="9060"/>
        </w:tabs>
        <w:spacing w:after="0" w:line="240" w:lineRule="auto"/>
        <w:rPr>
          <w:rFonts w:ascii="Times New Roman" w:eastAsiaTheme="minorEastAsia" w:hAnsi="Times New Roman"/>
          <w:noProof/>
          <w:sz w:val="24"/>
          <w:szCs w:val="24"/>
          <w:lang w:eastAsia="fr-FR"/>
        </w:rPr>
      </w:pPr>
      <w:hyperlink w:anchor="_Toc499213844" w:history="1">
        <w:r w:rsidR="00B04B1D" w:rsidRPr="00B04B1D">
          <w:rPr>
            <w:rStyle w:val="Lienhypertexte"/>
            <w:rFonts w:ascii="Times New Roman" w:hAnsi="Times New Roman"/>
            <w:noProof/>
            <w:sz w:val="24"/>
            <w:szCs w:val="24"/>
          </w:rPr>
          <w:t>1.</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Concept du Programme</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_Toc499213844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7</w:t>
        </w:r>
        <w:r w:rsidR="00B04B1D" w:rsidRPr="00B04B1D">
          <w:rPr>
            <w:rFonts w:ascii="Times New Roman" w:hAnsi="Times New Roman"/>
            <w:noProof/>
            <w:webHidden/>
            <w:sz w:val="24"/>
            <w:szCs w:val="24"/>
          </w:rPr>
          <w:fldChar w:fldCharType="end"/>
        </w:r>
      </w:hyperlink>
    </w:p>
    <w:p w14:paraId="70BA9638" w14:textId="77777777" w:rsidR="00B04B1D" w:rsidRPr="00B04B1D" w:rsidRDefault="004F261E" w:rsidP="00B04B1D">
      <w:pPr>
        <w:pStyle w:val="TM2"/>
        <w:tabs>
          <w:tab w:val="left" w:pos="660"/>
          <w:tab w:val="right" w:leader="dot" w:pos="9060"/>
        </w:tabs>
        <w:spacing w:after="0" w:line="240" w:lineRule="auto"/>
        <w:rPr>
          <w:rFonts w:ascii="Times New Roman" w:eastAsiaTheme="minorEastAsia" w:hAnsi="Times New Roman"/>
          <w:noProof/>
          <w:sz w:val="24"/>
          <w:szCs w:val="24"/>
          <w:lang w:eastAsia="fr-FR"/>
        </w:rPr>
      </w:pPr>
      <w:hyperlink w:anchor="_Toc499213845" w:history="1">
        <w:r w:rsidR="00B04B1D" w:rsidRPr="00B04B1D">
          <w:rPr>
            <w:rStyle w:val="Lienhypertexte"/>
            <w:rFonts w:ascii="Times New Roman" w:hAnsi="Times New Roman"/>
            <w:noProof/>
            <w:sz w:val="24"/>
            <w:szCs w:val="24"/>
          </w:rPr>
          <w:t>2.</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Résultats</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_Toc499213845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7</w:t>
        </w:r>
        <w:r w:rsidR="00B04B1D" w:rsidRPr="00B04B1D">
          <w:rPr>
            <w:rFonts w:ascii="Times New Roman" w:hAnsi="Times New Roman"/>
            <w:noProof/>
            <w:webHidden/>
            <w:sz w:val="24"/>
            <w:szCs w:val="24"/>
          </w:rPr>
          <w:fldChar w:fldCharType="end"/>
        </w:r>
      </w:hyperlink>
    </w:p>
    <w:p w14:paraId="4121C46D" w14:textId="77777777" w:rsidR="00B04B1D" w:rsidRPr="00B04B1D" w:rsidRDefault="004F261E" w:rsidP="00B04B1D">
      <w:pPr>
        <w:pStyle w:val="TM2"/>
        <w:tabs>
          <w:tab w:val="left" w:pos="660"/>
          <w:tab w:val="right" w:leader="dot" w:pos="9060"/>
        </w:tabs>
        <w:spacing w:after="0" w:line="240" w:lineRule="auto"/>
        <w:rPr>
          <w:rFonts w:ascii="Times New Roman" w:eastAsiaTheme="minorEastAsia" w:hAnsi="Times New Roman"/>
          <w:noProof/>
          <w:sz w:val="24"/>
          <w:szCs w:val="24"/>
          <w:lang w:eastAsia="fr-FR"/>
        </w:rPr>
      </w:pPr>
      <w:hyperlink w:anchor="_Toc499213846" w:history="1">
        <w:r w:rsidR="00B04B1D" w:rsidRPr="00B04B1D">
          <w:rPr>
            <w:rStyle w:val="Lienhypertexte"/>
            <w:rFonts w:ascii="Times New Roman" w:hAnsi="Times New Roman"/>
            <w:noProof/>
            <w:sz w:val="24"/>
            <w:szCs w:val="24"/>
          </w:rPr>
          <w:t>3.</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Leçons apprises</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_Toc499213846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9</w:t>
        </w:r>
        <w:r w:rsidR="00B04B1D" w:rsidRPr="00B04B1D">
          <w:rPr>
            <w:rFonts w:ascii="Times New Roman" w:hAnsi="Times New Roman"/>
            <w:noProof/>
            <w:webHidden/>
            <w:sz w:val="24"/>
            <w:szCs w:val="24"/>
          </w:rPr>
          <w:fldChar w:fldCharType="end"/>
        </w:r>
      </w:hyperlink>
    </w:p>
    <w:p w14:paraId="47795A98" w14:textId="77777777" w:rsidR="00B04B1D" w:rsidRPr="00B04B1D" w:rsidRDefault="004F261E" w:rsidP="00B04B1D">
      <w:pPr>
        <w:pStyle w:val="TM2"/>
        <w:tabs>
          <w:tab w:val="left" w:pos="660"/>
          <w:tab w:val="right" w:leader="dot" w:pos="9060"/>
        </w:tabs>
        <w:spacing w:after="0" w:line="240" w:lineRule="auto"/>
        <w:rPr>
          <w:rFonts w:ascii="Times New Roman" w:eastAsiaTheme="minorEastAsia" w:hAnsi="Times New Roman"/>
          <w:noProof/>
          <w:sz w:val="24"/>
          <w:szCs w:val="24"/>
          <w:lang w:eastAsia="fr-FR"/>
        </w:rPr>
      </w:pPr>
      <w:hyperlink w:anchor="_Toc499213847" w:history="1">
        <w:r w:rsidR="00B04B1D" w:rsidRPr="00B04B1D">
          <w:rPr>
            <w:rStyle w:val="Lienhypertexte"/>
            <w:rFonts w:ascii="Times New Roman" w:hAnsi="Times New Roman"/>
            <w:noProof/>
            <w:sz w:val="24"/>
            <w:szCs w:val="24"/>
          </w:rPr>
          <w:t>4.</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Recommandations</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_Toc499213847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9</w:t>
        </w:r>
        <w:r w:rsidR="00B04B1D" w:rsidRPr="00B04B1D">
          <w:rPr>
            <w:rFonts w:ascii="Times New Roman" w:hAnsi="Times New Roman"/>
            <w:noProof/>
            <w:webHidden/>
            <w:sz w:val="24"/>
            <w:szCs w:val="24"/>
          </w:rPr>
          <w:fldChar w:fldCharType="end"/>
        </w:r>
      </w:hyperlink>
    </w:p>
    <w:p w14:paraId="1595609F" w14:textId="77777777" w:rsidR="00B04B1D" w:rsidRPr="00B04B1D" w:rsidRDefault="004F261E" w:rsidP="00B04B1D">
      <w:pPr>
        <w:pStyle w:val="TM1"/>
        <w:tabs>
          <w:tab w:val="right" w:leader="dot" w:pos="9060"/>
        </w:tabs>
        <w:spacing w:after="0" w:line="240" w:lineRule="auto"/>
        <w:rPr>
          <w:rFonts w:ascii="Times New Roman" w:eastAsiaTheme="minorEastAsia" w:hAnsi="Times New Roman"/>
          <w:noProof/>
          <w:sz w:val="24"/>
          <w:szCs w:val="24"/>
          <w:lang w:eastAsia="fr-FR"/>
        </w:rPr>
      </w:pPr>
      <w:hyperlink w:anchor="_Toc499213848" w:history="1">
        <w:r w:rsidR="00B04B1D" w:rsidRPr="00B04B1D">
          <w:rPr>
            <w:rStyle w:val="Lienhypertexte"/>
            <w:rFonts w:ascii="Times New Roman" w:hAnsi="Times New Roman"/>
            <w:noProof/>
            <w:sz w:val="24"/>
            <w:szCs w:val="24"/>
          </w:rPr>
          <w:t>Introduction</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_Toc499213848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12</w:t>
        </w:r>
        <w:r w:rsidR="00B04B1D" w:rsidRPr="00B04B1D">
          <w:rPr>
            <w:rFonts w:ascii="Times New Roman" w:hAnsi="Times New Roman"/>
            <w:noProof/>
            <w:webHidden/>
            <w:sz w:val="24"/>
            <w:szCs w:val="24"/>
          </w:rPr>
          <w:fldChar w:fldCharType="end"/>
        </w:r>
      </w:hyperlink>
    </w:p>
    <w:p w14:paraId="1EA880B7" w14:textId="77777777" w:rsidR="00B04B1D" w:rsidRPr="00B04B1D" w:rsidRDefault="004F261E" w:rsidP="00B04B1D">
      <w:pPr>
        <w:pStyle w:val="TM2"/>
        <w:tabs>
          <w:tab w:val="left" w:pos="660"/>
          <w:tab w:val="right" w:leader="dot" w:pos="9060"/>
        </w:tabs>
        <w:spacing w:after="0" w:line="240" w:lineRule="auto"/>
        <w:rPr>
          <w:rFonts w:ascii="Times New Roman" w:eastAsiaTheme="minorEastAsia" w:hAnsi="Times New Roman"/>
          <w:noProof/>
          <w:sz w:val="24"/>
          <w:szCs w:val="24"/>
          <w:lang w:eastAsia="fr-FR"/>
        </w:rPr>
      </w:pPr>
      <w:hyperlink w:anchor="_Toc499213849" w:history="1">
        <w:r w:rsidR="00B04B1D" w:rsidRPr="00B04B1D">
          <w:rPr>
            <w:rStyle w:val="Lienhypertexte"/>
            <w:rFonts w:ascii="Times New Roman" w:hAnsi="Times New Roman"/>
            <w:noProof/>
            <w:sz w:val="24"/>
            <w:szCs w:val="24"/>
          </w:rPr>
          <w:t>1.</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But de l’évaluation</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_Toc499213849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12</w:t>
        </w:r>
        <w:r w:rsidR="00B04B1D" w:rsidRPr="00B04B1D">
          <w:rPr>
            <w:rFonts w:ascii="Times New Roman" w:hAnsi="Times New Roman"/>
            <w:noProof/>
            <w:webHidden/>
            <w:sz w:val="24"/>
            <w:szCs w:val="24"/>
          </w:rPr>
          <w:fldChar w:fldCharType="end"/>
        </w:r>
      </w:hyperlink>
    </w:p>
    <w:p w14:paraId="415EB4DD" w14:textId="77777777" w:rsidR="00B04B1D" w:rsidRPr="00B04B1D" w:rsidRDefault="004F261E" w:rsidP="00B04B1D">
      <w:pPr>
        <w:pStyle w:val="TM2"/>
        <w:tabs>
          <w:tab w:val="left" w:pos="660"/>
          <w:tab w:val="right" w:leader="dot" w:pos="9060"/>
        </w:tabs>
        <w:spacing w:after="0" w:line="240" w:lineRule="auto"/>
        <w:rPr>
          <w:rFonts w:ascii="Times New Roman" w:eastAsiaTheme="minorEastAsia" w:hAnsi="Times New Roman"/>
          <w:noProof/>
          <w:sz w:val="24"/>
          <w:szCs w:val="24"/>
          <w:lang w:eastAsia="fr-FR"/>
        </w:rPr>
      </w:pPr>
      <w:hyperlink w:anchor="_Toc499213850" w:history="1">
        <w:r w:rsidR="00B04B1D" w:rsidRPr="00B04B1D">
          <w:rPr>
            <w:rStyle w:val="Lienhypertexte"/>
            <w:rFonts w:ascii="Times New Roman" w:hAnsi="Times New Roman"/>
            <w:noProof/>
            <w:sz w:val="24"/>
            <w:szCs w:val="24"/>
          </w:rPr>
          <w:t>2.</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Portée de l’évaluation</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_Toc499213850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12</w:t>
        </w:r>
        <w:r w:rsidR="00B04B1D" w:rsidRPr="00B04B1D">
          <w:rPr>
            <w:rFonts w:ascii="Times New Roman" w:hAnsi="Times New Roman"/>
            <w:noProof/>
            <w:webHidden/>
            <w:sz w:val="24"/>
            <w:szCs w:val="24"/>
          </w:rPr>
          <w:fldChar w:fldCharType="end"/>
        </w:r>
      </w:hyperlink>
    </w:p>
    <w:p w14:paraId="694D4797" w14:textId="77777777" w:rsidR="00B04B1D" w:rsidRPr="00B04B1D" w:rsidRDefault="004F261E" w:rsidP="00B04B1D">
      <w:pPr>
        <w:pStyle w:val="TM2"/>
        <w:tabs>
          <w:tab w:val="left" w:pos="660"/>
          <w:tab w:val="right" w:leader="dot" w:pos="9060"/>
        </w:tabs>
        <w:spacing w:after="0" w:line="240" w:lineRule="auto"/>
        <w:rPr>
          <w:rFonts w:ascii="Times New Roman" w:eastAsiaTheme="minorEastAsia" w:hAnsi="Times New Roman"/>
          <w:noProof/>
          <w:sz w:val="24"/>
          <w:szCs w:val="24"/>
          <w:lang w:eastAsia="fr-FR"/>
        </w:rPr>
      </w:pPr>
      <w:hyperlink w:anchor="_Toc499213851" w:history="1">
        <w:r w:rsidR="00B04B1D" w:rsidRPr="00B04B1D">
          <w:rPr>
            <w:rStyle w:val="Lienhypertexte"/>
            <w:rFonts w:ascii="Times New Roman" w:hAnsi="Times New Roman"/>
            <w:noProof/>
            <w:sz w:val="24"/>
            <w:szCs w:val="24"/>
          </w:rPr>
          <w:t>3.</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Objectifs de l’évaluation et questions évaluatives subséquentes</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_Toc499213851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12</w:t>
        </w:r>
        <w:r w:rsidR="00B04B1D" w:rsidRPr="00B04B1D">
          <w:rPr>
            <w:rFonts w:ascii="Times New Roman" w:hAnsi="Times New Roman"/>
            <w:noProof/>
            <w:webHidden/>
            <w:sz w:val="24"/>
            <w:szCs w:val="24"/>
          </w:rPr>
          <w:fldChar w:fldCharType="end"/>
        </w:r>
      </w:hyperlink>
    </w:p>
    <w:p w14:paraId="54C06CBB" w14:textId="77777777" w:rsidR="00B04B1D" w:rsidRPr="00B04B1D" w:rsidRDefault="004F261E" w:rsidP="00B04B1D">
      <w:pPr>
        <w:pStyle w:val="TM2"/>
        <w:tabs>
          <w:tab w:val="left" w:pos="660"/>
          <w:tab w:val="right" w:leader="dot" w:pos="9060"/>
        </w:tabs>
        <w:spacing w:after="0" w:line="240" w:lineRule="auto"/>
        <w:rPr>
          <w:rFonts w:ascii="Times New Roman" w:eastAsiaTheme="minorEastAsia" w:hAnsi="Times New Roman"/>
          <w:noProof/>
          <w:sz w:val="24"/>
          <w:szCs w:val="24"/>
          <w:lang w:eastAsia="fr-FR"/>
        </w:rPr>
      </w:pPr>
      <w:hyperlink w:anchor="_Toc499213852" w:history="1">
        <w:r w:rsidR="00B04B1D" w:rsidRPr="00B04B1D">
          <w:rPr>
            <w:rStyle w:val="Lienhypertexte"/>
            <w:rFonts w:ascii="Times New Roman" w:hAnsi="Times New Roman"/>
            <w:noProof/>
            <w:sz w:val="24"/>
            <w:szCs w:val="24"/>
          </w:rPr>
          <w:t>4.</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Méthodologie</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_Toc499213852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13</w:t>
        </w:r>
        <w:r w:rsidR="00B04B1D" w:rsidRPr="00B04B1D">
          <w:rPr>
            <w:rFonts w:ascii="Times New Roman" w:hAnsi="Times New Roman"/>
            <w:noProof/>
            <w:webHidden/>
            <w:sz w:val="24"/>
            <w:szCs w:val="24"/>
          </w:rPr>
          <w:fldChar w:fldCharType="end"/>
        </w:r>
      </w:hyperlink>
    </w:p>
    <w:p w14:paraId="75182BF4" w14:textId="77777777" w:rsidR="00B04B1D" w:rsidRPr="00B04B1D" w:rsidRDefault="004F261E" w:rsidP="00B04B1D">
      <w:pPr>
        <w:pStyle w:val="TM3"/>
        <w:spacing w:after="0" w:line="240" w:lineRule="auto"/>
        <w:rPr>
          <w:rFonts w:ascii="Times New Roman" w:eastAsiaTheme="minorEastAsia" w:hAnsi="Times New Roman"/>
          <w:noProof/>
          <w:sz w:val="24"/>
          <w:szCs w:val="24"/>
          <w:lang w:eastAsia="fr-FR"/>
        </w:rPr>
      </w:pPr>
      <w:hyperlink w:anchor="_Toc499213853" w:history="1">
        <w:r w:rsidR="00B04B1D" w:rsidRPr="00B04B1D">
          <w:rPr>
            <w:rStyle w:val="Lienhypertexte"/>
            <w:rFonts w:ascii="Times New Roman" w:hAnsi="Times New Roman"/>
            <w:noProof/>
            <w:sz w:val="24"/>
            <w:szCs w:val="24"/>
          </w:rPr>
          <w:t>4.1.</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Revue documentaire</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_Toc499213853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14</w:t>
        </w:r>
        <w:r w:rsidR="00B04B1D" w:rsidRPr="00B04B1D">
          <w:rPr>
            <w:rFonts w:ascii="Times New Roman" w:hAnsi="Times New Roman"/>
            <w:noProof/>
            <w:webHidden/>
            <w:sz w:val="24"/>
            <w:szCs w:val="24"/>
          </w:rPr>
          <w:fldChar w:fldCharType="end"/>
        </w:r>
      </w:hyperlink>
    </w:p>
    <w:p w14:paraId="3B5B30AB" w14:textId="77777777" w:rsidR="00B04B1D" w:rsidRPr="00B04B1D" w:rsidRDefault="004F261E" w:rsidP="00B04B1D">
      <w:pPr>
        <w:pStyle w:val="TM3"/>
        <w:spacing w:after="0" w:line="240" w:lineRule="auto"/>
        <w:rPr>
          <w:rFonts w:ascii="Times New Roman" w:eastAsiaTheme="minorEastAsia" w:hAnsi="Times New Roman"/>
          <w:noProof/>
          <w:sz w:val="24"/>
          <w:szCs w:val="24"/>
          <w:lang w:eastAsia="fr-FR"/>
        </w:rPr>
      </w:pPr>
      <w:hyperlink w:anchor="_Toc499213854" w:history="1">
        <w:r w:rsidR="00B04B1D" w:rsidRPr="00B04B1D">
          <w:rPr>
            <w:rStyle w:val="Lienhypertexte"/>
            <w:rFonts w:ascii="Times New Roman" w:hAnsi="Times New Roman"/>
            <w:noProof/>
            <w:sz w:val="24"/>
            <w:szCs w:val="24"/>
          </w:rPr>
          <w:t>4.2.</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Entretiens</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_Toc499213854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14</w:t>
        </w:r>
        <w:r w:rsidR="00B04B1D" w:rsidRPr="00B04B1D">
          <w:rPr>
            <w:rFonts w:ascii="Times New Roman" w:hAnsi="Times New Roman"/>
            <w:noProof/>
            <w:webHidden/>
            <w:sz w:val="24"/>
            <w:szCs w:val="24"/>
          </w:rPr>
          <w:fldChar w:fldCharType="end"/>
        </w:r>
      </w:hyperlink>
    </w:p>
    <w:p w14:paraId="3466E1DE" w14:textId="77777777" w:rsidR="00B04B1D" w:rsidRPr="00B04B1D" w:rsidRDefault="004F261E" w:rsidP="00B04B1D">
      <w:pPr>
        <w:pStyle w:val="TM2"/>
        <w:tabs>
          <w:tab w:val="left" w:pos="880"/>
          <w:tab w:val="right" w:leader="dot" w:pos="9060"/>
        </w:tabs>
        <w:spacing w:after="0" w:line="240" w:lineRule="auto"/>
        <w:rPr>
          <w:rFonts w:ascii="Times New Roman" w:eastAsiaTheme="minorEastAsia" w:hAnsi="Times New Roman"/>
          <w:noProof/>
          <w:sz w:val="24"/>
          <w:szCs w:val="24"/>
          <w:lang w:eastAsia="fr-FR"/>
        </w:rPr>
      </w:pPr>
      <w:hyperlink w:anchor="_Toc499213855" w:history="1">
        <w:r w:rsidR="00B04B1D" w:rsidRPr="00B04B1D">
          <w:rPr>
            <w:rStyle w:val="Lienhypertexte"/>
            <w:rFonts w:ascii="Times New Roman" w:hAnsi="Times New Roman"/>
            <w:noProof/>
            <w:sz w:val="24"/>
            <w:szCs w:val="24"/>
          </w:rPr>
          <w:t>4.3.</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Echantillonnage</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_Toc499213855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14</w:t>
        </w:r>
        <w:r w:rsidR="00B04B1D" w:rsidRPr="00B04B1D">
          <w:rPr>
            <w:rFonts w:ascii="Times New Roman" w:hAnsi="Times New Roman"/>
            <w:noProof/>
            <w:webHidden/>
            <w:sz w:val="24"/>
            <w:szCs w:val="24"/>
          </w:rPr>
          <w:fldChar w:fldCharType="end"/>
        </w:r>
      </w:hyperlink>
    </w:p>
    <w:p w14:paraId="69F3E201" w14:textId="77777777" w:rsidR="00B04B1D" w:rsidRPr="00B04B1D" w:rsidRDefault="004F261E" w:rsidP="00B04B1D">
      <w:pPr>
        <w:pStyle w:val="TM3"/>
        <w:spacing w:after="0" w:line="240" w:lineRule="auto"/>
        <w:rPr>
          <w:rFonts w:ascii="Times New Roman" w:eastAsiaTheme="minorEastAsia" w:hAnsi="Times New Roman"/>
          <w:noProof/>
          <w:sz w:val="24"/>
          <w:szCs w:val="24"/>
          <w:lang w:eastAsia="fr-FR"/>
        </w:rPr>
      </w:pPr>
      <w:hyperlink w:anchor="_Toc499213856" w:history="1">
        <w:r w:rsidR="00B04B1D" w:rsidRPr="00B04B1D">
          <w:rPr>
            <w:rStyle w:val="Lienhypertexte"/>
            <w:rFonts w:ascii="Times New Roman" w:hAnsi="Times New Roman"/>
            <w:noProof/>
            <w:sz w:val="24"/>
            <w:szCs w:val="24"/>
          </w:rPr>
          <w:t>4.4.</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Cadre d’analyse</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_Toc499213856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15</w:t>
        </w:r>
        <w:r w:rsidR="00B04B1D" w:rsidRPr="00B04B1D">
          <w:rPr>
            <w:rFonts w:ascii="Times New Roman" w:hAnsi="Times New Roman"/>
            <w:noProof/>
            <w:webHidden/>
            <w:sz w:val="24"/>
            <w:szCs w:val="24"/>
          </w:rPr>
          <w:fldChar w:fldCharType="end"/>
        </w:r>
      </w:hyperlink>
    </w:p>
    <w:p w14:paraId="4C3230D5" w14:textId="77777777" w:rsidR="00B04B1D" w:rsidRPr="00B04B1D" w:rsidRDefault="004F261E" w:rsidP="00B04B1D">
      <w:pPr>
        <w:pStyle w:val="TM3"/>
        <w:spacing w:after="0" w:line="240" w:lineRule="auto"/>
        <w:rPr>
          <w:rFonts w:ascii="Times New Roman" w:eastAsiaTheme="minorEastAsia" w:hAnsi="Times New Roman"/>
          <w:noProof/>
          <w:sz w:val="24"/>
          <w:szCs w:val="24"/>
          <w:lang w:eastAsia="fr-FR"/>
        </w:rPr>
      </w:pPr>
      <w:hyperlink w:anchor="_Toc499213857" w:history="1">
        <w:r w:rsidR="00B04B1D" w:rsidRPr="00B04B1D">
          <w:rPr>
            <w:rStyle w:val="Lienhypertexte"/>
            <w:rFonts w:ascii="Times New Roman" w:hAnsi="Times New Roman"/>
            <w:noProof/>
            <w:sz w:val="24"/>
            <w:szCs w:val="24"/>
          </w:rPr>
          <w:t>4.5.</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Limitations et mesures de remédiation</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_Toc499213857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15</w:t>
        </w:r>
        <w:r w:rsidR="00B04B1D" w:rsidRPr="00B04B1D">
          <w:rPr>
            <w:rFonts w:ascii="Times New Roman" w:hAnsi="Times New Roman"/>
            <w:noProof/>
            <w:webHidden/>
            <w:sz w:val="24"/>
            <w:szCs w:val="24"/>
          </w:rPr>
          <w:fldChar w:fldCharType="end"/>
        </w:r>
      </w:hyperlink>
    </w:p>
    <w:p w14:paraId="3C882782" w14:textId="77777777" w:rsidR="00B04B1D" w:rsidRPr="00B04B1D" w:rsidRDefault="004F261E" w:rsidP="00B04B1D">
      <w:pPr>
        <w:pStyle w:val="TM3"/>
        <w:spacing w:after="0" w:line="240" w:lineRule="auto"/>
        <w:rPr>
          <w:rFonts w:ascii="Times New Roman" w:eastAsiaTheme="minorEastAsia" w:hAnsi="Times New Roman"/>
          <w:noProof/>
          <w:sz w:val="24"/>
          <w:szCs w:val="24"/>
          <w:lang w:eastAsia="fr-FR"/>
        </w:rPr>
      </w:pPr>
      <w:hyperlink w:anchor="_Toc499213858" w:history="1">
        <w:r w:rsidR="00B04B1D" w:rsidRPr="00B04B1D">
          <w:rPr>
            <w:rStyle w:val="Lienhypertexte"/>
            <w:rFonts w:ascii="Times New Roman" w:hAnsi="Times New Roman"/>
            <w:noProof/>
            <w:sz w:val="24"/>
            <w:szCs w:val="24"/>
          </w:rPr>
          <w:t>4.6.</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Calendrier de la mission</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_Toc499213858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15</w:t>
        </w:r>
        <w:r w:rsidR="00B04B1D" w:rsidRPr="00B04B1D">
          <w:rPr>
            <w:rFonts w:ascii="Times New Roman" w:hAnsi="Times New Roman"/>
            <w:noProof/>
            <w:webHidden/>
            <w:sz w:val="24"/>
            <w:szCs w:val="24"/>
          </w:rPr>
          <w:fldChar w:fldCharType="end"/>
        </w:r>
      </w:hyperlink>
    </w:p>
    <w:p w14:paraId="4E606EAF" w14:textId="77777777" w:rsidR="00B04B1D" w:rsidRPr="00B04B1D" w:rsidRDefault="004F261E" w:rsidP="00B04B1D">
      <w:pPr>
        <w:pStyle w:val="TM1"/>
        <w:tabs>
          <w:tab w:val="right" w:leader="dot" w:pos="9060"/>
        </w:tabs>
        <w:spacing w:after="0" w:line="240" w:lineRule="auto"/>
        <w:rPr>
          <w:rFonts w:ascii="Times New Roman" w:eastAsiaTheme="minorEastAsia" w:hAnsi="Times New Roman"/>
          <w:noProof/>
          <w:sz w:val="24"/>
          <w:szCs w:val="24"/>
          <w:lang w:eastAsia="fr-FR"/>
        </w:rPr>
      </w:pPr>
      <w:hyperlink w:anchor="_Toc499213859" w:history="1">
        <w:r w:rsidR="00B04B1D" w:rsidRPr="00B04B1D">
          <w:rPr>
            <w:rStyle w:val="Lienhypertexte"/>
            <w:rFonts w:ascii="Times New Roman" w:hAnsi="Times New Roman"/>
            <w:noProof/>
            <w:sz w:val="24"/>
            <w:szCs w:val="24"/>
          </w:rPr>
          <w:t>Tableau 1 : Chronogramme de mission</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_Toc499213859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15</w:t>
        </w:r>
        <w:r w:rsidR="00B04B1D" w:rsidRPr="00B04B1D">
          <w:rPr>
            <w:rFonts w:ascii="Times New Roman" w:hAnsi="Times New Roman"/>
            <w:noProof/>
            <w:webHidden/>
            <w:sz w:val="24"/>
            <w:szCs w:val="24"/>
          </w:rPr>
          <w:fldChar w:fldCharType="end"/>
        </w:r>
      </w:hyperlink>
    </w:p>
    <w:p w14:paraId="6482FBD9" w14:textId="77777777" w:rsidR="00B04B1D" w:rsidRPr="00B04B1D" w:rsidRDefault="004F261E" w:rsidP="00B04B1D">
      <w:pPr>
        <w:pStyle w:val="TM1"/>
        <w:tabs>
          <w:tab w:val="left" w:pos="660"/>
          <w:tab w:val="right" w:leader="dot" w:pos="9060"/>
        </w:tabs>
        <w:spacing w:after="0" w:line="240" w:lineRule="auto"/>
        <w:rPr>
          <w:rFonts w:ascii="Times New Roman" w:eastAsiaTheme="minorEastAsia" w:hAnsi="Times New Roman"/>
          <w:noProof/>
          <w:sz w:val="24"/>
          <w:szCs w:val="24"/>
          <w:lang w:eastAsia="fr-FR"/>
        </w:rPr>
      </w:pPr>
      <w:hyperlink w:anchor="_Toc499213860" w:history="1">
        <w:r w:rsidR="00B04B1D" w:rsidRPr="00B04B1D">
          <w:rPr>
            <w:rStyle w:val="Lienhypertexte"/>
            <w:rFonts w:ascii="Times New Roman" w:hAnsi="Times New Roman"/>
            <w:noProof/>
            <w:sz w:val="24"/>
            <w:szCs w:val="24"/>
          </w:rPr>
          <w:t>1.</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Contexte national</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_Toc499213860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16</w:t>
        </w:r>
        <w:r w:rsidR="00B04B1D" w:rsidRPr="00B04B1D">
          <w:rPr>
            <w:rFonts w:ascii="Times New Roman" w:hAnsi="Times New Roman"/>
            <w:noProof/>
            <w:webHidden/>
            <w:sz w:val="24"/>
            <w:szCs w:val="24"/>
          </w:rPr>
          <w:fldChar w:fldCharType="end"/>
        </w:r>
      </w:hyperlink>
    </w:p>
    <w:p w14:paraId="1004B097" w14:textId="77777777" w:rsidR="00B04B1D" w:rsidRPr="00B04B1D" w:rsidRDefault="004F261E" w:rsidP="00B04B1D">
      <w:pPr>
        <w:pStyle w:val="TM2"/>
        <w:tabs>
          <w:tab w:val="left" w:pos="880"/>
          <w:tab w:val="right" w:leader="dot" w:pos="9060"/>
        </w:tabs>
        <w:spacing w:after="0" w:line="240" w:lineRule="auto"/>
        <w:rPr>
          <w:rFonts w:ascii="Times New Roman" w:eastAsiaTheme="minorEastAsia" w:hAnsi="Times New Roman"/>
          <w:noProof/>
          <w:sz w:val="24"/>
          <w:szCs w:val="24"/>
          <w:lang w:eastAsia="fr-FR"/>
        </w:rPr>
      </w:pPr>
      <w:hyperlink w:anchor="_Toc499213861" w:history="1">
        <w:r w:rsidR="00B04B1D" w:rsidRPr="00B04B1D">
          <w:rPr>
            <w:rStyle w:val="Lienhypertexte"/>
            <w:rFonts w:ascii="Times New Roman" w:hAnsi="Times New Roman"/>
            <w:noProof/>
            <w:sz w:val="24"/>
            <w:szCs w:val="24"/>
          </w:rPr>
          <w:t>1.1.</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Milieu naturel</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_Toc499213861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16</w:t>
        </w:r>
        <w:r w:rsidR="00B04B1D" w:rsidRPr="00B04B1D">
          <w:rPr>
            <w:rFonts w:ascii="Times New Roman" w:hAnsi="Times New Roman"/>
            <w:noProof/>
            <w:webHidden/>
            <w:sz w:val="24"/>
            <w:szCs w:val="24"/>
          </w:rPr>
          <w:fldChar w:fldCharType="end"/>
        </w:r>
      </w:hyperlink>
    </w:p>
    <w:p w14:paraId="1EF754E5" w14:textId="77777777" w:rsidR="00B04B1D" w:rsidRPr="00B04B1D" w:rsidRDefault="004F261E" w:rsidP="00B04B1D">
      <w:pPr>
        <w:pStyle w:val="TM2"/>
        <w:tabs>
          <w:tab w:val="left" w:pos="880"/>
          <w:tab w:val="right" w:leader="dot" w:pos="9060"/>
        </w:tabs>
        <w:spacing w:after="0" w:line="240" w:lineRule="auto"/>
        <w:rPr>
          <w:rFonts w:ascii="Times New Roman" w:eastAsiaTheme="minorEastAsia" w:hAnsi="Times New Roman"/>
          <w:noProof/>
          <w:sz w:val="24"/>
          <w:szCs w:val="24"/>
          <w:lang w:eastAsia="fr-FR"/>
        </w:rPr>
      </w:pPr>
      <w:hyperlink w:anchor="_Toc499213862" w:history="1">
        <w:r w:rsidR="00B04B1D" w:rsidRPr="00B04B1D">
          <w:rPr>
            <w:rStyle w:val="Lienhypertexte"/>
            <w:rFonts w:ascii="Times New Roman" w:hAnsi="Times New Roman"/>
            <w:noProof/>
            <w:sz w:val="24"/>
            <w:szCs w:val="24"/>
          </w:rPr>
          <w:t>1.2.</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Gouvernance et de sécurité</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_Toc499213862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16</w:t>
        </w:r>
        <w:r w:rsidR="00B04B1D" w:rsidRPr="00B04B1D">
          <w:rPr>
            <w:rFonts w:ascii="Times New Roman" w:hAnsi="Times New Roman"/>
            <w:noProof/>
            <w:webHidden/>
            <w:sz w:val="24"/>
            <w:szCs w:val="24"/>
          </w:rPr>
          <w:fldChar w:fldCharType="end"/>
        </w:r>
      </w:hyperlink>
    </w:p>
    <w:p w14:paraId="118085F9" w14:textId="77777777" w:rsidR="00B04B1D" w:rsidRPr="00B04B1D" w:rsidRDefault="004F261E" w:rsidP="00B04B1D">
      <w:pPr>
        <w:pStyle w:val="TM2"/>
        <w:tabs>
          <w:tab w:val="left" w:pos="880"/>
          <w:tab w:val="right" w:leader="dot" w:pos="9060"/>
        </w:tabs>
        <w:spacing w:after="0" w:line="240" w:lineRule="auto"/>
        <w:rPr>
          <w:rFonts w:ascii="Times New Roman" w:eastAsiaTheme="minorEastAsia" w:hAnsi="Times New Roman"/>
          <w:noProof/>
          <w:sz w:val="24"/>
          <w:szCs w:val="24"/>
          <w:lang w:eastAsia="fr-FR"/>
        </w:rPr>
      </w:pPr>
      <w:hyperlink w:anchor="_Toc499213863" w:history="1">
        <w:r w:rsidR="00B04B1D" w:rsidRPr="00B04B1D">
          <w:rPr>
            <w:rStyle w:val="Lienhypertexte"/>
            <w:rFonts w:ascii="Times New Roman" w:hAnsi="Times New Roman"/>
            <w:noProof/>
            <w:sz w:val="24"/>
            <w:szCs w:val="24"/>
          </w:rPr>
          <w:t>1.3.</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Economie et développement humain</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_Toc499213863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16</w:t>
        </w:r>
        <w:r w:rsidR="00B04B1D" w:rsidRPr="00B04B1D">
          <w:rPr>
            <w:rFonts w:ascii="Times New Roman" w:hAnsi="Times New Roman"/>
            <w:noProof/>
            <w:webHidden/>
            <w:sz w:val="24"/>
            <w:szCs w:val="24"/>
          </w:rPr>
          <w:fldChar w:fldCharType="end"/>
        </w:r>
      </w:hyperlink>
    </w:p>
    <w:p w14:paraId="0AA05E74" w14:textId="77777777" w:rsidR="00B04B1D" w:rsidRPr="00B04B1D" w:rsidRDefault="004F261E" w:rsidP="00B04B1D">
      <w:pPr>
        <w:pStyle w:val="TM2"/>
        <w:tabs>
          <w:tab w:val="left" w:pos="880"/>
          <w:tab w:val="right" w:leader="dot" w:pos="9060"/>
        </w:tabs>
        <w:spacing w:after="0" w:line="240" w:lineRule="auto"/>
        <w:rPr>
          <w:rFonts w:ascii="Times New Roman" w:eastAsiaTheme="minorEastAsia" w:hAnsi="Times New Roman"/>
          <w:noProof/>
          <w:sz w:val="24"/>
          <w:szCs w:val="24"/>
          <w:lang w:eastAsia="fr-FR"/>
        </w:rPr>
      </w:pPr>
      <w:hyperlink w:anchor="_Toc499213864" w:history="1">
        <w:r w:rsidR="00B04B1D" w:rsidRPr="00B04B1D">
          <w:rPr>
            <w:rStyle w:val="Lienhypertexte"/>
            <w:rFonts w:ascii="Times New Roman" w:hAnsi="Times New Roman"/>
            <w:noProof/>
            <w:sz w:val="24"/>
            <w:szCs w:val="24"/>
          </w:rPr>
          <w:t>1.4.</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Environnent et des ressources naturelles</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_Toc499213864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17</w:t>
        </w:r>
        <w:r w:rsidR="00B04B1D" w:rsidRPr="00B04B1D">
          <w:rPr>
            <w:rFonts w:ascii="Times New Roman" w:hAnsi="Times New Roman"/>
            <w:noProof/>
            <w:webHidden/>
            <w:sz w:val="24"/>
            <w:szCs w:val="24"/>
          </w:rPr>
          <w:fldChar w:fldCharType="end"/>
        </w:r>
      </w:hyperlink>
    </w:p>
    <w:p w14:paraId="45543612" w14:textId="77777777" w:rsidR="00B04B1D" w:rsidRPr="00B04B1D" w:rsidRDefault="004F261E" w:rsidP="00B04B1D">
      <w:pPr>
        <w:pStyle w:val="TM1"/>
        <w:tabs>
          <w:tab w:val="left" w:pos="660"/>
          <w:tab w:val="right" w:leader="dot" w:pos="9060"/>
        </w:tabs>
        <w:spacing w:after="0" w:line="240" w:lineRule="auto"/>
        <w:rPr>
          <w:rFonts w:ascii="Times New Roman" w:eastAsiaTheme="minorEastAsia" w:hAnsi="Times New Roman"/>
          <w:noProof/>
          <w:sz w:val="24"/>
          <w:szCs w:val="24"/>
          <w:lang w:eastAsia="fr-FR"/>
        </w:rPr>
      </w:pPr>
      <w:hyperlink w:anchor="_Toc499213865" w:history="1">
        <w:r w:rsidR="00B04B1D" w:rsidRPr="00B04B1D">
          <w:rPr>
            <w:rStyle w:val="Lienhypertexte"/>
            <w:rFonts w:ascii="Times New Roman" w:hAnsi="Times New Roman"/>
            <w:noProof/>
            <w:sz w:val="24"/>
            <w:szCs w:val="24"/>
          </w:rPr>
          <w:t>2.</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Contenu du programme pays</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_Toc499213865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17</w:t>
        </w:r>
        <w:r w:rsidR="00B04B1D" w:rsidRPr="00B04B1D">
          <w:rPr>
            <w:rFonts w:ascii="Times New Roman" w:hAnsi="Times New Roman"/>
            <w:noProof/>
            <w:webHidden/>
            <w:sz w:val="24"/>
            <w:szCs w:val="24"/>
          </w:rPr>
          <w:fldChar w:fldCharType="end"/>
        </w:r>
      </w:hyperlink>
    </w:p>
    <w:p w14:paraId="4AAB37A4" w14:textId="77777777" w:rsidR="00B04B1D" w:rsidRPr="00B04B1D" w:rsidRDefault="004F261E" w:rsidP="00B04B1D">
      <w:pPr>
        <w:pStyle w:val="TM2"/>
        <w:tabs>
          <w:tab w:val="left" w:pos="880"/>
          <w:tab w:val="right" w:leader="dot" w:pos="9060"/>
        </w:tabs>
        <w:spacing w:after="0" w:line="240" w:lineRule="auto"/>
        <w:rPr>
          <w:rFonts w:ascii="Times New Roman" w:eastAsiaTheme="minorEastAsia" w:hAnsi="Times New Roman"/>
          <w:noProof/>
          <w:sz w:val="24"/>
          <w:szCs w:val="24"/>
          <w:lang w:eastAsia="fr-FR"/>
        </w:rPr>
      </w:pPr>
      <w:hyperlink w:anchor="_Toc499213866" w:history="1">
        <w:r w:rsidR="00B04B1D" w:rsidRPr="00B04B1D">
          <w:rPr>
            <w:rStyle w:val="Lienhypertexte"/>
            <w:rFonts w:ascii="Times New Roman" w:hAnsi="Times New Roman"/>
            <w:noProof/>
            <w:sz w:val="24"/>
            <w:szCs w:val="24"/>
          </w:rPr>
          <w:t>2.1.</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Contenu stratégique</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_Toc499213866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17</w:t>
        </w:r>
        <w:r w:rsidR="00B04B1D" w:rsidRPr="00B04B1D">
          <w:rPr>
            <w:rFonts w:ascii="Times New Roman" w:hAnsi="Times New Roman"/>
            <w:noProof/>
            <w:webHidden/>
            <w:sz w:val="24"/>
            <w:szCs w:val="24"/>
          </w:rPr>
          <w:fldChar w:fldCharType="end"/>
        </w:r>
      </w:hyperlink>
    </w:p>
    <w:p w14:paraId="25826605" w14:textId="77777777" w:rsidR="00B04B1D" w:rsidRPr="00B04B1D" w:rsidRDefault="004F261E" w:rsidP="00B04B1D">
      <w:pPr>
        <w:pStyle w:val="TM1"/>
        <w:tabs>
          <w:tab w:val="right" w:leader="dot" w:pos="9060"/>
        </w:tabs>
        <w:spacing w:after="0" w:line="240" w:lineRule="auto"/>
        <w:rPr>
          <w:rFonts w:ascii="Times New Roman" w:eastAsiaTheme="minorEastAsia" w:hAnsi="Times New Roman"/>
          <w:noProof/>
          <w:sz w:val="24"/>
          <w:szCs w:val="24"/>
          <w:lang w:eastAsia="fr-FR"/>
        </w:rPr>
      </w:pPr>
      <w:hyperlink w:anchor="_Toc499213867" w:history="1">
        <w:r w:rsidR="00B04B1D" w:rsidRPr="00B04B1D">
          <w:rPr>
            <w:rStyle w:val="Lienhypertexte"/>
            <w:rFonts w:ascii="Times New Roman" w:hAnsi="Times New Roman"/>
            <w:noProof/>
            <w:sz w:val="24"/>
            <w:szCs w:val="24"/>
          </w:rPr>
          <w:t>Tableau 2 : Vue d’ensemble du Portefeuille</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_Toc499213867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18</w:t>
        </w:r>
        <w:r w:rsidR="00B04B1D" w:rsidRPr="00B04B1D">
          <w:rPr>
            <w:rFonts w:ascii="Times New Roman" w:hAnsi="Times New Roman"/>
            <w:noProof/>
            <w:webHidden/>
            <w:sz w:val="24"/>
            <w:szCs w:val="24"/>
          </w:rPr>
          <w:fldChar w:fldCharType="end"/>
        </w:r>
      </w:hyperlink>
    </w:p>
    <w:p w14:paraId="1690A6AF" w14:textId="77777777" w:rsidR="00B04B1D" w:rsidRPr="00B04B1D" w:rsidRDefault="004F261E" w:rsidP="00B04B1D">
      <w:pPr>
        <w:pStyle w:val="TM2"/>
        <w:tabs>
          <w:tab w:val="left" w:pos="880"/>
          <w:tab w:val="right" w:leader="dot" w:pos="9060"/>
        </w:tabs>
        <w:spacing w:after="0" w:line="240" w:lineRule="auto"/>
        <w:rPr>
          <w:rFonts w:ascii="Times New Roman" w:eastAsiaTheme="minorEastAsia" w:hAnsi="Times New Roman"/>
          <w:noProof/>
          <w:sz w:val="24"/>
          <w:szCs w:val="24"/>
          <w:lang w:eastAsia="fr-FR"/>
        </w:rPr>
      </w:pPr>
      <w:hyperlink w:anchor="_Toc499213868" w:history="1">
        <w:r w:rsidR="00B04B1D" w:rsidRPr="00B04B1D">
          <w:rPr>
            <w:rStyle w:val="Lienhypertexte"/>
            <w:rFonts w:ascii="Times New Roman" w:hAnsi="Times New Roman"/>
            <w:noProof/>
            <w:sz w:val="24"/>
            <w:szCs w:val="24"/>
          </w:rPr>
          <w:t>2.2.</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Cadre de mise en œuvre</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_Toc499213868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19</w:t>
        </w:r>
        <w:r w:rsidR="00B04B1D" w:rsidRPr="00B04B1D">
          <w:rPr>
            <w:rFonts w:ascii="Times New Roman" w:hAnsi="Times New Roman"/>
            <w:noProof/>
            <w:webHidden/>
            <w:sz w:val="24"/>
            <w:szCs w:val="24"/>
          </w:rPr>
          <w:fldChar w:fldCharType="end"/>
        </w:r>
      </w:hyperlink>
    </w:p>
    <w:p w14:paraId="46574B62" w14:textId="77777777" w:rsidR="00B04B1D" w:rsidRPr="00B04B1D" w:rsidRDefault="004F261E" w:rsidP="00B04B1D">
      <w:pPr>
        <w:pStyle w:val="TM2"/>
        <w:tabs>
          <w:tab w:val="left" w:pos="880"/>
          <w:tab w:val="right" w:leader="dot" w:pos="9060"/>
        </w:tabs>
        <w:spacing w:after="0" w:line="240" w:lineRule="auto"/>
        <w:rPr>
          <w:rFonts w:ascii="Times New Roman" w:eastAsiaTheme="minorEastAsia" w:hAnsi="Times New Roman"/>
          <w:noProof/>
          <w:sz w:val="24"/>
          <w:szCs w:val="24"/>
          <w:lang w:eastAsia="fr-FR"/>
        </w:rPr>
      </w:pPr>
      <w:hyperlink w:anchor="_Toc499213869" w:history="1">
        <w:r w:rsidR="00B04B1D" w:rsidRPr="00B04B1D">
          <w:rPr>
            <w:rStyle w:val="Lienhypertexte"/>
            <w:rFonts w:ascii="Times New Roman" w:hAnsi="Times New Roman"/>
            <w:noProof/>
            <w:sz w:val="24"/>
            <w:szCs w:val="24"/>
          </w:rPr>
          <w:t>2.3.</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Risques anticipés sur le programmation</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_Toc499213869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20</w:t>
        </w:r>
        <w:r w:rsidR="00B04B1D" w:rsidRPr="00B04B1D">
          <w:rPr>
            <w:rFonts w:ascii="Times New Roman" w:hAnsi="Times New Roman"/>
            <w:noProof/>
            <w:webHidden/>
            <w:sz w:val="24"/>
            <w:szCs w:val="24"/>
          </w:rPr>
          <w:fldChar w:fldCharType="end"/>
        </w:r>
      </w:hyperlink>
    </w:p>
    <w:p w14:paraId="1DF3D734" w14:textId="77777777" w:rsidR="00B04B1D" w:rsidRPr="00B04B1D" w:rsidRDefault="004F261E" w:rsidP="00B04B1D">
      <w:pPr>
        <w:pStyle w:val="TM2"/>
        <w:tabs>
          <w:tab w:val="left" w:pos="880"/>
          <w:tab w:val="right" w:leader="dot" w:pos="9060"/>
        </w:tabs>
        <w:spacing w:after="0" w:line="240" w:lineRule="auto"/>
        <w:rPr>
          <w:rFonts w:ascii="Times New Roman" w:eastAsiaTheme="minorEastAsia" w:hAnsi="Times New Roman"/>
          <w:noProof/>
          <w:sz w:val="24"/>
          <w:szCs w:val="24"/>
          <w:lang w:eastAsia="fr-FR"/>
        </w:rPr>
      </w:pPr>
      <w:hyperlink w:anchor="_Toc499213870" w:history="1">
        <w:r w:rsidR="00B04B1D" w:rsidRPr="00B04B1D">
          <w:rPr>
            <w:rStyle w:val="Lienhypertexte"/>
            <w:rFonts w:ascii="Times New Roman" w:hAnsi="Times New Roman"/>
            <w:noProof/>
            <w:sz w:val="24"/>
            <w:szCs w:val="24"/>
          </w:rPr>
          <w:t>2.4.</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Programmation budgétaire</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_Toc499213870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20</w:t>
        </w:r>
        <w:r w:rsidR="00B04B1D" w:rsidRPr="00B04B1D">
          <w:rPr>
            <w:rFonts w:ascii="Times New Roman" w:hAnsi="Times New Roman"/>
            <w:noProof/>
            <w:webHidden/>
            <w:sz w:val="24"/>
            <w:szCs w:val="24"/>
          </w:rPr>
          <w:fldChar w:fldCharType="end"/>
        </w:r>
      </w:hyperlink>
    </w:p>
    <w:p w14:paraId="2E93AF3F" w14:textId="77777777" w:rsidR="00B04B1D" w:rsidRPr="00B04B1D" w:rsidRDefault="004F261E" w:rsidP="00B04B1D">
      <w:pPr>
        <w:pStyle w:val="TM1"/>
        <w:tabs>
          <w:tab w:val="right" w:leader="dot" w:pos="9060"/>
        </w:tabs>
        <w:spacing w:after="0" w:line="240" w:lineRule="auto"/>
        <w:rPr>
          <w:rFonts w:ascii="Times New Roman" w:eastAsiaTheme="minorEastAsia" w:hAnsi="Times New Roman"/>
          <w:noProof/>
          <w:sz w:val="24"/>
          <w:szCs w:val="24"/>
          <w:lang w:eastAsia="fr-FR"/>
        </w:rPr>
      </w:pPr>
      <w:hyperlink w:anchor="_Toc499213871" w:history="1">
        <w:r w:rsidR="00B04B1D" w:rsidRPr="00B04B1D">
          <w:rPr>
            <w:rStyle w:val="Lienhypertexte"/>
            <w:rFonts w:ascii="Times New Roman" w:hAnsi="Times New Roman"/>
            <w:noProof/>
            <w:sz w:val="24"/>
            <w:szCs w:val="24"/>
          </w:rPr>
          <w:t>Tableau 3 : Budget prévisionnel du Programme</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_Toc499213871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20</w:t>
        </w:r>
        <w:r w:rsidR="00B04B1D" w:rsidRPr="00B04B1D">
          <w:rPr>
            <w:rFonts w:ascii="Times New Roman" w:hAnsi="Times New Roman"/>
            <w:noProof/>
            <w:webHidden/>
            <w:sz w:val="24"/>
            <w:szCs w:val="24"/>
          </w:rPr>
          <w:fldChar w:fldCharType="end"/>
        </w:r>
      </w:hyperlink>
    </w:p>
    <w:p w14:paraId="72B6D70E" w14:textId="77777777" w:rsidR="00B04B1D" w:rsidRPr="00B04B1D" w:rsidRDefault="004F261E" w:rsidP="00B04B1D">
      <w:pPr>
        <w:pStyle w:val="TM2"/>
        <w:tabs>
          <w:tab w:val="left" w:pos="880"/>
          <w:tab w:val="right" w:leader="dot" w:pos="9060"/>
        </w:tabs>
        <w:spacing w:after="0" w:line="240" w:lineRule="auto"/>
        <w:rPr>
          <w:rFonts w:ascii="Times New Roman" w:eastAsiaTheme="minorEastAsia" w:hAnsi="Times New Roman"/>
          <w:noProof/>
          <w:sz w:val="24"/>
          <w:szCs w:val="24"/>
          <w:lang w:eastAsia="fr-FR"/>
        </w:rPr>
      </w:pPr>
      <w:hyperlink w:anchor="_Toc499213872" w:history="1">
        <w:r w:rsidR="00B04B1D" w:rsidRPr="00B04B1D">
          <w:rPr>
            <w:rStyle w:val="Lienhypertexte"/>
            <w:rFonts w:ascii="Times New Roman" w:hAnsi="Times New Roman"/>
            <w:noProof/>
            <w:sz w:val="24"/>
            <w:szCs w:val="24"/>
          </w:rPr>
          <w:t>2.5.</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Modifications intervenues en cours de mise en œuvre</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_Toc499213872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21</w:t>
        </w:r>
        <w:r w:rsidR="00B04B1D" w:rsidRPr="00B04B1D">
          <w:rPr>
            <w:rFonts w:ascii="Times New Roman" w:hAnsi="Times New Roman"/>
            <w:noProof/>
            <w:webHidden/>
            <w:sz w:val="24"/>
            <w:szCs w:val="24"/>
          </w:rPr>
          <w:fldChar w:fldCharType="end"/>
        </w:r>
      </w:hyperlink>
    </w:p>
    <w:p w14:paraId="6B6525C0" w14:textId="77777777" w:rsidR="00B04B1D" w:rsidRPr="00B04B1D" w:rsidRDefault="004F261E" w:rsidP="00B04B1D">
      <w:pPr>
        <w:pStyle w:val="TM1"/>
        <w:tabs>
          <w:tab w:val="left" w:pos="660"/>
          <w:tab w:val="right" w:leader="dot" w:pos="9060"/>
        </w:tabs>
        <w:spacing w:after="0" w:line="240" w:lineRule="auto"/>
        <w:rPr>
          <w:rFonts w:ascii="Times New Roman" w:eastAsiaTheme="minorEastAsia" w:hAnsi="Times New Roman"/>
          <w:noProof/>
          <w:sz w:val="24"/>
          <w:szCs w:val="24"/>
          <w:lang w:eastAsia="fr-FR"/>
        </w:rPr>
      </w:pPr>
      <w:hyperlink w:anchor="_Toc499213873" w:history="1">
        <w:r w:rsidR="00B04B1D" w:rsidRPr="00B04B1D">
          <w:rPr>
            <w:rStyle w:val="Lienhypertexte"/>
            <w:rFonts w:ascii="Times New Roman" w:hAnsi="Times New Roman"/>
            <w:noProof/>
            <w:sz w:val="24"/>
            <w:szCs w:val="24"/>
          </w:rPr>
          <w:t>3.</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Evaluation de performances</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_Toc499213873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21</w:t>
        </w:r>
        <w:r w:rsidR="00B04B1D" w:rsidRPr="00B04B1D">
          <w:rPr>
            <w:rFonts w:ascii="Times New Roman" w:hAnsi="Times New Roman"/>
            <w:noProof/>
            <w:webHidden/>
            <w:sz w:val="24"/>
            <w:szCs w:val="24"/>
          </w:rPr>
          <w:fldChar w:fldCharType="end"/>
        </w:r>
      </w:hyperlink>
    </w:p>
    <w:p w14:paraId="226625B9" w14:textId="77777777" w:rsidR="00B04B1D" w:rsidRPr="00B04B1D" w:rsidRDefault="004F261E" w:rsidP="00B04B1D">
      <w:pPr>
        <w:pStyle w:val="TM2"/>
        <w:tabs>
          <w:tab w:val="right" w:leader="dot" w:pos="9060"/>
        </w:tabs>
        <w:spacing w:after="0" w:line="240" w:lineRule="auto"/>
        <w:rPr>
          <w:rFonts w:ascii="Times New Roman" w:eastAsiaTheme="minorEastAsia" w:hAnsi="Times New Roman"/>
          <w:noProof/>
          <w:sz w:val="24"/>
          <w:szCs w:val="24"/>
          <w:lang w:eastAsia="fr-FR"/>
        </w:rPr>
      </w:pPr>
      <w:hyperlink w:anchor="_Toc499213874" w:history="1">
        <w:r w:rsidR="00B04B1D" w:rsidRPr="00B04B1D">
          <w:rPr>
            <w:rStyle w:val="Lienhypertexte"/>
            <w:rFonts w:ascii="Times New Roman" w:hAnsi="Times New Roman"/>
            <w:noProof/>
            <w:sz w:val="24"/>
            <w:szCs w:val="24"/>
          </w:rPr>
          <w:t>3.1. Pertinence</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_Toc499213874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21</w:t>
        </w:r>
        <w:r w:rsidR="00B04B1D" w:rsidRPr="00B04B1D">
          <w:rPr>
            <w:rFonts w:ascii="Times New Roman" w:hAnsi="Times New Roman"/>
            <w:noProof/>
            <w:webHidden/>
            <w:sz w:val="24"/>
            <w:szCs w:val="24"/>
          </w:rPr>
          <w:fldChar w:fldCharType="end"/>
        </w:r>
      </w:hyperlink>
    </w:p>
    <w:p w14:paraId="43C1DE22" w14:textId="77777777" w:rsidR="00B04B1D" w:rsidRPr="00B04B1D" w:rsidRDefault="004F261E" w:rsidP="00B04B1D">
      <w:pPr>
        <w:pStyle w:val="TM3"/>
        <w:spacing w:after="0" w:line="240" w:lineRule="auto"/>
        <w:rPr>
          <w:rFonts w:ascii="Times New Roman" w:eastAsiaTheme="minorEastAsia" w:hAnsi="Times New Roman"/>
          <w:noProof/>
          <w:sz w:val="24"/>
          <w:szCs w:val="24"/>
          <w:lang w:eastAsia="fr-FR"/>
        </w:rPr>
      </w:pPr>
      <w:hyperlink w:anchor="_Toc499213875" w:history="1">
        <w:r w:rsidR="00B04B1D" w:rsidRPr="00B04B1D">
          <w:rPr>
            <w:rStyle w:val="Lienhypertexte"/>
            <w:rFonts w:ascii="Times New Roman" w:hAnsi="Times New Roman"/>
            <w:noProof/>
            <w:sz w:val="24"/>
            <w:szCs w:val="24"/>
          </w:rPr>
          <w:t>3.1.1.</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Pertinence stratégique : alignement sur les priorités de développement du pays</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_Toc499213875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21</w:t>
        </w:r>
        <w:r w:rsidR="00B04B1D" w:rsidRPr="00B04B1D">
          <w:rPr>
            <w:rFonts w:ascii="Times New Roman" w:hAnsi="Times New Roman"/>
            <w:noProof/>
            <w:webHidden/>
            <w:sz w:val="24"/>
            <w:szCs w:val="24"/>
          </w:rPr>
          <w:fldChar w:fldCharType="end"/>
        </w:r>
      </w:hyperlink>
    </w:p>
    <w:p w14:paraId="7F739377" w14:textId="77777777" w:rsidR="00B04B1D" w:rsidRPr="00B04B1D" w:rsidRDefault="004F261E" w:rsidP="00B04B1D">
      <w:pPr>
        <w:pStyle w:val="TM3"/>
        <w:spacing w:after="0" w:line="240" w:lineRule="auto"/>
        <w:rPr>
          <w:rFonts w:ascii="Times New Roman" w:eastAsiaTheme="minorEastAsia" w:hAnsi="Times New Roman"/>
          <w:noProof/>
          <w:sz w:val="24"/>
          <w:szCs w:val="24"/>
          <w:lang w:eastAsia="fr-FR"/>
        </w:rPr>
      </w:pPr>
      <w:hyperlink w:anchor="_Toc499213876" w:history="1">
        <w:r w:rsidR="00B04B1D" w:rsidRPr="00B04B1D">
          <w:rPr>
            <w:rStyle w:val="Lienhypertexte"/>
            <w:rFonts w:ascii="Times New Roman" w:hAnsi="Times New Roman"/>
            <w:noProof/>
            <w:sz w:val="24"/>
            <w:szCs w:val="24"/>
          </w:rPr>
          <w:t>3.1.2.</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Pertinence opérationnelle : qualité des approches et contenus spécifiques mis en</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_Toc499213876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22</w:t>
        </w:r>
        <w:r w:rsidR="00B04B1D" w:rsidRPr="00B04B1D">
          <w:rPr>
            <w:rFonts w:ascii="Times New Roman" w:hAnsi="Times New Roman"/>
            <w:noProof/>
            <w:webHidden/>
            <w:sz w:val="24"/>
            <w:szCs w:val="24"/>
          </w:rPr>
          <w:fldChar w:fldCharType="end"/>
        </w:r>
      </w:hyperlink>
    </w:p>
    <w:p w14:paraId="0FED49A0" w14:textId="77777777" w:rsidR="00B04B1D" w:rsidRPr="00B04B1D" w:rsidRDefault="004F261E" w:rsidP="00B04B1D">
      <w:pPr>
        <w:pStyle w:val="TM3"/>
        <w:spacing w:after="0" w:line="240" w:lineRule="auto"/>
        <w:rPr>
          <w:rFonts w:ascii="Times New Roman" w:eastAsiaTheme="minorEastAsia" w:hAnsi="Times New Roman"/>
          <w:noProof/>
          <w:sz w:val="24"/>
          <w:szCs w:val="24"/>
          <w:lang w:eastAsia="fr-FR"/>
        </w:rPr>
      </w:pPr>
      <w:hyperlink w:anchor="_Toc499213877" w:history="1">
        <w:r w:rsidR="00B04B1D" w:rsidRPr="00B04B1D">
          <w:rPr>
            <w:rStyle w:val="Lienhypertexte"/>
            <w:rFonts w:ascii="Times New Roman" w:hAnsi="Times New Roman"/>
            <w:noProof/>
            <w:sz w:val="24"/>
            <w:szCs w:val="24"/>
          </w:rPr>
          <w:t>3.1.3.</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lang w:eastAsia="fr-FR"/>
          </w:rPr>
          <w:t>Pertinence logique : qualité du cadre de résultats et des ressources</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_Toc499213877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22</w:t>
        </w:r>
        <w:r w:rsidR="00B04B1D" w:rsidRPr="00B04B1D">
          <w:rPr>
            <w:rFonts w:ascii="Times New Roman" w:hAnsi="Times New Roman"/>
            <w:noProof/>
            <w:webHidden/>
            <w:sz w:val="24"/>
            <w:szCs w:val="24"/>
          </w:rPr>
          <w:fldChar w:fldCharType="end"/>
        </w:r>
      </w:hyperlink>
    </w:p>
    <w:p w14:paraId="1D2E2950" w14:textId="77777777" w:rsidR="00B04B1D" w:rsidRPr="00B04B1D" w:rsidRDefault="004F261E" w:rsidP="00B04B1D">
      <w:pPr>
        <w:pStyle w:val="TM1"/>
        <w:tabs>
          <w:tab w:val="right" w:leader="dot" w:pos="9060"/>
        </w:tabs>
        <w:spacing w:after="0" w:line="240" w:lineRule="auto"/>
        <w:rPr>
          <w:rFonts w:ascii="Times New Roman" w:eastAsiaTheme="minorEastAsia" w:hAnsi="Times New Roman"/>
          <w:noProof/>
          <w:sz w:val="24"/>
          <w:szCs w:val="24"/>
          <w:lang w:eastAsia="fr-FR"/>
        </w:rPr>
      </w:pPr>
      <w:hyperlink w:anchor="_Toc499213878" w:history="1">
        <w:r w:rsidR="00B04B1D" w:rsidRPr="00B04B1D">
          <w:rPr>
            <w:rStyle w:val="Lienhypertexte"/>
            <w:rFonts w:ascii="Times New Roman" w:hAnsi="Times New Roman"/>
            <w:noProof/>
            <w:sz w:val="24"/>
            <w:szCs w:val="24"/>
          </w:rPr>
          <w:t>Tableau 4 : Robustesse logique des résultats</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_Toc499213878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22</w:t>
        </w:r>
        <w:r w:rsidR="00B04B1D" w:rsidRPr="00B04B1D">
          <w:rPr>
            <w:rFonts w:ascii="Times New Roman" w:hAnsi="Times New Roman"/>
            <w:noProof/>
            <w:webHidden/>
            <w:sz w:val="24"/>
            <w:szCs w:val="24"/>
          </w:rPr>
          <w:fldChar w:fldCharType="end"/>
        </w:r>
      </w:hyperlink>
    </w:p>
    <w:p w14:paraId="0EF39FA8" w14:textId="77777777" w:rsidR="00B04B1D" w:rsidRPr="00B04B1D" w:rsidRDefault="004F261E" w:rsidP="00B04B1D">
      <w:pPr>
        <w:pStyle w:val="TM1"/>
        <w:tabs>
          <w:tab w:val="right" w:leader="dot" w:pos="9060"/>
        </w:tabs>
        <w:spacing w:after="0" w:line="240" w:lineRule="auto"/>
        <w:rPr>
          <w:rFonts w:ascii="Times New Roman" w:eastAsiaTheme="minorEastAsia" w:hAnsi="Times New Roman"/>
          <w:noProof/>
          <w:sz w:val="24"/>
          <w:szCs w:val="24"/>
          <w:lang w:eastAsia="fr-FR"/>
        </w:rPr>
      </w:pPr>
      <w:hyperlink w:anchor="_Toc499213879" w:history="1">
        <w:r w:rsidR="00B04B1D" w:rsidRPr="00B04B1D">
          <w:rPr>
            <w:rStyle w:val="Lienhypertexte"/>
            <w:rFonts w:ascii="Times New Roman" w:hAnsi="Times New Roman"/>
            <w:noProof/>
            <w:sz w:val="24"/>
            <w:szCs w:val="24"/>
          </w:rPr>
          <w:t>Tableau 5 : Robustesse logique des produits</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_Toc499213879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24</w:t>
        </w:r>
        <w:r w:rsidR="00B04B1D" w:rsidRPr="00B04B1D">
          <w:rPr>
            <w:rFonts w:ascii="Times New Roman" w:hAnsi="Times New Roman"/>
            <w:noProof/>
            <w:webHidden/>
            <w:sz w:val="24"/>
            <w:szCs w:val="24"/>
          </w:rPr>
          <w:fldChar w:fldCharType="end"/>
        </w:r>
      </w:hyperlink>
    </w:p>
    <w:p w14:paraId="3340AF59" w14:textId="77777777" w:rsidR="00B04B1D" w:rsidRPr="00B04B1D" w:rsidRDefault="004F261E" w:rsidP="00B04B1D">
      <w:pPr>
        <w:pStyle w:val="TM2"/>
        <w:tabs>
          <w:tab w:val="left" w:pos="880"/>
          <w:tab w:val="right" w:leader="dot" w:pos="9060"/>
        </w:tabs>
        <w:spacing w:after="0" w:line="240" w:lineRule="auto"/>
        <w:rPr>
          <w:rFonts w:ascii="Times New Roman" w:eastAsiaTheme="minorEastAsia" w:hAnsi="Times New Roman"/>
          <w:noProof/>
          <w:sz w:val="24"/>
          <w:szCs w:val="24"/>
          <w:lang w:eastAsia="fr-FR"/>
        </w:rPr>
      </w:pPr>
      <w:hyperlink w:anchor="_Toc499213880" w:history="1">
        <w:r w:rsidR="00B04B1D" w:rsidRPr="00B04B1D">
          <w:rPr>
            <w:rStyle w:val="Lienhypertexte"/>
            <w:rFonts w:ascii="Times New Roman" w:hAnsi="Times New Roman"/>
            <w:noProof/>
            <w:sz w:val="24"/>
            <w:szCs w:val="24"/>
          </w:rPr>
          <w:t>3.2.</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Efficacité</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_Toc499213880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27</w:t>
        </w:r>
        <w:r w:rsidR="00B04B1D" w:rsidRPr="00B04B1D">
          <w:rPr>
            <w:rFonts w:ascii="Times New Roman" w:hAnsi="Times New Roman"/>
            <w:noProof/>
            <w:webHidden/>
            <w:sz w:val="24"/>
            <w:szCs w:val="24"/>
          </w:rPr>
          <w:fldChar w:fldCharType="end"/>
        </w:r>
      </w:hyperlink>
    </w:p>
    <w:p w14:paraId="5393AF77" w14:textId="77777777" w:rsidR="00B04B1D" w:rsidRPr="00B04B1D" w:rsidRDefault="004F261E" w:rsidP="00B04B1D">
      <w:pPr>
        <w:pStyle w:val="TM3"/>
        <w:spacing w:after="0" w:line="240" w:lineRule="auto"/>
        <w:rPr>
          <w:rFonts w:ascii="Times New Roman" w:eastAsiaTheme="minorEastAsia" w:hAnsi="Times New Roman"/>
          <w:noProof/>
          <w:sz w:val="24"/>
          <w:szCs w:val="24"/>
          <w:lang w:eastAsia="fr-FR"/>
        </w:rPr>
      </w:pPr>
      <w:hyperlink w:anchor="_Toc499213881" w:history="1">
        <w:r w:rsidR="00B04B1D" w:rsidRPr="00B04B1D">
          <w:rPr>
            <w:rStyle w:val="Lienhypertexte"/>
            <w:rFonts w:ascii="Times New Roman" w:hAnsi="Times New Roman"/>
            <w:noProof/>
            <w:sz w:val="24"/>
            <w:szCs w:val="24"/>
          </w:rPr>
          <w:t>3.2.1.</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Résultat/Effet 1 : "D’ici à 2019, la cohésion sociale est facilitée par la justice transitionnelle, le dialogue entre communautés, la culture et l’éducation à la paix."</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_Toc499213881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27</w:t>
        </w:r>
        <w:r w:rsidR="00B04B1D" w:rsidRPr="00B04B1D">
          <w:rPr>
            <w:rFonts w:ascii="Times New Roman" w:hAnsi="Times New Roman"/>
            <w:noProof/>
            <w:webHidden/>
            <w:sz w:val="24"/>
            <w:szCs w:val="24"/>
          </w:rPr>
          <w:fldChar w:fldCharType="end"/>
        </w:r>
      </w:hyperlink>
    </w:p>
    <w:p w14:paraId="63BF42AB" w14:textId="77777777" w:rsidR="00B04B1D" w:rsidRPr="00B04B1D" w:rsidRDefault="004F261E" w:rsidP="00B04B1D">
      <w:pPr>
        <w:pStyle w:val="TM1"/>
        <w:tabs>
          <w:tab w:val="right" w:leader="dot" w:pos="9060"/>
        </w:tabs>
        <w:spacing w:after="0" w:line="240" w:lineRule="auto"/>
        <w:rPr>
          <w:rFonts w:ascii="Times New Roman" w:eastAsiaTheme="minorEastAsia" w:hAnsi="Times New Roman"/>
          <w:noProof/>
          <w:sz w:val="24"/>
          <w:szCs w:val="24"/>
          <w:lang w:eastAsia="fr-FR"/>
        </w:rPr>
      </w:pPr>
      <w:hyperlink w:anchor="_Toc499213882" w:history="1">
        <w:r w:rsidR="00B04B1D" w:rsidRPr="00B04B1D">
          <w:rPr>
            <w:rStyle w:val="Lienhypertexte"/>
            <w:rFonts w:ascii="Times New Roman" w:hAnsi="Times New Roman"/>
            <w:noProof/>
            <w:sz w:val="24"/>
            <w:szCs w:val="24"/>
          </w:rPr>
          <w:t>Tableau 6 : Effet 1/Performances-Pays</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_Toc499213882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28</w:t>
        </w:r>
        <w:r w:rsidR="00B04B1D" w:rsidRPr="00B04B1D">
          <w:rPr>
            <w:rFonts w:ascii="Times New Roman" w:hAnsi="Times New Roman"/>
            <w:noProof/>
            <w:webHidden/>
            <w:sz w:val="24"/>
            <w:szCs w:val="24"/>
          </w:rPr>
          <w:fldChar w:fldCharType="end"/>
        </w:r>
      </w:hyperlink>
    </w:p>
    <w:p w14:paraId="3B6D7D2D" w14:textId="77777777" w:rsidR="00B04B1D" w:rsidRPr="00B04B1D" w:rsidRDefault="004F261E" w:rsidP="00B04B1D">
      <w:pPr>
        <w:pStyle w:val="TM1"/>
        <w:tabs>
          <w:tab w:val="right" w:leader="dot" w:pos="9060"/>
        </w:tabs>
        <w:spacing w:after="0" w:line="240" w:lineRule="auto"/>
        <w:rPr>
          <w:rFonts w:ascii="Times New Roman" w:eastAsiaTheme="minorEastAsia" w:hAnsi="Times New Roman"/>
          <w:noProof/>
          <w:sz w:val="24"/>
          <w:szCs w:val="24"/>
          <w:lang w:eastAsia="fr-FR"/>
        </w:rPr>
      </w:pPr>
      <w:hyperlink w:anchor="_Toc499213883" w:history="1">
        <w:r w:rsidR="00B04B1D" w:rsidRPr="00B04B1D">
          <w:rPr>
            <w:rStyle w:val="Lienhypertexte"/>
            <w:rFonts w:ascii="Times New Roman" w:hAnsi="Times New Roman"/>
            <w:noProof/>
            <w:sz w:val="24"/>
            <w:szCs w:val="24"/>
          </w:rPr>
          <w:t>Tableau 7 : Contribution du Programme à l’Effet 1</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_Toc499213883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30</w:t>
        </w:r>
        <w:r w:rsidR="00B04B1D" w:rsidRPr="00B04B1D">
          <w:rPr>
            <w:rFonts w:ascii="Times New Roman" w:hAnsi="Times New Roman"/>
            <w:noProof/>
            <w:webHidden/>
            <w:sz w:val="24"/>
            <w:szCs w:val="24"/>
          </w:rPr>
          <w:fldChar w:fldCharType="end"/>
        </w:r>
      </w:hyperlink>
    </w:p>
    <w:p w14:paraId="72680621" w14:textId="77777777" w:rsidR="00B04B1D" w:rsidRPr="00B04B1D" w:rsidRDefault="004F261E" w:rsidP="00B04B1D">
      <w:pPr>
        <w:pStyle w:val="TM3"/>
        <w:spacing w:after="0" w:line="240" w:lineRule="auto"/>
        <w:rPr>
          <w:rFonts w:ascii="Times New Roman" w:eastAsiaTheme="minorEastAsia" w:hAnsi="Times New Roman"/>
          <w:noProof/>
          <w:sz w:val="24"/>
          <w:szCs w:val="24"/>
          <w:lang w:eastAsia="fr-FR"/>
        </w:rPr>
      </w:pPr>
      <w:hyperlink w:anchor="_Toc499213884" w:history="1">
        <w:r w:rsidR="00B04B1D" w:rsidRPr="00B04B1D">
          <w:rPr>
            <w:rStyle w:val="Lienhypertexte"/>
            <w:rFonts w:ascii="Times New Roman" w:hAnsi="Times New Roman"/>
            <w:noProof/>
            <w:sz w:val="24"/>
            <w:szCs w:val="24"/>
          </w:rPr>
          <w:t>3.2.2.</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Résultat/Effet 2 : "D’ici à 2019, les populations vulnérables, en particulier les femmes et les jeunes, utilisent des capacités de production dans un environnement (naturel) sain qui est propice à la réduction de la pauvreté."</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_Toc499213884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31</w:t>
        </w:r>
        <w:r w:rsidR="00B04B1D" w:rsidRPr="00B04B1D">
          <w:rPr>
            <w:rFonts w:ascii="Times New Roman" w:hAnsi="Times New Roman"/>
            <w:noProof/>
            <w:webHidden/>
            <w:sz w:val="24"/>
            <w:szCs w:val="24"/>
          </w:rPr>
          <w:fldChar w:fldCharType="end"/>
        </w:r>
      </w:hyperlink>
    </w:p>
    <w:p w14:paraId="1BC01794" w14:textId="77777777" w:rsidR="00B04B1D" w:rsidRPr="00B04B1D" w:rsidRDefault="004F261E" w:rsidP="00B04B1D">
      <w:pPr>
        <w:pStyle w:val="TM1"/>
        <w:tabs>
          <w:tab w:val="right" w:leader="dot" w:pos="9060"/>
        </w:tabs>
        <w:spacing w:after="0" w:line="240" w:lineRule="auto"/>
        <w:rPr>
          <w:rFonts w:ascii="Times New Roman" w:eastAsiaTheme="minorEastAsia" w:hAnsi="Times New Roman"/>
          <w:noProof/>
          <w:sz w:val="24"/>
          <w:szCs w:val="24"/>
          <w:lang w:eastAsia="fr-FR"/>
        </w:rPr>
      </w:pPr>
      <w:hyperlink w:anchor="_Toc499213885" w:history="1">
        <w:r w:rsidR="00B04B1D" w:rsidRPr="00B04B1D">
          <w:rPr>
            <w:rStyle w:val="Lienhypertexte"/>
            <w:rFonts w:ascii="Times New Roman" w:hAnsi="Times New Roman"/>
            <w:noProof/>
            <w:sz w:val="24"/>
            <w:szCs w:val="24"/>
          </w:rPr>
          <w:t>Tableau 8 : Effet 2/Performances-Pays</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_Toc499213885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32</w:t>
        </w:r>
        <w:r w:rsidR="00B04B1D" w:rsidRPr="00B04B1D">
          <w:rPr>
            <w:rFonts w:ascii="Times New Roman" w:hAnsi="Times New Roman"/>
            <w:noProof/>
            <w:webHidden/>
            <w:sz w:val="24"/>
            <w:szCs w:val="24"/>
          </w:rPr>
          <w:fldChar w:fldCharType="end"/>
        </w:r>
      </w:hyperlink>
    </w:p>
    <w:p w14:paraId="33553859" w14:textId="77777777" w:rsidR="00B04B1D" w:rsidRPr="00B04B1D" w:rsidRDefault="004F261E" w:rsidP="00B04B1D">
      <w:pPr>
        <w:pStyle w:val="TM1"/>
        <w:tabs>
          <w:tab w:val="right" w:leader="dot" w:pos="9060"/>
        </w:tabs>
        <w:spacing w:after="0" w:line="240" w:lineRule="auto"/>
        <w:rPr>
          <w:rFonts w:ascii="Times New Roman" w:eastAsiaTheme="minorEastAsia" w:hAnsi="Times New Roman"/>
          <w:noProof/>
          <w:sz w:val="24"/>
          <w:szCs w:val="24"/>
          <w:lang w:eastAsia="fr-FR"/>
        </w:rPr>
      </w:pPr>
      <w:hyperlink w:anchor="_Toc499213886" w:history="1">
        <w:r w:rsidR="00B04B1D" w:rsidRPr="00B04B1D">
          <w:rPr>
            <w:rStyle w:val="Lienhypertexte"/>
            <w:rFonts w:ascii="Times New Roman" w:hAnsi="Times New Roman"/>
            <w:noProof/>
            <w:sz w:val="24"/>
            <w:szCs w:val="24"/>
          </w:rPr>
          <w:t>Tableau 8 : Contribution du Programme à l’Effet 2</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_Toc499213886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37</w:t>
        </w:r>
        <w:r w:rsidR="00B04B1D" w:rsidRPr="00B04B1D">
          <w:rPr>
            <w:rFonts w:ascii="Times New Roman" w:hAnsi="Times New Roman"/>
            <w:noProof/>
            <w:webHidden/>
            <w:sz w:val="24"/>
            <w:szCs w:val="24"/>
          </w:rPr>
          <w:fldChar w:fldCharType="end"/>
        </w:r>
      </w:hyperlink>
    </w:p>
    <w:p w14:paraId="675F6EEB" w14:textId="77777777" w:rsidR="00B04B1D" w:rsidRPr="00B04B1D" w:rsidRDefault="004F261E" w:rsidP="00B04B1D">
      <w:pPr>
        <w:pStyle w:val="TM3"/>
        <w:spacing w:after="0" w:line="240" w:lineRule="auto"/>
        <w:rPr>
          <w:rFonts w:ascii="Times New Roman" w:eastAsiaTheme="minorEastAsia" w:hAnsi="Times New Roman"/>
          <w:noProof/>
          <w:sz w:val="24"/>
          <w:szCs w:val="24"/>
          <w:lang w:eastAsia="fr-FR"/>
        </w:rPr>
      </w:pPr>
      <w:hyperlink w:anchor="_Toc499213887" w:history="1">
        <w:r w:rsidR="00B04B1D" w:rsidRPr="00B04B1D">
          <w:rPr>
            <w:rStyle w:val="Lienhypertexte"/>
            <w:rFonts w:ascii="Times New Roman" w:hAnsi="Times New Roman"/>
            <w:noProof/>
            <w:sz w:val="24"/>
            <w:szCs w:val="24"/>
          </w:rPr>
          <w:t>3.2.3.</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Résultat 3 : "D’ici 2019, l’État et les institutions nationales et locales remplissent plus efficacement leur mission de service public et les acteurs non étatiques participent à la vie de la nation et exercent un contrôle citoyen dans le respect des principes de la bonne gouvernance et de la primauté du droit"</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_Toc499213887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41</w:t>
        </w:r>
        <w:r w:rsidR="00B04B1D" w:rsidRPr="00B04B1D">
          <w:rPr>
            <w:rFonts w:ascii="Times New Roman" w:hAnsi="Times New Roman"/>
            <w:noProof/>
            <w:webHidden/>
            <w:sz w:val="24"/>
            <w:szCs w:val="24"/>
          </w:rPr>
          <w:fldChar w:fldCharType="end"/>
        </w:r>
      </w:hyperlink>
    </w:p>
    <w:p w14:paraId="532F1D3D" w14:textId="77777777" w:rsidR="00B04B1D" w:rsidRPr="00B04B1D" w:rsidRDefault="004F261E" w:rsidP="00B04B1D">
      <w:pPr>
        <w:pStyle w:val="TM1"/>
        <w:tabs>
          <w:tab w:val="right" w:leader="dot" w:pos="9060"/>
        </w:tabs>
        <w:spacing w:after="0" w:line="240" w:lineRule="auto"/>
        <w:rPr>
          <w:rFonts w:ascii="Times New Roman" w:eastAsiaTheme="minorEastAsia" w:hAnsi="Times New Roman"/>
          <w:noProof/>
          <w:sz w:val="24"/>
          <w:szCs w:val="24"/>
          <w:lang w:eastAsia="fr-FR"/>
        </w:rPr>
      </w:pPr>
      <w:hyperlink w:anchor="_Toc499213888" w:history="1">
        <w:r w:rsidR="00B04B1D" w:rsidRPr="00B04B1D">
          <w:rPr>
            <w:rStyle w:val="Lienhypertexte"/>
            <w:rFonts w:ascii="Times New Roman" w:hAnsi="Times New Roman"/>
            <w:noProof/>
            <w:sz w:val="24"/>
            <w:szCs w:val="24"/>
          </w:rPr>
          <w:t>Tableau 9 : Effet 3 /Performances Pays</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_Toc499213888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42</w:t>
        </w:r>
        <w:r w:rsidR="00B04B1D" w:rsidRPr="00B04B1D">
          <w:rPr>
            <w:rFonts w:ascii="Times New Roman" w:hAnsi="Times New Roman"/>
            <w:noProof/>
            <w:webHidden/>
            <w:sz w:val="24"/>
            <w:szCs w:val="24"/>
          </w:rPr>
          <w:fldChar w:fldCharType="end"/>
        </w:r>
      </w:hyperlink>
    </w:p>
    <w:p w14:paraId="51818E44" w14:textId="77777777" w:rsidR="00B04B1D" w:rsidRPr="00B04B1D" w:rsidRDefault="004F261E" w:rsidP="00B04B1D">
      <w:pPr>
        <w:pStyle w:val="TM1"/>
        <w:tabs>
          <w:tab w:val="right" w:leader="dot" w:pos="9060"/>
        </w:tabs>
        <w:spacing w:after="0" w:line="240" w:lineRule="auto"/>
        <w:rPr>
          <w:rFonts w:ascii="Times New Roman" w:eastAsiaTheme="minorEastAsia" w:hAnsi="Times New Roman"/>
          <w:noProof/>
          <w:sz w:val="24"/>
          <w:szCs w:val="24"/>
          <w:lang w:eastAsia="fr-FR"/>
        </w:rPr>
      </w:pPr>
      <w:hyperlink w:anchor="_Toc499213889" w:history="1">
        <w:r w:rsidR="00B04B1D" w:rsidRPr="00B04B1D">
          <w:rPr>
            <w:rStyle w:val="Lienhypertexte"/>
            <w:rFonts w:ascii="Times New Roman" w:hAnsi="Times New Roman"/>
            <w:noProof/>
            <w:sz w:val="24"/>
            <w:szCs w:val="24"/>
          </w:rPr>
          <w:t>Tableau 10 : Effet 3 /Contribution du Programme</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_Toc499213889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44</w:t>
        </w:r>
        <w:r w:rsidR="00B04B1D" w:rsidRPr="00B04B1D">
          <w:rPr>
            <w:rFonts w:ascii="Times New Roman" w:hAnsi="Times New Roman"/>
            <w:noProof/>
            <w:webHidden/>
            <w:sz w:val="24"/>
            <w:szCs w:val="24"/>
          </w:rPr>
          <w:fldChar w:fldCharType="end"/>
        </w:r>
      </w:hyperlink>
    </w:p>
    <w:p w14:paraId="723BB020" w14:textId="77777777" w:rsidR="00B04B1D" w:rsidRPr="00B04B1D" w:rsidRDefault="004F261E" w:rsidP="00B04B1D">
      <w:pPr>
        <w:pStyle w:val="TM3"/>
        <w:spacing w:after="0" w:line="240" w:lineRule="auto"/>
        <w:rPr>
          <w:rFonts w:ascii="Times New Roman" w:eastAsiaTheme="minorEastAsia" w:hAnsi="Times New Roman"/>
          <w:noProof/>
          <w:sz w:val="24"/>
          <w:szCs w:val="24"/>
          <w:lang w:eastAsia="fr-FR"/>
        </w:rPr>
      </w:pPr>
      <w:hyperlink w:anchor="_Toc499213890" w:history="1">
        <w:r w:rsidR="00B04B1D" w:rsidRPr="00B04B1D">
          <w:rPr>
            <w:rStyle w:val="Lienhypertexte"/>
            <w:rFonts w:ascii="Times New Roman" w:hAnsi="Times New Roman"/>
            <w:noProof/>
            <w:sz w:val="24"/>
            <w:szCs w:val="24"/>
          </w:rPr>
          <w:t>3.2.4.</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Résultat/Effet 4 : "D’ici à 2019, les communautés, en particulier les plus vulnérables et celles touchées par la crise, pourront accéder à des soins de santé de base de qualité et en bénéficier plus facilement et sur un pied d’égalité."</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_Toc499213890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46</w:t>
        </w:r>
        <w:r w:rsidR="00B04B1D" w:rsidRPr="00B04B1D">
          <w:rPr>
            <w:rFonts w:ascii="Times New Roman" w:hAnsi="Times New Roman"/>
            <w:noProof/>
            <w:webHidden/>
            <w:sz w:val="24"/>
            <w:szCs w:val="24"/>
          </w:rPr>
          <w:fldChar w:fldCharType="end"/>
        </w:r>
      </w:hyperlink>
    </w:p>
    <w:p w14:paraId="76E0AB44" w14:textId="77777777" w:rsidR="00B04B1D" w:rsidRPr="00B04B1D" w:rsidRDefault="004F261E" w:rsidP="00B04B1D">
      <w:pPr>
        <w:pStyle w:val="TM1"/>
        <w:tabs>
          <w:tab w:val="right" w:leader="dot" w:pos="9060"/>
        </w:tabs>
        <w:spacing w:after="0" w:line="240" w:lineRule="auto"/>
        <w:rPr>
          <w:rFonts w:ascii="Times New Roman" w:eastAsiaTheme="minorEastAsia" w:hAnsi="Times New Roman"/>
          <w:noProof/>
          <w:sz w:val="24"/>
          <w:szCs w:val="24"/>
          <w:lang w:eastAsia="fr-FR"/>
        </w:rPr>
      </w:pPr>
      <w:hyperlink w:anchor="_Toc499213891" w:history="1">
        <w:r w:rsidR="00B04B1D" w:rsidRPr="00B04B1D">
          <w:rPr>
            <w:rStyle w:val="Lienhypertexte"/>
            <w:rFonts w:ascii="Times New Roman" w:hAnsi="Times New Roman"/>
            <w:noProof/>
            <w:sz w:val="24"/>
            <w:szCs w:val="24"/>
          </w:rPr>
          <w:t>Tableau 11 : Effet 4 /Performances Pays</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_Toc499213891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47</w:t>
        </w:r>
        <w:r w:rsidR="00B04B1D" w:rsidRPr="00B04B1D">
          <w:rPr>
            <w:rFonts w:ascii="Times New Roman" w:hAnsi="Times New Roman"/>
            <w:noProof/>
            <w:webHidden/>
            <w:sz w:val="24"/>
            <w:szCs w:val="24"/>
          </w:rPr>
          <w:fldChar w:fldCharType="end"/>
        </w:r>
      </w:hyperlink>
    </w:p>
    <w:p w14:paraId="2417426C" w14:textId="77777777" w:rsidR="00B04B1D" w:rsidRPr="00B04B1D" w:rsidRDefault="004F261E" w:rsidP="00B04B1D">
      <w:pPr>
        <w:pStyle w:val="TM1"/>
        <w:tabs>
          <w:tab w:val="right" w:leader="dot" w:pos="9060"/>
        </w:tabs>
        <w:spacing w:after="0" w:line="240" w:lineRule="auto"/>
        <w:rPr>
          <w:rFonts w:ascii="Times New Roman" w:eastAsiaTheme="minorEastAsia" w:hAnsi="Times New Roman"/>
          <w:noProof/>
          <w:sz w:val="24"/>
          <w:szCs w:val="24"/>
          <w:lang w:eastAsia="fr-FR"/>
        </w:rPr>
      </w:pPr>
      <w:hyperlink w:anchor="_Toc499213892" w:history="1">
        <w:r w:rsidR="00B04B1D" w:rsidRPr="00B04B1D">
          <w:rPr>
            <w:rStyle w:val="Lienhypertexte"/>
            <w:rFonts w:ascii="Times New Roman" w:hAnsi="Times New Roman"/>
            <w:noProof/>
            <w:sz w:val="24"/>
            <w:szCs w:val="24"/>
          </w:rPr>
          <w:t>Tableau 12 : Effet 4 /Contribution du Programme</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_Toc499213892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48</w:t>
        </w:r>
        <w:r w:rsidR="00B04B1D" w:rsidRPr="00B04B1D">
          <w:rPr>
            <w:rFonts w:ascii="Times New Roman" w:hAnsi="Times New Roman"/>
            <w:noProof/>
            <w:webHidden/>
            <w:sz w:val="24"/>
            <w:szCs w:val="24"/>
          </w:rPr>
          <w:fldChar w:fldCharType="end"/>
        </w:r>
      </w:hyperlink>
    </w:p>
    <w:p w14:paraId="2B5BE04F" w14:textId="77777777" w:rsidR="00B04B1D" w:rsidRPr="00B04B1D" w:rsidRDefault="004F261E" w:rsidP="00B04B1D">
      <w:pPr>
        <w:pStyle w:val="TM2"/>
        <w:tabs>
          <w:tab w:val="left" w:pos="880"/>
          <w:tab w:val="right" w:leader="dot" w:pos="9060"/>
        </w:tabs>
        <w:spacing w:after="0" w:line="240" w:lineRule="auto"/>
        <w:rPr>
          <w:rFonts w:ascii="Times New Roman" w:eastAsiaTheme="minorEastAsia" w:hAnsi="Times New Roman"/>
          <w:noProof/>
          <w:sz w:val="24"/>
          <w:szCs w:val="24"/>
          <w:lang w:eastAsia="fr-FR"/>
        </w:rPr>
      </w:pPr>
      <w:hyperlink w:anchor="_Toc499213893" w:history="1">
        <w:r w:rsidR="00B04B1D" w:rsidRPr="00B04B1D">
          <w:rPr>
            <w:rStyle w:val="Lienhypertexte"/>
            <w:rFonts w:ascii="Times New Roman" w:hAnsi="Times New Roman"/>
            <w:noProof/>
            <w:sz w:val="24"/>
            <w:szCs w:val="24"/>
          </w:rPr>
          <w:t>3.3.</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Prise en compte du Genre dans le programme</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_Toc499213893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48</w:t>
        </w:r>
        <w:r w:rsidR="00B04B1D" w:rsidRPr="00B04B1D">
          <w:rPr>
            <w:rFonts w:ascii="Times New Roman" w:hAnsi="Times New Roman"/>
            <w:noProof/>
            <w:webHidden/>
            <w:sz w:val="24"/>
            <w:szCs w:val="24"/>
          </w:rPr>
          <w:fldChar w:fldCharType="end"/>
        </w:r>
      </w:hyperlink>
    </w:p>
    <w:p w14:paraId="7EB8FD94" w14:textId="77777777" w:rsidR="00B04B1D" w:rsidRPr="00B04B1D" w:rsidRDefault="004F261E" w:rsidP="00B04B1D">
      <w:pPr>
        <w:pStyle w:val="TM2"/>
        <w:tabs>
          <w:tab w:val="left" w:pos="880"/>
          <w:tab w:val="right" w:leader="dot" w:pos="9060"/>
        </w:tabs>
        <w:spacing w:after="0" w:line="240" w:lineRule="auto"/>
        <w:rPr>
          <w:rFonts w:ascii="Times New Roman" w:eastAsiaTheme="minorEastAsia" w:hAnsi="Times New Roman"/>
          <w:noProof/>
          <w:sz w:val="24"/>
          <w:szCs w:val="24"/>
          <w:lang w:eastAsia="fr-FR"/>
        </w:rPr>
      </w:pPr>
      <w:hyperlink w:anchor="_Toc499213894" w:history="1">
        <w:r w:rsidR="00B04B1D" w:rsidRPr="00B04B1D">
          <w:rPr>
            <w:rStyle w:val="Lienhypertexte"/>
            <w:rFonts w:ascii="Times New Roman" w:hAnsi="Times New Roman"/>
            <w:noProof/>
            <w:sz w:val="24"/>
            <w:szCs w:val="24"/>
          </w:rPr>
          <w:t>3.4.</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Mobilisation de ressources</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_Toc499213894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50</w:t>
        </w:r>
        <w:r w:rsidR="00B04B1D" w:rsidRPr="00B04B1D">
          <w:rPr>
            <w:rFonts w:ascii="Times New Roman" w:hAnsi="Times New Roman"/>
            <w:noProof/>
            <w:webHidden/>
            <w:sz w:val="24"/>
            <w:szCs w:val="24"/>
          </w:rPr>
          <w:fldChar w:fldCharType="end"/>
        </w:r>
      </w:hyperlink>
    </w:p>
    <w:p w14:paraId="19E51087" w14:textId="77777777" w:rsidR="00B04B1D" w:rsidRPr="00B04B1D" w:rsidRDefault="004F261E" w:rsidP="00B04B1D">
      <w:pPr>
        <w:pStyle w:val="TM1"/>
        <w:tabs>
          <w:tab w:val="right" w:leader="dot" w:pos="9060"/>
        </w:tabs>
        <w:spacing w:after="0" w:line="240" w:lineRule="auto"/>
        <w:rPr>
          <w:rFonts w:ascii="Times New Roman" w:eastAsiaTheme="minorEastAsia" w:hAnsi="Times New Roman"/>
          <w:noProof/>
          <w:sz w:val="24"/>
          <w:szCs w:val="24"/>
          <w:lang w:eastAsia="fr-FR"/>
        </w:rPr>
      </w:pPr>
      <w:hyperlink w:anchor="_Toc499213895" w:history="1">
        <w:r w:rsidR="00B04B1D" w:rsidRPr="00B04B1D">
          <w:rPr>
            <w:rStyle w:val="Lienhypertexte"/>
            <w:rFonts w:ascii="Times New Roman" w:hAnsi="Times New Roman"/>
            <w:noProof/>
            <w:sz w:val="24"/>
            <w:szCs w:val="24"/>
          </w:rPr>
          <w:t>Figure 1 : Cartographie des sources de financement du Programme</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_Toc499213895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51</w:t>
        </w:r>
        <w:r w:rsidR="00B04B1D" w:rsidRPr="00B04B1D">
          <w:rPr>
            <w:rFonts w:ascii="Times New Roman" w:hAnsi="Times New Roman"/>
            <w:noProof/>
            <w:webHidden/>
            <w:sz w:val="24"/>
            <w:szCs w:val="24"/>
          </w:rPr>
          <w:fldChar w:fldCharType="end"/>
        </w:r>
      </w:hyperlink>
    </w:p>
    <w:p w14:paraId="03B7C4F7" w14:textId="77777777" w:rsidR="00B04B1D" w:rsidRPr="00B04B1D" w:rsidRDefault="004F261E" w:rsidP="00B04B1D">
      <w:pPr>
        <w:pStyle w:val="TM2"/>
        <w:tabs>
          <w:tab w:val="left" w:pos="880"/>
          <w:tab w:val="right" w:leader="dot" w:pos="9060"/>
        </w:tabs>
        <w:spacing w:after="0" w:line="240" w:lineRule="auto"/>
        <w:rPr>
          <w:rFonts w:ascii="Times New Roman" w:eastAsiaTheme="minorEastAsia" w:hAnsi="Times New Roman"/>
          <w:noProof/>
          <w:sz w:val="24"/>
          <w:szCs w:val="24"/>
          <w:lang w:eastAsia="fr-FR"/>
        </w:rPr>
      </w:pPr>
      <w:hyperlink w:anchor="_Toc499213896" w:history="1">
        <w:r w:rsidR="00B04B1D" w:rsidRPr="00B04B1D">
          <w:rPr>
            <w:rStyle w:val="Lienhypertexte"/>
            <w:rFonts w:ascii="Times New Roman" w:hAnsi="Times New Roman"/>
            <w:noProof/>
            <w:sz w:val="24"/>
            <w:szCs w:val="24"/>
          </w:rPr>
          <w:t>3.5.</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Synopsis des Forces et des Faibles</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_Toc499213896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51</w:t>
        </w:r>
        <w:r w:rsidR="00B04B1D" w:rsidRPr="00B04B1D">
          <w:rPr>
            <w:rFonts w:ascii="Times New Roman" w:hAnsi="Times New Roman"/>
            <w:noProof/>
            <w:webHidden/>
            <w:sz w:val="24"/>
            <w:szCs w:val="24"/>
          </w:rPr>
          <w:fldChar w:fldCharType="end"/>
        </w:r>
      </w:hyperlink>
    </w:p>
    <w:p w14:paraId="3C0BFADE" w14:textId="77777777" w:rsidR="00B04B1D" w:rsidRPr="00B04B1D" w:rsidRDefault="004F261E" w:rsidP="00B04B1D">
      <w:pPr>
        <w:pStyle w:val="TM3"/>
        <w:spacing w:after="0" w:line="240" w:lineRule="auto"/>
        <w:rPr>
          <w:rFonts w:ascii="Times New Roman" w:eastAsiaTheme="minorEastAsia" w:hAnsi="Times New Roman"/>
          <w:noProof/>
          <w:sz w:val="24"/>
          <w:szCs w:val="24"/>
          <w:lang w:eastAsia="fr-FR"/>
        </w:rPr>
      </w:pPr>
      <w:hyperlink w:anchor="_Toc499213897" w:history="1">
        <w:r w:rsidR="00B04B1D" w:rsidRPr="00B04B1D">
          <w:rPr>
            <w:rStyle w:val="Lienhypertexte"/>
            <w:rFonts w:ascii="Times New Roman" w:hAnsi="Times New Roman"/>
            <w:noProof/>
            <w:sz w:val="24"/>
            <w:szCs w:val="24"/>
          </w:rPr>
          <w:t>3.5.1.</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Forces et opportunités du Programme</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_Toc499213897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51</w:t>
        </w:r>
        <w:r w:rsidR="00B04B1D" w:rsidRPr="00B04B1D">
          <w:rPr>
            <w:rFonts w:ascii="Times New Roman" w:hAnsi="Times New Roman"/>
            <w:noProof/>
            <w:webHidden/>
            <w:sz w:val="24"/>
            <w:szCs w:val="24"/>
          </w:rPr>
          <w:fldChar w:fldCharType="end"/>
        </w:r>
      </w:hyperlink>
    </w:p>
    <w:p w14:paraId="32A3E6E6" w14:textId="77777777" w:rsidR="00B04B1D" w:rsidRPr="00B04B1D" w:rsidRDefault="004F261E" w:rsidP="00B04B1D">
      <w:pPr>
        <w:pStyle w:val="TM2"/>
        <w:tabs>
          <w:tab w:val="left" w:pos="880"/>
          <w:tab w:val="right" w:leader="dot" w:pos="9060"/>
        </w:tabs>
        <w:spacing w:after="0" w:line="240" w:lineRule="auto"/>
        <w:rPr>
          <w:rFonts w:ascii="Times New Roman" w:eastAsiaTheme="minorEastAsia" w:hAnsi="Times New Roman"/>
          <w:noProof/>
          <w:sz w:val="24"/>
          <w:szCs w:val="24"/>
          <w:lang w:eastAsia="fr-FR"/>
        </w:rPr>
      </w:pPr>
      <w:hyperlink w:anchor="_Toc499213898" w:history="1">
        <w:r w:rsidR="00B04B1D" w:rsidRPr="00B04B1D">
          <w:rPr>
            <w:rStyle w:val="Lienhypertexte"/>
            <w:rFonts w:ascii="Times New Roman" w:hAnsi="Times New Roman"/>
            <w:noProof/>
            <w:sz w:val="24"/>
            <w:szCs w:val="24"/>
          </w:rPr>
          <w:t>3.6.</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Efficience</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_Toc499213898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54</w:t>
        </w:r>
        <w:r w:rsidR="00B04B1D" w:rsidRPr="00B04B1D">
          <w:rPr>
            <w:rFonts w:ascii="Times New Roman" w:hAnsi="Times New Roman"/>
            <w:noProof/>
            <w:webHidden/>
            <w:sz w:val="24"/>
            <w:szCs w:val="24"/>
          </w:rPr>
          <w:fldChar w:fldCharType="end"/>
        </w:r>
      </w:hyperlink>
    </w:p>
    <w:p w14:paraId="54DDCDA2" w14:textId="77777777" w:rsidR="00B04B1D" w:rsidRPr="00B04B1D" w:rsidRDefault="004F261E" w:rsidP="00B04B1D">
      <w:pPr>
        <w:pStyle w:val="TM1"/>
        <w:tabs>
          <w:tab w:val="right" w:leader="dot" w:pos="9060"/>
        </w:tabs>
        <w:spacing w:after="0" w:line="240" w:lineRule="auto"/>
        <w:rPr>
          <w:rFonts w:ascii="Times New Roman" w:eastAsiaTheme="minorEastAsia" w:hAnsi="Times New Roman"/>
          <w:noProof/>
          <w:sz w:val="24"/>
          <w:szCs w:val="24"/>
          <w:lang w:eastAsia="fr-FR"/>
        </w:rPr>
      </w:pPr>
      <w:hyperlink w:anchor="_Toc499213899" w:history="1">
        <w:r w:rsidR="00B04B1D" w:rsidRPr="00B04B1D">
          <w:rPr>
            <w:rStyle w:val="Lienhypertexte"/>
            <w:rFonts w:ascii="Times New Roman" w:hAnsi="Times New Roman"/>
            <w:noProof/>
            <w:sz w:val="24"/>
            <w:szCs w:val="24"/>
          </w:rPr>
          <w:t>Figures 2 : Programmation versus Exécution budgétaire</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_Toc499213899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54</w:t>
        </w:r>
        <w:r w:rsidR="00B04B1D" w:rsidRPr="00B04B1D">
          <w:rPr>
            <w:rFonts w:ascii="Times New Roman" w:hAnsi="Times New Roman"/>
            <w:noProof/>
            <w:webHidden/>
            <w:sz w:val="24"/>
            <w:szCs w:val="24"/>
          </w:rPr>
          <w:fldChar w:fldCharType="end"/>
        </w:r>
      </w:hyperlink>
    </w:p>
    <w:p w14:paraId="5C26B603" w14:textId="77777777" w:rsidR="00B04B1D" w:rsidRPr="00B04B1D" w:rsidRDefault="004F261E" w:rsidP="00B04B1D">
      <w:pPr>
        <w:pStyle w:val="TM1"/>
        <w:tabs>
          <w:tab w:val="right" w:leader="dot" w:pos="9060"/>
        </w:tabs>
        <w:spacing w:after="0" w:line="240" w:lineRule="auto"/>
        <w:rPr>
          <w:rFonts w:ascii="Times New Roman" w:eastAsiaTheme="minorEastAsia" w:hAnsi="Times New Roman"/>
          <w:noProof/>
          <w:sz w:val="24"/>
          <w:szCs w:val="24"/>
          <w:lang w:eastAsia="fr-FR"/>
        </w:rPr>
      </w:pPr>
      <w:hyperlink w:anchor="_Toc499213900" w:history="1">
        <w:r w:rsidR="00B04B1D" w:rsidRPr="00B04B1D">
          <w:rPr>
            <w:rStyle w:val="Lienhypertexte"/>
            <w:rFonts w:ascii="Times New Roman" w:hAnsi="Times New Roman"/>
            <w:noProof/>
            <w:sz w:val="24"/>
            <w:szCs w:val="24"/>
          </w:rPr>
          <w:t>Figure 3 : Programme versus Exécution budgétaire, par Résultat</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_Toc499213900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55</w:t>
        </w:r>
        <w:r w:rsidR="00B04B1D" w:rsidRPr="00B04B1D">
          <w:rPr>
            <w:rFonts w:ascii="Times New Roman" w:hAnsi="Times New Roman"/>
            <w:noProof/>
            <w:webHidden/>
            <w:sz w:val="24"/>
            <w:szCs w:val="24"/>
          </w:rPr>
          <w:fldChar w:fldCharType="end"/>
        </w:r>
      </w:hyperlink>
    </w:p>
    <w:p w14:paraId="54217C16" w14:textId="77777777" w:rsidR="00B04B1D" w:rsidRPr="00B04B1D" w:rsidRDefault="004F261E" w:rsidP="00B04B1D">
      <w:pPr>
        <w:pStyle w:val="TM2"/>
        <w:tabs>
          <w:tab w:val="left" w:pos="880"/>
          <w:tab w:val="right" w:leader="dot" w:pos="9060"/>
        </w:tabs>
        <w:spacing w:after="0" w:line="240" w:lineRule="auto"/>
        <w:rPr>
          <w:rFonts w:ascii="Times New Roman" w:eastAsiaTheme="minorEastAsia" w:hAnsi="Times New Roman"/>
          <w:noProof/>
          <w:sz w:val="24"/>
          <w:szCs w:val="24"/>
          <w:lang w:eastAsia="fr-FR"/>
        </w:rPr>
      </w:pPr>
      <w:hyperlink w:anchor="_Toc499213901" w:history="1">
        <w:r w:rsidR="00B04B1D" w:rsidRPr="00B04B1D">
          <w:rPr>
            <w:rStyle w:val="Lienhypertexte"/>
            <w:rFonts w:ascii="Times New Roman" w:hAnsi="Times New Roman"/>
            <w:noProof/>
            <w:sz w:val="24"/>
            <w:szCs w:val="24"/>
          </w:rPr>
          <w:t>3.7.</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Durabilité</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_Toc499213901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58</w:t>
        </w:r>
        <w:r w:rsidR="00B04B1D" w:rsidRPr="00B04B1D">
          <w:rPr>
            <w:rFonts w:ascii="Times New Roman" w:hAnsi="Times New Roman"/>
            <w:noProof/>
            <w:webHidden/>
            <w:sz w:val="24"/>
            <w:szCs w:val="24"/>
          </w:rPr>
          <w:fldChar w:fldCharType="end"/>
        </w:r>
      </w:hyperlink>
    </w:p>
    <w:p w14:paraId="23A24085" w14:textId="77777777" w:rsidR="00B04B1D" w:rsidRPr="00B04B1D" w:rsidRDefault="004F261E" w:rsidP="00B04B1D">
      <w:pPr>
        <w:pStyle w:val="TM1"/>
        <w:tabs>
          <w:tab w:val="right" w:leader="dot" w:pos="9060"/>
        </w:tabs>
        <w:spacing w:after="0" w:line="240" w:lineRule="auto"/>
        <w:rPr>
          <w:rFonts w:ascii="Times New Roman" w:eastAsiaTheme="minorEastAsia" w:hAnsi="Times New Roman"/>
          <w:noProof/>
          <w:sz w:val="24"/>
          <w:szCs w:val="24"/>
          <w:lang w:eastAsia="fr-FR"/>
        </w:rPr>
      </w:pPr>
      <w:hyperlink w:anchor="_Toc499213902" w:history="1">
        <w:r w:rsidR="00B04B1D" w:rsidRPr="00B04B1D">
          <w:rPr>
            <w:rStyle w:val="Lienhypertexte"/>
            <w:rFonts w:ascii="Times New Roman" w:hAnsi="Times New Roman"/>
            <w:noProof/>
            <w:sz w:val="24"/>
            <w:szCs w:val="24"/>
          </w:rPr>
          <w:t>Conclusion</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_Toc499213902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63</w:t>
        </w:r>
        <w:r w:rsidR="00B04B1D" w:rsidRPr="00B04B1D">
          <w:rPr>
            <w:rFonts w:ascii="Times New Roman" w:hAnsi="Times New Roman"/>
            <w:noProof/>
            <w:webHidden/>
            <w:sz w:val="24"/>
            <w:szCs w:val="24"/>
          </w:rPr>
          <w:fldChar w:fldCharType="end"/>
        </w:r>
      </w:hyperlink>
    </w:p>
    <w:p w14:paraId="2291F0B4" w14:textId="77777777" w:rsidR="00B04B1D" w:rsidRPr="00B04B1D" w:rsidRDefault="004F261E" w:rsidP="00B04B1D">
      <w:pPr>
        <w:pStyle w:val="TM2"/>
        <w:tabs>
          <w:tab w:val="left" w:pos="660"/>
          <w:tab w:val="right" w:leader="dot" w:pos="9060"/>
        </w:tabs>
        <w:spacing w:after="0" w:line="240" w:lineRule="auto"/>
        <w:rPr>
          <w:rFonts w:ascii="Times New Roman" w:eastAsiaTheme="minorEastAsia" w:hAnsi="Times New Roman"/>
          <w:noProof/>
          <w:sz w:val="24"/>
          <w:szCs w:val="24"/>
          <w:lang w:eastAsia="fr-FR"/>
        </w:rPr>
      </w:pPr>
      <w:hyperlink w:anchor="_Toc499213903" w:history="1">
        <w:r w:rsidR="00B04B1D" w:rsidRPr="00B04B1D">
          <w:rPr>
            <w:rStyle w:val="Lienhypertexte"/>
            <w:rFonts w:ascii="Times New Roman" w:hAnsi="Times New Roman"/>
            <w:noProof/>
            <w:sz w:val="24"/>
            <w:szCs w:val="24"/>
          </w:rPr>
          <w:t>1.</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Principales constations sur le Programme</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_Toc499213903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63</w:t>
        </w:r>
        <w:r w:rsidR="00B04B1D" w:rsidRPr="00B04B1D">
          <w:rPr>
            <w:rFonts w:ascii="Times New Roman" w:hAnsi="Times New Roman"/>
            <w:noProof/>
            <w:webHidden/>
            <w:sz w:val="24"/>
            <w:szCs w:val="24"/>
          </w:rPr>
          <w:fldChar w:fldCharType="end"/>
        </w:r>
      </w:hyperlink>
    </w:p>
    <w:p w14:paraId="53CC00AE" w14:textId="77777777" w:rsidR="00B04B1D" w:rsidRPr="00B04B1D" w:rsidRDefault="004F261E" w:rsidP="00B04B1D">
      <w:pPr>
        <w:pStyle w:val="TM2"/>
        <w:tabs>
          <w:tab w:val="left" w:pos="660"/>
          <w:tab w:val="right" w:leader="dot" w:pos="9060"/>
        </w:tabs>
        <w:spacing w:after="0" w:line="240" w:lineRule="auto"/>
        <w:rPr>
          <w:rFonts w:ascii="Times New Roman" w:eastAsiaTheme="minorEastAsia" w:hAnsi="Times New Roman"/>
          <w:noProof/>
          <w:sz w:val="24"/>
          <w:szCs w:val="24"/>
          <w:lang w:eastAsia="fr-FR"/>
        </w:rPr>
      </w:pPr>
      <w:hyperlink w:anchor="_Toc499213904" w:history="1">
        <w:r w:rsidR="00B04B1D" w:rsidRPr="00B04B1D">
          <w:rPr>
            <w:rStyle w:val="Lienhypertexte"/>
            <w:rFonts w:ascii="Times New Roman" w:hAnsi="Times New Roman"/>
            <w:noProof/>
            <w:sz w:val="24"/>
            <w:szCs w:val="24"/>
          </w:rPr>
          <w:t>2.</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Leçons apprises</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_Toc499213904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65</w:t>
        </w:r>
        <w:r w:rsidR="00B04B1D" w:rsidRPr="00B04B1D">
          <w:rPr>
            <w:rFonts w:ascii="Times New Roman" w:hAnsi="Times New Roman"/>
            <w:noProof/>
            <w:webHidden/>
            <w:sz w:val="24"/>
            <w:szCs w:val="24"/>
          </w:rPr>
          <w:fldChar w:fldCharType="end"/>
        </w:r>
      </w:hyperlink>
    </w:p>
    <w:p w14:paraId="54430480" w14:textId="77777777" w:rsidR="00B04B1D" w:rsidRPr="00B04B1D" w:rsidRDefault="004F261E" w:rsidP="00B04B1D">
      <w:pPr>
        <w:pStyle w:val="TM2"/>
        <w:tabs>
          <w:tab w:val="left" w:pos="660"/>
          <w:tab w:val="right" w:leader="dot" w:pos="9060"/>
        </w:tabs>
        <w:spacing w:after="0" w:line="240" w:lineRule="auto"/>
        <w:rPr>
          <w:rFonts w:ascii="Times New Roman" w:eastAsiaTheme="minorEastAsia" w:hAnsi="Times New Roman"/>
          <w:noProof/>
          <w:sz w:val="24"/>
          <w:szCs w:val="24"/>
          <w:lang w:eastAsia="fr-FR"/>
        </w:rPr>
      </w:pPr>
      <w:hyperlink w:anchor="_Toc499213905" w:history="1">
        <w:r w:rsidR="00B04B1D" w:rsidRPr="00B04B1D">
          <w:rPr>
            <w:rStyle w:val="Lienhypertexte"/>
            <w:rFonts w:ascii="Times New Roman" w:hAnsi="Times New Roman"/>
            <w:noProof/>
            <w:sz w:val="24"/>
            <w:szCs w:val="24"/>
          </w:rPr>
          <w:t>3.</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Recommandations</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_Toc499213905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66</w:t>
        </w:r>
        <w:r w:rsidR="00B04B1D" w:rsidRPr="00B04B1D">
          <w:rPr>
            <w:rFonts w:ascii="Times New Roman" w:hAnsi="Times New Roman"/>
            <w:noProof/>
            <w:webHidden/>
            <w:sz w:val="24"/>
            <w:szCs w:val="24"/>
          </w:rPr>
          <w:fldChar w:fldCharType="end"/>
        </w:r>
      </w:hyperlink>
    </w:p>
    <w:p w14:paraId="2A1094EB" w14:textId="77777777" w:rsidR="00B04B1D" w:rsidRPr="00B04B1D" w:rsidRDefault="004F261E" w:rsidP="00B04B1D">
      <w:pPr>
        <w:pStyle w:val="TM1"/>
        <w:tabs>
          <w:tab w:val="right" w:leader="dot" w:pos="9060"/>
        </w:tabs>
        <w:spacing w:after="0" w:line="240" w:lineRule="auto"/>
        <w:rPr>
          <w:rFonts w:ascii="Times New Roman" w:eastAsiaTheme="minorEastAsia" w:hAnsi="Times New Roman"/>
          <w:noProof/>
          <w:sz w:val="24"/>
          <w:szCs w:val="24"/>
          <w:lang w:eastAsia="fr-FR"/>
        </w:rPr>
      </w:pPr>
      <w:hyperlink w:anchor="_Toc499213906" w:history="1">
        <w:r w:rsidR="00B04B1D" w:rsidRPr="00B04B1D">
          <w:rPr>
            <w:rStyle w:val="Lienhypertexte"/>
            <w:rFonts w:ascii="Times New Roman" w:hAnsi="Times New Roman"/>
            <w:noProof/>
            <w:sz w:val="24"/>
            <w:szCs w:val="24"/>
          </w:rPr>
          <w:t>ANNEXES</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_Toc499213906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68</w:t>
        </w:r>
        <w:r w:rsidR="00B04B1D" w:rsidRPr="00B04B1D">
          <w:rPr>
            <w:rFonts w:ascii="Times New Roman" w:hAnsi="Times New Roman"/>
            <w:noProof/>
            <w:webHidden/>
            <w:sz w:val="24"/>
            <w:szCs w:val="24"/>
          </w:rPr>
          <w:fldChar w:fldCharType="end"/>
        </w:r>
      </w:hyperlink>
    </w:p>
    <w:p w14:paraId="592DBCDB" w14:textId="77777777" w:rsidR="00B04B1D" w:rsidRPr="00B04B1D" w:rsidRDefault="004F261E" w:rsidP="00B04B1D">
      <w:pPr>
        <w:pStyle w:val="TM2"/>
        <w:tabs>
          <w:tab w:val="left" w:pos="660"/>
          <w:tab w:val="right" w:leader="dot" w:pos="9060"/>
        </w:tabs>
        <w:spacing w:after="0" w:line="240" w:lineRule="auto"/>
        <w:rPr>
          <w:rFonts w:ascii="Times New Roman" w:eastAsiaTheme="minorEastAsia" w:hAnsi="Times New Roman"/>
          <w:noProof/>
          <w:sz w:val="24"/>
          <w:szCs w:val="24"/>
          <w:lang w:eastAsia="fr-FR"/>
        </w:rPr>
      </w:pPr>
      <w:hyperlink w:anchor="_Toc499213907" w:history="1">
        <w:r w:rsidR="00B04B1D" w:rsidRPr="00B04B1D">
          <w:rPr>
            <w:rStyle w:val="Lienhypertexte"/>
            <w:rFonts w:ascii="Times New Roman" w:hAnsi="Times New Roman"/>
            <w:noProof/>
            <w:sz w:val="24"/>
            <w:szCs w:val="24"/>
          </w:rPr>
          <w:t>1.</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Audit-trail : Journal des commentaires des parties et des réponses de l’Evaluateur</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_Toc499213907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69</w:t>
        </w:r>
        <w:r w:rsidR="00B04B1D" w:rsidRPr="00B04B1D">
          <w:rPr>
            <w:rFonts w:ascii="Times New Roman" w:hAnsi="Times New Roman"/>
            <w:noProof/>
            <w:webHidden/>
            <w:sz w:val="24"/>
            <w:szCs w:val="24"/>
          </w:rPr>
          <w:fldChar w:fldCharType="end"/>
        </w:r>
      </w:hyperlink>
    </w:p>
    <w:p w14:paraId="4AB31452" w14:textId="77777777" w:rsidR="00B04B1D" w:rsidRPr="00B04B1D" w:rsidRDefault="004F261E" w:rsidP="00B04B1D">
      <w:pPr>
        <w:pStyle w:val="TM2"/>
        <w:tabs>
          <w:tab w:val="left" w:pos="660"/>
          <w:tab w:val="right" w:leader="dot" w:pos="9060"/>
        </w:tabs>
        <w:spacing w:after="0" w:line="240" w:lineRule="auto"/>
        <w:rPr>
          <w:rFonts w:ascii="Times New Roman" w:eastAsiaTheme="minorEastAsia" w:hAnsi="Times New Roman"/>
          <w:noProof/>
          <w:sz w:val="24"/>
          <w:szCs w:val="24"/>
          <w:lang w:eastAsia="fr-FR"/>
        </w:rPr>
      </w:pPr>
      <w:hyperlink w:anchor="_Toc499213908" w:history="1">
        <w:r w:rsidR="00B04B1D" w:rsidRPr="00B04B1D">
          <w:rPr>
            <w:rStyle w:val="Lienhypertexte"/>
            <w:rFonts w:ascii="Times New Roman" w:hAnsi="Times New Roman"/>
            <w:noProof/>
            <w:sz w:val="24"/>
            <w:szCs w:val="24"/>
          </w:rPr>
          <w:t>1.</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Matrices d’évaluation</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_Toc499213908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75</w:t>
        </w:r>
        <w:r w:rsidR="00B04B1D" w:rsidRPr="00B04B1D">
          <w:rPr>
            <w:rFonts w:ascii="Times New Roman" w:hAnsi="Times New Roman"/>
            <w:noProof/>
            <w:webHidden/>
            <w:sz w:val="24"/>
            <w:szCs w:val="24"/>
          </w:rPr>
          <w:fldChar w:fldCharType="end"/>
        </w:r>
      </w:hyperlink>
    </w:p>
    <w:p w14:paraId="531F63CE" w14:textId="77777777" w:rsidR="00B04B1D" w:rsidRPr="00B04B1D" w:rsidRDefault="004F261E" w:rsidP="00B04B1D">
      <w:pPr>
        <w:pStyle w:val="TM2"/>
        <w:tabs>
          <w:tab w:val="left" w:pos="660"/>
          <w:tab w:val="right" w:leader="dot" w:pos="9060"/>
        </w:tabs>
        <w:spacing w:after="0" w:line="240" w:lineRule="auto"/>
        <w:rPr>
          <w:rFonts w:ascii="Times New Roman" w:eastAsiaTheme="minorEastAsia" w:hAnsi="Times New Roman"/>
          <w:noProof/>
          <w:sz w:val="24"/>
          <w:szCs w:val="24"/>
          <w:lang w:eastAsia="fr-FR"/>
        </w:rPr>
      </w:pPr>
      <w:hyperlink w:anchor="_Toc499213909" w:history="1">
        <w:r w:rsidR="00B04B1D" w:rsidRPr="00B04B1D">
          <w:rPr>
            <w:rStyle w:val="Lienhypertexte"/>
            <w:rFonts w:ascii="Times New Roman" w:hAnsi="Times New Roman"/>
            <w:noProof/>
            <w:sz w:val="24"/>
            <w:szCs w:val="24"/>
          </w:rPr>
          <w:t>2.</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Bibliographie</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_Toc499213909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88</w:t>
        </w:r>
        <w:r w:rsidR="00B04B1D" w:rsidRPr="00B04B1D">
          <w:rPr>
            <w:rFonts w:ascii="Times New Roman" w:hAnsi="Times New Roman"/>
            <w:noProof/>
            <w:webHidden/>
            <w:sz w:val="24"/>
            <w:szCs w:val="24"/>
          </w:rPr>
          <w:fldChar w:fldCharType="end"/>
        </w:r>
      </w:hyperlink>
    </w:p>
    <w:p w14:paraId="7644C3C1" w14:textId="77777777" w:rsidR="00B04B1D" w:rsidRPr="00B04B1D" w:rsidRDefault="004F261E" w:rsidP="00B04B1D">
      <w:pPr>
        <w:pStyle w:val="TM2"/>
        <w:tabs>
          <w:tab w:val="left" w:pos="660"/>
          <w:tab w:val="right" w:leader="dot" w:pos="9060"/>
        </w:tabs>
        <w:spacing w:after="0" w:line="240" w:lineRule="auto"/>
        <w:rPr>
          <w:rFonts w:ascii="Times New Roman" w:eastAsiaTheme="minorEastAsia" w:hAnsi="Times New Roman"/>
          <w:noProof/>
          <w:sz w:val="24"/>
          <w:szCs w:val="24"/>
          <w:lang w:eastAsia="fr-FR"/>
        </w:rPr>
      </w:pPr>
      <w:hyperlink w:anchor="_Toc499213910" w:history="1">
        <w:r w:rsidR="00B04B1D" w:rsidRPr="00B04B1D">
          <w:rPr>
            <w:rStyle w:val="Lienhypertexte"/>
            <w:rFonts w:ascii="Times New Roman" w:hAnsi="Times New Roman"/>
            <w:noProof/>
            <w:sz w:val="24"/>
            <w:szCs w:val="24"/>
          </w:rPr>
          <w:t>4.</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Liste des personnes rencontré</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_Toc499213910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90</w:t>
        </w:r>
        <w:r w:rsidR="00B04B1D" w:rsidRPr="00B04B1D">
          <w:rPr>
            <w:rFonts w:ascii="Times New Roman" w:hAnsi="Times New Roman"/>
            <w:noProof/>
            <w:webHidden/>
            <w:sz w:val="24"/>
            <w:szCs w:val="24"/>
          </w:rPr>
          <w:fldChar w:fldCharType="end"/>
        </w:r>
      </w:hyperlink>
    </w:p>
    <w:p w14:paraId="4716AEDC" w14:textId="77777777" w:rsidR="00B04B1D" w:rsidRPr="00B04B1D" w:rsidRDefault="004F261E" w:rsidP="00B04B1D">
      <w:pPr>
        <w:pStyle w:val="TM2"/>
        <w:tabs>
          <w:tab w:val="left" w:pos="660"/>
          <w:tab w:val="right" w:leader="dot" w:pos="9060"/>
        </w:tabs>
        <w:spacing w:after="0" w:line="240" w:lineRule="auto"/>
        <w:rPr>
          <w:rFonts w:ascii="Times New Roman" w:eastAsiaTheme="minorEastAsia" w:hAnsi="Times New Roman"/>
          <w:noProof/>
          <w:sz w:val="24"/>
          <w:szCs w:val="24"/>
          <w:lang w:eastAsia="fr-FR"/>
        </w:rPr>
      </w:pPr>
      <w:hyperlink w:anchor="_Toc499213911" w:history="1">
        <w:r w:rsidR="00B04B1D" w:rsidRPr="00B04B1D">
          <w:rPr>
            <w:rStyle w:val="Lienhypertexte"/>
            <w:rFonts w:ascii="Times New Roman" w:hAnsi="Times New Roman"/>
            <w:noProof/>
            <w:sz w:val="24"/>
            <w:szCs w:val="24"/>
          </w:rPr>
          <w:t>5.</w:t>
        </w:r>
        <w:r w:rsidR="00B04B1D" w:rsidRPr="00B04B1D">
          <w:rPr>
            <w:rFonts w:ascii="Times New Roman" w:eastAsiaTheme="minorEastAsia" w:hAnsi="Times New Roman"/>
            <w:noProof/>
            <w:sz w:val="24"/>
            <w:szCs w:val="24"/>
            <w:lang w:eastAsia="fr-FR"/>
          </w:rPr>
          <w:tab/>
        </w:r>
        <w:r w:rsidR="00B04B1D" w:rsidRPr="00B04B1D">
          <w:rPr>
            <w:rStyle w:val="Lienhypertexte"/>
            <w:rFonts w:ascii="Times New Roman" w:hAnsi="Times New Roman"/>
            <w:noProof/>
            <w:sz w:val="24"/>
            <w:szCs w:val="24"/>
          </w:rPr>
          <w:t>Termes de référence de la mission</w:t>
        </w:r>
        <w:r w:rsidR="00B04B1D" w:rsidRPr="00B04B1D">
          <w:rPr>
            <w:rFonts w:ascii="Times New Roman" w:hAnsi="Times New Roman"/>
            <w:noProof/>
            <w:webHidden/>
            <w:sz w:val="24"/>
            <w:szCs w:val="24"/>
          </w:rPr>
          <w:tab/>
        </w:r>
        <w:r w:rsidR="00B04B1D" w:rsidRPr="00B04B1D">
          <w:rPr>
            <w:rFonts w:ascii="Times New Roman" w:hAnsi="Times New Roman"/>
            <w:noProof/>
            <w:webHidden/>
            <w:sz w:val="24"/>
            <w:szCs w:val="24"/>
          </w:rPr>
          <w:fldChar w:fldCharType="begin"/>
        </w:r>
        <w:r w:rsidR="00B04B1D" w:rsidRPr="00B04B1D">
          <w:rPr>
            <w:rFonts w:ascii="Times New Roman" w:hAnsi="Times New Roman"/>
            <w:noProof/>
            <w:webHidden/>
            <w:sz w:val="24"/>
            <w:szCs w:val="24"/>
          </w:rPr>
          <w:instrText xml:space="preserve"> PAGEREF _Toc499213911 \h </w:instrText>
        </w:r>
        <w:r w:rsidR="00B04B1D" w:rsidRPr="00B04B1D">
          <w:rPr>
            <w:rFonts w:ascii="Times New Roman" w:hAnsi="Times New Roman"/>
            <w:noProof/>
            <w:webHidden/>
            <w:sz w:val="24"/>
            <w:szCs w:val="24"/>
          </w:rPr>
        </w:r>
        <w:r w:rsidR="00B04B1D" w:rsidRPr="00B04B1D">
          <w:rPr>
            <w:rFonts w:ascii="Times New Roman" w:hAnsi="Times New Roman"/>
            <w:noProof/>
            <w:webHidden/>
            <w:sz w:val="24"/>
            <w:szCs w:val="24"/>
          </w:rPr>
          <w:fldChar w:fldCharType="separate"/>
        </w:r>
        <w:r w:rsidR="00B04B1D" w:rsidRPr="00B04B1D">
          <w:rPr>
            <w:rFonts w:ascii="Times New Roman" w:hAnsi="Times New Roman"/>
            <w:noProof/>
            <w:webHidden/>
            <w:sz w:val="24"/>
            <w:szCs w:val="24"/>
          </w:rPr>
          <w:t>93</w:t>
        </w:r>
        <w:r w:rsidR="00B04B1D" w:rsidRPr="00B04B1D">
          <w:rPr>
            <w:rFonts w:ascii="Times New Roman" w:hAnsi="Times New Roman"/>
            <w:noProof/>
            <w:webHidden/>
            <w:sz w:val="24"/>
            <w:szCs w:val="24"/>
          </w:rPr>
          <w:fldChar w:fldCharType="end"/>
        </w:r>
      </w:hyperlink>
    </w:p>
    <w:p w14:paraId="4C3F0F8E" w14:textId="77777777" w:rsidR="00BA3DC6" w:rsidRPr="006B309F" w:rsidRDefault="008B499C" w:rsidP="00B04B1D">
      <w:pPr>
        <w:spacing w:after="0" w:line="240" w:lineRule="auto"/>
        <w:rPr>
          <w:rFonts w:ascii="Times New Roman" w:hAnsi="Times New Roman"/>
          <w:sz w:val="20"/>
          <w:szCs w:val="20"/>
        </w:rPr>
      </w:pPr>
      <w:r w:rsidRPr="00B04B1D">
        <w:rPr>
          <w:rFonts w:ascii="Times New Roman" w:hAnsi="Times New Roman"/>
          <w:sz w:val="24"/>
          <w:szCs w:val="24"/>
        </w:rPr>
        <w:fldChar w:fldCharType="end"/>
      </w:r>
    </w:p>
    <w:p w14:paraId="2A448810" w14:textId="77777777" w:rsidR="00205F6B" w:rsidRPr="006B309F" w:rsidRDefault="00BA3DC6" w:rsidP="00205F6B">
      <w:pPr>
        <w:pStyle w:val="Titre1"/>
        <w:spacing w:before="0" w:line="240" w:lineRule="auto"/>
        <w:rPr>
          <w:color w:val="auto"/>
        </w:rPr>
      </w:pPr>
      <w:r w:rsidRPr="006B309F">
        <w:br w:type="page"/>
      </w:r>
      <w:bookmarkStart w:id="2" w:name="_Toc499211569"/>
      <w:bookmarkStart w:id="3" w:name="_Toc499213842"/>
      <w:r w:rsidR="0078705F">
        <w:rPr>
          <w:color w:val="auto"/>
        </w:rPr>
        <w:lastRenderedPageBreak/>
        <w:t>Acronymes</w:t>
      </w:r>
      <w:bookmarkEnd w:id="2"/>
      <w:bookmarkEnd w:id="3"/>
    </w:p>
    <w:p w14:paraId="2224A09C" w14:textId="77777777" w:rsidR="004C5D4B" w:rsidRDefault="004C5D4B" w:rsidP="0022759B">
      <w:pPr>
        <w:spacing w:after="0" w:line="240" w:lineRule="auto"/>
        <w:rPr>
          <w:sz w:val="24"/>
          <w:szCs w:val="24"/>
          <w:lang w:val="en-US"/>
        </w:rPr>
      </w:pPr>
    </w:p>
    <w:tbl>
      <w:tblPr>
        <w:tblStyle w:val="Grilledutablea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222"/>
      </w:tblGrid>
      <w:tr w:rsidR="00971306" w:rsidRPr="00454255" w14:paraId="707E86E0" w14:textId="77777777" w:rsidTr="00B871E4">
        <w:tc>
          <w:tcPr>
            <w:tcW w:w="1384" w:type="dxa"/>
          </w:tcPr>
          <w:p w14:paraId="72324F7E" w14:textId="77777777" w:rsidR="00971306" w:rsidRPr="00454255" w:rsidRDefault="00971306" w:rsidP="00971306">
            <w:pPr>
              <w:spacing w:after="0" w:line="240" w:lineRule="auto"/>
              <w:rPr>
                <w:rFonts w:ascii="Times New Roman" w:hAnsi="Times New Roman"/>
                <w:b w:val="0"/>
              </w:rPr>
            </w:pPr>
            <w:r w:rsidRPr="00454255">
              <w:rPr>
                <w:rFonts w:ascii="Times New Roman" w:hAnsi="Times New Roman"/>
                <w:b w:val="0"/>
              </w:rPr>
              <w:t>AEDD</w:t>
            </w:r>
          </w:p>
        </w:tc>
        <w:tc>
          <w:tcPr>
            <w:tcW w:w="8222" w:type="dxa"/>
          </w:tcPr>
          <w:p w14:paraId="0F209847" w14:textId="77777777" w:rsidR="00971306" w:rsidRPr="00454255" w:rsidRDefault="00B871E4" w:rsidP="00971306">
            <w:pPr>
              <w:spacing w:after="0" w:line="240" w:lineRule="auto"/>
              <w:rPr>
                <w:rFonts w:ascii="Times New Roman" w:hAnsi="Times New Roman"/>
                <w:b w:val="0"/>
              </w:rPr>
            </w:pPr>
            <w:r w:rsidRPr="00454255">
              <w:rPr>
                <w:rFonts w:ascii="Times New Roman" w:hAnsi="Times New Roman"/>
                <w:b w:val="0"/>
              </w:rPr>
              <w:t xml:space="preserve">: </w:t>
            </w:r>
            <w:r w:rsidR="00971306" w:rsidRPr="00454255">
              <w:rPr>
                <w:rFonts w:ascii="Times New Roman" w:hAnsi="Times New Roman"/>
                <w:b w:val="0"/>
              </w:rPr>
              <w:t>Agence pour l’Environnement et le Développement Durable</w:t>
            </w:r>
          </w:p>
        </w:tc>
      </w:tr>
      <w:tr w:rsidR="00971306" w:rsidRPr="00454255" w14:paraId="491598FB" w14:textId="77777777" w:rsidTr="00B871E4">
        <w:tc>
          <w:tcPr>
            <w:tcW w:w="1384" w:type="dxa"/>
          </w:tcPr>
          <w:p w14:paraId="41092A39" w14:textId="77777777" w:rsidR="00971306" w:rsidRPr="00454255" w:rsidRDefault="00971306" w:rsidP="00971306">
            <w:pPr>
              <w:spacing w:after="0" w:line="240" w:lineRule="auto"/>
              <w:rPr>
                <w:rFonts w:ascii="Times New Roman" w:hAnsi="Times New Roman"/>
                <w:b w:val="0"/>
              </w:rPr>
            </w:pPr>
            <w:r w:rsidRPr="00454255">
              <w:rPr>
                <w:rFonts w:ascii="Times New Roman" w:hAnsi="Times New Roman"/>
                <w:b w:val="0"/>
              </w:rPr>
              <w:t>AGR</w:t>
            </w:r>
          </w:p>
        </w:tc>
        <w:tc>
          <w:tcPr>
            <w:tcW w:w="8222" w:type="dxa"/>
          </w:tcPr>
          <w:p w14:paraId="17A5A773" w14:textId="77777777" w:rsidR="00971306" w:rsidRPr="00454255" w:rsidRDefault="00B871E4" w:rsidP="00971306">
            <w:pPr>
              <w:spacing w:after="0" w:line="240" w:lineRule="auto"/>
              <w:rPr>
                <w:rFonts w:ascii="Times New Roman" w:hAnsi="Times New Roman"/>
                <w:b w:val="0"/>
              </w:rPr>
            </w:pPr>
            <w:r w:rsidRPr="00454255">
              <w:rPr>
                <w:rFonts w:ascii="Times New Roman" w:hAnsi="Times New Roman"/>
                <w:b w:val="0"/>
              </w:rPr>
              <w:t xml:space="preserve">: </w:t>
            </w:r>
            <w:r w:rsidR="00971306" w:rsidRPr="00454255">
              <w:rPr>
                <w:rFonts w:ascii="Times New Roman" w:hAnsi="Times New Roman"/>
                <w:b w:val="0"/>
              </w:rPr>
              <w:t>Activité Génératrice de Revenus</w:t>
            </w:r>
          </w:p>
        </w:tc>
      </w:tr>
      <w:tr w:rsidR="00971306" w:rsidRPr="00454255" w14:paraId="1B9DB36D" w14:textId="77777777" w:rsidTr="00B871E4">
        <w:tc>
          <w:tcPr>
            <w:tcW w:w="1384" w:type="dxa"/>
          </w:tcPr>
          <w:p w14:paraId="5C9AA37B" w14:textId="77777777" w:rsidR="00971306" w:rsidRPr="00454255" w:rsidRDefault="00971306" w:rsidP="00971306">
            <w:pPr>
              <w:spacing w:after="0" w:line="240" w:lineRule="auto"/>
              <w:rPr>
                <w:rFonts w:ascii="Times New Roman" w:hAnsi="Times New Roman"/>
                <w:b w:val="0"/>
              </w:rPr>
            </w:pPr>
            <w:r w:rsidRPr="00454255">
              <w:rPr>
                <w:rFonts w:ascii="Times New Roman" w:hAnsi="Times New Roman"/>
                <w:b w:val="0"/>
              </w:rPr>
              <w:t>APRM</w:t>
            </w:r>
          </w:p>
        </w:tc>
        <w:tc>
          <w:tcPr>
            <w:tcW w:w="8222" w:type="dxa"/>
          </w:tcPr>
          <w:p w14:paraId="337E9EC5" w14:textId="77777777" w:rsidR="00971306" w:rsidRPr="00454255" w:rsidRDefault="00B871E4" w:rsidP="00971306">
            <w:pPr>
              <w:spacing w:after="0" w:line="240" w:lineRule="auto"/>
              <w:rPr>
                <w:rFonts w:ascii="Times New Roman" w:hAnsi="Times New Roman"/>
                <w:b w:val="0"/>
              </w:rPr>
            </w:pPr>
            <w:r w:rsidRPr="00454255">
              <w:rPr>
                <w:rFonts w:ascii="Times New Roman" w:hAnsi="Times New Roman"/>
                <w:b w:val="0"/>
              </w:rPr>
              <w:t xml:space="preserve">: </w:t>
            </w:r>
            <w:r w:rsidR="00971306" w:rsidRPr="00454255">
              <w:rPr>
                <w:rFonts w:ascii="Times New Roman" w:hAnsi="Times New Roman"/>
                <w:b w:val="0"/>
              </w:rPr>
              <w:t>Accord de Paix pour la Réconciliation</w:t>
            </w:r>
          </w:p>
        </w:tc>
      </w:tr>
      <w:tr w:rsidR="00971306" w:rsidRPr="00454255" w14:paraId="1FA825F8" w14:textId="77777777" w:rsidTr="00B871E4">
        <w:tc>
          <w:tcPr>
            <w:tcW w:w="1384" w:type="dxa"/>
          </w:tcPr>
          <w:p w14:paraId="0BF9177F" w14:textId="77777777" w:rsidR="00971306" w:rsidRPr="00454255" w:rsidRDefault="00971306" w:rsidP="00971306">
            <w:pPr>
              <w:spacing w:after="0" w:line="240" w:lineRule="auto"/>
              <w:rPr>
                <w:rFonts w:ascii="Times New Roman" w:hAnsi="Times New Roman"/>
                <w:b w:val="0"/>
              </w:rPr>
            </w:pPr>
            <w:r w:rsidRPr="00454255">
              <w:rPr>
                <w:rFonts w:ascii="Times New Roman" w:eastAsia="Times New Roman" w:hAnsi="Times New Roman"/>
                <w:b w:val="0"/>
                <w:bCs/>
              </w:rPr>
              <w:t>CNDH</w:t>
            </w:r>
          </w:p>
        </w:tc>
        <w:tc>
          <w:tcPr>
            <w:tcW w:w="8222" w:type="dxa"/>
          </w:tcPr>
          <w:p w14:paraId="6E070DC5" w14:textId="77777777" w:rsidR="00971306" w:rsidRPr="00454255" w:rsidRDefault="00B871E4" w:rsidP="00971306">
            <w:pPr>
              <w:spacing w:after="0" w:line="240" w:lineRule="auto"/>
              <w:rPr>
                <w:rFonts w:ascii="Times New Roman" w:hAnsi="Times New Roman"/>
                <w:b w:val="0"/>
              </w:rPr>
            </w:pPr>
            <w:r w:rsidRPr="00454255">
              <w:rPr>
                <w:rFonts w:ascii="Times New Roman" w:eastAsia="Times New Roman" w:hAnsi="Times New Roman"/>
                <w:b w:val="0"/>
                <w:bCs/>
              </w:rPr>
              <w:t xml:space="preserve">: </w:t>
            </w:r>
            <w:r w:rsidR="00971306" w:rsidRPr="00454255">
              <w:rPr>
                <w:rFonts w:ascii="Times New Roman" w:eastAsia="Times New Roman" w:hAnsi="Times New Roman"/>
                <w:b w:val="0"/>
                <w:bCs/>
              </w:rPr>
              <w:t>Commission Nationale des Droits de l'Homme</w:t>
            </w:r>
          </w:p>
        </w:tc>
      </w:tr>
      <w:tr w:rsidR="00971306" w:rsidRPr="00454255" w14:paraId="1A33AA56" w14:textId="77777777" w:rsidTr="00B871E4">
        <w:tc>
          <w:tcPr>
            <w:tcW w:w="1384" w:type="dxa"/>
          </w:tcPr>
          <w:p w14:paraId="10C5680C" w14:textId="77777777" w:rsidR="00971306" w:rsidRPr="00454255" w:rsidRDefault="00971306" w:rsidP="00971306">
            <w:pPr>
              <w:spacing w:after="0" w:line="240" w:lineRule="auto"/>
              <w:rPr>
                <w:rFonts w:ascii="Times New Roman" w:hAnsi="Times New Roman"/>
                <w:b w:val="0"/>
              </w:rPr>
            </w:pPr>
            <w:r w:rsidRPr="00454255">
              <w:rPr>
                <w:rFonts w:ascii="Times New Roman" w:hAnsi="Times New Roman"/>
                <w:b w:val="0"/>
              </w:rPr>
              <w:t>CPD</w:t>
            </w:r>
          </w:p>
        </w:tc>
        <w:tc>
          <w:tcPr>
            <w:tcW w:w="8222" w:type="dxa"/>
          </w:tcPr>
          <w:p w14:paraId="00355CBF" w14:textId="77777777" w:rsidR="00971306" w:rsidRPr="00454255" w:rsidRDefault="00B871E4" w:rsidP="00971306">
            <w:pPr>
              <w:spacing w:after="0" w:line="240" w:lineRule="auto"/>
              <w:rPr>
                <w:rFonts w:ascii="Times New Roman" w:hAnsi="Times New Roman"/>
                <w:b w:val="0"/>
              </w:rPr>
            </w:pPr>
            <w:r w:rsidRPr="00454255">
              <w:rPr>
                <w:rFonts w:ascii="Times New Roman" w:hAnsi="Times New Roman"/>
                <w:b w:val="0"/>
              </w:rPr>
              <w:t xml:space="preserve">: </w:t>
            </w:r>
            <w:r w:rsidR="00971306" w:rsidRPr="00454255">
              <w:rPr>
                <w:rFonts w:ascii="Times New Roman" w:hAnsi="Times New Roman"/>
                <w:b w:val="0"/>
              </w:rPr>
              <w:t>Document de Programme Pays</w:t>
            </w:r>
          </w:p>
        </w:tc>
      </w:tr>
      <w:tr w:rsidR="00971306" w:rsidRPr="00454255" w14:paraId="6CECF594" w14:textId="77777777" w:rsidTr="00B871E4">
        <w:tc>
          <w:tcPr>
            <w:tcW w:w="1384" w:type="dxa"/>
          </w:tcPr>
          <w:p w14:paraId="4B1A5965" w14:textId="77777777" w:rsidR="00971306" w:rsidRPr="00454255" w:rsidRDefault="00971306" w:rsidP="00971306">
            <w:pPr>
              <w:spacing w:after="0" w:line="240" w:lineRule="auto"/>
              <w:rPr>
                <w:rFonts w:ascii="Times New Roman" w:hAnsi="Times New Roman"/>
                <w:b w:val="0"/>
              </w:rPr>
            </w:pPr>
            <w:r w:rsidRPr="00454255">
              <w:rPr>
                <w:rFonts w:ascii="Times New Roman" w:hAnsi="Times New Roman"/>
                <w:b w:val="0"/>
              </w:rPr>
              <w:t>CREDD</w:t>
            </w:r>
          </w:p>
        </w:tc>
        <w:tc>
          <w:tcPr>
            <w:tcW w:w="8222" w:type="dxa"/>
          </w:tcPr>
          <w:p w14:paraId="4CE449B8" w14:textId="77777777" w:rsidR="00971306" w:rsidRPr="00454255" w:rsidRDefault="00B871E4" w:rsidP="00971306">
            <w:pPr>
              <w:spacing w:after="0" w:line="240" w:lineRule="auto"/>
              <w:rPr>
                <w:rFonts w:ascii="Times New Roman" w:hAnsi="Times New Roman"/>
                <w:b w:val="0"/>
              </w:rPr>
            </w:pPr>
            <w:r w:rsidRPr="00454255">
              <w:rPr>
                <w:rFonts w:ascii="Times New Roman" w:hAnsi="Times New Roman"/>
                <w:b w:val="0"/>
              </w:rPr>
              <w:t xml:space="preserve">: </w:t>
            </w:r>
            <w:r w:rsidR="00971306" w:rsidRPr="00454255">
              <w:rPr>
                <w:rFonts w:ascii="Times New Roman" w:hAnsi="Times New Roman"/>
                <w:b w:val="0"/>
              </w:rPr>
              <w:t>Cadre Stratégique pour la Relance Economique et le Développement Durable du Mali</w:t>
            </w:r>
          </w:p>
        </w:tc>
      </w:tr>
      <w:tr w:rsidR="00971306" w:rsidRPr="00454255" w14:paraId="2661B64E" w14:textId="77777777" w:rsidTr="00B871E4">
        <w:tc>
          <w:tcPr>
            <w:tcW w:w="1384" w:type="dxa"/>
          </w:tcPr>
          <w:p w14:paraId="59961185" w14:textId="77777777" w:rsidR="00971306" w:rsidRPr="00454255" w:rsidRDefault="00971306" w:rsidP="00971306">
            <w:pPr>
              <w:spacing w:after="0" w:line="240" w:lineRule="auto"/>
              <w:rPr>
                <w:rFonts w:ascii="Times New Roman" w:hAnsi="Times New Roman"/>
                <w:b w:val="0"/>
              </w:rPr>
            </w:pPr>
            <w:r w:rsidRPr="00454255">
              <w:rPr>
                <w:rFonts w:ascii="Times New Roman" w:hAnsi="Times New Roman"/>
                <w:b w:val="0"/>
              </w:rPr>
              <w:t>CSCRP</w:t>
            </w:r>
          </w:p>
        </w:tc>
        <w:tc>
          <w:tcPr>
            <w:tcW w:w="8222" w:type="dxa"/>
          </w:tcPr>
          <w:p w14:paraId="6D2B04BD" w14:textId="77777777" w:rsidR="00971306" w:rsidRPr="00454255" w:rsidRDefault="00B871E4" w:rsidP="00971306">
            <w:pPr>
              <w:spacing w:after="0" w:line="240" w:lineRule="auto"/>
              <w:rPr>
                <w:rFonts w:ascii="Times New Roman" w:hAnsi="Times New Roman"/>
                <w:b w:val="0"/>
              </w:rPr>
            </w:pPr>
            <w:r w:rsidRPr="00454255">
              <w:rPr>
                <w:rFonts w:ascii="Times New Roman" w:hAnsi="Times New Roman"/>
                <w:b w:val="0"/>
              </w:rPr>
              <w:t xml:space="preserve">: </w:t>
            </w:r>
            <w:r w:rsidR="00971306" w:rsidRPr="00454255">
              <w:rPr>
                <w:rFonts w:ascii="Times New Roman" w:hAnsi="Times New Roman"/>
                <w:b w:val="0"/>
              </w:rPr>
              <w:t>Cadre Stratégique pour la Croissance et la Réduction de la Pauvreté</w:t>
            </w:r>
          </w:p>
        </w:tc>
      </w:tr>
      <w:tr w:rsidR="00971306" w:rsidRPr="00454255" w14:paraId="41455CE3" w14:textId="77777777" w:rsidTr="00B871E4">
        <w:tc>
          <w:tcPr>
            <w:tcW w:w="1384" w:type="dxa"/>
          </w:tcPr>
          <w:p w14:paraId="0D9B9AB1" w14:textId="77777777" w:rsidR="00971306" w:rsidRPr="00454255" w:rsidRDefault="00971306" w:rsidP="00971306">
            <w:pPr>
              <w:spacing w:after="0" w:line="240" w:lineRule="auto"/>
              <w:rPr>
                <w:rFonts w:ascii="Times New Roman" w:hAnsi="Times New Roman"/>
                <w:b w:val="0"/>
              </w:rPr>
            </w:pPr>
            <w:r w:rsidRPr="00454255">
              <w:rPr>
                <w:rFonts w:ascii="Times New Roman" w:hAnsi="Times New Roman"/>
                <w:b w:val="0"/>
              </w:rPr>
              <w:t>CVJR</w:t>
            </w:r>
          </w:p>
        </w:tc>
        <w:tc>
          <w:tcPr>
            <w:tcW w:w="8222" w:type="dxa"/>
          </w:tcPr>
          <w:p w14:paraId="258A2F4D" w14:textId="77777777" w:rsidR="00971306" w:rsidRPr="00454255" w:rsidRDefault="00B871E4" w:rsidP="00971306">
            <w:pPr>
              <w:spacing w:after="0" w:line="240" w:lineRule="auto"/>
              <w:rPr>
                <w:rFonts w:ascii="Times New Roman" w:hAnsi="Times New Roman"/>
                <w:b w:val="0"/>
              </w:rPr>
            </w:pPr>
            <w:r w:rsidRPr="00454255">
              <w:rPr>
                <w:rFonts w:ascii="Times New Roman" w:hAnsi="Times New Roman"/>
                <w:b w:val="0"/>
              </w:rPr>
              <w:t xml:space="preserve">: </w:t>
            </w:r>
            <w:r w:rsidR="00971306" w:rsidRPr="00454255">
              <w:rPr>
                <w:rFonts w:ascii="Times New Roman" w:hAnsi="Times New Roman"/>
                <w:b w:val="0"/>
              </w:rPr>
              <w:t>Commission Vérité Justice et Réconciliation</w:t>
            </w:r>
          </w:p>
        </w:tc>
      </w:tr>
      <w:tr w:rsidR="00971306" w:rsidRPr="00454255" w14:paraId="19A6A782" w14:textId="77777777" w:rsidTr="00B871E4">
        <w:tc>
          <w:tcPr>
            <w:tcW w:w="1384" w:type="dxa"/>
          </w:tcPr>
          <w:p w14:paraId="1D0947FC" w14:textId="77777777" w:rsidR="00971306" w:rsidRPr="00454255" w:rsidRDefault="00971306" w:rsidP="00971306">
            <w:pPr>
              <w:spacing w:after="0" w:line="240" w:lineRule="auto"/>
              <w:rPr>
                <w:rFonts w:ascii="Times New Roman" w:hAnsi="Times New Roman"/>
                <w:b w:val="0"/>
              </w:rPr>
            </w:pPr>
            <w:r w:rsidRPr="00454255">
              <w:rPr>
                <w:rFonts w:ascii="Times New Roman" w:eastAsia="Times New Roman" w:hAnsi="Times New Roman"/>
                <w:b w:val="0"/>
                <w:bCs/>
              </w:rPr>
              <w:t>DCPND</w:t>
            </w:r>
          </w:p>
        </w:tc>
        <w:tc>
          <w:tcPr>
            <w:tcW w:w="8222" w:type="dxa"/>
          </w:tcPr>
          <w:p w14:paraId="081B4805" w14:textId="77777777" w:rsidR="00971306" w:rsidRPr="00454255" w:rsidRDefault="00B871E4" w:rsidP="00971306">
            <w:pPr>
              <w:spacing w:after="0" w:line="240" w:lineRule="auto"/>
              <w:rPr>
                <w:rFonts w:ascii="Times New Roman" w:hAnsi="Times New Roman"/>
                <w:b w:val="0"/>
              </w:rPr>
            </w:pPr>
            <w:r w:rsidRPr="00454255">
              <w:rPr>
                <w:rFonts w:ascii="Times New Roman" w:eastAsia="Times New Roman" w:hAnsi="Times New Roman"/>
                <w:b w:val="0"/>
                <w:bCs/>
              </w:rPr>
              <w:t xml:space="preserve">: </w:t>
            </w:r>
            <w:r w:rsidR="00971306" w:rsidRPr="00454255">
              <w:rPr>
                <w:rFonts w:ascii="Times New Roman" w:eastAsia="Times New Roman" w:hAnsi="Times New Roman"/>
                <w:b w:val="0"/>
                <w:bCs/>
              </w:rPr>
              <w:t>Document Cadre de Politique Nationale de Décentralisation</w:t>
            </w:r>
          </w:p>
        </w:tc>
      </w:tr>
      <w:tr w:rsidR="00971306" w:rsidRPr="00454255" w14:paraId="1C28ED1E" w14:textId="77777777" w:rsidTr="00B871E4">
        <w:tc>
          <w:tcPr>
            <w:tcW w:w="1384" w:type="dxa"/>
          </w:tcPr>
          <w:p w14:paraId="2974E8D7" w14:textId="77777777" w:rsidR="00971306" w:rsidRPr="00454255" w:rsidRDefault="00B871E4" w:rsidP="00971306">
            <w:pPr>
              <w:spacing w:after="0" w:line="240" w:lineRule="auto"/>
              <w:rPr>
                <w:rFonts w:ascii="Times New Roman" w:hAnsi="Times New Roman"/>
                <w:b w:val="0"/>
              </w:rPr>
            </w:pPr>
            <w:r w:rsidRPr="00454255">
              <w:rPr>
                <w:rFonts w:ascii="Times New Roman" w:hAnsi="Times New Roman"/>
                <w:b w:val="0"/>
                <w:bCs/>
              </w:rPr>
              <w:t>"</w:t>
            </w:r>
            <w:r w:rsidR="00971306" w:rsidRPr="00454255">
              <w:rPr>
                <w:rFonts w:ascii="Times New Roman" w:hAnsi="Times New Roman"/>
                <w:b w:val="0"/>
                <w:bCs/>
              </w:rPr>
              <w:t>E</w:t>
            </w:r>
            <w:r w:rsidRPr="00454255">
              <w:rPr>
                <w:rFonts w:ascii="Times New Roman" w:hAnsi="Times New Roman"/>
                <w:b w:val="0"/>
                <w:bCs/>
              </w:rPr>
              <w:t>"</w:t>
            </w:r>
          </w:p>
        </w:tc>
        <w:tc>
          <w:tcPr>
            <w:tcW w:w="8222" w:type="dxa"/>
          </w:tcPr>
          <w:p w14:paraId="051545F1" w14:textId="77777777" w:rsidR="00971306" w:rsidRPr="00454255" w:rsidRDefault="00B871E4" w:rsidP="00971306">
            <w:pPr>
              <w:spacing w:after="0" w:line="240" w:lineRule="auto"/>
              <w:rPr>
                <w:rFonts w:ascii="Times New Roman" w:hAnsi="Times New Roman"/>
                <w:b w:val="0"/>
              </w:rPr>
            </w:pPr>
            <w:r w:rsidRPr="00454255">
              <w:rPr>
                <w:rFonts w:ascii="Times New Roman" w:hAnsi="Times New Roman"/>
                <w:b w:val="0"/>
              </w:rPr>
              <w:t xml:space="preserve">: </w:t>
            </w:r>
            <w:r w:rsidR="00971306" w:rsidRPr="00454255">
              <w:rPr>
                <w:rFonts w:ascii="Times New Roman" w:hAnsi="Times New Roman"/>
                <w:b w:val="0"/>
              </w:rPr>
              <w:t>Elevé</w:t>
            </w:r>
          </w:p>
        </w:tc>
      </w:tr>
      <w:tr w:rsidR="00971306" w:rsidRPr="00454255" w14:paraId="5B727BBF" w14:textId="77777777" w:rsidTr="00B871E4">
        <w:tc>
          <w:tcPr>
            <w:tcW w:w="1384" w:type="dxa"/>
          </w:tcPr>
          <w:p w14:paraId="691D6513" w14:textId="77777777" w:rsidR="00971306" w:rsidRPr="00454255" w:rsidRDefault="00971306" w:rsidP="00971306">
            <w:pPr>
              <w:spacing w:after="0" w:line="240" w:lineRule="auto"/>
              <w:rPr>
                <w:rFonts w:ascii="Times New Roman" w:hAnsi="Times New Roman"/>
                <w:b w:val="0"/>
              </w:rPr>
            </w:pPr>
            <w:r w:rsidRPr="00454255">
              <w:rPr>
                <w:rFonts w:ascii="Times New Roman" w:hAnsi="Times New Roman"/>
                <w:b w:val="0"/>
              </w:rPr>
              <w:t>ENSAN</w:t>
            </w:r>
          </w:p>
        </w:tc>
        <w:tc>
          <w:tcPr>
            <w:tcW w:w="8222" w:type="dxa"/>
          </w:tcPr>
          <w:p w14:paraId="27BB6731" w14:textId="77777777" w:rsidR="00971306" w:rsidRPr="00454255" w:rsidRDefault="00B871E4" w:rsidP="00971306">
            <w:pPr>
              <w:spacing w:after="0" w:line="240" w:lineRule="auto"/>
              <w:rPr>
                <w:rFonts w:ascii="Times New Roman" w:hAnsi="Times New Roman"/>
                <w:b w:val="0"/>
              </w:rPr>
            </w:pPr>
            <w:r w:rsidRPr="00454255">
              <w:rPr>
                <w:rFonts w:ascii="Times New Roman" w:hAnsi="Times New Roman"/>
                <w:b w:val="0"/>
              </w:rPr>
              <w:t xml:space="preserve">: </w:t>
            </w:r>
            <w:r w:rsidR="00971306" w:rsidRPr="00454255">
              <w:rPr>
                <w:rFonts w:ascii="Times New Roman" w:hAnsi="Times New Roman"/>
                <w:b w:val="0"/>
              </w:rPr>
              <w:t>Enquête Nationale sur la Sécurité Alimentaire et Nutritionnelle</w:t>
            </w:r>
          </w:p>
        </w:tc>
      </w:tr>
      <w:tr w:rsidR="00971306" w:rsidRPr="00454255" w14:paraId="4D18E1CA" w14:textId="77777777" w:rsidTr="00B871E4">
        <w:tc>
          <w:tcPr>
            <w:tcW w:w="1384" w:type="dxa"/>
          </w:tcPr>
          <w:p w14:paraId="52022A06" w14:textId="77777777" w:rsidR="00971306" w:rsidRPr="00454255" w:rsidRDefault="00971306" w:rsidP="00971306">
            <w:pPr>
              <w:spacing w:after="0" w:line="240" w:lineRule="auto"/>
              <w:rPr>
                <w:rFonts w:ascii="Times New Roman" w:hAnsi="Times New Roman"/>
                <w:b w:val="0"/>
              </w:rPr>
            </w:pPr>
            <w:r w:rsidRPr="00454255">
              <w:rPr>
                <w:rFonts w:ascii="Times New Roman" w:hAnsi="Times New Roman"/>
                <w:b w:val="0"/>
              </w:rPr>
              <w:t>ENSAN</w:t>
            </w:r>
          </w:p>
        </w:tc>
        <w:tc>
          <w:tcPr>
            <w:tcW w:w="8222" w:type="dxa"/>
          </w:tcPr>
          <w:p w14:paraId="381307A4" w14:textId="77777777" w:rsidR="00971306" w:rsidRPr="00454255" w:rsidRDefault="00B871E4" w:rsidP="00971306">
            <w:pPr>
              <w:spacing w:after="0" w:line="240" w:lineRule="auto"/>
              <w:rPr>
                <w:rFonts w:ascii="Times New Roman" w:hAnsi="Times New Roman"/>
                <w:b w:val="0"/>
              </w:rPr>
            </w:pPr>
            <w:r w:rsidRPr="00454255">
              <w:rPr>
                <w:rFonts w:ascii="Times New Roman" w:hAnsi="Times New Roman"/>
                <w:b w:val="0"/>
              </w:rPr>
              <w:t xml:space="preserve">: </w:t>
            </w:r>
            <w:r w:rsidR="00971306" w:rsidRPr="00454255">
              <w:rPr>
                <w:rFonts w:ascii="Times New Roman" w:hAnsi="Times New Roman"/>
                <w:b w:val="0"/>
              </w:rPr>
              <w:t>Enquête Nationale Sur La Sécurité Alimentaire et Nutritionnelle</w:t>
            </w:r>
          </w:p>
        </w:tc>
      </w:tr>
      <w:tr w:rsidR="00971306" w:rsidRPr="00454255" w14:paraId="39E81075" w14:textId="77777777" w:rsidTr="00B871E4">
        <w:tc>
          <w:tcPr>
            <w:tcW w:w="1384" w:type="dxa"/>
          </w:tcPr>
          <w:p w14:paraId="4E9AD999" w14:textId="77777777" w:rsidR="00971306" w:rsidRPr="00454255" w:rsidRDefault="00971306" w:rsidP="00971306">
            <w:pPr>
              <w:spacing w:after="0" w:line="240" w:lineRule="auto"/>
              <w:rPr>
                <w:rFonts w:ascii="Times New Roman" w:hAnsi="Times New Roman"/>
                <w:b w:val="0"/>
              </w:rPr>
            </w:pPr>
            <w:r w:rsidRPr="00454255">
              <w:rPr>
                <w:rFonts w:ascii="Times New Roman" w:hAnsi="Times New Roman"/>
                <w:b w:val="0"/>
              </w:rPr>
              <w:t>FEM</w:t>
            </w:r>
          </w:p>
        </w:tc>
        <w:tc>
          <w:tcPr>
            <w:tcW w:w="8222" w:type="dxa"/>
          </w:tcPr>
          <w:p w14:paraId="259AACE8" w14:textId="77777777" w:rsidR="00971306" w:rsidRPr="00454255" w:rsidRDefault="00B871E4" w:rsidP="00971306">
            <w:pPr>
              <w:spacing w:after="0" w:line="240" w:lineRule="auto"/>
              <w:rPr>
                <w:rFonts w:ascii="Times New Roman" w:hAnsi="Times New Roman"/>
                <w:b w:val="0"/>
              </w:rPr>
            </w:pPr>
            <w:r w:rsidRPr="00454255">
              <w:rPr>
                <w:rFonts w:ascii="Times New Roman" w:hAnsi="Times New Roman"/>
                <w:b w:val="0"/>
              </w:rPr>
              <w:t xml:space="preserve">: </w:t>
            </w:r>
            <w:r w:rsidR="00971306" w:rsidRPr="00454255">
              <w:rPr>
                <w:rFonts w:ascii="Times New Roman" w:hAnsi="Times New Roman"/>
                <w:b w:val="0"/>
              </w:rPr>
              <w:t>Fonds pour l’Environnement Mondial</w:t>
            </w:r>
          </w:p>
        </w:tc>
      </w:tr>
      <w:tr w:rsidR="00971306" w:rsidRPr="00454255" w14:paraId="1E368C0D" w14:textId="77777777" w:rsidTr="00B871E4">
        <w:tc>
          <w:tcPr>
            <w:tcW w:w="1384" w:type="dxa"/>
          </w:tcPr>
          <w:p w14:paraId="16CC199F" w14:textId="77777777" w:rsidR="00971306" w:rsidRPr="00454255" w:rsidRDefault="00B871E4" w:rsidP="00971306">
            <w:pPr>
              <w:spacing w:after="0" w:line="240" w:lineRule="auto"/>
              <w:rPr>
                <w:rFonts w:ascii="Times New Roman" w:hAnsi="Times New Roman"/>
                <w:b w:val="0"/>
              </w:rPr>
            </w:pPr>
            <w:r w:rsidRPr="00454255">
              <w:rPr>
                <w:rFonts w:ascii="Times New Roman" w:hAnsi="Times New Roman"/>
                <w:b w:val="0"/>
                <w:bCs/>
              </w:rPr>
              <w:t>"</w:t>
            </w:r>
            <w:r w:rsidR="00971306" w:rsidRPr="00454255">
              <w:rPr>
                <w:rFonts w:ascii="Times New Roman" w:hAnsi="Times New Roman"/>
                <w:b w:val="0"/>
                <w:bCs/>
              </w:rPr>
              <w:t>F-N</w:t>
            </w:r>
            <w:r w:rsidRPr="00454255">
              <w:rPr>
                <w:rFonts w:ascii="Times New Roman" w:hAnsi="Times New Roman"/>
                <w:b w:val="0"/>
                <w:bCs/>
              </w:rPr>
              <w:t>"</w:t>
            </w:r>
          </w:p>
        </w:tc>
        <w:tc>
          <w:tcPr>
            <w:tcW w:w="8222" w:type="dxa"/>
          </w:tcPr>
          <w:p w14:paraId="2EFF9652" w14:textId="77777777" w:rsidR="00971306" w:rsidRPr="00454255" w:rsidRDefault="00B871E4" w:rsidP="00971306">
            <w:pPr>
              <w:spacing w:after="0" w:line="240" w:lineRule="auto"/>
              <w:rPr>
                <w:rFonts w:ascii="Times New Roman" w:hAnsi="Times New Roman"/>
                <w:b w:val="0"/>
              </w:rPr>
            </w:pPr>
            <w:r w:rsidRPr="00454255">
              <w:rPr>
                <w:rFonts w:ascii="Times New Roman" w:hAnsi="Times New Roman"/>
                <w:b w:val="0"/>
              </w:rPr>
              <w:t>: Faible à Nul</w:t>
            </w:r>
          </w:p>
        </w:tc>
      </w:tr>
      <w:tr w:rsidR="00971306" w:rsidRPr="00454255" w14:paraId="295CF15A" w14:textId="77777777" w:rsidTr="00B871E4">
        <w:tc>
          <w:tcPr>
            <w:tcW w:w="1384" w:type="dxa"/>
          </w:tcPr>
          <w:p w14:paraId="2DA79468" w14:textId="77777777" w:rsidR="00971306" w:rsidRPr="00454255" w:rsidRDefault="00971306" w:rsidP="00971306">
            <w:pPr>
              <w:spacing w:after="0" w:line="240" w:lineRule="auto"/>
              <w:rPr>
                <w:rFonts w:ascii="Times New Roman" w:hAnsi="Times New Roman"/>
                <w:b w:val="0"/>
              </w:rPr>
            </w:pPr>
            <w:r w:rsidRPr="00454255">
              <w:rPr>
                <w:rFonts w:ascii="Times New Roman" w:hAnsi="Times New Roman"/>
                <w:b w:val="0"/>
              </w:rPr>
              <w:t>HIMO</w:t>
            </w:r>
          </w:p>
        </w:tc>
        <w:tc>
          <w:tcPr>
            <w:tcW w:w="8222" w:type="dxa"/>
          </w:tcPr>
          <w:p w14:paraId="10F530C7" w14:textId="77777777" w:rsidR="00971306" w:rsidRPr="00454255" w:rsidRDefault="00B871E4" w:rsidP="00971306">
            <w:pPr>
              <w:spacing w:after="0" w:line="240" w:lineRule="auto"/>
              <w:rPr>
                <w:rFonts w:ascii="Times New Roman" w:hAnsi="Times New Roman"/>
                <w:b w:val="0"/>
              </w:rPr>
            </w:pPr>
            <w:r w:rsidRPr="00454255">
              <w:rPr>
                <w:rFonts w:ascii="Times New Roman" w:hAnsi="Times New Roman"/>
                <w:b w:val="0"/>
              </w:rPr>
              <w:t xml:space="preserve">: Haute Intensité de Main d’œuvre </w:t>
            </w:r>
          </w:p>
        </w:tc>
      </w:tr>
      <w:tr w:rsidR="00971306" w:rsidRPr="00454255" w14:paraId="4FC874A2" w14:textId="77777777" w:rsidTr="00B871E4">
        <w:tc>
          <w:tcPr>
            <w:tcW w:w="1384" w:type="dxa"/>
          </w:tcPr>
          <w:p w14:paraId="6DA3BFDE" w14:textId="77777777" w:rsidR="00971306" w:rsidRPr="00454255" w:rsidRDefault="00971306" w:rsidP="00971306">
            <w:pPr>
              <w:spacing w:after="0" w:line="240" w:lineRule="auto"/>
              <w:rPr>
                <w:rFonts w:ascii="Times New Roman" w:hAnsi="Times New Roman"/>
                <w:b w:val="0"/>
              </w:rPr>
            </w:pPr>
            <w:r w:rsidRPr="00454255">
              <w:rPr>
                <w:rFonts w:ascii="Times New Roman" w:hAnsi="Times New Roman"/>
                <w:b w:val="0"/>
                <w:bCs/>
              </w:rPr>
              <w:t> </w:t>
            </w:r>
            <w:r w:rsidR="00B871E4" w:rsidRPr="00454255">
              <w:rPr>
                <w:rFonts w:ascii="Times New Roman" w:hAnsi="Times New Roman"/>
                <w:b w:val="0"/>
                <w:bCs/>
              </w:rPr>
              <w:t>"</w:t>
            </w:r>
            <w:r w:rsidRPr="00454255">
              <w:rPr>
                <w:rFonts w:ascii="Times New Roman" w:hAnsi="Times New Roman"/>
                <w:b w:val="0"/>
                <w:bCs/>
              </w:rPr>
              <w:t>M</w:t>
            </w:r>
            <w:r w:rsidR="00B871E4" w:rsidRPr="00454255">
              <w:rPr>
                <w:rFonts w:ascii="Times New Roman" w:hAnsi="Times New Roman"/>
                <w:b w:val="0"/>
                <w:bCs/>
              </w:rPr>
              <w:t>"</w:t>
            </w:r>
          </w:p>
        </w:tc>
        <w:tc>
          <w:tcPr>
            <w:tcW w:w="8222" w:type="dxa"/>
          </w:tcPr>
          <w:p w14:paraId="3E048E00" w14:textId="77777777" w:rsidR="00971306" w:rsidRPr="00454255" w:rsidRDefault="00B871E4" w:rsidP="00971306">
            <w:pPr>
              <w:spacing w:after="0" w:line="240" w:lineRule="auto"/>
              <w:rPr>
                <w:rFonts w:ascii="Times New Roman" w:hAnsi="Times New Roman"/>
                <w:b w:val="0"/>
              </w:rPr>
            </w:pPr>
            <w:r w:rsidRPr="00454255">
              <w:rPr>
                <w:rFonts w:ascii="Times New Roman" w:hAnsi="Times New Roman"/>
                <w:b w:val="0"/>
              </w:rPr>
              <w:t>: Moyen</w:t>
            </w:r>
          </w:p>
        </w:tc>
      </w:tr>
      <w:tr w:rsidR="00971306" w:rsidRPr="00454255" w14:paraId="11C06FC8" w14:textId="77777777" w:rsidTr="00B871E4">
        <w:tc>
          <w:tcPr>
            <w:tcW w:w="1384" w:type="dxa"/>
          </w:tcPr>
          <w:p w14:paraId="582F5480" w14:textId="77777777" w:rsidR="00971306" w:rsidRPr="00454255" w:rsidRDefault="00971306" w:rsidP="00971306">
            <w:pPr>
              <w:spacing w:after="0" w:line="240" w:lineRule="auto"/>
              <w:rPr>
                <w:rFonts w:ascii="Times New Roman" w:hAnsi="Times New Roman"/>
                <w:b w:val="0"/>
              </w:rPr>
            </w:pPr>
            <w:r w:rsidRPr="00454255">
              <w:rPr>
                <w:rFonts w:ascii="Times New Roman" w:hAnsi="Times New Roman"/>
                <w:b w:val="0"/>
              </w:rPr>
              <w:t>MINUSMA</w:t>
            </w:r>
          </w:p>
        </w:tc>
        <w:tc>
          <w:tcPr>
            <w:tcW w:w="8222" w:type="dxa"/>
          </w:tcPr>
          <w:p w14:paraId="2AC990B0" w14:textId="77777777" w:rsidR="00971306" w:rsidRPr="00454255" w:rsidRDefault="00B871E4" w:rsidP="00971306">
            <w:pPr>
              <w:spacing w:after="0" w:line="240" w:lineRule="auto"/>
              <w:rPr>
                <w:rFonts w:ascii="Times New Roman" w:hAnsi="Times New Roman"/>
                <w:b w:val="0"/>
              </w:rPr>
            </w:pPr>
            <w:r w:rsidRPr="00454255">
              <w:rPr>
                <w:rFonts w:ascii="Times New Roman" w:hAnsi="Times New Roman"/>
                <w:b w:val="0"/>
              </w:rPr>
              <w:t xml:space="preserve">: </w:t>
            </w:r>
            <w:r w:rsidR="00971306" w:rsidRPr="00454255">
              <w:rPr>
                <w:rFonts w:ascii="Times New Roman" w:hAnsi="Times New Roman"/>
                <w:b w:val="0"/>
              </w:rPr>
              <w:t>Mission Multidimensionnelle et Intégrée des Nations Unies pour la Stabilisation au Mali</w:t>
            </w:r>
          </w:p>
        </w:tc>
      </w:tr>
      <w:tr w:rsidR="00971306" w:rsidRPr="00454255" w14:paraId="0527AE21" w14:textId="77777777" w:rsidTr="00B871E4">
        <w:tc>
          <w:tcPr>
            <w:tcW w:w="1384" w:type="dxa"/>
          </w:tcPr>
          <w:p w14:paraId="1E8CF5D8" w14:textId="77777777" w:rsidR="00971306" w:rsidRPr="00454255" w:rsidRDefault="00971306" w:rsidP="00971306">
            <w:pPr>
              <w:spacing w:after="0" w:line="240" w:lineRule="auto"/>
              <w:rPr>
                <w:rFonts w:ascii="Times New Roman" w:hAnsi="Times New Roman"/>
                <w:b w:val="0"/>
              </w:rPr>
            </w:pPr>
            <w:r w:rsidRPr="00454255">
              <w:rPr>
                <w:rFonts w:ascii="Times New Roman" w:hAnsi="Times New Roman"/>
                <w:b w:val="0"/>
              </w:rPr>
              <w:t>NEX</w:t>
            </w:r>
          </w:p>
        </w:tc>
        <w:tc>
          <w:tcPr>
            <w:tcW w:w="8222" w:type="dxa"/>
          </w:tcPr>
          <w:p w14:paraId="20C01D10" w14:textId="77777777" w:rsidR="00971306" w:rsidRPr="00454255" w:rsidRDefault="00B871E4" w:rsidP="00971306">
            <w:pPr>
              <w:spacing w:after="0" w:line="240" w:lineRule="auto"/>
              <w:rPr>
                <w:rFonts w:ascii="Times New Roman" w:hAnsi="Times New Roman"/>
                <w:b w:val="0"/>
              </w:rPr>
            </w:pPr>
            <w:r w:rsidRPr="00454255">
              <w:rPr>
                <w:rFonts w:ascii="Times New Roman" w:hAnsi="Times New Roman"/>
                <w:b w:val="0"/>
              </w:rPr>
              <w:t>: Exécution Nationale</w:t>
            </w:r>
          </w:p>
        </w:tc>
      </w:tr>
      <w:tr w:rsidR="00971306" w:rsidRPr="00454255" w14:paraId="2AD4B716" w14:textId="77777777" w:rsidTr="00B871E4">
        <w:tc>
          <w:tcPr>
            <w:tcW w:w="1384" w:type="dxa"/>
          </w:tcPr>
          <w:p w14:paraId="5E4FEE1F" w14:textId="77777777" w:rsidR="00971306" w:rsidRPr="00454255" w:rsidRDefault="00971306" w:rsidP="00971306">
            <w:pPr>
              <w:spacing w:after="0" w:line="240" w:lineRule="auto"/>
              <w:rPr>
                <w:rFonts w:ascii="Times New Roman" w:hAnsi="Times New Roman"/>
                <w:b w:val="0"/>
              </w:rPr>
            </w:pPr>
            <w:r w:rsidRPr="00454255">
              <w:rPr>
                <w:rFonts w:ascii="Times New Roman" w:hAnsi="Times New Roman"/>
                <w:b w:val="0"/>
              </w:rPr>
              <w:t>OCDE</w:t>
            </w:r>
          </w:p>
        </w:tc>
        <w:tc>
          <w:tcPr>
            <w:tcW w:w="8222" w:type="dxa"/>
          </w:tcPr>
          <w:p w14:paraId="3B6EF5B3" w14:textId="77777777" w:rsidR="00971306" w:rsidRPr="00454255" w:rsidRDefault="00B871E4" w:rsidP="0084190E">
            <w:pPr>
              <w:spacing w:after="0" w:line="240" w:lineRule="auto"/>
              <w:rPr>
                <w:rFonts w:ascii="Times New Roman" w:hAnsi="Times New Roman"/>
                <w:b w:val="0"/>
              </w:rPr>
            </w:pPr>
            <w:r w:rsidRPr="00454255">
              <w:rPr>
                <w:rFonts w:ascii="Times New Roman" w:hAnsi="Times New Roman"/>
                <w:b w:val="0"/>
              </w:rPr>
              <w:t xml:space="preserve">: Organisation </w:t>
            </w:r>
            <w:r w:rsidR="0084190E">
              <w:rPr>
                <w:rFonts w:ascii="Times New Roman" w:hAnsi="Times New Roman"/>
                <w:b w:val="0"/>
              </w:rPr>
              <w:t xml:space="preserve">de </w:t>
            </w:r>
            <w:r w:rsidRPr="00454255">
              <w:rPr>
                <w:rFonts w:ascii="Times New Roman" w:hAnsi="Times New Roman"/>
                <w:b w:val="0"/>
              </w:rPr>
              <w:t xml:space="preserve">Coopération et </w:t>
            </w:r>
            <w:r w:rsidR="0084190E">
              <w:rPr>
                <w:rFonts w:ascii="Times New Roman" w:hAnsi="Times New Roman"/>
                <w:b w:val="0"/>
              </w:rPr>
              <w:t>de</w:t>
            </w:r>
            <w:r w:rsidRPr="00454255">
              <w:rPr>
                <w:rFonts w:ascii="Times New Roman" w:hAnsi="Times New Roman"/>
                <w:b w:val="0"/>
              </w:rPr>
              <w:t xml:space="preserve"> Développement Economique</w:t>
            </w:r>
          </w:p>
        </w:tc>
      </w:tr>
      <w:tr w:rsidR="00971306" w:rsidRPr="00454255" w14:paraId="1FCE99E1" w14:textId="77777777" w:rsidTr="00B871E4">
        <w:tc>
          <w:tcPr>
            <w:tcW w:w="1384" w:type="dxa"/>
          </w:tcPr>
          <w:p w14:paraId="3D807F6A" w14:textId="77777777" w:rsidR="00971306" w:rsidRPr="00454255" w:rsidRDefault="00971306" w:rsidP="00971306">
            <w:pPr>
              <w:spacing w:after="0" w:line="240" w:lineRule="auto"/>
              <w:rPr>
                <w:rFonts w:ascii="Times New Roman" w:hAnsi="Times New Roman"/>
                <w:b w:val="0"/>
              </w:rPr>
            </w:pPr>
            <w:r w:rsidRPr="00454255">
              <w:rPr>
                <w:rFonts w:ascii="Times New Roman" w:hAnsi="Times New Roman"/>
                <w:b w:val="0"/>
              </w:rPr>
              <w:t>ODD</w:t>
            </w:r>
          </w:p>
        </w:tc>
        <w:tc>
          <w:tcPr>
            <w:tcW w:w="8222" w:type="dxa"/>
          </w:tcPr>
          <w:p w14:paraId="05A4D6BC" w14:textId="77777777" w:rsidR="00971306" w:rsidRPr="00454255" w:rsidRDefault="00B871E4" w:rsidP="00971306">
            <w:pPr>
              <w:spacing w:after="0" w:line="240" w:lineRule="auto"/>
              <w:rPr>
                <w:rFonts w:ascii="Times New Roman" w:hAnsi="Times New Roman"/>
                <w:b w:val="0"/>
              </w:rPr>
            </w:pPr>
            <w:r w:rsidRPr="00454255">
              <w:rPr>
                <w:rFonts w:ascii="Times New Roman" w:hAnsi="Times New Roman"/>
                <w:b w:val="0"/>
              </w:rPr>
              <w:t xml:space="preserve">: </w:t>
            </w:r>
            <w:r w:rsidR="00971306" w:rsidRPr="00454255">
              <w:rPr>
                <w:rFonts w:ascii="Times New Roman" w:hAnsi="Times New Roman"/>
                <w:b w:val="0"/>
              </w:rPr>
              <w:t>Objectifs de Développement Durable</w:t>
            </w:r>
          </w:p>
        </w:tc>
      </w:tr>
      <w:tr w:rsidR="00971306" w:rsidRPr="00454255" w14:paraId="072AB5ED" w14:textId="77777777" w:rsidTr="00B871E4">
        <w:tc>
          <w:tcPr>
            <w:tcW w:w="1384" w:type="dxa"/>
          </w:tcPr>
          <w:p w14:paraId="53F20D53" w14:textId="77777777" w:rsidR="00971306" w:rsidRPr="00454255" w:rsidRDefault="00971306" w:rsidP="00971306">
            <w:pPr>
              <w:spacing w:after="0" w:line="240" w:lineRule="auto"/>
              <w:rPr>
                <w:rFonts w:ascii="Times New Roman" w:hAnsi="Times New Roman"/>
                <w:b w:val="0"/>
              </w:rPr>
            </w:pPr>
            <w:r w:rsidRPr="00454255">
              <w:rPr>
                <w:rFonts w:ascii="Times New Roman" w:hAnsi="Times New Roman"/>
                <w:b w:val="0"/>
              </w:rPr>
              <w:t>OMD</w:t>
            </w:r>
          </w:p>
        </w:tc>
        <w:tc>
          <w:tcPr>
            <w:tcW w:w="8222" w:type="dxa"/>
          </w:tcPr>
          <w:p w14:paraId="07F61906" w14:textId="77777777" w:rsidR="00971306" w:rsidRPr="00454255" w:rsidRDefault="00B871E4" w:rsidP="00971306">
            <w:pPr>
              <w:spacing w:after="0" w:line="240" w:lineRule="auto"/>
              <w:rPr>
                <w:rFonts w:ascii="Times New Roman" w:hAnsi="Times New Roman"/>
                <w:b w:val="0"/>
              </w:rPr>
            </w:pPr>
            <w:r w:rsidRPr="00454255">
              <w:rPr>
                <w:rFonts w:ascii="Times New Roman" w:hAnsi="Times New Roman"/>
                <w:b w:val="0"/>
              </w:rPr>
              <w:t xml:space="preserve">: </w:t>
            </w:r>
            <w:r w:rsidR="00971306" w:rsidRPr="00454255">
              <w:rPr>
                <w:rFonts w:ascii="Times New Roman" w:hAnsi="Times New Roman"/>
                <w:b w:val="0"/>
              </w:rPr>
              <w:t>Objectif du Millénaire pour le Développement</w:t>
            </w:r>
          </w:p>
        </w:tc>
      </w:tr>
      <w:tr w:rsidR="00971306" w:rsidRPr="00454255" w14:paraId="66D8488C" w14:textId="77777777" w:rsidTr="00B871E4">
        <w:tc>
          <w:tcPr>
            <w:tcW w:w="1384" w:type="dxa"/>
          </w:tcPr>
          <w:p w14:paraId="0C920829" w14:textId="77777777" w:rsidR="00971306" w:rsidRPr="00454255" w:rsidRDefault="00971306" w:rsidP="00971306">
            <w:pPr>
              <w:spacing w:after="0" w:line="240" w:lineRule="auto"/>
              <w:rPr>
                <w:rFonts w:ascii="Times New Roman" w:hAnsi="Times New Roman"/>
                <w:b w:val="0"/>
              </w:rPr>
            </w:pPr>
            <w:r w:rsidRPr="00454255">
              <w:rPr>
                <w:rFonts w:ascii="Times New Roman" w:hAnsi="Times New Roman"/>
                <w:b w:val="0"/>
              </w:rPr>
              <w:t>ONG</w:t>
            </w:r>
          </w:p>
        </w:tc>
        <w:tc>
          <w:tcPr>
            <w:tcW w:w="8222" w:type="dxa"/>
          </w:tcPr>
          <w:p w14:paraId="594FD62C" w14:textId="77777777" w:rsidR="00971306" w:rsidRPr="00454255" w:rsidRDefault="00B871E4" w:rsidP="00971306">
            <w:pPr>
              <w:spacing w:after="0" w:line="240" w:lineRule="auto"/>
              <w:rPr>
                <w:rFonts w:ascii="Times New Roman" w:hAnsi="Times New Roman"/>
                <w:b w:val="0"/>
              </w:rPr>
            </w:pPr>
            <w:r w:rsidRPr="00454255">
              <w:rPr>
                <w:rFonts w:ascii="Times New Roman" w:hAnsi="Times New Roman"/>
                <w:b w:val="0"/>
              </w:rPr>
              <w:t xml:space="preserve">: </w:t>
            </w:r>
            <w:r w:rsidR="00971306" w:rsidRPr="00454255">
              <w:rPr>
                <w:rFonts w:ascii="Times New Roman" w:hAnsi="Times New Roman"/>
                <w:b w:val="0"/>
              </w:rPr>
              <w:t>Organisation Non Gouvernementale</w:t>
            </w:r>
          </w:p>
        </w:tc>
      </w:tr>
      <w:tr w:rsidR="00971306" w:rsidRPr="00454255" w14:paraId="4D0B65A2" w14:textId="77777777" w:rsidTr="00B871E4">
        <w:tc>
          <w:tcPr>
            <w:tcW w:w="1384" w:type="dxa"/>
          </w:tcPr>
          <w:p w14:paraId="126418A6" w14:textId="77777777" w:rsidR="00971306" w:rsidRPr="00454255" w:rsidRDefault="00971306" w:rsidP="00971306">
            <w:pPr>
              <w:spacing w:after="0" w:line="240" w:lineRule="auto"/>
              <w:rPr>
                <w:rFonts w:ascii="Times New Roman" w:hAnsi="Times New Roman"/>
                <w:b w:val="0"/>
              </w:rPr>
            </w:pPr>
            <w:r w:rsidRPr="00454255">
              <w:rPr>
                <w:rFonts w:ascii="Times New Roman" w:hAnsi="Times New Roman"/>
                <w:b w:val="0"/>
              </w:rPr>
              <w:t>PAG</w:t>
            </w:r>
          </w:p>
        </w:tc>
        <w:tc>
          <w:tcPr>
            <w:tcW w:w="8222" w:type="dxa"/>
          </w:tcPr>
          <w:p w14:paraId="25126076" w14:textId="77777777" w:rsidR="00971306" w:rsidRPr="00454255" w:rsidRDefault="00B871E4" w:rsidP="00971306">
            <w:pPr>
              <w:spacing w:after="0" w:line="240" w:lineRule="auto"/>
              <w:rPr>
                <w:rFonts w:ascii="Times New Roman" w:hAnsi="Times New Roman"/>
                <w:b w:val="0"/>
              </w:rPr>
            </w:pPr>
            <w:r w:rsidRPr="00454255">
              <w:rPr>
                <w:rFonts w:ascii="Times New Roman" w:hAnsi="Times New Roman"/>
                <w:b w:val="0"/>
              </w:rPr>
              <w:t xml:space="preserve">: </w:t>
            </w:r>
            <w:r w:rsidR="00971306" w:rsidRPr="00454255">
              <w:rPr>
                <w:rFonts w:ascii="Times New Roman" w:hAnsi="Times New Roman"/>
                <w:b w:val="0"/>
              </w:rPr>
              <w:t>Programme d’Action du Gouvernement</w:t>
            </w:r>
          </w:p>
        </w:tc>
      </w:tr>
      <w:tr w:rsidR="00971306" w:rsidRPr="00454255" w14:paraId="0329D6D3" w14:textId="77777777" w:rsidTr="00B871E4">
        <w:tc>
          <w:tcPr>
            <w:tcW w:w="1384" w:type="dxa"/>
          </w:tcPr>
          <w:p w14:paraId="4946DEBA" w14:textId="77777777" w:rsidR="00971306" w:rsidRPr="00454255" w:rsidRDefault="00971306" w:rsidP="00971306">
            <w:pPr>
              <w:spacing w:after="0" w:line="240" w:lineRule="auto"/>
              <w:rPr>
                <w:rFonts w:ascii="Times New Roman" w:hAnsi="Times New Roman"/>
                <w:b w:val="0"/>
              </w:rPr>
            </w:pPr>
            <w:r w:rsidRPr="00454255">
              <w:rPr>
                <w:rFonts w:ascii="Times New Roman" w:hAnsi="Times New Roman"/>
                <w:b w:val="0"/>
              </w:rPr>
              <w:t>PDA/RN</w:t>
            </w:r>
          </w:p>
        </w:tc>
        <w:tc>
          <w:tcPr>
            <w:tcW w:w="8222" w:type="dxa"/>
          </w:tcPr>
          <w:p w14:paraId="3EDB6E78" w14:textId="77777777" w:rsidR="00971306" w:rsidRPr="00454255" w:rsidRDefault="00B871E4" w:rsidP="00971306">
            <w:pPr>
              <w:spacing w:after="0" w:line="240" w:lineRule="auto"/>
              <w:rPr>
                <w:rFonts w:ascii="Times New Roman" w:hAnsi="Times New Roman"/>
                <w:b w:val="0"/>
              </w:rPr>
            </w:pPr>
            <w:r w:rsidRPr="00454255">
              <w:rPr>
                <w:rFonts w:ascii="Times New Roman" w:hAnsi="Times New Roman"/>
                <w:b w:val="0"/>
              </w:rPr>
              <w:t xml:space="preserve">: </w:t>
            </w:r>
            <w:r w:rsidR="00971306" w:rsidRPr="00454255">
              <w:rPr>
                <w:rFonts w:ascii="Times New Roman" w:hAnsi="Times New Roman"/>
                <w:b w:val="0"/>
              </w:rPr>
              <w:t>Programme de Développement Accéléré des Régions du Nord</w:t>
            </w:r>
          </w:p>
        </w:tc>
      </w:tr>
      <w:tr w:rsidR="00971306" w:rsidRPr="00454255" w14:paraId="62B9A297" w14:textId="77777777" w:rsidTr="00B871E4">
        <w:tc>
          <w:tcPr>
            <w:tcW w:w="1384" w:type="dxa"/>
          </w:tcPr>
          <w:p w14:paraId="77231F56" w14:textId="77777777" w:rsidR="00971306" w:rsidRPr="00454255" w:rsidRDefault="00971306" w:rsidP="00971306">
            <w:pPr>
              <w:spacing w:after="0" w:line="240" w:lineRule="auto"/>
              <w:rPr>
                <w:rFonts w:ascii="Times New Roman" w:hAnsi="Times New Roman"/>
                <w:b w:val="0"/>
              </w:rPr>
            </w:pPr>
            <w:r w:rsidRPr="00454255">
              <w:rPr>
                <w:rFonts w:ascii="Times New Roman" w:hAnsi="Times New Roman"/>
                <w:b w:val="0"/>
              </w:rPr>
              <w:t>PNUAD</w:t>
            </w:r>
          </w:p>
        </w:tc>
        <w:tc>
          <w:tcPr>
            <w:tcW w:w="8222" w:type="dxa"/>
          </w:tcPr>
          <w:p w14:paraId="19761969" w14:textId="77777777" w:rsidR="00971306" w:rsidRPr="00454255" w:rsidRDefault="00B871E4" w:rsidP="00971306">
            <w:pPr>
              <w:spacing w:after="0" w:line="240" w:lineRule="auto"/>
              <w:rPr>
                <w:rFonts w:ascii="Times New Roman" w:hAnsi="Times New Roman"/>
                <w:b w:val="0"/>
              </w:rPr>
            </w:pPr>
            <w:r w:rsidRPr="00454255">
              <w:rPr>
                <w:rFonts w:ascii="Times New Roman" w:hAnsi="Times New Roman"/>
                <w:b w:val="0"/>
              </w:rPr>
              <w:t xml:space="preserve">: </w:t>
            </w:r>
            <w:r w:rsidR="00971306" w:rsidRPr="00454255">
              <w:rPr>
                <w:rFonts w:ascii="Times New Roman" w:hAnsi="Times New Roman"/>
                <w:b w:val="0"/>
              </w:rPr>
              <w:t>Plan Cadre des Nations Unies pour l’Assistance au Développement</w:t>
            </w:r>
          </w:p>
        </w:tc>
      </w:tr>
      <w:tr w:rsidR="00971306" w:rsidRPr="00454255" w14:paraId="1DB35BD1" w14:textId="77777777" w:rsidTr="00B871E4">
        <w:tc>
          <w:tcPr>
            <w:tcW w:w="1384" w:type="dxa"/>
          </w:tcPr>
          <w:p w14:paraId="069F65B5" w14:textId="77777777" w:rsidR="00971306" w:rsidRPr="00454255" w:rsidRDefault="00971306" w:rsidP="00971306">
            <w:pPr>
              <w:spacing w:after="0" w:line="240" w:lineRule="auto"/>
              <w:rPr>
                <w:rFonts w:ascii="Times New Roman" w:hAnsi="Times New Roman"/>
                <w:b w:val="0"/>
              </w:rPr>
            </w:pPr>
            <w:r w:rsidRPr="00454255">
              <w:rPr>
                <w:rFonts w:ascii="Times New Roman" w:hAnsi="Times New Roman"/>
                <w:b w:val="0"/>
              </w:rPr>
              <w:t>PNUD</w:t>
            </w:r>
          </w:p>
        </w:tc>
        <w:tc>
          <w:tcPr>
            <w:tcW w:w="8222" w:type="dxa"/>
          </w:tcPr>
          <w:p w14:paraId="2C0D84FB" w14:textId="77777777" w:rsidR="00971306" w:rsidRPr="00454255" w:rsidRDefault="00B871E4" w:rsidP="00971306">
            <w:pPr>
              <w:spacing w:after="0" w:line="240" w:lineRule="auto"/>
              <w:rPr>
                <w:rFonts w:ascii="Times New Roman" w:hAnsi="Times New Roman"/>
                <w:b w:val="0"/>
              </w:rPr>
            </w:pPr>
            <w:r w:rsidRPr="00454255">
              <w:rPr>
                <w:rFonts w:ascii="Times New Roman" w:hAnsi="Times New Roman"/>
                <w:b w:val="0"/>
              </w:rPr>
              <w:t xml:space="preserve">: </w:t>
            </w:r>
            <w:r w:rsidR="00971306" w:rsidRPr="00454255">
              <w:rPr>
                <w:rFonts w:ascii="Times New Roman" w:hAnsi="Times New Roman"/>
                <w:b w:val="0"/>
              </w:rPr>
              <w:t>Programme des Nations Unies pour le Développement</w:t>
            </w:r>
          </w:p>
        </w:tc>
      </w:tr>
      <w:tr w:rsidR="00971306" w:rsidRPr="00454255" w14:paraId="76B9698D" w14:textId="77777777" w:rsidTr="00B871E4">
        <w:tc>
          <w:tcPr>
            <w:tcW w:w="1384" w:type="dxa"/>
          </w:tcPr>
          <w:p w14:paraId="04D6111C" w14:textId="77777777" w:rsidR="00971306" w:rsidRPr="00454255" w:rsidRDefault="00971306" w:rsidP="00971306">
            <w:pPr>
              <w:spacing w:after="0" w:line="240" w:lineRule="auto"/>
              <w:rPr>
                <w:rFonts w:ascii="Times New Roman" w:hAnsi="Times New Roman"/>
                <w:b w:val="0"/>
              </w:rPr>
            </w:pPr>
            <w:r w:rsidRPr="00454255">
              <w:rPr>
                <w:rFonts w:ascii="Times New Roman" w:hAnsi="Times New Roman"/>
                <w:b w:val="0"/>
              </w:rPr>
              <w:t>PRED</w:t>
            </w:r>
          </w:p>
        </w:tc>
        <w:tc>
          <w:tcPr>
            <w:tcW w:w="8222" w:type="dxa"/>
          </w:tcPr>
          <w:p w14:paraId="235B0AC8" w14:textId="77777777" w:rsidR="00971306" w:rsidRPr="00454255" w:rsidRDefault="00B871E4" w:rsidP="00971306">
            <w:pPr>
              <w:spacing w:after="0" w:line="240" w:lineRule="auto"/>
              <w:rPr>
                <w:rFonts w:ascii="Times New Roman" w:hAnsi="Times New Roman"/>
                <w:b w:val="0"/>
              </w:rPr>
            </w:pPr>
            <w:r w:rsidRPr="00454255">
              <w:rPr>
                <w:rFonts w:ascii="Times New Roman" w:hAnsi="Times New Roman"/>
                <w:b w:val="0"/>
              </w:rPr>
              <w:t xml:space="preserve">: </w:t>
            </w:r>
            <w:r w:rsidR="00971306" w:rsidRPr="00454255">
              <w:rPr>
                <w:rFonts w:ascii="Times New Roman" w:hAnsi="Times New Roman"/>
                <w:b w:val="0"/>
              </w:rPr>
              <w:t>Plan pour la Relance Durable du Mali</w:t>
            </w:r>
          </w:p>
        </w:tc>
      </w:tr>
      <w:tr w:rsidR="00971306" w:rsidRPr="00454255" w14:paraId="21F6FC7B" w14:textId="77777777" w:rsidTr="00B871E4">
        <w:tc>
          <w:tcPr>
            <w:tcW w:w="1384" w:type="dxa"/>
          </w:tcPr>
          <w:p w14:paraId="421350B1" w14:textId="77777777" w:rsidR="00971306" w:rsidRPr="00454255" w:rsidRDefault="00971306" w:rsidP="00971306">
            <w:pPr>
              <w:spacing w:after="0" w:line="240" w:lineRule="auto"/>
              <w:rPr>
                <w:rFonts w:ascii="Times New Roman" w:hAnsi="Times New Roman"/>
                <w:b w:val="0"/>
              </w:rPr>
            </w:pPr>
            <w:r w:rsidRPr="00454255">
              <w:rPr>
                <w:rFonts w:ascii="Times New Roman" w:hAnsi="Times New Roman"/>
                <w:b w:val="0"/>
              </w:rPr>
              <w:t>PRODOC</w:t>
            </w:r>
          </w:p>
        </w:tc>
        <w:tc>
          <w:tcPr>
            <w:tcW w:w="8222" w:type="dxa"/>
          </w:tcPr>
          <w:p w14:paraId="7A0B638C" w14:textId="77777777" w:rsidR="00971306" w:rsidRPr="00454255" w:rsidRDefault="00B871E4" w:rsidP="00971306">
            <w:pPr>
              <w:spacing w:after="0" w:line="240" w:lineRule="auto"/>
              <w:rPr>
                <w:rFonts w:ascii="Times New Roman" w:hAnsi="Times New Roman"/>
                <w:b w:val="0"/>
              </w:rPr>
            </w:pPr>
            <w:r w:rsidRPr="00454255">
              <w:rPr>
                <w:rFonts w:ascii="Times New Roman" w:hAnsi="Times New Roman"/>
                <w:b w:val="0"/>
              </w:rPr>
              <w:t xml:space="preserve">: </w:t>
            </w:r>
            <w:r w:rsidR="00971306" w:rsidRPr="00454255">
              <w:rPr>
                <w:rFonts w:ascii="Times New Roman" w:hAnsi="Times New Roman"/>
                <w:b w:val="0"/>
              </w:rPr>
              <w:t>Document de Projet/Programme</w:t>
            </w:r>
          </w:p>
        </w:tc>
      </w:tr>
      <w:tr w:rsidR="00971306" w:rsidRPr="00454255" w14:paraId="5748D5E1" w14:textId="77777777" w:rsidTr="00B871E4">
        <w:tc>
          <w:tcPr>
            <w:tcW w:w="1384" w:type="dxa"/>
          </w:tcPr>
          <w:p w14:paraId="1B40AFA9" w14:textId="77777777" w:rsidR="00971306" w:rsidRPr="00454255" w:rsidRDefault="00971306" w:rsidP="00971306">
            <w:pPr>
              <w:spacing w:after="0" w:line="240" w:lineRule="auto"/>
              <w:rPr>
                <w:rFonts w:ascii="Times New Roman" w:hAnsi="Times New Roman"/>
                <w:b w:val="0"/>
              </w:rPr>
            </w:pPr>
            <w:r w:rsidRPr="00454255">
              <w:rPr>
                <w:rFonts w:ascii="Times New Roman" w:hAnsi="Times New Roman"/>
                <w:b w:val="0"/>
              </w:rPr>
              <w:t>PS</w:t>
            </w:r>
          </w:p>
        </w:tc>
        <w:tc>
          <w:tcPr>
            <w:tcW w:w="8222" w:type="dxa"/>
          </w:tcPr>
          <w:p w14:paraId="1B9FA9FB" w14:textId="77777777" w:rsidR="00971306" w:rsidRPr="00454255" w:rsidRDefault="00B871E4" w:rsidP="00971306">
            <w:pPr>
              <w:spacing w:after="0" w:line="240" w:lineRule="auto"/>
              <w:rPr>
                <w:rFonts w:ascii="Times New Roman" w:hAnsi="Times New Roman"/>
                <w:b w:val="0"/>
              </w:rPr>
            </w:pPr>
            <w:r w:rsidRPr="00454255">
              <w:rPr>
                <w:rFonts w:ascii="Times New Roman" w:hAnsi="Times New Roman"/>
                <w:b w:val="0"/>
              </w:rPr>
              <w:t>: Plan Stratégique</w:t>
            </w:r>
          </w:p>
        </w:tc>
      </w:tr>
      <w:tr w:rsidR="00971306" w:rsidRPr="00454255" w14:paraId="08FE8718" w14:textId="77777777" w:rsidTr="00B871E4">
        <w:tc>
          <w:tcPr>
            <w:tcW w:w="1384" w:type="dxa"/>
          </w:tcPr>
          <w:p w14:paraId="2041EE75" w14:textId="77777777" w:rsidR="00971306" w:rsidRPr="00454255" w:rsidRDefault="00971306" w:rsidP="00971306">
            <w:pPr>
              <w:spacing w:after="0" w:line="240" w:lineRule="auto"/>
              <w:rPr>
                <w:rFonts w:ascii="Times New Roman" w:hAnsi="Times New Roman"/>
                <w:b w:val="0"/>
              </w:rPr>
            </w:pPr>
            <w:r w:rsidRPr="00454255">
              <w:rPr>
                <w:rFonts w:ascii="Times New Roman" w:hAnsi="Times New Roman"/>
                <w:b w:val="0"/>
              </w:rPr>
              <w:t>PTA</w:t>
            </w:r>
          </w:p>
        </w:tc>
        <w:tc>
          <w:tcPr>
            <w:tcW w:w="8222" w:type="dxa"/>
          </w:tcPr>
          <w:p w14:paraId="1C65D08E" w14:textId="77777777" w:rsidR="00971306" w:rsidRPr="00454255" w:rsidRDefault="00B871E4" w:rsidP="00971306">
            <w:pPr>
              <w:spacing w:after="0" w:line="240" w:lineRule="auto"/>
              <w:rPr>
                <w:rFonts w:ascii="Times New Roman" w:hAnsi="Times New Roman"/>
                <w:b w:val="0"/>
              </w:rPr>
            </w:pPr>
            <w:r w:rsidRPr="00454255">
              <w:rPr>
                <w:rFonts w:ascii="Times New Roman" w:hAnsi="Times New Roman"/>
                <w:b w:val="0"/>
              </w:rPr>
              <w:t xml:space="preserve">: </w:t>
            </w:r>
            <w:r w:rsidR="00971306" w:rsidRPr="00454255">
              <w:rPr>
                <w:rFonts w:ascii="Times New Roman" w:hAnsi="Times New Roman"/>
                <w:b w:val="0"/>
              </w:rPr>
              <w:t>Plan de Travail Annuel</w:t>
            </w:r>
          </w:p>
        </w:tc>
      </w:tr>
      <w:tr w:rsidR="00971306" w:rsidRPr="00454255" w14:paraId="0F2DD82B" w14:textId="77777777" w:rsidTr="00B871E4">
        <w:tc>
          <w:tcPr>
            <w:tcW w:w="1384" w:type="dxa"/>
          </w:tcPr>
          <w:p w14:paraId="27915D57" w14:textId="77777777" w:rsidR="00971306" w:rsidRPr="00454255" w:rsidRDefault="00971306" w:rsidP="00971306">
            <w:pPr>
              <w:spacing w:after="0" w:line="240" w:lineRule="auto"/>
              <w:rPr>
                <w:rFonts w:ascii="Times New Roman" w:hAnsi="Times New Roman"/>
                <w:b w:val="0"/>
              </w:rPr>
            </w:pPr>
            <w:r w:rsidRPr="00454255">
              <w:rPr>
                <w:rFonts w:ascii="Times New Roman" w:hAnsi="Times New Roman"/>
                <w:b w:val="0"/>
              </w:rPr>
              <w:t>PTF</w:t>
            </w:r>
          </w:p>
        </w:tc>
        <w:tc>
          <w:tcPr>
            <w:tcW w:w="8222" w:type="dxa"/>
          </w:tcPr>
          <w:p w14:paraId="0EB6A03C" w14:textId="77777777" w:rsidR="00971306" w:rsidRPr="00454255" w:rsidRDefault="00B871E4" w:rsidP="00971306">
            <w:pPr>
              <w:spacing w:after="0" w:line="240" w:lineRule="auto"/>
              <w:rPr>
                <w:rFonts w:ascii="Times New Roman" w:hAnsi="Times New Roman"/>
                <w:b w:val="0"/>
              </w:rPr>
            </w:pPr>
            <w:r w:rsidRPr="00454255">
              <w:rPr>
                <w:rFonts w:ascii="Times New Roman" w:hAnsi="Times New Roman"/>
                <w:b w:val="0"/>
              </w:rPr>
              <w:t xml:space="preserve">: </w:t>
            </w:r>
            <w:r w:rsidR="00971306" w:rsidRPr="00454255">
              <w:rPr>
                <w:rFonts w:ascii="Times New Roman" w:hAnsi="Times New Roman"/>
                <w:b w:val="0"/>
              </w:rPr>
              <w:t>Partenaire Technique Financier</w:t>
            </w:r>
          </w:p>
        </w:tc>
      </w:tr>
      <w:tr w:rsidR="00971306" w:rsidRPr="00454255" w14:paraId="61AFD4B2" w14:textId="77777777" w:rsidTr="00B871E4">
        <w:tc>
          <w:tcPr>
            <w:tcW w:w="1384" w:type="dxa"/>
          </w:tcPr>
          <w:p w14:paraId="6CCAB033" w14:textId="77777777" w:rsidR="00971306" w:rsidRPr="00454255" w:rsidRDefault="00971306" w:rsidP="00971306">
            <w:pPr>
              <w:spacing w:after="0" w:line="240" w:lineRule="auto"/>
              <w:rPr>
                <w:rFonts w:ascii="Times New Roman" w:hAnsi="Times New Roman"/>
                <w:b w:val="0"/>
              </w:rPr>
            </w:pPr>
            <w:r w:rsidRPr="00454255">
              <w:rPr>
                <w:rFonts w:ascii="Times New Roman" w:eastAsia="Times New Roman" w:hAnsi="Times New Roman"/>
                <w:b w:val="0"/>
                <w:bCs/>
              </w:rPr>
              <w:t>RAVEC</w:t>
            </w:r>
          </w:p>
        </w:tc>
        <w:tc>
          <w:tcPr>
            <w:tcW w:w="8222" w:type="dxa"/>
          </w:tcPr>
          <w:p w14:paraId="36D698C7" w14:textId="77777777" w:rsidR="00971306" w:rsidRPr="00454255" w:rsidRDefault="00B871E4" w:rsidP="00971306">
            <w:pPr>
              <w:spacing w:after="0" w:line="240" w:lineRule="auto"/>
              <w:rPr>
                <w:rFonts w:ascii="Times New Roman" w:hAnsi="Times New Roman"/>
                <w:b w:val="0"/>
              </w:rPr>
            </w:pPr>
            <w:r w:rsidRPr="00454255">
              <w:rPr>
                <w:rFonts w:ascii="Times New Roman" w:hAnsi="Times New Roman"/>
                <w:b w:val="0"/>
              </w:rPr>
              <w:t>: Recensement Administratif à Vocation d'État Civil</w:t>
            </w:r>
          </w:p>
        </w:tc>
      </w:tr>
      <w:tr w:rsidR="00971306" w:rsidRPr="00454255" w14:paraId="2174B67F" w14:textId="77777777" w:rsidTr="00B871E4">
        <w:tc>
          <w:tcPr>
            <w:tcW w:w="1384" w:type="dxa"/>
          </w:tcPr>
          <w:p w14:paraId="317F98AA" w14:textId="77777777" w:rsidR="00971306" w:rsidRPr="00454255" w:rsidRDefault="00971306" w:rsidP="00971306">
            <w:pPr>
              <w:spacing w:after="0" w:line="240" w:lineRule="auto"/>
              <w:rPr>
                <w:rFonts w:ascii="Times New Roman" w:hAnsi="Times New Roman"/>
                <w:b w:val="0"/>
              </w:rPr>
            </w:pPr>
            <w:r w:rsidRPr="00454255">
              <w:rPr>
                <w:rFonts w:ascii="Times New Roman" w:hAnsi="Times New Roman"/>
                <w:b w:val="0"/>
              </w:rPr>
              <w:t>RNDH</w:t>
            </w:r>
          </w:p>
        </w:tc>
        <w:tc>
          <w:tcPr>
            <w:tcW w:w="8222" w:type="dxa"/>
          </w:tcPr>
          <w:p w14:paraId="07109019" w14:textId="77777777" w:rsidR="00971306" w:rsidRPr="00454255" w:rsidRDefault="00B871E4" w:rsidP="00B871E4">
            <w:pPr>
              <w:spacing w:after="0" w:line="240" w:lineRule="auto"/>
              <w:rPr>
                <w:rFonts w:ascii="Times New Roman" w:hAnsi="Times New Roman"/>
                <w:b w:val="0"/>
              </w:rPr>
            </w:pPr>
            <w:r w:rsidRPr="00454255">
              <w:rPr>
                <w:rFonts w:ascii="Times New Roman" w:hAnsi="Times New Roman"/>
                <w:b w:val="0"/>
              </w:rPr>
              <w:t xml:space="preserve">: </w:t>
            </w:r>
            <w:r w:rsidR="00971306" w:rsidRPr="00454255">
              <w:rPr>
                <w:rFonts w:ascii="Times New Roman" w:hAnsi="Times New Roman"/>
                <w:b w:val="0"/>
              </w:rPr>
              <w:t>Rapport National pour le Développement Humain</w:t>
            </w:r>
          </w:p>
        </w:tc>
      </w:tr>
      <w:tr w:rsidR="00971306" w:rsidRPr="00454255" w14:paraId="32534FC0" w14:textId="77777777" w:rsidTr="00B871E4">
        <w:tc>
          <w:tcPr>
            <w:tcW w:w="1384" w:type="dxa"/>
          </w:tcPr>
          <w:p w14:paraId="1589EE72" w14:textId="77777777" w:rsidR="00971306" w:rsidRPr="00454255" w:rsidRDefault="00971306" w:rsidP="00971306">
            <w:pPr>
              <w:spacing w:after="0" w:line="240" w:lineRule="auto"/>
              <w:rPr>
                <w:rFonts w:ascii="Times New Roman" w:hAnsi="Times New Roman"/>
                <w:b w:val="0"/>
              </w:rPr>
            </w:pPr>
            <w:r w:rsidRPr="00454255">
              <w:rPr>
                <w:rFonts w:ascii="Times New Roman" w:hAnsi="Times New Roman"/>
                <w:b w:val="0"/>
                <w:bCs/>
              </w:rPr>
              <w:t>ROAR</w:t>
            </w:r>
          </w:p>
        </w:tc>
        <w:tc>
          <w:tcPr>
            <w:tcW w:w="8222" w:type="dxa"/>
          </w:tcPr>
          <w:p w14:paraId="678D49C1" w14:textId="77777777" w:rsidR="00971306" w:rsidRPr="00454255" w:rsidRDefault="00B871E4" w:rsidP="00971306">
            <w:pPr>
              <w:spacing w:after="0" w:line="240" w:lineRule="auto"/>
              <w:rPr>
                <w:rFonts w:ascii="Times New Roman" w:hAnsi="Times New Roman"/>
                <w:b w:val="0"/>
              </w:rPr>
            </w:pPr>
            <w:r w:rsidRPr="00454255">
              <w:rPr>
                <w:rFonts w:ascii="Times New Roman" w:hAnsi="Times New Roman"/>
                <w:b w:val="0"/>
              </w:rPr>
              <w:t>: Rapport Annuel Orienté vers les Résultats</w:t>
            </w:r>
          </w:p>
        </w:tc>
      </w:tr>
      <w:tr w:rsidR="00971306" w:rsidRPr="00454255" w14:paraId="6E8C5F57" w14:textId="77777777" w:rsidTr="00B871E4">
        <w:tc>
          <w:tcPr>
            <w:tcW w:w="1384" w:type="dxa"/>
          </w:tcPr>
          <w:p w14:paraId="41273C09" w14:textId="77777777" w:rsidR="00971306" w:rsidRPr="00454255" w:rsidRDefault="00971306" w:rsidP="00971306">
            <w:pPr>
              <w:spacing w:after="0" w:line="240" w:lineRule="auto"/>
              <w:rPr>
                <w:rFonts w:ascii="Times New Roman" w:hAnsi="Times New Roman"/>
                <w:b w:val="0"/>
              </w:rPr>
            </w:pPr>
            <w:r w:rsidRPr="00454255">
              <w:rPr>
                <w:rFonts w:ascii="Times New Roman" w:hAnsi="Times New Roman"/>
                <w:b w:val="0"/>
              </w:rPr>
              <w:t>SCAP</w:t>
            </w:r>
          </w:p>
        </w:tc>
        <w:tc>
          <w:tcPr>
            <w:tcW w:w="8222" w:type="dxa"/>
          </w:tcPr>
          <w:p w14:paraId="19370375" w14:textId="77777777" w:rsidR="00971306" w:rsidRPr="00454255" w:rsidRDefault="00B871E4" w:rsidP="00971306">
            <w:pPr>
              <w:spacing w:after="0" w:line="240" w:lineRule="auto"/>
              <w:rPr>
                <w:rFonts w:ascii="Times New Roman" w:hAnsi="Times New Roman"/>
                <w:b w:val="0"/>
              </w:rPr>
            </w:pPr>
            <w:r w:rsidRPr="00454255">
              <w:rPr>
                <w:rFonts w:ascii="Times New Roman" w:hAnsi="Times New Roman"/>
                <w:b w:val="0"/>
              </w:rPr>
              <w:t xml:space="preserve">: </w:t>
            </w:r>
            <w:r w:rsidR="00971306" w:rsidRPr="00454255">
              <w:rPr>
                <w:rFonts w:ascii="Times New Roman" w:hAnsi="Times New Roman"/>
                <w:b w:val="0"/>
              </w:rPr>
              <w:t>Stratégie Commune d'Assistance Pays</w:t>
            </w:r>
          </w:p>
        </w:tc>
      </w:tr>
      <w:tr w:rsidR="00971306" w:rsidRPr="00454255" w14:paraId="68D283D4" w14:textId="77777777" w:rsidTr="00B871E4">
        <w:tc>
          <w:tcPr>
            <w:tcW w:w="1384" w:type="dxa"/>
          </w:tcPr>
          <w:p w14:paraId="1A328385" w14:textId="77777777" w:rsidR="00971306" w:rsidRPr="00454255" w:rsidRDefault="00971306" w:rsidP="00971306">
            <w:pPr>
              <w:spacing w:after="0" w:line="240" w:lineRule="auto"/>
              <w:rPr>
                <w:rFonts w:ascii="Times New Roman" w:hAnsi="Times New Roman"/>
                <w:b w:val="0"/>
              </w:rPr>
            </w:pPr>
            <w:r w:rsidRPr="00454255">
              <w:rPr>
                <w:rFonts w:ascii="Times New Roman" w:hAnsi="Times New Roman"/>
                <w:b w:val="0"/>
              </w:rPr>
              <w:t>SHA</w:t>
            </w:r>
          </w:p>
        </w:tc>
        <w:tc>
          <w:tcPr>
            <w:tcW w:w="8222" w:type="dxa"/>
          </w:tcPr>
          <w:p w14:paraId="1EEC42FC" w14:textId="77777777" w:rsidR="00971306" w:rsidRPr="00454255" w:rsidRDefault="00B871E4" w:rsidP="00971306">
            <w:pPr>
              <w:spacing w:after="0" w:line="240" w:lineRule="auto"/>
              <w:rPr>
                <w:rFonts w:ascii="Times New Roman" w:hAnsi="Times New Roman"/>
                <w:b w:val="0"/>
              </w:rPr>
            </w:pPr>
            <w:r w:rsidRPr="00454255">
              <w:rPr>
                <w:rFonts w:ascii="Times New Roman" w:hAnsi="Times New Roman"/>
                <w:b w:val="0"/>
              </w:rPr>
              <w:t xml:space="preserve">: </w:t>
            </w:r>
            <w:r w:rsidR="00971306" w:rsidRPr="00454255">
              <w:rPr>
                <w:rFonts w:ascii="Times New Roman" w:hAnsi="Times New Roman"/>
                <w:b w:val="0"/>
              </w:rPr>
              <w:t>Secrétariat à l’Harmonisation de l’Aide</w:t>
            </w:r>
          </w:p>
        </w:tc>
      </w:tr>
      <w:tr w:rsidR="00B871E4" w:rsidRPr="00454255" w14:paraId="765AC39C" w14:textId="77777777" w:rsidTr="00B871E4">
        <w:tc>
          <w:tcPr>
            <w:tcW w:w="1384" w:type="dxa"/>
          </w:tcPr>
          <w:p w14:paraId="6F184463" w14:textId="77777777" w:rsidR="00B871E4" w:rsidRPr="00454255" w:rsidRDefault="00B871E4" w:rsidP="00771B89">
            <w:pPr>
              <w:spacing w:after="0" w:line="240" w:lineRule="auto"/>
              <w:rPr>
                <w:rFonts w:ascii="Times New Roman" w:hAnsi="Times New Roman"/>
                <w:b w:val="0"/>
              </w:rPr>
            </w:pPr>
            <w:r w:rsidRPr="00454255">
              <w:rPr>
                <w:rFonts w:ascii="Times New Roman" w:hAnsi="Times New Roman"/>
                <w:b w:val="0"/>
              </w:rPr>
              <w:t>SIDA</w:t>
            </w:r>
          </w:p>
        </w:tc>
        <w:tc>
          <w:tcPr>
            <w:tcW w:w="8222" w:type="dxa"/>
          </w:tcPr>
          <w:p w14:paraId="11048B25" w14:textId="77777777" w:rsidR="00B871E4" w:rsidRPr="00454255" w:rsidRDefault="00B871E4" w:rsidP="00771B89">
            <w:pPr>
              <w:spacing w:after="0" w:line="240" w:lineRule="auto"/>
              <w:rPr>
                <w:rFonts w:ascii="Times New Roman" w:hAnsi="Times New Roman"/>
                <w:b w:val="0"/>
              </w:rPr>
            </w:pPr>
            <w:r w:rsidRPr="00454255">
              <w:rPr>
                <w:rFonts w:ascii="Times New Roman" w:hAnsi="Times New Roman"/>
                <w:b w:val="0"/>
              </w:rPr>
              <w:t>: Syndrome d’Immunodéficience Acquise</w:t>
            </w:r>
          </w:p>
        </w:tc>
      </w:tr>
      <w:tr w:rsidR="00971306" w:rsidRPr="00454255" w14:paraId="11B11858" w14:textId="77777777" w:rsidTr="00B871E4">
        <w:tc>
          <w:tcPr>
            <w:tcW w:w="1384" w:type="dxa"/>
          </w:tcPr>
          <w:p w14:paraId="130F2838" w14:textId="77777777" w:rsidR="00971306" w:rsidRPr="00454255" w:rsidRDefault="00971306" w:rsidP="00971306">
            <w:pPr>
              <w:spacing w:after="0" w:line="240" w:lineRule="auto"/>
              <w:rPr>
                <w:rFonts w:ascii="Times New Roman" w:hAnsi="Times New Roman"/>
                <w:b w:val="0"/>
              </w:rPr>
            </w:pPr>
            <w:r w:rsidRPr="00454255">
              <w:rPr>
                <w:rFonts w:ascii="Times New Roman" w:hAnsi="Times New Roman"/>
                <w:b w:val="0"/>
              </w:rPr>
              <w:t>SNU</w:t>
            </w:r>
          </w:p>
        </w:tc>
        <w:tc>
          <w:tcPr>
            <w:tcW w:w="8222" w:type="dxa"/>
          </w:tcPr>
          <w:p w14:paraId="4786993A" w14:textId="77777777" w:rsidR="00971306" w:rsidRPr="00454255" w:rsidRDefault="00B871E4" w:rsidP="00971306">
            <w:pPr>
              <w:spacing w:after="0" w:line="240" w:lineRule="auto"/>
              <w:rPr>
                <w:rFonts w:ascii="Times New Roman" w:hAnsi="Times New Roman"/>
                <w:b w:val="0"/>
              </w:rPr>
            </w:pPr>
            <w:r w:rsidRPr="00454255">
              <w:rPr>
                <w:rFonts w:ascii="Times New Roman" w:hAnsi="Times New Roman"/>
                <w:b w:val="0"/>
              </w:rPr>
              <w:t xml:space="preserve">: </w:t>
            </w:r>
            <w:r w:rsidR="00971306" w:rsidRPr="00454255">
              <w:rPr>
                <w:rFonts w:ascii="Times New Roman" w:hAnsi="Times New Roman"/>
                <w:b w:val="0"/>
              </w:rPr>
              <w:t>Système des Nations Unies</w:t>
            </w:r>
          </w:p>
        </w:tc>
      </w:tr>
      <w:tr w:rsidR="00971306" w:rsidRPr="00454255" w14:paraId="7B803EAB" w14:textId="77777777" w:rsidTr="00B871E4">
        <w:tc>
          <w:tcPr>
            <w:tcW w:w="1384" w:type="dxa"/>
          </w:tcPr>
          <w:p w14:paraId="51FFAC61" w14:textId="77777777" w:rsidR="00971306" w:rsidRPr="00454255" w:rsidRDefault="00971306" w:rsidP="00971306">
            <w:pPr>
              <w:spacing w:after="0" w:line="240" w:lineRule="auto"/>
              <w:rPr>
                <w:rFonts w:ascii="Times New Roman" w:hAnsi="Times New Roman"/>
                <w:b w:val="0"/>
              </w:rPr>
            </w:pPr>
            <w:r w:rsidRPr="00454255">
              <w:rPr>
                <w:rFonts w:ascii="Times New Roman" w:eastAsia="Times New Roman" w:hAnsi="Times New Roman"/>
                <w:b w:val="0"/>
                <w:bCs/>
              </w:rPr>
              <w:t>TDR</w:t>
            </w:r>
          </w:p>
        </w:tc>
        <w:tc>
          <w:tcPr>
            <w:tcW w:w="8222" w:type="dxa"/>
          </w:tcPr>
          <w:p w14:paraId="5884D8DB" w14:textId="77777777" w:rsidR="00971306" w:rsidRPr="00454255" w:rsidRDefault="00B871E4" w:rsidP="00971306">
            <w:pPr>
              <w:spacing w:after="0" w:line="240" w:lineRule="auto"/>
              <w:rPr>
                <w:rFonts w:ascii="Times New Roman" w:hAnsi="Times New Roman"/>
                <w:b w:val="0"/>
              </w:rPr>
            </w:pPr>
            <w:r w:rsidRPr="00454255">
              <w:rPr>
                <w:rFonts w:ascii="Times New Roman" w:hAnsi="Times New Roman"/>
                <w:b w:val="0"/>
              </w:rPr>
              <w:t>: Termes de Référence</w:t>
            </w:r>
          </w:p>
        </w:tc>
      </w:tr>
      <w:tr w:rsidR="00971306" w:rsidRPr="00454255" w14:paraId="00EF6626" w14:textId="77777777" w:rsidTr="00B871E4">
        <w:tc>
          <w:tcPr>
            <w:tcW w:w="1384" w:type="dxa"/>
          </w:tcPr>
          <w:p w14:paraId="01F122A8" w14:textId="77777777" w:rsidR="00971306" w:rsidRPr="00454255" w:rsidRDefault="00971306" w:rsidP="00971306">
            <w:pPr>
              <w:spacing w:after="0" w:line="240" w:lineRule="auto"/>
              <w:rPr>
                <w:rFonts w:ascii="Times New Roman" w:hAnsi="Times New Roman"/>
                <w:b w:val="0"/>
              </w:rPr>
            </w:pPr>
            <w:r w:rsidRPr="00454255">
              <w:rPr>
                <w:rFonts w:ascii="Times New Roman" w:hAnsi="Times New Roman"/>
                <w:b w:val="0"/>
              </w:rPr>
              <w:t>UEMOA</w:t>
            </w:r>
          </w:p>
        </w:tc>
        <w:tc>
          <w:tcPr>
            <w:tcW w:w="8222" w:type="dxa"/>
          </w:tcPr>
          <w:p w14:paraId="1ACB3650" w14:textId="77777777" w:rsidR="00971306" w:rsidRPr="00454255" w:rsidRDefault="00B871E4" w:rsidP="00971306">
            <w:pPr>
              <w:spacing w:after="0" w:line="240" w:lineRule="auto"/>
              <w:rPr>
                <w:rFonts w:ascii="Times New Roman" w:hAnsi="Times New Roman"/>
                <w:b w:val="0"/>
              </w:rPr>
            </w:pPr>
            <w:r w:rsidRPr="00454255">
              <w:rPr>
                <w:rFonts w:ascii="Times New Roman" w:hAnsi="Times New Roman"/>
                <w:b w:val="0"/>
              </w:rPr>
              <w:t>: Union Economique et Monétaire Ouest Africaine</w:t>
            </w:r>
          </w:p>
        </w:tc>
      </w:tr>
      <w:tr w:rsidR="00971306" w:rsidRPr="00454255" w14:paraId="514B4C37" w14:textId="77777777" w:rsidTr="00B871E4">
        <w:tc>
          <w:tcPr>
            <w:tcW w:w="1384" w:type="dxa"/>
          </w:tcPr>
          <w:p w14:paraId="7B2E6411" w14:textId="77777777" w:rsidR="00971306" w:rsidRPr="00454255" w:rsidRDefault="00971306" w:rsidP="00971306">
            <w:pPr>
              <w:spacing w:after="0" w:line="240" w:lineRule="auto"/>
              <w:rPr>
                <w:rFonts w:ascii="Times New Roman" w:hAnsi="Times New Roman"/>
                <w:b w:val="0"/>
              </w:rPr>
            </w:pPr>
            <w:r w:rsidRPr="00454255">
              <w:rPr>
                <w:rFonts w:ascii="Times New Roman" w:hAnsi="Times New Roman"/>
                <w:b w:val="0"/>
              </w:rPr>
              <w:t>UN</w:t>
            </w:r>
          </w:p>
        </w:tc>
        <w:tc>
          <w:tcPr>
            <w:tcW w:w="8222" w:type="dxa"/>
          </w:tcPr>
          <w:p w14:paraId="3DC1DD15" w14:textId="77777777" w:rsidR="00971306" w:rsidRPr="00454255" w:rsidRDefault="00B871E4" w:rsidP="00971306">
            <w:pPr>
              <w:spacing w:after="0" w:line="240" w:lineRule="auto"/>
              <w:rPr>
                <w:rFonts w:ascii="Times New Roman" w:hAnsi="Times New Roman"/>
                <w:b w:val="0"/>
              </w:rPr>
            </w:pPr>
            <w:r w:rsidRPr="00454255">
              <w:rPr>
                <w:rFonts w:ascii="Times New Roman" w:hAnsi="Times New Roman"/>
                <w:b w:val="0"/>
              </w:rPr>
              <w:t>: Nations Unies</w:t>
            </w:r>
          </w:p>
        </w:tc>
      </w:tr>
      <w:tr w:rsidR="00971306" w:rsidRPr="00454255" w14:paraId="3D131015" w14:textId="77777777" w:rsidTr="00B871E4">
        <w:tc>
          <w:tcPr>
            <w:tcW w:w="1384" w:type="dxa"/>
          </w:tcPr>
          <w:p w14:paraId="50B7AECC" w14:textId="77777777" w:rsidR="00971306" w:rsidRPr="00454255" w:rsidRDefault="00971306" w:rsidP="00971306">
            <w:pPr>
              <w:spacing w:after="0" w:line="240" w:lineRule="auto"/>
              <w:rPr>
                <w:rFonts w:ascii="Times New Roman" w:hAnsi="Times New Roman"/>
                <w:b w:val="0"/>
              </w:rPr>
            </w:pPr>
            <w:r w:rsidRPr="00454255">
              <w:rPr>
                <w:rFonts w:ascii="Times New Roman" w:hAnsi="Times New Roman"/>
                <w:b w:val="0"/>
              </w:rPr>
              <w:t>UNCDF</w:t>
            </w:r>
          </w:p>
        </w:tc>
        <w:tc>
          <w:tcPr>
            <w:tcW w:w="8222" w:type="dxa"/>
          </w:tcPr>
          <w:p w14:paraId="31B9B9A0" w14:textId="77777777" w:rsidR="00971306" w:rsidRPr="00454255" w:rsidRDefault="00B871E4" w:rsidP="00971306">
            <w:pPr>
              <w:spacing w:after="0" w:line="240" w:lineRule="auto"/>
              <w:rPr>
                <w:rFonts w:ascii="Times New Roman" w:hAnsi="Times New Roman"/>
                <w:b w:val="0"/>
              </w:rPr>
            </w:pPr>
            <w:r w:rsidRPr="00454255">
              <w:rPr>
                <w:rFonts w:ascii="Times New Roman" w:hAnsi="Times New Roman"/>
                <w:b w:val="0"/>
              </w:rPr>
              <w:t>: Fonds d’Equipement des Nations Unies</w:t>
            </w:r>
          </w:p>
        </w:tc>
      </w:tr>
      <w:tr w:rsidR="00971306" w:rsidRPr="00454255" w14:paraId="177423B1" w14:textId="77777777" w:rsidTr="00B871E4">
        <w:tc>
          <w:tcPr>
            <w:tcW w:w="1384" w:type="dxa"/>
          </w:tcPr>
          <w:p w14:paraId="1F5CD11E" w14:textId="77777777" w:rsidR="00971306" w:rsidRPr="00454255" w:rsidRDefault="00971306" w:rsidP="00971306">
            <w:pPr>
              <w:spacing w:after="0" w:line="240" w:lineRule="auto"/>
              <w:rPr>
                <w:rFonts w:ascii="Times New Roman" w:hAnsi="Times New Roman"/>
                <w:b w:val="0"/>
              </w:rPr>
            </w:pPr>
            <w:r w:rsidRPr="00454255">
              <w:rPr>
                <w:rFonts w:ascii="Times New Roman" w:hAnsi="Times New Roman"/>
                <w:b w:val="0"/>
              </w:rPr>
              <w:t>UNDAF</w:t>
            </w:r>
          </w:p>
        </w:tc>
        <w:tc>
          <w:tcPr>
            <w:tcW w:w="8222" w:type="dxa"/>
          </w:tcPr>
          <w:p w14:paraId="46CF3D6C" w14:textId="77777777" w:rsidR="00971306" w:rsidRPr="00454255" w:rsidRDefault="00B871E4" w:rsidP="00971306">
            <w:pPr>
              <w:spacing w:after="0" w:line="240" w:lineRule="auto"/>
              <w:rPr>
                <w:rFonts w:ascii="Times New Roman" w:hAnsi="Times New Roman"/>
                <w:b w:val="0"/>
              </w:rPr>
            </w:pPr>
            <w:r w:rsidRPr="00454255">
              <w:rPr>
                <w:rFonts w:ascii="Times New Roman" w:hAnsi="Times New Roman"/>
                <w:b w:val="0"/>
              </w:rPr>
              <w:t>: Cadre des Nations Unies pour l’Assistance au Développement</w:t>
            </w:r>
          </w:p>
        </w:tc>
      </w:tr>
      <w:tr w:rsidR="00971306" w:rsidRPr="00454255" w14:paraId="42FDE70A" w14:textId="77777777" w:rsidTr="00B871E4">
        <w:tc>
          <w:tcPr>
            <w:tcW w:w="1384" w:type="dxa"/>
          </w:tcPr>
          <w:p w14:paraId="5D89ED67" w14:textId="77777777" w:rsidR="00971306" w:rsidRPr="00454255" w:rsidRDefault="00971306" w:rsidP="00971306">
            <w:pPr>
              <w:spacing w:after="0" w:line="240" w:lineRule="auto"/>
              <w:rPr>
                <w:rFonts w:ascii="Times New Roman" w:hAnsi="Times New Roman"/>
                <w:b w:val="0"/>
              </w:rPr>
            </w:pPr>
            <w:r w:rsidRPr="00454255">
              <w:rPr>
                <w:rFonts w:ascii="Times New Roman" w:hAnsi="Times New Roman"/>
                <w:b w:val="0"/>
              </w:rPr>
              <w:t>USD</w:t>
            </w:r>
          </w:p>
        </w:tc>
        <w:tc>
          <w:tcPr>
            <w:tcW w:w="8222" w:type="dxa"/>
          </w:tcPr>
          <w:p w14:paraId="0F6579CA" w14:textId="77777777" w:rsidR="00971306" w:rsidRPr="00454255" w:rsidRDefault="00B871E4" w:rsidP="00971306">
            <w:pPr>
              <w:spacing w:after="0" w:line="240" w:lineRule="auto"/>
              <w:rPr>
                <w:rFonts w:ascii="Times New Roman" w:hAnsi="Times New Roman"/>
                <w:b w:val="0"/>
              </w:rPr>
            </w:pPr>
            <w:r w:rsidRPr="00454255">
              <w:rPr>
                <w:rFonts w:ascii="Times New Roman" w:hAnsi="Times New Roman"/>
                <w:b w:val="0"/>
              </w:rPr>
              <w:t xml:space="preserve">: </w:t>
            </w:r>
            <w:r w:rsidR="00971306" w:rsidRPr="00454255">
              <w:rPr>
                <w:rFonts w:ascii="Times New Roman" w:hAnsi="Times New Roman"/>
                <w:b w:val="0"/>
              </w:rPr>
              <w:t>Dollar des Etats Unis d’Amérique</w:t>
            </w:r>
          </w:p>
        </w:tc>
      </w:tr>
      <w:tr w:rsidR="00971306" w:rsidRPr="00454255" w14:paraId="372A3E72" w14:textId="77777777" w:rsidTr="00B871E4">
        <w:tc>
          <w:tcPr>
            <w:tcW w:w="1384" w:type="dxa"/>
          </w:tcPr>
          <w:p w14:paraId="21954E5D" w14:textId="77777777" w:rsidR="00971306" w:rsidRPr="00454255" w:rsidRDefault="00971306" w:rsidP="00971306">
            <w:pPr>
              <w:spacing w:after="0" w:line="240" w:lineRule="auto"/>
              <w:rPr>
                <w:rFonts w:ascii="Times New Roman" w:hAnsi="Times New Roman"/>
                <w:b w:val="0"/>
              </w:rPr>
            </w:pPr>
            <w:r w:rsidRPr="00454255">
              <w:rPr>
                <w:rFonts w:ascii="Times New Roman" w:hAnsi="Times New Roman"/>
                <w:b w:val="0"/>
              </w:rPr>
              <w:t>VIH</w:t>
            </w:r>
          </w:p>
        </w:tc>
        <w:tc>
          <w:tcPr>
            <w:tcW w:w="8222" w:type="dxa"/>
          </w:tcPr>
          <w:p w14:paraId="77EC168E" w14:textId="77777777" w:rsidR="00971306" w:rsidRPr="00454255" w:rsidRDefault="00B871E4" w:rsidP="00971306">
            <w:pPr>
              <w:spacing w:after="0" w:line="240" w:lineRule="auto"/>
              <w:rPr>
                <w:rFonts w:ascii="Times New Roman" w:hAnsi="Times New Roman"/>
                <w:b w:val="0"/>
              </w:rPr>
            </w:pPr>
            <w:r w:rsidRPr="00454255">
              <w:rPr>
                <w:rFonts w:ascii="Times New Roman" w:hAnsi="Times New Roman"/>
                <w:b w:val="0"/>
              </w:rPr>
              <w:t xml:space="preserve">: </w:t>
            </w:r>
            <w:r w:rsidR="00971306" w:rsidRPr="00454255">
              <w:rPr>
                <w:rFonts w:ascii="Times New Roman" w:hAnsi="Times New Roman"/>
                <w:b w:val="0"/>
              </w:rPr>
              <w:t>Virus d’Immunodéficience Humaine</w:t>
            </w:r>
          </w:p>
        </w:tc>
      </w:tr>
      <w:tr w:rsidR="00971306" w:rsidRPr="00454255" w14:paraId="19141E91" w14:textId="77777777" w:rsidTr="00B871E4">
        <w:tc>
          <w:tcPr>
            <w:tcW w:w="1384" w:type="dxa"/>
          </w:tcPr>
          <w:p w14:paraId="6AAA74CD" w14:textId="77777777" w:rsidR="00971306" w:rsidRPr="00454255" w:rsidRDefault="00971306" w:rsidP="00971306">
            <w:pPr>
              <w:spacing w:after="0" w:line="240" w:lineRule="auto"/>
              <w:rPr>
                <w:rFonts w:ascii="Times New Roman" w:hAnsi="Times New Roman"/>
                <w:b w:val="0"/>
              </w:rPr>
            </w:pPr>
            <w:r w:rsidRPr="00454255">
              <w:rPr>
                <w:rFonts w:ascii="Times New Roman" w:hAnsi="Times New Roman"/>
                <w:b w:val="0"/>
              </w:rPr>
              <w:t>SIDA</w:t>
            </w:r>
          </w:p>
        </w:tc>
        <w:tc>
          <w:tcPr>
            <w:tcW w:w="8222" w:type="dxa"/>
          </w:tcPr>
          <w:p w14:paraId="284FD110" w14:textId="77777777" w:rsidR="00971306" w:rsidRPr="00454255" w:rsidRDefault="00B871E4" w:rsidP="00971306">
            <w:pPr>
              <w:spacing w:after="0" w:line="240" w:lineRule="auto"/>
              <w:rPr>
                <w:rFonts w:ascii="Times New Roman" w:hAnsi="Times New Roman"/>
                <w:b w:val="0"/>
              </w:rPr>
            </w:pPr>
            <w:r w:rsidRPr="00454255">
              <w:rPr>
                <w:rFonts w:ascii="Times New Roman" w:hAnsi="Times New Roman"/>
                <w:b w:val="0"/>
              </w:rPr>
              <w:t>: Syndrome d’Immunodéficience Acquise</w:t>
            </w:r>
          </w:p>
        </w:tc>
      </w:tr>
    </w:tbl>
    <w:p w14:paraId="33E56CA7" w14:textId="77777777" w:rsidR="00033310" w:rsidRDefault="00033310" w:rsidP="0022759B">
      <w:pPr>
        <w:spacing w:after="0" w:line="240" w:lineRule="auto"/>
        <w:rPr>
          <w:sz w:val="24"/>
          <w:szCs w:val="24"/>
          <w:lang w:val="en-US"/>
        </w:rPr>
      </w:pPr>
    </w:p>
    <w:p w14:paraId="0386238E" w14:textId="77777777" w:rsidR="00033310" w:rsidRPr="006B309F" w:rsidRDefault="00033310" w:rsidP="0022759B">
      <w:pPr>
        <w:spacing w:after="0" w:line="240" w:lineRule="auto"/>
        <w:rPr>
          <w:sz w:val="24"/>
          <w:szCs w:val="24"/>
          <w:lang w:val="en-US"/>
        </w:rPr>
      </w:pPr>
    </w:p>
    <w:p w14:paraId="4C0EACBE" w14:textId="77777777" w:rsidR="00145113" w:rsidRDefault="00145113">
      <w:pPr>
        <w:spacing w:after="0" w:line="240" w:lineRule="auto"/>
        <w:rPr>
          <w:sz w:val="24"/>
          <w:szCs w:val="24"/>
          <w:lang w:val="en-US"/>
        </w:rPr>
      </w:pPr>
      <w:r>
        <w:rPr>
          <w:sz w:val="24"/>
          <w:szCs w:val="24"/>
          <w:lang w:val="en-US"/>
        </w:rPr>
        <w:br w:type="page"/>
      </w:r>
    </w:p>
    <w:sdt>
      <w:sdtPr>
        <w:rPr>
          <w:rFonts w:ascii="Calibri" w:eastAsia="Calibri" w:hAnsi="Calibri"/>
          <w:b w:val="0"/>
          <w:bCs w:val="0"/>
          <w:color w:val="auto"/>
          <w:sz w:val="22"/>
          <w:szCs w:val="22"/>
        </w:rPr>
        <w:id w:val="252010454"/>
        <w:docPartObj>
          <w:docPartGallery w:val="Table of Contents"/>
          <w:docPartUnique/>
        </w:docPartObj>
      </w:sdtPr>
      <w:sdtContent>
        <w:p w14:paraId="6A05CAAA" w14:textId="77777777" w:rsidR="00145113" w:rsidRDefault="00145113">
          <w:pPr>
            <w:pStyle w:val="En-ttedetabledesmatires"/>
          </w:pPr>
        </w:p>
        <w:p w14:paraId="7B3CCD32" w14:textId="77777777" w:rsidR="00145113" w:rsidRDefault="00145113" w:rsidP="00145113"/>
        <w:p w14:paraId="6698F784" w14:textId="77777777" w:rsidR="00145113" w:rsidRPr="00350348" w:rsidRDefault="00145113" w:rsidP="00145113">
          <w:pPr>
            <w:rPr>
              <w:rFonts w:ascii="Cambria" w:hAnsi="Cambria"/>
              <w:b/>
              <w:sz w:val="28"/>
              <w:szCs w:val="28"/>
            </w:rPr>
          </w:pPr>
          <w:r w:rsidRPr="00350348">
            <w:rPr>
              <w:rFonts w:ascii="Cambria" w:hAnsi="Cambria"/>
              <w:b/>
              <w:sz w:val="28"/>
              <w:szCs w:val="28"/>
            </w:rPr>
            <w:t>Liste des tableaux et figures</w:t>
          </w:r>
        </w:p>
        <w:p w14:paraId="155C62A4" w14:textId="77777777" w:rsidR="00145113" w:rsidRDefault="00145113" w:rsidP="00145113">
          <w:pPr>
            <w:pStyle w:val="TM1"/>
            <w:tabs>
              <w:tab w:val="right" w:leader="dot" w:pos="9060"/>
            </w:tabs>
            <w:rPr>
              <w:rFonts w:asciiTheme="minorHAnsi" w:eastAsiaTheme="minorEastAsia" w:hAnsiTheme="minorHAnsi" w:cstheme="minorBidi"/>
              <w:noProof/>
              <w:lang w:eastAsia="fr-FR"/>
            </w:rPr>
          </w:pPr>
          <w:r>
            <w:fldChar w:fldCharType="begin"/>
          </w:r>
          <w:r>
            <w:instrText xml:space="preserve"> TOC \o "1-3" \h \z \u </w:instrText>
          </w:r>
          <w:r>
            <w:fldChar w:fldCharType="separate"/>
          </w:r>
        </w:p>
        <w:p w14:paraId="1440DF55" w14:textId="77777777" w:rsidR="00145113" w:rsidRDefault="00145113">
          <w:pPr>
            <w:pStyle w:val="TM3"/>
            <w:rPr>
              <w:rFonts w:asciiTheme="minorHAnsi" w:eastAsiaTheme="minorEastAsia" w:hAnsiTheme="minorHAnsi" w:cstheme="minorBidi"/>
              <w:noProof/>
              <w:lang w:eastAsia="fr-FR"/>
            </w:rPr>
          </w:pPr>
        </w:p>
        <w:p w14:paraId="17C48ABC" w14:textId="77777777" w:rsidR="00145113" w:rsidRDefault="004F261E">
          <w:pPr>
            <w:pStyle w:val="TM1"/>
            <w:tabs>
              <w:tab w:val="right" w:leader="dot" w:pos="9060"/>
            </w:tabs>
            <w:rPr>
              <w:rFonts w:asciiTheme="minorHAnsi" w:eastAsiaTheme="minorEastAsia" w:hAnsiTheme="minorHAnsi" w:cstheme="minorBidi"/>
              <w:noProof/>
              <w:lang w:eastAsia="fr-FR"/>
            </w:rPr>
          </w:pPr>
          <w:hyperlink w:anchor="_Toc499211586" w:history="1">
            <w:r w:rsidR="00145113" w:rsidRPr="004669B1">
              <w:rPr>
                <w:rStyle w:val="Lienhypertexte"/>
                <w:rFonts w:ascii="Times New Roman" w:hAnsi="Times New Roman"/>
                <w:noProof/>
              </w:rPr>
              <w:t>Tableau 1 : Chronogramme de mission</w:t>
            </w:r>
            <w:r w:rsidR="00145113">
              <w:rPr>
                <w:noProof/>
                <w:webHidden/>
              </w:rPr>
              <w:tab/>
            </w:r>
            <w:r w:rsidR="00145113">
              <w:rPr>
                <w:noProof/>
                <w:webHidden/>
              </w:rPr>
              <w:fldChar w:fldCharType="begin"/>
            </w:r>
            <w:r w:rsidR="00145113">
              <w:rPr>
                <w:noProof/>
                <w:webHidden/>
              </w:rPr>
              <w:instrText xml:space="preserve"> PAGEREF _Toc499211586 \h </w:instrText>
            </w:r>
            <w:r w:rsidR="00145113">
              <w:rPr>
                <w:noProof/>
                <w:webHidden/>
              </w:rPr>
            </w:r>
            <w:r w:rsidR="00145113">
              <w:rPr>
                <w:noProof/>
                <w:webHidden/>
              </w:rPr>
              <w:fldChar w:fldCharType="separate"/>
            </w:r>
            <w:r w:rsidR="00145113">
              <w:rPr>
                <w:noProof/>
                <w:webHidden/>
              </w:rPr>
              <w:t>14</w:t>
            </w:r>
            <w:r w:rsidR="00145113">
              <w:rPr>
                <w:noProof/>
                <w:webHidden/>
              </w:rPr>
              <w:fldChar w:fldCharType="end"/>
            </w:r>
          </w:hyperlink>
        </w:p>
        <w:p w14:paraId="6A0B1361" w14:textId="77777777" w:rsidR="00145113" w:rsidRDefault="004F261E">
          <w:pPr>
            <w:pStyle w:val="TM1"/>
            <w:tabs>
              <w:tab w:val="right" w:leader="dot" w:pos="9060"/>
            </w:tabs>
            <w:rPr>
              <w:rFonts w:asciiTheme="minorHAnsi" w:eastAsiaTheme="minorEastAsia" w:hAnsiTheme="minorHAnsi" w:cstheme="minorBidi"/>
              <w:noProof/>
              <w:lang w:eastAsia="fr-FR"/>
            </w:rPr>
          </w:pPr>
          <w:hyperlink w:anchor="_Toc499211594" w:history="1">
            <w:r w:rsidR="00145113" w:rsidRPr="004669B1">
              <w:rPr>
                <w:rStyle w:val="Lienhypertexte"/>
                <w:rFonts w:ascii="Times New Roman" w:hAnsi="Times New Roman"/>
                <w:noProof/>
              </w:rPr>
              <w:t>Tableau 2 : Vue d’ensemble du Portefeuille</w:t>
            </w:r>
            <w:r w:rsidR="00145113">
              <w:rPr>
                <w:noProof/>
                <w:webHidden/>
              </w:rPr>
              <w:tab/>
            </w:r>
            <w:r w:rsidR="00145113">
              <w:rPr>
                <w:noProof/>
                <w:webHidden/>
              </w:rPr>
              <w:fldChar w:fldCharType="begin"/>
            </w:r>
            <w:r w:rsidR="00145113">
              <w:rPr>
                <w:noProof/>
                <w:webHidden/>
              </w:rPr>
              <w:instrText xml:space="preserve"> PAGEREF _Toc499211594 \h </w:instrText>
            </w:r>
            <w:r w:rsidR="00145113">
              <w:rPr>
                <w:noProof/>
                <w:webHidden/>
              </w:rPr>
            </w:r>
            <w:r w:rsidR="00145113">
              <w:rPr>
                <w:noProof/>
                <w:webHidden/>
              </w:rPr>
              <w:fldChar w:fldCharType="separate"/>
            </w:r>
            <w:r w:rsidR="00145113">
              <w:rPr>
                <w:noProof/>
                <w:webHidden/>
              </w:rPr>
              <w:t>17</w:t>
            </w:r>
            <w:r w:rsidR="00145113">
              <w:rPr>
                <w:noProof/>
                <w:webHidden/>
              </w:rPr>
              <w:fldChar w:fldCharType="end"/>
            </w:r>
          </w:hyperlink>
        </w:p>
        <w:p w14:paraId="45F35C36" w14:textId="77777777" w:rsidR="00145113" w:rsidRDefault="004F261E">
          <w:pPr>
            <w:pStyle w:val="TM1"/>
            <w:tabs>
              <w:tab w:val="right" w:leader="dot" w:pos="9060"/>
            </w:tabs>
            <w:rPr>
              <w:rFonts w:asciiTheme="minorHAnsi" w:eastAsiaTheme="minorEastAsia" w:hAnsiTheme="minorHAnsi" w:cstheme="minorBidi"/>
              <w:noProof/>
              <w:lang w:eastAsia="fr-FR"/>
            </w:rPr>
          </w:pPr>
          <w:hyperlink w:anchor="_Toc499211598" w:history="1">
            <w:r w:rsidR="00145113" w:rsidRPr="004669B1">
              <w:rPr>
                <w:rStyle w:val="Lienhypertexte"/>
                <w:rFonts w:ascii="Times New Roman" w:hAnsi="Times New Roman"/>
                <w:noProof/>
              </w:rPr>
              <w:t>Tableau 3 : Budget prévisionnel du Programme</w:t>
            </w:r>
            <w:r w:rsidR="00145113">
              <w:rPr>
                <w:noProof/>
                <w:webHidden/>
              </w:rPr>
              <w:tab/>
            </w:r>
            <w:r w:rsidR="00145113">
              <w:rPr>
                <w:noProof/>
                <w:webHidden/>
              </w:rPr>
              <w:fldChar w:fldCharType="begin"/>
            </w:r>
            <w:r w:rsidR="00145113">
              <w:rPr>
                <w:noProof/>
                <w:webHidden/>
              </w:rPr>
              <w:instrText xml:space="preserve"> PAGEREF _Toc499211598 \h </w:instrText>
            </w:r>
            <w:r w:rsidR="00145113">
              <w:rPr>
                <w:noProof/>
                <w:webHidden/>
              </w:rPr>
            </w:r>
            <w:r w:rsidR="00145113">
              <w:rPr>
                <w:noProof/>
                <w:webHidden/>
              </w:rPr>
              <w:fldChar w:fldCharType="separate"/>
            </w:r>
            <w:r w:rsidR="00145113">
              <w:rPr>
                <w:noProof/>
                <w:webHidden/>
              </w:rPr>
              <w:t>19</w:t>
            </w:r>
            <w:r w:rsidR="00145113">
              <w:rPr>
                <w:noProof/>
                <w:webHidden/>
              </w:rPr>
              <w:fldChar w:fldCharType="end"/>
            </w:r>
          </w:hyperlink>
        </w:p>
        <w:p w14:paraId="242553A5" w14:textId="77777777" w:rsidR="00145113" w:rsidRDefault="004F261E">
          <w:pPr>
            <w:pStyle w:val="TM1"/>
            <w:tabs>
              <w:tab w:val="right" w:leader="dot" w:pos="9060"/>
            </w:tabs>
            <w:rPr>
              <w:rFonts w:asciiTheme="minorHAnsi" w:eastAsiaTheme="minorEastAsia" w:hAnsiTheme="minorHAnsi" w:cstheme="minorBidi"/>
              <w:noProof/>
              <w:lang w:eastAsia="fr-FR"/>
            </w:rPr>
          </w:pPr>
          <w:hyperlink w:anchor="_Toc499211605" w:history="1">
            <w:r w:rsidR="00145113" w:rsidRPr="004669B1">
              <w:rPr>
                <w:rStyle w:val="Lienhypertexte"/>
                <w:rFonts w:ascii="Times New Roman" w:hAnsi="Times New Roman"/>
                <w:noProof/>
              </w:rPr>
              <w:t>Tableau 4 : Robustesse logique des résultats</w:t>
            </w:r>
            <w:r w:rsidR="00145113">
              <w:rPr>
                <w:noProof/>
                <w:webHidden/>
              </w:rPr>
              <w:tab/>
            </w:r>
            <w:r w:rsidR="00145113">
              <w:rPr>
                <w:noProof/>
                <w:webHidden/>
              </w:rPr>
              <w:fldChar w:fldCharType="begin"/>
            </w:r>
            <w:r w:rsidR="00145113">
              <w:rPr>
                <w:noProof/>
                <w:webHidden/>
              </w:rPr>
              <w:instrText xml:space="preserve"> PAGEREF _Toc499211605 \h </w:instrText>
            </w:r>
            <w:r w:rsidR="00145113">
              <w:rPr>
                <w:noProof/>
                <w:webHidden/>
              </w:rPr>
            </w:r>
            <w:r w:rsidR="00145113">
              <w:rPr>
                <w:noProof/>
                <w:webHidden/>
              </w:rPr>
              <w:fldChar w:fldCharType="separate"/>
            </w:r>
            <w:r w:rsidR="00145113">
              <w:rPr>
                <w:noProof/>
                <w:webHidden/>
              </w:rPr>
              <w:t>21</w:t>
            </w:r>
            <w:r w:rsidR="00145113">
              <w:rPr>
                <w:noProof/>
                <w:webHidden/>
              </w:rPr>
              <w:fldChar w:fldCharType="end"/>
            </w:r>
          </w:hyperlink>
        </w:p>
        <w:p w14:paraId="4706941E" w14:textId="77777777" w:rsidR="00145113" w:rsidRDefault="004F261E">
          <w:pPr>
            <w:pStyle w:val="TM1"/>
            <w:tabs>
              <w:tab w:val="right" w:leader="dot" w:pos="9060"/>
            </w:tabs>
            <w:rPr>
              <w:rFonts w:asciiTheme="minorHAnsi" w:eastAsiaTheme="minorEastAsia" w:hAnsiTheme="minorHAnsi" w:cstheme="minorBidi"/>
              <w:noProof/>
              <w:lang w:eastAsia="fr-FR"/>
            </w:rPr>
          </w:pPr>
          <w:hyperlink w:anchor="_Toc499211606" w:history="1">
            <w:r w:rsidR="00145113" w:rsidRPr="004669B1">
              <w:rPr>
                <w:rStyle w:val="Lienhypertexte"/>
                <w:rFonts w:ascii="Times New Roman" w:hAnsi="Times New Roman"/>
                <w:noProof/>
              </w:rPr>
              <w:t>Tableau 5 : Robustesse logique des produits</w:t>
            </w:r>
            <w:r w:rsidR="00145113">
              <w:rPr>
                <w:noProof/>
                <w:webHidden/>
              </w:rPr>
              <w:tab/>
            </w:r>
            <w:r w:rsidR="00145113">
              <w:rPr>
                <w:noProof/>
                <w:webHidden/>
              </w:rPr>
              <w:fldChar w:fldCharType="begin"/>
            </w:r>
            <w:r w:rsidR="00145113">
              <w:rPr>
                <w:noProof/>
                <w:webHidden/>
              </w:rPr>
              <w:instrText xml:space="preserve"> PAGEREF _Toc499211606 \h </w:instrText>
            </w:r>
            <w:r w:rsidR="00145113">
              <w:rPr>
                <w:noProof/>
                <w:webHidden/>
              </w:rPr>
            </w:r>
            <w:r w:rsidR="00145113">
              <w:rPr>
                <w:noProof/>
                <w:webHidden/>
              </w:rPr>
              <w:fldChar w:fldCharType="separate"/>
            </w:r>
            <w:r w:rsidR="00145113">
              <w:rPr>
                <w:noProof/>
                <w:webHidden/>
              </w:rPr>
              <w:t>23</w:t>
            </w:r>
            <w:r w:rsidR="00145113">
              <w:rPr>
                <w:noProof/>
                <w:webHidden/>
              </w:rPr>
              <w:fldChar w:fldCharType="end"/>
            </w:r>
          </w:hyperlink>
        </w:p>
        <w:p w14:paraId="626D1F0F" w14:textId="77777777" w:rsidR="00145113" w:rsidRDefault="004F261E">
          <w:pPr>
            <w:pStyle w:val="TM1"/>
            <w:tabs>
              <w:tab w:val="right" w:leader="dot" w:pos="9060"/>
            </w:tabs>
            <w:rPr>
              <w:rFonts w:asciiTheme="minorHAnsi" w:eastAsiaTheme="minorEastAsia" w:hAnsiTheme="minorHAnsi" w:cstheme="minorBidi"/>
              <w:noProof/>
              <w:lang w:eastAsia="fr-FR"/>
            </w:rPr>
          </w:pPr>
          <w:hyperlink w:anchor="_Toc499211609" w:history="1">
            <w:r w:rsidR="00145113" w:rsidRPr="004669B1">
              <w:rPr>
                <w:rStyle w:val="Lienhypertexte"/>
                <w:rFonts w:ascii="Times New Roman" w:hAnsi="Times New Roman"/>
                <w:noProof/>
              </w:rPr>
              <w:t>Tableau 6 : Effet 1/Performances-Pays</w:t>
            </w:r>
            <w:r w:rsidR="00145113">
              <w:rPr>
                <w:noProof/>
                <w:webHidden/>
              </w:rPr>
              <w:tab/>
            </w:r>
            <w:r w:rsidR="00145113">
              <w:rPr>
                <w:noProof/>
                <w:webHidden/>
              </w:rPr>
              <w:fldChar w:fldCharType="begin"/>
            </w:r>
            <w:r w:rsidR="00145113">
              <w:rPr>
                <w:noProof/>
                <w:webHidden/>
              </w:rPr>
              <w:instrText xml:space="preserve"> PAGEREF _Toc499211609 \h </w:instrText>
            </w:r>
            <w:r w:rsidR="00145113">
              <w:rPr>
                <w:noProof/>
                <w:webHidden/>
              </w:rPr>
            </w:r>
            <w:r w:rsidR="00145113">
              <w:rPr>
                <w:noProof/>
                <w:webHidden/>
              </w:rPr>
              <w:fldChar w:fldCharType="separate"/>
            </w:r>
            <w:r w:rsidR="00145113">
              <w:rPr>
                <w:noProof/>
                <w:webHidden/>
              </w:rPr>
              <w:t>27</w:t>
            </w:r>
            <w:r w:rsidR="00145113">
              <w:rPr>
                <w:noProof/>
                <w:webHidden/>
              </w:rPr>
              <w:fldChar w:fldCharType="end"/>
            </w:r>
          </w:hyperlink>
        </w:p>
        <w:p w14:paraId="0F4D6C54" w14:textId="77777777" w:rsidR="00145113" w:rsidRDefault="004F261E">
          <w:pPr>
            <w:pStyle w:val="TM1"/>
            <w:tabs>
              <w:tab w:val="right" w:leader="dot" w:pos="9060"/>
            </w:tabs>
            <w:rPr>
              <w:rFonts w:asciiTheme="minorHAnsi" w:eastAsiaTheme="minorEastAsia" w:hAnsiTheme="minorHAnsi" w:cstheme="minorBidi"/>
              <w:noProof/>
              <w:lang w:eastAsia="fr-FR"/>
            </w:rPr>
          </w:pPr>
          <w:hyperlink w:anchor="_Toc499211610" w:history="1">
            <w:r w:rsidR="00145113" w:rsidRPr="004669B1">
              <w:rPr>
                <w:rStyle w:val="Lienhypertexte"/>
                <w:rFonts w:ascii="Times New Roman" w:hAnsi="Times New Roman"/>
                <w:noProof/>
              </w:rPr>
              <w:t>Tableau 7 : Contribution du Programme à l’Effet 1</w:t>
            </w:r>
            <w:r w:rsidR="00145113">
              <w:rPr>
                <w:noProof/>
                <w:webHidden/>
              </w:rPr>
              <w:tab/>
            </w:r>
            <w:r w:rsidR="00145113">
              <w:rPr>
                <w:noProof/>
                <w:webHidden/>
              </w:rPr>
              <w:fldChar w:fldCharType="begin"/>
            </w:r>
            <w:r w:rsidR="00145113">
              <w:rPr>
                <w:noProof/>
                <w:webHidden/>
              </w:rPr>
              <w:instrText xml:space="preserve"> PAGEREF _Toc499211610 \h </w:instrText>
            </w:r>
            <w:r w:rsidR="00145113">
              <w:rPr>
                <w:noProof/>
                <w:webHidden/>
              </w:rPr>
            </w:r>
            <w:r w:rsidR="00145113">
              <w:rPr>
                <w:noProof/>
                <w:webHidden/>
              </w:rPr>
              <w:fldChar w:fldCharType="separate"/>
            </w:r>
            <w:r w:rsidR="00145113">
              <w:rPr>
                <w:noProof/>
                <w:webHidden/>
              </w:rPr>
              <w:t>29</w:t>
            </w:r>
            <w:r w:rsidR="00145113">
              <w:rPr>
                <w:noProof/>
                <w:webHidden/>
              </w:rPr>
              <w:fldChar w:fldCharType="end"/>
            </w:r>
          </w:hyperlink>
        </w:p>
        <w:p w14:paraId="284178E1" w14:textId="77777777" w:rsidR="00145113" w:rsidRDefault="004F261E">
          <w:pPr>
            <w:pStyle w:val="TM1"/>
            <w:tabs>
              <w:tab w:val="right" w:leader="dot" w:pos="9060"/>
            </w:tabs>
            <w:rPr>
              <w:rFonts w:asciiTheme="minorHAnsi" w:eastAsiaTheme="minorEastAsia" w:hAnsiTheme="minorHAnsi" w:cstheme="minorBidi"/>
              <w:noProof/>
              <w:lang w:eastAsia="fr-FR"/>
            </w:rPr>
          </w:pPr>
          <w:hyperlink w:anchor="_Toc499211612" w:history="1">
            <w:r w:rsidR="00145113" w:rsidRPr="004669B1">
              <w:rPr>
                <w:rStyle w:val="Lienhypertexte"/>
                <w:rFonts w:ascii="Times New Roman" w:hAnsi="Times New Roman"/>
                <w:noProof/>
              </w:rPr>
              <w:t>Tableau 8 : Effet 2/Performances-Pays</w:t>
            </w:r>
            <w:r w:rsidR="00145113">
              <w:rPr>
                <w:noProof/>
                <w:webHidden/>
              </w:rPr>
              <w:tab/>
            </w:r>
            <w:r w:rsidR="00145113">
              <w:rPr>
                <w:noProof/>
                <w:webHidden/>
              </w:rPr>
              <w:fldChar w:fldCharType="begin"/>
            </w:r>
            <w:r w:rsidR="00145113">
              <w:rPr>
                <w:noProof/>
                <w:webHidden/>
              </w:rPr>
              <w:instrText xml:space="preserve"> PAGEREF _Toc499211612 \h </w:instrText>
            </w:r>
            <w:r w:rsidR="00145113">
              <w:rPr>
                <w:noProof/>
                <w:webHidden/>
              </w:rPr>
            </w:r>
            <w:r w:rsidR="00145113">
              <w:rPr>
                <w:noProof/>
                <w:webHidden/>
              </w:rPr>
              <w:fldChar w:fldCharType="separate"/>
            </w:r>
            <w:r w:rsidR="00145113">
              <w:rPr>
                <w:noProof/>
                <w:webHidden/>
              </w:rPr>
              <w:t>31</w:t>
            </w:r>
            <w:r w:rsidR="00145113">
              <w:rPr>
                <w:noProof/>
                <w:webHidden/>
              </w:rPr>
              <w:fldChar w:fldCharType="end"/>
            </w:r>
          </w:hyperlink>
        </w:p>
        <w:p w14:paraId="72C72993" w14:textId="77777777" w:rsidR="00145113" w:rsidRDefault="004F261E">
          <w:pPr>
            <w:pStyle w:val="TM1"/>
            <w:tabs>
              <w:tab w:val="right" w:leader="dot" w:pos="9060"/>
            </w:tabs>
            <w:rPr>
              <w:rFonts w:asciiTheme="minorHAnsi" w:eastAsiaTheme="minorEastAsia" w:hAnsiTheme="minorHAnsi" w:cstheme="minorBidi"/>
              <w:noProof/>
              <w:lang w:eastAsia="fr-FR"/>
            </w:rPr>
          </w:pPr>
          <w:hyperlink w:anchor="_Toc499211613" w:history="1">
            <w:r w:rsidR="00145113" w:rsidRPr="004669B1">
              <w:rPr>
                <w:rStyle w:val="Lienhypertexte"/>
                <w:rFonts w:ascii="Times New Roman" w:hAnsi="Times New Roman"/>
                <w:noProof/>
              </w:rPr>
              <w:t xml:space="preserve">Tableau </w:t>
            </w:r>
            <w:r w:rsidR="00145113">
              <w:rPr>
                <w:rStyle w:val="Lienhypertexte"/>
                <w:rFonts w:ascii="Times New Roman" w:hAnsi="Times New Roman"/>
                <w:noProof/>
              </w:rPr>
              <w:t>9</w:t>
            </w:r>
            <w:r w:rsidR="00145113" w:rsidRPr="004669B1">
              <w:rPr>
                <w:rStyle w:val="Lienhypertexte"/>
                <w:rFonts w:ascii="Times New Roman" w:hAnsi="Times New Roman"/>
                <w:noProof/>
              </w:rPr>
              <w:t> : Contribution du Programme à l’Effet 2</w:t>
            </w:r>
            <w:r w:rsidR="00145113">
              <w:rPr>
                <w:noProof/>
                <w:webHidden/>
              </w:rPr>
              <w:tab/>
            </w:r>
            <w:r w:rsidR="00145113">
              <w:rPr>
                <w:noProof/>
                <w:webHidden/>
              </w:rPr>
              <w:fldChar w:fldCharType="begin"/>
            </w:r>
            <w:r w:rsidR="00145113">
              <w:rPr>
                <w:noProof/>
                <w:webHidden/>
              </w:rPr>
              <w:instrText xml:space="preserve"> PAGEREF _Toc499211613 \h </w:instrText>
            </w:r>
            <w:r w:rsidR="00145113">
              <w:rPr>
                <w:noProof/>
                <w:webHidden/>
              </w:rPr>
            </w:r>
            <w:r w:rsidR="00145113">
              <w:rPr>
                <w:noProof/>
                <w:webHidden/>
              </w:rPr>
              <w:fldChar w:fldCharType="separate"/>
            </w:r>
            <w:r w:rsidR="00145113">
              <w:rPr>
                <w:noProof/>
                <w:webHidden/>
              </w:rPr>
              <w:t>36</w:t>
            </w:r>
            <w:r w:rsidR="00145113">
              <w:rPr>
                <w:noProof/>
                <w:webHidden/>
              </w:rPr>
              <w:fldChar w:fldCharType="end"/>
            </w:r>
          </w:hyperlink>
        </w:p>
        <w:p w14:paraId="5D92E470" w14:textId="77777777" w:rsidR="00145113" w:rsidRDefault="004F261E">
          <w:pPr>
            <w:pStyle w:val="TM1"/>
            <w:tabs>
              <w:tab w:val="right" w:leader="dot" w:pos="9060"/>
            </w:tabs>
            <w:rPr>
              <w:rFonts w:asciiTheme="minorHAnsi" w:eastAsiaTheme="minorEastAsia" w:hAnsiTheme="minorHAnsi" w:cstheme="minorBidi"/>
              <w:noProof/>
              <w:lang w:eastAsia="fr-FR"/>
            </w:rPr>
          </w:pPr>
          <w:hyperlink w:anchor="_Toc499211615" w:history="1">
            <w:r w:rsidR="00145113" w:rsidRPr="004669B1">
              <w:rPr>
                <w:rStyle w:val="Lienhypertexte"/>
                <w:rFonts w:ascii="Times New Roman" w:hAnsi="Times New Roman"/>
                <w:noProof/>
              </w:rPr>
              <w:t xml:space="preserve">Tableau </w:t>
            </w:r>
            <w:r w:rsidR="00145113">
              <w:rPr>
                <w:rStyle w:val="Lienhypertexte"/>
                <w:rFonts w:ascii="Times New Roman" w:hAnsi="Times New Roman"/>
                <w:noProof/>
              </w:rPr>
              <w:t>10</w:t>
            </w:r>
            <w:r w:rsidR="00145113" w:rsidRPr="004669B1">
              <w:rPr>
                <w:rStyle w:val="Lienhypertexte"/>
                <w:rFonts w:ascii="Times New Roman" w:hAnsi="Times New Roman"/>
                <w:noProof/>
              </w:rPr>
              <w:t> : Effet 3 /Performances Pays</w:t>
            </w:r>
            <w:r w:rsidR="00145113">
              <w:rPr>
                <w:noProof/>
                <w:webHidden/>
              </w:rPr>
              <w:tab/>
            </w:r>
            <w:r w:rsidR="00145113">
              <w:rPr>
                <w:noProof/>
                <w:webHidden/>
              </w:rPr>
              <w:fldChar w:fldCharType="begin"/>
            </w:r>
            <w:r w:rsidR="00145113">
              <w:rPr>
                <w:noProof/>
                <w:webHidden/>
              </w:rPr>
              <w:instrText xml:space="preserve"> PAGEREF _Toc499211615 \h </w:instrText>
            </w:r>
            <w:r w:rsidR="00145113">
              <w:rPr>
                <w:noProof/>
                <w:webHidden/>
              </w:rPr>
            </w:r>
            <w:r w:rsidR="00145113">
              <w:rPr>
                <w:noProof/>
                <w:webHidden/>
              </w:rPr>
              <w:fldChar w:fldCharType="separate"/>
            </w:r>
            <w:r w:rsidR="00145113">
              <w:rPr>
                <w:noProof/>
                <w:webHidden/>
              </w:rPr>
              <w:t>41</w:t>
            </w:r>
            <w:r w:rsidR="00145113">
              <w:rPr>
                <w:noProof/>
                <w:webHidden/>
              </w:rPr>
              <w:fldChar w:fldCharType="end"/>
            </w:r>
          </w:hyperlink>
        </w:p>
        <w:p w14:paraId="6752763A" w14:textId="77777777" w:rsidR="00145113" w:rsidRDefault="004F261E">
          <w:pPr>
            <w:pStyle w:val="TM1"/>
            <w:tabs>
              <w:tab w:val="right" w:leader="dot" w:pos="9060"/>
            </w:tabs>
            <w:rPr>
              <w:rFonts w:asciiTheme="minorHAnsi" w:eastAsiaTheme="minorEastAsia" w:hAnsiTheme="minorHAnsi" w:cstheme="minorBidi"/>
              <w:noProof/>
              <w:lang w:eastAsia="fr-FR"/>
            </w:rPr>
          </w:pPr>
          <w:hyperlink w:anchor="_Toc499211616" w:history="1">
            <w:r w:rsidR="00145113" w:rsidRPr="004669B1">
              <w:rPr>
                <w:rStyle w:val="Lienhypertexte"/>
                <w:rFonts w:ascii="Times New Roman" w:hAnsi="Times New Roman"/>
                <w:noProof/>
              </w:rPr>
              <w:t>Tableau 1</w:t>
            </w:r>
            <w:r w:rsidR="00145113">
              <w:rPr>
                <w:rStyle w:val="Lienhypertexte"/>
                <w:rFonts w:ascii="Times New Roman" w:hAnsi="Times New Roman"/>
                <w:noProof/>
              </w:rPr>
              <w:t>1</w:t>
            </w:r>
            <w:r w:rsidR="00145113" w:rsidRPr="004669B1">
              <w:rPr>
                <w:rStyle w:val="Lienhypertexte"/>
                <w:rFonts w:ascii="Times New Roman" w:hAnsi="Times New Roman"/>
                <w:noProof/>
              </w:rPr>
              <w:t> : Effet 3 /Contribution du Programme</w:t>
            </w:r>
            <w:r w:rsidR="00145113">
              <w:rPr>
                <w:noProof/>
                <w:webHidden/>
              </w:rPr>
              <w:tab/>
            </w:r>
            <w:r w:rsidR="00145113">
              <w:rPr>
                <w:noProof/>
                <w:webHidden/>
              </w:rPr>
              <w:fldChar w:fldCharType="begin"/>
            </w:r>
            <w:r w:rsidR="00145113">
              <w:rPr>
                <w:noProof/>
                <w:webHidden/>
              </w:rPr>
              <w:instrText xml:space="preserve"> PAGEREF _Toc499211616 \h </w:instrText>
            </w:r>
            <w:r w:rsidR="00145113">
              <w:rPr>
                <w:noProof/>
                <w:webHidden/>
              </w:rPr>
            </w:r>
            <w:r w:rsidR="00145113">
              <w:rPr>
                <w:noProof/>
                <w:webHidden/>
              </w:rPr>
              <w:fldChar w:fldCharType="separate"/>
            </w:r>
            <w:r w:rsidR="00145113">
              <w:rPr>
                <w:noProof/>
                <w:webHidden/>
              </w:rPr>
              <w:t>43</w:t>
            </w:r>
            <w:r w:rsidR="00145113">
              <w:rPr>
                <w:noProof/>
                <w:webHidden/>
              </w:rPr>
              <w:fldChar w:fldCharType="end"/>
            </w:r>
          </w:hyperlink>
        </w:p>
        <w:p w14:paraId="618E6B3B" w14:textId="77777777" w:rsidR="00145113" w:rsidRDefault="004F261E">
          <w:pPr>
            <w:pStyle w:val="TM1"/>
            <w:tabs>
              <w:tab w:val="right" w:leader="dot" w:pos="9060"/>
            </w:tabs>
            <w:rPr>
              <w:rFonts w:asciiTheme="minorHAnsi" w:eastAsiaTheme="minorEastAsia" w:hAnsiTheme="minorHAnsi" w:cstheme="minorBidi"/>
              <w:noProof/>
              <w:lang w:eastAsia="fr-FR"/>
            </w:rPr>
          </w:pPr>
          <w:hyperlink w:anchor="_Toc499211618" w:history="1">
            <w:r w:rsidR="00145113" w:rsidRPr="004669B1">
              <w:rPr>
                <w:rStyle w:val="Lienhypertexte"/>
                <w:rFonts w:ascii="Times New Roman" w:hAnsi="Times New Roman"/>
                <w:noProof/>
              </w:rPr>
              <w:t>Tableau 1</w:t>
            </w:r>
            <w:r w:rsidR="00145113">
              <w:rPr>
                <w:rStyle w:val="Lienhypertexte"/>
                <w:rFonts w:ascii="Times New Roman" w:hAnsi="Times New Roman"/>
                <w:noProof/>
              </w:rPr>
              <w:t>2</w:t>
            </w:r>
            <w:r w:rsidR="00145113" w:rsidRPr="004669B1">
              <w:rPr>
                <w:rStyle w:val="Lienhypertexte"/>
                <w:rFonts w:ascii="Times New Roman" w:hAnsi="Times New Roman"/>
                <w:noProof/>
              </w:rPr>
              <w:t> : Effet 4 /Performances Pays</w:t>
            </w:r>
            <w:r w:rsidR="00145113">
              <w:rPr>
                <w:noProof/>
                <w:webHidden/>
              </w:rPr>
              <w:tab/>
            </w:r>
            <w:r w:rsidR="00145113">
              <w:rPr>
                <w:noProof/>
                <w:webHidden/>
              </w:rPr>
              <w:fldChar w:fldCharType="begin"/>
            </w:r>
            <w:r w:rsidR="00145113">
              <w:rPr>
                <w:noProof/>
                <w:webHidden/>
              </w:rPr>
              <w:instrText xml:space="preserve"> PAGEREF _Toc499211618 \h </w:instrText>
            </w:r>
            <w:r w:rsidR="00145113">
              <w:rPr>
                <w:noProof/>
                <w:webHidden/>
              </w:rPr>
            </w:r>
            <w:r w:rsidR="00145113">
              <w:rPr>
                <w:noProof/>
                <w:webHidden/>
              </w:rPr>
              <w:fldChar w:fldCharType="separate"/>
            </w:r>
            <w:r w:rsidR="00145113">
              <w:rPr>
                <w:noProof/>
                <w:webHidden/>
              </w:rPr>
              <w:t>46</w:t>
            </w:r>
            <w:r w:rsidR="00145113">
              <w:rPr>
                <w:noProof/>
                <w:webHidden/>
              </w:rPr>
              <w:fldChar w:fldCharType="end"/>
            </w:r>
          </w:hyperlink>
        </w:p>
        <w:p w14:paraId="2FB4A04F" w14:textId="77777777" w:rsidR="00145113" w:rsidRDefault="004F261E">
          <w:pPr>
            <w:pStyle w:val="TM1"/>
            <w:tabs>
              <w:tab w:val="right" w:leader="dot" w:pos="9060"/>
            </w:tabs>
            <w:rPr>
              <w:rFonts w:asciiTheme="minorHAnsi" w:eastAsiaTheme="minorEastAsia" w:hAnsiTheme="minorHAnsi" w:cstheme="minorBidi"/>
              <w:noProof/>
              <w:lang w:eastAsia="fr-FR"/>
            </w:rPr>
          </w:pPr>
          <w:hyperlink w:anchor="_Toc499211619" w:history="1">
            <w:r w:rsidR="00145113" w:rsidRPr="004669B1">
              <w:rPr>
                <w:rStyle w:val="Lienhypertexte"/>
                <w:rFonts w:ascii="Times New Roman" w:hAnsi="Times New Roman"/>
                <w:noProof/>
              </w:rPr>
              <w:t>Tableau 1</w:t>
            </w:r>
            <w:r w:rsidR="00145113">
              <w:rPr>
                <w:rStyle w:val="Lienhypertexte"/>
                <w:rFonts w:ascii="Times New Roman" w:hAnsi="Times New Roman"/>
                <w:noProof/>
              </w:rPr>
              <w:t>3</w:t>
            </w:r>
            <w:r w:rsidR="00145113" w:rsidRPr="004669B1">
              <w:rPr>
                <w:rStyle w:val="Lienhypertexte"/>
                <w:rFonts w:ascii="Times New Roman" w:hAnsi="Times New Roman"/>
                <w:noProof/>
              </w:rPr>
              <w:t> : Effet 4 /Contribution du Programme</w:t>
            </w:r>
            <w:r w:rsidR="00145113">
              <w:rPr>
                <w:noProof/>
                <w:webHidden/>
              </w:rPr>
              <w:tab/>
            </w:r>
            <w:r w:rsidR="00145113">
              <w:rPr>
                <w:noProof/>
                <w:webHidden/>
              </w:rPr>
              <w:fldChar w:fldCharType="begin"/>
            </w:r>
            <w:r w:rsidR="00145113">
              <w:rPr>
                <w:noProof/>
                <w:webHidden/>
              </w:rPr>
              <w:instrText xml:space="preserve"> PAGEREF _Toc499211619 \h </w:instrText>
            </w:r>
            <w:r w:rsidR="00145113">
              <w:rPr>
                <w:noProof/>
                <w:webHidden/>
              </w:rPr>
            </w:r>
            <w:r w:rsidR="00145113">
              <w:rPr>
                <w:noProof/>
                <w:webHidden/>
              </w:rPr>
              <w:fldChar w:fldCharType="separate"/>
            </w:r>
            <w:r w:rsidR="00145113">
              <w:rPr>
                <w:noProof/>
                <w:webHidden/>
              </w:rPr>
              <w:t>47</w:t>
            </w:r>
            <w:r w:rsidR="00145113">
              <w:rPr>
                <w:noProof/>
                <w:webHidden/>
              </w:rPr>
              <w:fldChar w:fldCharType="end"/>
            </w:r>
          </w:hyperlink>
        </w:p>
        <w:p w14:paraId="3F76C36D" w14:textId="77777777" w:rsidR="00145113" w:rsidRDefault="004F261E">
          <w:pPr>
            <w:pStyle w:val="TM1"/>
            <w:tabs>
              <w:tab w:val="right" w:leader="dot" w:pos="9060"/>
            </w:tabs>
            <w:rPr>
              <w:rFonts w:asciiTheme="minorHAnsi" w:eastAsiaTheme="minorEastAsia" w:hAnsiTheme="minorHAnsi" w:cstheme="minorBidi"/>
              <w:noProof/>
              <w:lang w:eastAsia="fr-FR"/>
            </w:rPr>
          </w:pPr>
          <w:hyperlink w:anchor="_Toc499211622" w:history="1">
            <w:r w:rsidR="00145113" w:rsidRPr="004669B1">
              <w:rPr>
                <w:rStyle w:val="Lienhypertexte"/>
                <w:rFonts w:ascii="Times New Roman" w:hAnsi="Times New Roman"/>
                <w:noProof/>
              </w:rPr>
              <w:t>Figure 1 : Cartographie des sources de financement du Programme</w:t>
            </w:r>
            <w:r w:rsidR="00145113">
              <w:rPr>
                <w:noProof/>
                <w:webHidden/>
              </w:rPr>
              <w:tab/>
            </w:r>
            <w:r w:rsidR="00145113">
              <w:rPr>
                <w:noProof/>
                <w:webHidden/>
              </w:rPr>
              <w:fldChar w:fldCharType="begin"/>
            </w:r>
            <w:r w:rsidR="00145113">
              <w:rPr>
                <w:noProof/>
                <w:webHidden/>
              </w:rPr>
              <w:instrText xml:space="preserve"> PAGEREF _Toc499211622 \h </w:instrText>
            </w:r>
            <w:r w:rsidR="00145113">
              <w:rPr>
                <w:noProof/>
                <w:webHidden/>
              </w:rPr>
            </w:r>
            <w:r w:rsidR="00145113">
              <w:rPr>
                <w:noProof/>
                <w:webHidden/>
              </w:rPr>
              <w:fldChar w:fldCharType="separate"/>
            </w:r>
            <w:r w:rsidR="00145113">
              <w:rPr>
                <w:noProof/>
                <w:webHidden/>
              </w:rPr>
              <w:t>50</w:t>
            </w:r>
            <w:r w:rsidR="00145113">
              <w:rPr>
                <w:noProof/>
                <w:webHidden/>
              </w:rPr>
              <w:fldChar w:fldCharType="end"/>
            </w:r>
          </w:hyperlink>
        </w:p>
        <w:p w14:paraId="4A340670" w14:textId="77777777" w:rsidR="00145113" w:rsidRDefault="004F261E">
          <w:pPr>
            <w:pStyle w:val="TM1"/>
            <w:tabs>
              <w:tab w:val="right" w:leader="dot" w:pos="9060"/>
            </w:tabs>
            <w:rPr>
              <w:rFonts w:asciiTheme="minorHAnsi" w:eastAsiaTheme="minorEastAsia" w:hAnsiTheme="minorHAnsi" w:cstheme="minorBidi"/>
              <w:noProof/>
              <w:lang w:eastAsia="fr-FR"/>
            </w:rPr>
          </w:pPr>
          <w:hyperlink w:anchor="_Toc499211626" w:history="1">
            <w:r w:rsidR="00145113" w:rsidRPr="004669B1">
              <w:rPr>
                <w:rStyle w:val="Lienhypertexte"/>
                <w:rFonts w:ascii="Times New Roman" w:hAnsi="Times New Roman"/>
                <w:noProof/>
              </w:rPr>
              <w:t>Figures 2 : Programmation versus Exécution budgétaire</w:t>
            </w:r>
            <w:r w:rsidR="00145113">
              <w:rPr>
                <w:noProof/>
                <w:webHidden/>
              </w:rPr>
              <w:tab/>
            </w:r>
            <w:r w:rsidR="00145113">
              <w:rPr>
                <w:noProof/>
                <w:webHidden/>
              </w:rPr>
              <w:fldChar w:fldCharType="begin"/>
            </w:r>
            <w:r w:rsidR="00145113">
              <w:rPr>
                <w:noProof/>
                <w:webHidden/>
              </w:rPr>
              <w:instrText xml:space="preserve"> PAGEREF _Toc499211626 \h </w:instrText>
            </w:r>
            <w:r w:rsidR="00145113">
              <w:rPr>
                <w:noProof/>
                <w:webHidden/>
              </w:rPr>
            </w:r>
            <w:r w:rsidR="00145113">
              <w:rPr>
                <w:noProof/>
                <w:webHidden/>
              </w:rPr>
              <w:fldChar w:fldCharType="separate"/>
            </w:r>
            <w:r w:rsidR="00145113">
              <w:rPr>
                <w:noProof/>
                <w:webHidden/>
              </w:rPr>
              <w:t>53</w:t>
            </w:r>
            <w:r w:rsidR="00145113">
              <w:rPr>
                <w:noProof/>
                <w:webHidden/>
              </w:rPr>
              <w:fldChar w:fldCharType="end"/>
            </w:r>
          </w:hyperlink>
        </w:p>
        <w:p w14:paraId="48E7C85C" w14:textId="77777777" w:rsidR="00145113" w:rsidRDefault="004F261E">
          <w:pPr>
            <w:pStyle w:val="TM1"/>
            <w:tabs>
              <w:tab w:val="right" w:leader="dot" w:pos="9060"/>
            </w:tabs>
            <w:rPr>
              <w:rFonts w:asciiTheme="minorHAnsi" w:eastAsiaTheme="minorEastAsia" w:hAnsiTheme="minorHAnsi" w:cstheme="minorBidi"/>
              <w:noProof/>
              <w:lang w:eastAsia="fr-FR"/>
            </w:rPr>
          </w:pPr>
          <w:hyperlink w:anchor="_Toc499211627" w:history="1">
            <w:r w:rsidR="00145113" w:rsidRPr="004669B1">
              <w:rPr>
                <w:rStyle w:val="Lienhypertexte"/>
                <w:rFonts w:ascii="Times New Roman" w:hAnsi="Times New Roman"/>
                <w:noProof/>
              </w:rPr>
              <w:t>Figure 3 : Programme versus Exécution budgétaire, par Résultat</w:t>
            </w:r>
            <w:r w:rsidR="00145113">
              <w:rPr>
                <w:noProof/>
                <w:webHidden/>
              </w:rPr>
              <w:tab/>
            </w:r>
            <w:r w:rsidR="00145113">
              <w:rPr>
                <w:noProof/>
                <w:webHidden/>
              </w:rPr>
              <w:fldChar w:fldCharType="begin"/>
            </w:r>
            <w:r w:rsidR="00145113">
              <w:rPr>
                <w:noProof/>
                <w:webHidden/>
              </w:rPr>
              <w:instrText xml:space="preserve"> PAGEREF _Toc499211627 \h </w:instrText>
            </w:r>
            <w:r w:rsidR="00145113">
              <w:rPr>
                <w:noProof/>
                <w:webHidden/>
              </w:rPr>
            </w:r>
            <w:r w:rsidR="00145113">
              <w:rPr>
                <w:noProof/>
                <w:webHidden/>
              </w:rPr>
              <w:fldChar w:fldCharType="separate"/>
            </w:r>
            <w:r w:rsidR="00145113">
              <w:rPr>
                <w:noProof/>
                <w:webHidden/>
              </w:rPr>
              <w:t>54</w:t>
            </w:r>
            <w:r w:rsidR="00145113">
              <w:rPr>
                <w:noProof/>
                <w:webHidden/>
              </w:rPr>
              <w:fldChar w:fldCharType="end"/>
            </w:r>
          </w:hyperlink>
        </w:p>
        <w:p w14:paraId="7EFE4ACF" w14:textId="77777777" w:rsidR="00145113" w:rsidRDefault="00145113">
          <w:r>
            <w:fldChar w:fldCharType="end"/>
          </w:r>
        </w:p>
      </w:sdtContent>
    </w:sdt>
    <w:p w14:paraId="7C88DBC9" w14:textId="77777777" w:rsidR="004C5D4B" w:rsidRPr="006B309F" w:rsidRDefault="004C5D4B" w:rsidP="0022759B">
      <w:pPr>
        <w:spacing w:after="0" w:line="240" w:lineRule="auto"/>
        <w:rPr>
          <w:sz w:val="24"/>
          <w:szCs w:val="24"/>
          <w:lang w:val="en-US"/>
        </w:rPr>
      </w:pPr>
    </w:p>
    <w:p w14:paraId="2964A023" w14:textId="77777777" w:rsidR="004C5D4B" w:rsidRPr="006B309F" w:rsidRDefault="004C5D4B" w:rsidP="00B96F0F">
      <w:pPr>
        <w:spacing w:after="0" w:line="240" w:lineRule="auto"/>
        <w:rPr>
          <w:rFonts w:ascii="Times New Roman" w:hAnsi="Times New Roman"/>
          <w:sz w:val="24"/>
          <w:szCs w:val="24"/>
          <w:lang w:val="en-US"/>
        </w:rPr>
      </w:pPr>
    </w:p>
    <w:p w14:paraId="14602AC5" w14:textId="77777777" w:rsidR="004C5D4B" w:rsidRPr="006B309F" w:rsidRDefault="004C5D4B" w:rsidP="00B96F0F">
      <w:pPr>
        <w:spacing w:after="0" w:line="240" w:lineRule="auto"/>
        <w:rPr>
          <w:rFonts w:ascii="Times New Roman" w:hAnsi="Times New Roman"/>
          <w:sz w:val="24"/>
          <w:szCs w:val="24"/>
          <w:lang w:val="en-US"/>
        </w:rPr>
      </w:pPr>
    </w:p>
    <w:p w14:paraId="4855890E" w14:textId="77777777" w:rsidR="00350348" w:rsidRDefault="00350348">
      <w:pPr>
        <w:spacing w:after="0" w:line="240" w:lineRule="auto"/>
        <w:rPr>
          <w:rFonts w:ascii="Cambria" w:eastAsia="Times New Roman" w:hAnsi="Cambria"/>
          <w:b/>
          <w:bCs/>
          <w:sz w:val="28"/>
          <w:szCs w:val="28"/>
        </w:rPr>
      </w:pPr>
      <w:bookmarkStart w:id="4" w:name="_Toc499211570"/>
      <w:r>
        <w:br w:type="page"/>
      </w:r>
    </w:p>
    <w:p w14:paraId="1477AE7D" w14:textId="77777777" w:rsidR="00BA3DC6" w:rsidRPr="006B309F" w:rsidRDefault="00BA3DC6" w:rsidP="00B96F0F">
      <w:pPr>
        <w:pStyle w:val="Titre1"/>
        <w:spacing w:before="0" w:line="240" w:lineRule="auto"/>
        <w:rPr>
          <w:color w:val="auto"/>
        </w:rPr>
      </w:pPr>
      <w:bookmarkStart w:id="5" w:name="_Toc499213843"/>
      <w:r w:rsidRPr="006B309F">
        <w:rPr>
          <w:color w:val="auto"/>
        </w:rPr>
        <w:lastRenderedPageBreak/>
        <w:t>Résumé</w:t>
      </w:r>
      <w:r w:rsidRPr="00EA74DA">
        <w:rPr>
          <w:color w:val="auto"/>
          <w:shd w:val="clear" w:color="auto" w:fill="FFFFFF" w:themeFill="background1"/>
        </w:rPr>
        <w:t xml:space="preserve"> Exécutif</w:t>
      </w:r>
      <w:bookmarkEnd w:id="4"/>
      <w:bookmarkEnd w:id="5"/>
    </w:p>
    <w:p w14:paraId="4E6DA110" w14:textId="77777777" w:rsidR="00793956" w:rsidRPr="006B309F" w:rsidRDefault="00793956" w:rsidP="00B96F0F">
      <w:pPr>
        <w:spacing w:after="0" w:line="240" w:lineRule="auto"/>
      </w:pPr>
    </w:p>
    <w:p w14:paraId="5EC8D0BB" w14:textId="77777777" w:rsidR="00793956" w:rsidRPr="006B309F" w:rsidRDefault="00793956" w:rsidP="00B026AE">
      <w:pPr>
        <w:pStyle w:val="Titre2"/>
        <w:numPr>
          <w:ilvl w:val="3"/>
          <w:numId w:val="2"/>
        </w:numPr>
        <w:tabs>
          <w:tab w:val="clear" w:pos="2880"/>
          <w:tab w:val="num" w:pos="426"/>
        </w:tabs>
        <w:spacing w:before="0"/>
        <w:ind w:left="426"/>
        <w:rPr>
          <w:color w:val="auto"/>
        </w:rPr>
      </w:pPr>
      <w:bookmarkStart w:id="6" w:name="_Toc499211571"/>
      <w:bookmarkStart w:id="7" w:name="_Toc499213844"/>
      <w:r w:rsidRPr="006B309F">
        <w:rPr>
          <w:color w:val="auto"/>
        </w:rPr>
        <w:t>Concept du Programme</w:t>
      </w:r>
      <w:bookmarkEnd w:id="6"/>
      <w:bookmarkEnd w:id="7"/>
    </w:p>
    <w:p w14:paraId="58FC81AE" w14:textId="77777777" w:rsidR="00793956" w:rsidRDefault="00793956" w:rsidP="00B96F0F">
      <w:pPr>
        <w:autoSpaceDE w:val="0"/>
        <w:autoSpaceDN w:val="0"/>
        <w:adjustRightInd w:val="0"/>
        <w:spacing w:after="0" w:line="240" w:lineRule="auto"/>
        <w:rPr>
          <w:rFonts w:ascii="Times New Roman" w:hAnsi="Times New Roman"/>
          <w:bCs/>
          <w:sz w:val="24"/>
          <w:szCs w:val="24"/>
        </w:rPr>
      </w:pPr>
    </w:p>
    <w:p w14:paraId="6A07D1B1" w14:textId="77777777" w:rsidR="000B7A34" w:rsidRPr="000B7A34" w:rsidRDefault="00454255" w:rsidP="000B7A3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i.</w:t>
      </w:r>
      <w:r>
        <w:rPr>
          <w:rFonts w:ascii="Times New Roman" w:hAnsi="Times New Roman"/>
          <w:bCs/>
          <w:sz w:val="24"/>
          <w:szCs w:val="24"/>
        </w:rPr>
        <w:tab/>
      </w:r>
      <w:r w:rsidR="000B7A34" w:rsidRPr="000B7A34">
        <w:rPr>
          <w:rFonts w:ascii="Times New Roman" w:hAnsi="Times New Roman"/>
          <w:bCs/>
          <w:sz w:val="24"/>
          <w:szCs w:val="24"/>
        </w:rPr>
        <w:t>Le programme 2015-2019 recouvre quatre domaines de concentration : Cohésion sociale et paix, avec comme résultat PNUAD/CPD poursuivi : "</w:t>
      </w:r>
      <w:r w:rsidR="000B7A34" w:rsidRPr="000B7A34">
        <w:rPr>
          <w:rFonts w:ascii="Times New Roman" w:hAnsi="Times New Roman"/>
          <w:bCs/>
          <w:i/>
          <w:sz w:val="24"/>
          <w:szCs w:val="24"/>
        </w:rPr>
        <w:t>D’ici à 2019 la cohésion sociale est facilitée par la justice transitionnelle, le dialogue entre communautés, la culture et l’éducation à la paix</w:t>
      </w:r>
      <w:r w:rsidR="000B7A34" w:rsidRPr="000B7A34">
        <w:rPr>
          <w:rFonts w:ascii="Times New Roman" w:hAnsi="Times New Roman"/>
          <w:bCs/>
          <w:sz w:val="24"/>
          <w:szCs w:val="24"/>
        </w:rPr>
        <w:t>" ; (ii) Réduction de la pauvreté et développement durable, avec comme résultat PNUAD/CPD poursuivi : "</w:t>
      </w:r>
      <w:r w:rsidR="000B7A34" w:rsidRPr="000B7A34">
        <w:rPr>
          <w:rFonts w:ascii="Times New Roman" w:hAnsi="Times New Roman"/>
          <w:bCs/>
          <w:i/>
          <w:sz w:val="24"/>
          <w:szCs w:val="24"/>
        </w:rPr>
        <w:t>D’ici à 2019, les populations vulnérables, en particulier les femmes et les jeunes, utilisent des capacités de production dans un environnement (naturel) sain qui est propice à la réduction de la pauvreté</w:t>
      </w:r>
      <w:r w:rsidR="000B7A34" w:rsidRPr="000B7A34">
        <w:rPr>
          <w:rFonts w:ascii="Times New Roman" w:hAnsi="Times New Roman"/>
          <w:bCs/>
          <w:sz w:val="24"/>
          <w:szCs w:val="24"/>
        </w:rPr>
        <w:t>" ; (iii) Gouvernance et Etat de droit, avec comme résultat stratégique PNUAD/CPD poursuivi : "</w:t>
      </w:r>
      <w:r w:rsidR="000B7A34" w:rsidRPr="000B7A34">
        <w:rPr>
          <w:rFonts w:ascii="Times New Roman" w:hAnsi="Times New Roman"/>
          <w:bCs/>
          <w:i/>
          <w:sz w:val="24"/>
          <w:szCs w:val="24"/>
        </w:rPr>
        <w:t>D’ici à 2019, l’Etat et les institutions nationales et locales remplissent plus efficacement leur mission de service public et les acteurs non étatiques participent à la vie de la nation et exercent un contrôle citoyen dans le respect des principes de la bonne gouvernance et de la primauté du droit</w:t>
      </w:r>
      <w:r w:rsidR="000B7A34" w:rsidRPr="000B7A34">
        <w:rPr>
          <w:rFonts w:ascii="Times New Roman" w:hAnsi="Times New Roman"/>
          <w:bCs/>
          <w:sz w:val="24"/>
          <w:szCs w:val="24"/>
        </w:rPr>
        <w:t>" ; et (iv) Accès à la santé, avec comme résultat PNUAD/CPD poursuivi :"</w:t>
      </w:r>
      <w:r w:rsidR="000B7A34" w:rsidRPr="000B7A34">
        <w:rPr>
          <w:rFonts w:ascii="Times New Roman" w:hAnsi="Times New Roman"/>
          <w:bCs/>
          <w:i/>
          <w:sz w:val="24"/>
          <w:szCs w:val="24"/>
        </w:rPr>
        <w:t>D’ici à 2019, les communautés, en particulier les plus vulnérables et celles touchées par la crise, pourront accéder à des soins de santé de base de qualité et en bénéficier plus facilement et sur un pied d’égalité</w:t>
      </w:r>
      <w:r w:rsidR="000B7A34" w:rsidRPr="000B7A34">
        <w:rPr>
          <w:rFonts w:ascii="Times New Roman" w:hAnsi="Times New Roman"/>
          <w:bCs/>
          <w:sz w:val="24"/>
          <w:szCs w:val="24"/>
        </w:rPr>
        <w:t>."</w:t>
      </w:r>
    </w:p>
    <w:p w14:paraId="49045934" w14:textId="77777777" w:rsidR="000B7A34" w:rsidRPr="006B309F" w:rsidRDefault="000B7A34" w:rsidP="000B7A34">
      <w:pPr>
        <w:autoSpaceDE w:val="0"/>
        <w:autoSpaceDN w:val="0"/>
        <w:adjustRightInd w:val="0"/>
        <w:spacing w:after="0" w:line="240" w:lineRule="auto"/>
        <w:jc w:val="both"/>
        <w:rPr>
          <w:rFonts w:ascii="Times New Roman" w:hAnsi="Times New Roman"/>
          <w:bCs/>
          <w:sz w:val="24"/>
          <w:szCs w:val="24"/>
        </w:rPr>
      </w:pPr>
    </w:p>
    <w:p w14:paraId="46DEFAEE" w14:textId="77777777" w:rsidR="00F51C01" w:rsidRPr="006B309F" w:rsidRDefault="00F51C01" w:rsidP="00B96F0F">
      <w:pPr>
        <w:spacing w:after="0" w:line="240" w:lineRule="auto"/>
        <w:rPr>
          <w:rFonts w:ascii="Times New Roman" w:hAnsi="Times New Roman"/>
          <w:sz w:val="24"/>
          <w:szCs w:val="24"/>
        </w:rPr>
      </w:pPr>
    </w:p>
    <w:p w14:paraId="734D4A89" w14:textId="77777777" w:rsidR="00793956" w:rsidRPr="006B309F" w:rsidRDefault="00793956" w:rsidP="00B026AE">
      <w:pPr>
        <w:pStyle w:val="Titre2"/>
        <w:numPr>
          <w:ilvl w:val="0"/>
          <w:numId w:val="2"/>
        </w:numPr>
        <w:tabs>
          <w:tab w:val="clear" w:pos="720"/>
          <w:tab w:val="num" w:pos="142"/>
        </w:tabs>
        <w:spacing w:before="0"/>
        <w:ind w:left="426"/>
        <w:rPr>
          <w:color w:val="auto"/>
        </w:rPr>
      </w:pPr>
      <w:bookmarkStart w:id="8" w:name="_Toc499211572"/>
      <w:bookmarkStart w:id="9" w:name="_Toc499213845"/>
      <w:r w:rsidRPr="006B309F">
        <w:rPr>
          <w:color w:val="auto"/>
        </w:rPr>
        <w:t>Résultats</w:t>
      </w:r>
      <w:bookmarkEnd w:id="8"/>
      <w:bookmarkEnd w:id="9"/>
    </w:p>
    <w:p w14:paraId="77314DF2" w14:textId="77777777" w:rsidR="00793956" w:rsidRDefault="00793956" w:rsidP="00B96F0F">
      <w:pPr>
        <w:spacing w:after="0" w:line="240" w:lineRule="auto"/>
        <w:jc w:val="both"/>
        <w:rPr>
          <w:rFonts w:ascii="Times New Roman" w:hAnsi="Times New Roman"/>
          <w:sz w:val="24"/>
          <w:szCs w:val="24"/>
        </w:rPr>
      </w:pPr>
    </w:p>
    <w:p w14:paraId="39883793" w14:textId="77777777" w:rsidR="00E7778E" w:rsidRDefault="00454255" w:rsidP="00E7778E">
      <w:pPr>
        <w:spacing w:after="0" w:line="240" w:lineRule="auto"/>
        <w:jc w:val="both"/>
        <w:rPr>
          <w:rFonts w:ascii="Times New Roman" w:hAnsi="Times New Roman"/>
          <w:sz w:val="24"/>
          <w:szCs w:val="24"/>
        </w:rPr>
      </w:pPr>
      <w:r>
        <w:rPr>
          <w:rFonts w:ascii="Times New Roman" w:hAnsi="Times New Roman"/>
          <w:sz w:val="24"/>
          <w:szCs w:val="24"/>
        </w:rPr>
        <w:t>ii.</w:t>
      </w:r>
      <w:r w:rsidR="00E7778E" w:rsidRPr="006B309F">
        <w:rPr>
          <w:rFonts w:ascii="Times New Roman" w:hAnsi="Times New Roman"/>
          <w:sz w:val="24"/>
          <w:szCs w:val="24"/>
        </w:rPr>
        <w:tab/>
      </w:r>
      <w:r w:rsidR="00E7778E" w:rsidRPr="006B309F">
        <w:rPr>
          <w:rFonts w:ascii="Times New Roman" w:hAnsi="Times New Roman"/>
          <w:bCs/>
          <w:sz w:val="24"/>
          <w:szCs w:val="24"/>
        </w:rPr>
        <w:t xml:space="preserve">Alors que le cadre logique anticipe pour le programme un volant de ressources </w:t>
      </w:r>
      <w:r w:rsidR="00E7778E" w:rsidRPr="006B309F">
        <w:rPr>
          <w:rFonts w:ascii="Times New Roman" w:hAnsi="Times New Roman"/>
          <w:sz w:val="24"/>
          <w:szCs w:val="24"/>
        </w:rPr>
        <w:t xml:space="preserve">de </w:t>
      </w:r>
      <w:r w:rsidR="00E7778E">
        <w:rPr>
          <w:bCs/>
          <w:iCs/>
          <w:sz w:val="24"/>
          <w:szCs w:val="24"/>
        </w:rPr>
        <w:t>187,</w:t>
      </w:r>
      <w:r w:rsidR="00E7778E" w:rsidRPr="00087C34">
        <w:rPr>
          <w:bCs/>
          <w:iCs/>
          <w:sz w:val="24"/>
          <w:szCs w:val="24"/>
        </w:rPr>
        <w:t>4</w:t>
      </w:r>
      <w:r w:rsidR="00E7778E">
        <w:rPr>
          <w:bCs/>
          <w:iCs/>
          <w:sz w:val="24"/>
          <w:szCs w:val="24"/>
        </w:rPr>
        <w:t>43 millions</w:t>
      </w:r>
      <w:r w:rsidR="00E7778E" w:rsidRPr="006B309F">
        <w:rPr>
          <w:rFonts w:ascii="Times New Roman" w:hAnsi="Times New Roman"/>
          <w:sz w:val="24"/>
          <w:szCs w:val="24"/>
        </w:rPr>
        <w:t xml:space="preserve"> dollar américain sur 5 ans, </w:t>
      </w:r>
      <w:r w:rsidR="00E7778E">
        <w:rPr>
          <w:rFonts w:ascii="Times New Roman" w:hAnsi="Times New Roman"/>
          <w:sz w:val="24"/>
          <w:szCs w:val="24"/>
        </w:rPr>
        <w:t xml:space="preserve">la mobilisation de ressources externes couvre déjà 77% de ce montant. </w:t>
      </w:r>
      <w:r w:rsidR="00E7778E" w:rsidRPr="006B309F">
        <w:rPr>
          <w:rFonts w:ascii="Times New Roman" w:hAnsi="Times New Roman"/>
          <w:sz w:val="24"/>
          <w:szCs w:val="24"/>
        </w:rPr>
        <w:t>En termes de résultats substantiels, et au regard des critères d’évaluation du Comité d’Aide au Développement, de l’OCDE, la situation du programme est comme suit.</w:t>
      </w:r>
      <w:r w:rsidR="009E3880">
        <w:rPr>
          <w:rFonts w:ascii="Times New Roman" w:hAnsi="Times New Roman"/>
          <w:sz w:val="24"/>
          <w:szCs w:val="24"/>
        </w:rPr>
        <w:t xml:space="preserve"> Le graphique ci-dessous donne le niveau des réalisations des produits ayant pu faire l’objet d’un renseignement quantitatif.</w:t>
      </w:r>
    </w:p>
    <w:p w14:paraId="39C8C337" w14:textId="623E7ABD" w:rsidR="009E3880" w:rsidRDefault="00EA74DA" w:rsidP="00E7778E">
      <w:pPr>
        <w:spacing w:after="0" w:line="240" w:lineRule="auto"/>
        <w:jc w:val="both"/>
        <w:rPr>
          <w:rFonts w:ascii="Times New Roman" w:hAnsi="Times New Roman"/>
          <w:sz w:val="24"/>
          <w:szCs w:val="24"/>
        </w:rPr>
      </w:pPr>
      <w:r>
        <w:rPr>
          <w:rFonts w:ascii="Times New Roman" w:hAnsi="Times New Roman"/>
          <w:noProof/>
          <w:sz w:val="24"/>
          <w:szCs w:val="24"/>
          <w:lang w:eastAsia="fr-FR"/>
        </w:rPr>
        <mc:AlternateContent>
          <mc:Choice Requires="wpg">
            <w:drawing>
              <wp:anchor distT="0" distB="0" distL="114300" distR="114300" simplePos="0" relativeHeight="251680256" behindDoc="0" locked="0" layoutInCell="1" allowOverlap="1" wp14:anchorId="5DBC41EF" wp14:editId="7064B346">
                <wp:simplePos x="0" y="0"/>
                <wp:positionH relativeFrom="column">
                  <wp:posOffset>1030605</wp:posOffset>
                </wp:positionH>
                <wp:positionV relativeFrom="paragraph">
                  <wp:posOffset>160020</wp:posOffset>
                </wp:positionV>
                <wp:extent cx="3811270" cy="1793240"/>
                <wp:effectExtent l="0" t="0" r="1270" b="0"/>
                <wp:wrapNone/>
                <wp:docPr id="1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1270" cy="1793240"/>
                          <a:chOff x="3041" y="11173"/>
                          <a:chExt cx="6002" cy="2824"/>
                        </a:xfrm>
                      </wpg:grpSpPr>
                      <wps:wsp>
                        <wps:cNvPr id="18" name="Text Box 28"/>
                        <wps:cNvSpPr txBox="1">
                          <a:spLocks noChangeArrowheads="1"/>
                        </wps:cNvSpPr>
                        <wps:spPr bwMode="auto">
                          <a:xfrm>
                            <a:off x="3041" y="11173"/>
                            <a:ext cx="6002" cy="2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54634" w14:textId="77777777" w:rsidR="004F261E" w:rsidRDefault="004F261E">
                              <w:r>
                                <w:rPr>
                                  <w:noProof/>
                                  <w:lang w:eastAsia="fr-FR"/>
                                </w:rPr>
                                <w:drawing>
                                  <wp:inline distT="0" distB="0" distL="0" distR="0" wp14:anchorId="7C6BCC20" wp14:editId="4E82E907">
                                    <wp:extent cx="3618865" cy="1505440"/>
                                    <wp:effectExtent l="19050" t="0" r="635" b="0"/>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618865" cy="150544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19" name="Text Box 31"/>
                        <wps:cNvSpPr txBox="1">
                          <a:spLocks noChangeArrowheads="1"/>
                        </wps:cNvSpPr>
                        <wps:spPr bwMode="auto">
                          <a:xfrm>
                            <a:off x="3772" y="13628"/>
                            <a:ext cx="4667" cy="3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0DBEA" w14:textId="77777777" w:rsidR="004F261E" w:rsidRPr="009E3880" w:rsidRDefault="004F261E" w:rsidP="002D2F61">
                              <w:pPr>
                                <w:rPr>
                                  <w:rFonts w:ascii="Times New Roman" w:hAnsi="Times New Roman"/>
                                  <w:i/>
                                  <w:sz w:val="20"/>
                                  <w:szCs w:val="20"/>
                                </w:rPr>
                              </w:pPr>
                              <w:r w:rsidRPr="009E3880">
                                <w:rPr>
                                  <w:rFonts w:ascii="Times New Roman" w:hAnsi="Times New Roman"/>
                                  <w:i/>
                                  <w:sz w:val="20"/>
                                  <w:szCs w:val="20"/>
                                </w:rPr>
                                <w:t>Sources : PNUD/Mali : ROARS, Rapports de projets</w:t>
                              </w:r>
                              <w:r>
                                <w:rPr>
                                  <w:rFonts w:ascii="Times New Roman" w:hAnsi="Times New Roman"/>
                                  <w:i/>
                                  <w:sz w:val="20"/>
                                  <w:szCs w:val="20"/>
                                </w:rPr>
                                <w:t>. 20156</w:t>
                              </w:r>
                            </w:p>
                            <w:p w14:paraId="4EE183E3" w14:textId="77777777" w:rsidR="004F261E" w:rsidRDefault="004F261E" w:rsidP="002D2F6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BC41EF" id="Group 34" o:spid="_x0000_s1031" style="position:absolute;left:0;text-align:left;margin-left:81.15pt;margin-top:12.6pt;width:300.1pt;height:141.2pt;z-index:251680256" coordorigin="3041,11173" coordsize="6002,2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">
                <v:shape id="Text Box 28" o:spid="_x0000_s1032" type="#_x0000_t202" style="position:absolute;left:3041;top:11173;width:6002;height:2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3A954634" w14:textId="77777777" w:rsidR="004F261E" w:rsidRDefault="004F261E">
                        <w:r>
                          <w:rPr>
                            <w:noProof/>
                            <w:lang w:eastAsia="fr-FR"/>
                          </w:rPr>
                          <w:drawing>
                            <wp:inline distT="0" distB="0" distL="0" distR="0" wp14:anchorId="7C6BCC20" wp14:editId="4E82E907">
                              <wp:extent cx="3618865" cy="1505440"/>
                              <wp:effectExtent l="19050" t="0" r="635" b="0"/>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618865" cy="1505440"/>
                                      </a:xfrm>
                                      <a:prstGeom prst="rect">
                                        <a:avLst/>
                                      </a:prstGeom>
                                      <a:noFill/>
                                      <a:ln w="9525">
                                        <a:noFill/>
                                        <a:miter lim="800000"/>
                                        <a:headEnd/>
                                        <a:tailEnd/>
                                      </a:ln>
                                    </pic:spPr>
                                  </pic:pic>
                                </a:graphicData>
                              </a:graphic>
                            </wp:inline>
                          </w:drawing>
                        </w:r>
                      </w:p>
                    </w:txbxContent>
                  </v:textbox>
                </v:shape>
                <v:shape id="Text Box 31" o:spid="_x0000_s1033" type="#_x0000_t202" style="position:absolute;left:3772;top:13628;width:4667;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7060DBEA" w14:textId="77777777" w:rsidR="004F261E" w:rsidRPr="009E3880" w:rsidRDefault="004F261E" w:rsidP="002D2F61">
                        <w:pPr>
                          <w:rPr>
                            <w:rFonts w:ascii="Times New Roman" w:hAnsi="Times New Roman"/>
                            <w:i/>
                            <w:sz w:val="20"/>
                            <w:szCs w:val="20"/>
                          </w:rPr>
                        </w:pPr>
                        <w:r w:rsidRPr="009E3880">
                          <w:rPr>
                            <w:rFonts w:ascii="Times New Roman" w:hAnsi="Times New Roman"/>
                            <w:i/>
                            <w:sz w:val="20"/>
                            <w:szCs w:val="20"/>
                          </w:rPr>
                          <w:t>Sources : PNUD/Mali : ROARS, Rapports de projets</w:t>
                        </w:r>
                        <w:r>
                          <w:rPr>
                            <w:rFonts w:ascii="Times New Roman" w:hAnsi="Times New Roman"/>
                            <w:i/>
                            <w:sz w:val="20"/>
                            <w:szCs w:val="20"/>
                          </w:rPr>
                          <w:t>. 20156</w:t>
                        </w:r>
                      </w:p>
                      <w:p w14:paraId="4EE183E3" w14:textId="77777777" w:rsidR="004F261E" w:rsidRDefault="004F261E" w:rsidP="002D2F61"/>
                    </w:txbxContent>
                  </v:textbox>
                </v:shape>
              </v:group>
            </w:pict>
          </mc:Fallback>
        </mc:AlternateContent>
      </w:r>
    </w:p>
    <w:p w14:paraId="65F5F363" w14:textId="77777777" w:rsidR="009E3880" w:rsidRDefault="009E3880" w:rsidP="00E7778E">
      <w:pPr>
        <w:spacing w:after="0" w:line="240" w:lineRule="auto"/>
        <w:jc w:val="both"/>
        <w:rPr>
          <w:rFonts w:ascii="Times New Roman" w:hAnsi="Times New Roman"/>
          <w:sz w:val="24"/>
          <w:szCs w:val="24"/>
        </w:rPr>
      </w:pPr>
    </w:p>
    <w:p w14:paraId="27871813" w14:textId="77777777" w:rsidR="009E3880" w:rsidRDefault="009E3880" w:rsidP="00E7778E">
      <w:pPr>
        <w:spacing w:after="0" w:line="240" w:lineRule="auto"/>
        <w:jc w:val="both"/>
        <w:rPr>
          <w:rFonts w:ascii="Times New Roman" w:hAnsi="Times New Roman"/>
          <w:sz w:val="24"/>
          <w:szCs w:val="24"/>
        </w:rPr>
      </w:pPr>
    </w:p>
    <w:p w14:paraId="04B35517" w14:textId="77777777" w:rsidR="009E3880" w:rsidRDefault="009E3880" w:rsidP="00E7778E">
      <w:pPr>
        <w:spacing w:after="0" w:line="240" w:lineRule="auto"/>
        <w:jc w:val="both"/>
        <w:rPr>
          <w:rFonts w:ascii="Times New Roman" w:hAnsi="Times New Roman"/>
          <w:sz w:val="24"/>
          <w:szCs w:val="24"/>
        </w:rPr>
      </w:pPr>
    </w:p>
    <w:p w14:paraId="6ED41211" w14:textId="77777777" w:rsidR="009E3880" w:rsidRDefault="009E3880" w:rsidP="00E7778E">
      <w:pPr>
        <w:spacing w:after="0" w:line="240" w:lineRule="auto"/>
        <w:jc w:val="both"/>
        <w:rPr>
          <w:rFonts w:ascii="Times New Roman" w:hAnsi="Times New Roman"/>
          <w:sz w:val="24"/>
          <w:szCs w:val="24"/>
        </w:rPr>
      </w:pPr>
    </w:p>
    <w:p w14:paraId="58C617A7" w14:textId="77777777" w:rsidR="009E3880" w:rsidRDefault="009E3880" w:rsidP="00E7778E">
      <w:pPr>
        <w:spacing w:after="0" w:line="240" w:lineRule="auto"/>
        <w:jc w:val="both"/>
        <w:rPr>
          <w:rFonts w:ascii="Times New Roman" w:hAnsi="Times New Roman"/>
          <w:sz w:val="24"/>
          <w:szCs w:val="24"/>
        </w:rPr>
      </w:pPr>
    </w:p>
    <w:p w14:paraId="428636B6" w14:textId="77777777" w:rsidR="009E3880" w:rsidRDefault="009E3880" w:rsidP="00E7778E">
      <w:pPr>
        <w:spacing w:after="0" w:line="240" w:lineRule="auto"/>
        <w:jc w:val="both"/>
        <w:rPr>
          <w:rFonts w:ascii="Times New Roman" w:hAnsi="Times New Roman"/>
          <w:sz w:val="24"/>
          <w:szCs w:val="24"/>
        </w:rPr>
      </w:pPr>
    </w:p>
    <w:p w14:paraId="31EDC42D" w14:textId="77777777" w:rsidR="009E3880" w:rsidRDefault="009E3880" w:rsidP="00E7778E">
      <w:pPr>
        <w:spacing w:after="0" w:line="240" w:lineRule="auto"/>
        <w:jc w:val="both"/>
        <w:rPr>
          <w:rFonts w:ascii="Times New Roman" w:hAnsi="Times New Roman"/>
          <w:sz w:val="24"/>
          <w:szCs w:val="24"/>
        </w:rPr>
      </w:pPr>
    </w:p>
    <w:p w14:paraId="098BC6F2" w14:textId="77777777" w:rsidR="009E3880" w:rsidRDefault="009E3880" w:rsidP="00E7778E">
      <w:pPr>
        <w:spacing w:after="0" w:line="240" w:lineRule="auto"/>
        <w:jc w:val="both"/>
        <w:rPr>
          <w:rFonts w:ascii="Times New Roman" w:hAnsi="Times New Roman"/>
          <w:sz w:val="24"/>
          <w:szCs w:val="24"/>
        </w:rPr>
      </w:pPr>
    </w:p>
    <w:p w14:paraId="525BE829" w14:textId="77777777" w:rsidR="009E3880" w:rsidRPr="006B309F" w:rsidRDefault="009E3880" w:rsidP="00E7778E">
      <w:pPr>
        <w:spacing w:after="0" w:line="240" w:lineRule="auto"/>
        <w:jc w:val="both"/>
        <w:rPr>
          <w:rFonts w:ascii="Times New Roman" w:hAnsi="Times New Roman"/>
          <w:sz w:val="24"/>
          <w:szCs w:val="24"/>
        </w:rPr>
      </w:pPr>
    </w:p>
    <w:p w14:paraId="2AE65A37" w14:textId="77777777" w:rsidR="00E7778E" w:rsidRPr="006B309F" w:rsidRDefault="00E7778E" w:rsidP="00E7778E">
      <w:pPr>
        <w:spacing w:after="0" w:line="240" w:lineRule="auto"/>
        <w:jc w:val="both"/>
        <w:rPr>
          <w:rFonts w:ascii="Times New Roman" w:hAnsi="Times New Roman"/>
          <w:sz w:val="24"/>
          <w:szCs w:val="24"/>
        </w:rPr>
      </w:pPr>
    </w:p>
    <w:p w14:paraId="621FCA58" w14:textId="77777777" w:rsidR="009E3880" w:rsidRDefault="009E3880" w:rsidP="00E7778E">
      <w:pPr>
        <w:spacing w:after="0" w:line="240" w:lineRule="auto"/>
        <w:jc w:val="both"/>
        <w:rPr>
          <w:rFonts w:ascii="Times New Roman" w:hAnsi="Times New Roman"/>
          <w:sz w:val="24"/>
          <w:szCs w:val="24"/>
        </w:rPr>
      </w:pPr>
    </w:p>
    <w:p w14:paraId="78A26E0D" w14:textId="77777777" w:rsidR="00E7778E" w:rsidRPr="006B309F" w:rsidRDefault="00454255" w:rsidP="00E7778E">
      <w:pPr>
        <w:spacing w:after="0" w:line="240" w:lineRule="auto"/>
        <w:jc w:val="both"/>
        <w:rPr>
          <w:rFonts w:ascii="Times New Roman" w:hAnsi="Times New Roman"/>
          <w:sz w:val="24"/>
          <w:szCs w:val="24"/>
        </w:rPr>
      </w:pPr>
      <w:r>
        <w:rPr>
          <w:rFonts w:ascii="Times New Roman" w:hAnsi="Times New Roman"/>
          <w:sz w:val="24"/>
          <w:szCs w:val="24"/>
        </w:rPr>
        <w:t>iii</w:t>
      </w:r>
      <w:r w:rsidR="00E7778E" w:rsidRPr="006B309F">
        <w:rPr>
          <w:rFonts w:ascii="Times New Roman" w:hAnsi="Times New Roman"/>
          <w:sz w:val="24"/>
          <w:szCs w:val="24"/>
        </w:rPr>
        <w:t>.</w:t>
      </w:r>
      <w:r w:rsidR="00E7778E" w:rsidRPr="006B309F">
        <w:rPr>
          <w:rFonts w:ascii="Times New Roman" w:hAnsi="Times New Roman"/>
          <w:b/>
          <w:i/>
          <w:sz w:val="24"/>
          <w:szCs w:val="24"/>
        </w:rPr>
        <w:tab/>
        <w:t>Pertinence</w:t>
      </w:r>
      <w:r w:rsidR="00E7778E" w:rsidRPr="006B309F">
        <w:rPr>
          <w:rFonts w:ascii="Times New Roman" w:hAnsi="Times New Roman"/>
          <w:sz w:val="24"/>
          <w:szCs w:val="24"/>
        </w:rPr>
        <w:t> : La pertinence stratégique du programme est ressortie très robuste, du fait notamment de l’alignement de ses thématiques sur les priorités de développement du pays, et sur les cadres de planification stratégique du PNUD (PS) et du SNU (</w:t>
      </w:r>
      <w:r w:rsidR="00E7778E">
        <w:rPr>
          <w:rFonts w:ascii="Times New Roman" w:hAnsi="Times New Roman"/>
          <w:sz w:val="24"/>
          <w:szCs w:val="24"/>
        </w:rPr>
        <w:t>U</w:t>
      </w:r>
      <w:r w:rsidR="00E7778E" w:rsidRPr="006B309F">
        <w:rPr>
          <w:rFonts w:ascii="Times New Roman" w:hAnsi="Times New Roman"/>
          <w:sz w:val="24"/>
          <w:szCs w:val="24"/>
        </w:rPr>
        <w:t>ND</w:t>
      </w:r>
      <w:r w:rsidR="00E7778E">
        <w:rPr>
          <w:rFonts w:ascii="Times New Roman" w:hAnsi="Times New Roman"/>
          <w:sz w:val="24"/>
          <w:szCs w:val="24"/>
        </w:rPr>
        <w:t>AF</w:t>
      </w:r>
      <w:r w:rsidR="00E7778E" w:rsidRPr="006B309F">
        <w:rPr>
          <w:rFonts w:ascii="Times New Roman" w:hAnsi="Times New Roman"/>
          <w:sz w:val="24"/>
          <w:szCs w:val="24"/>
        </w:rPr>
        <w:t xml:space="preserve">). D’un point de vue opérationnel, cette pertinence est toutefois relativisée par des approches projets, voire micro-projets, qui ne permettent pas d’optimiser </w:t>
      </w:r>
      <w:r w:rsidR="00E7778E" w:rsidRPr="00EA74DA">
        <w:rPr>
          <w:rFonts w:ascii="Times New Roman" w:hAnsi="Times New Roman"/>
          <w:sz w:val="24"/>
          <w:szCs w:val="24"/>
          <w:shd w:val="clear" w:color="auto" w:fill="FFFFFF" w:themeFill="background1"/>
        </w:rPr>
        <w:t>l’influence du programme. Enfin, la pertinence du cadre logique est également insuffisante, avec des résultats, des produits et leurs indicateurs souvent libellés de manière inappropriés.</w:t>
      </w:r>
    </w:p>
    <w:p w14:paraId="0A64F1FF" w14:textId="77777777" w:rsidR="009E3880" w:rsidRPr="009E3880" w:rsidRDefault="009E3880" w:rsidP="00E7778E">
      <w:pPr>
        <w:spacing w:after="0" w:line="240" w:lineRule="auto"/>
        <w:jc w:val="both"/>
        <w:rPr>
          <w:rFonts w:ascii="Times New Roman" w:hAnsi="Times New Roman"/>
          <w:b/>
          <w:sz w:val="24"/>
          <w:szCs w:val="24"/>
        </w:rPr>
      </w:pPr>
    </w:p>
    <w:p w14:paraId="5DA46E1F" w14:textId="77777777" w:rsidR="00E7778E" w:rsidRPr="006B309F" w:rsidRDefault="00454255" w:rsidP="00E7778E">
      <w:pPr>
        <w:spacing w:after="0" w:line="240" w:lineRule="auto"/>
        <w:jc w:val="both"/>
        <w:rPr>
          <w:rFonts w:ascii="Times New Roman" w:hAnsi="Times New Roman"/>
          <w:sz w:val="24"/>
          <w:szCs w:val="24"/>
        </w:rPr>
      </w:pPr>
      <w:r>
        <w:rPr>
          <w:rFonts w:ascii="Times New Roman" w:hAnsi="Times New Roman"/>
          <w:sz w:val="24"/>
          <w:szCs w:val="24"/>
        </w:rPr>
        <w:t>iv</w:t>
      </w:r>
      <w:r w:rsidR="00E7778E" w:rsidRPr="006B309F">
        <w:rPr>
          <w:rFonts w:ascii="Times New Roman" w:hAnsi="Times New Roman"/>
          <w:sz w:val="24"/>
          <w:szCs w:val="24"/>
        </w:rPr>
        <w:t>.</w:t>
      </w:r>
      <w:r w:rsidR="00E7778E" w:rsidRPr="006B309F">
        <w:rPr>
          <w:rFonts w:ascii="Times New Roman" w:hAnsi="Times New Roman"/>
          <w:b/>
          <w:i/>
          <w:sz w:val="24"/>
          <w:szCs w:val="24"/>
        </w:rPr>
        <w:tab/>
        <w:t>Efficacité</w:t>
      </w:r>
      <w:r w:rsidR="00E7778E" w:rsidRPr="006B309F">
        <w:rPr>
          <w:rFonts w:ascii="Times New Roman" w:hAnsi="Times New Roman"/>
          <w:sz w:val="24"/>
          <w:szCs w:val="24"/>
        </w:rPr>
        <w:t xml:space="preserve"> : Les effets recensés à </w:t>
      </w:r>
      <w:r w:rsidR="00E7778E">
        <w:rPr>
          <w:rFonts w:ascii="Times New Roman" w:hAnsi="Times New Roman"/>
          <w:sz w:val="24"/>
          <w:szCs w:val="24"/>
        </w:rPr>
        <w:t xml:space="preserve">mi-parcours </w:t>
      </w:r>
      <w:r w:rsidR="00E7778E" w:rsidRPr="006B309F">
        <w:rPr>
          <w:rFonts w:ascii="Times New Roman" w:hAnsi="Times New Roman"/>
          <w:sz w:val="24"/>
          <w:szCs w:val="24"/>
        </w:rPr>
        <w:t>du cycle sont robustes au niveau stratégique</w:t>
      </w:r>
      <w:r w:rsidR="00E7778E">
        <w:rPr>
          <w:rFonts w:ascii="Times New Roman" w:hAnsi="Times New Roman"/>
          <w:sz w:val="24"/>
          <w:szCs w:val="24"/>
        </w:rPr>
        <w:t xml:space="preserve"> : le pays a été substantiellement appuyé dans la formulation d’outils stratégiques de </w:t>
      </w:r>
      <w:r w:rsidR="00E7778E">
        <w:rPr>
          <w:rFonts w:ascii="Times New Roman" w:hAnsi="Times New Roman"/>
          <w:sz w:val="24"/>
          <w:szCs w:val="24"/>
        </w:rPr>
        <w:lastRenderedPageBreak/>
        <w:t xml:space="preserve">politique globale (macroéconomie, planification, gestion de l’aide, climat des affaires, notamment) et sectorielle (environnement, agriculture, santé, </w:t>
      </w:r>
      <w:r w:rsidR="00E7778E" w:rsidRPr="006B309F">
        <w:rPr>
          <w:rFonts w:ascii="Times New Roman" w:hAnsi="Times New Roman"/>
          <w:sz w:val="24"/>
          <w:szCs w:val="24"/>
        </w:rPr>
        <w:t>et</w:t>
      </w:r>
      <w:r w:rsidR="00E7778E">
        <w:rPr>
          <w:rFonts w:ascii="Times New Roman" w:hAnsi="Times New Roman"/>
          <w:sz w:val="24"/>
          <w:szCs w:val="24"/>
        </w:rPr>
        <w:t>c.) ; l’existence d’outils stratégiques comme le CREDD et d’autres instruments de pilotage sont un cadre d’appel pour les autres partenaires du pays. S</w:t>
      </w:r>
      <w:r w:rsidR="00E7778E" w:rsidRPr="006B309F">
        <w:rPr>
          <w:rFonts w:ascii="Times New Roman" w:hAnsi="Times New Roman"/>
          <w:sz w:val="24"/>
          <w:szCs w:val="24"/>
        </w:rPr>
        <w:t>ur le plan opérationnel</w:t>
      </w:r>
      <w:r w:rsidR="00E7778E">
        <w:rPr>
          <w:rFonts w:ascii="Times New Roman" w:hAnsi="Times New Roman"/>
          <w:sz w:val="24"/>
          <w:szCs w:val="24"/>
        </w:rPr>
        <w:t>, aussi</w:t>
      </w:r>
      <w:r w:rsidR="00E17DC8">
        <w:rPr>
          <w:rFonts w:ascii="Times New Roman" w:hAnsi="Times New Roman"/>
          <w:sz w:val="24"/>
          <w:szCs w:val="24"/>
        </w:rPr>
        <w:t>,</w:t>
      </w:r>
      <w:r w:rsidR="00E7778E">
        <w:rPr>
          <w:rFonts w:ascii="Times New Roman" w:hAnsi="Times New Roman"/>
          <w:sz w:val="24"/>
          <w:szCs w:val="24"/>
        </w:rPr>
        <w:t xml:space="preserve"> les contributions du programme sont réelles : des dizaines de milliers de personnes, avec une focalisation sur les cibles jeunes et femmes, ont été insérés dans des dynamiques communautaires de renforcement de résilience économique et sociale : créations d’emplois dans le cadre de travaux HIMO ou d’AGR en phase avec la promotion d’une gestion durable des ressources. La présence de l’Etat a été </w:t>
      </w:r>
      <w:r w:rsidR="00E7778E" w:rsidRPr="00EA74DA">
        <w:rPr>
          <w:rFonts w:ascii="Times New Roman" w:hAnsi="Times New Roman"/>
          <w:sz w:val="24"/>
          <w:szCs w:val="24"/>
          <w:shd w:val="clear" w:color="auto" w:fill="FFFFFF" w:themeFill="background1"/>
        </w:rPr>
        <w:t>améliorée sur le terrain à travers un redéploiement de services pu</w:t>
      </w:r>
      <w:r w:rsidR="00D5225C" w:rsidRPr="00EA74DA">
        <w:rPr>
          <w:rFonts w:ascii="Times New Roman" w:hAnsi="Times New Roman"/>
          <w:sz w:val="24"/>
          <w:szCs w:val="24"/>
          <w:shd w:val="clear" w:color="auto" w:fill="FFFFFF" w:themeFill="background1"/>
        </w:rPr>
        <w:t xml:space="preserve">blics clés comme la justice, l’administration </w:t>
      </w:r>
      <w:r w:rsidR="00E7778E" w:rsidRPr="00EA74DA">
        <w:rPr>
          <w:rFonts w:ascii="Times New Roman" w:hAnsi="Times New Roman"/>
          <w:sz w:val="24"/>
          <w:szCs w:val="24"/>
          <w:shd w:val="clear" w:color="auto" w:fill="FFFFFF" w:themeFill="background1"/>
        </w:rPr>
        <w:t>territorial</w:t>
      </w:r>
      <w:r w:rsidR="00D5225C" w:rsidRPr="00EA74DA">
        <w:rPr>
          <w:rFonts w:ascii="Times New Roman" w:hAnsi="Times New Roman"/>
          <w:sz w:val="24"/>
          <w:szCs w:val="24"/>
          <w:shd w:val="clear" w:color="auto" w:fill="FFFFFF" w:themeFill="background1"/>
        </w:rPr>
        <w:t>e, décentralisée et déconcentrée</w:t>
      </w:r>
      <w:r w:rsidR="00E7778E" w:rsidRPr="00EA74DA">
        <w:rPr>
          <w:rFonts w:ascii="Times New Roman" w:hAnsi="Times New Roman"/>
          <w:sz w:val="24"/>
          <w:szCs w:val="24"/>
          <w:shd w:val="clear" w:color="auto" w:fill="FFFFFF" w:themeFill="background1"/>
        </w:rPr>
        <w:t>. La cohésion nationale à la base a été favorisée à travers des infrastructures communautaires</w:t>
      </w:r>
      <w:r w:rsidR="00E7778E">
        <w:rPr>
          <w:rFonts w:ascii="Times New Roman" w:hAnsi="Times New Roman"/>
          <w:sz w:val="24"/>
          <w:szCs w:val="24"/>
        </w:rPr>
        <w:t xml:space="preserve"> de proximité et des activités génératrices de revenus</w:t>
      </w:r>
      <w:r w:rsidR="00E7778E" w:rsidRPr="006B309F">
        <w:rPr>
          <w:rFonts w:ascii="Times New Roman" w:hAnsi="Times New Roman"/>
          <w:sz w:val="24"/>
          <w:szCs w:val="24"/>
        </w:rPr>
        <w:t>.</w:t>
      </w:r>
    </w:p>
    <w:p w14:paraId="082174BB" w14:textId="77777777" w:rsidR="00E7778E" w:rsidRPr="006B309F" w:rsidRDefault="00E7778E" w:rsidP="00E7778E">
      <w:pPr>
        <w:spacing w:after="0" w:line="240" w:lineRule="auto"/>
        <w:jc w:val="both"/>
        <w:rPr>
          <w:rFonts w:ascii="Times New Roman" w:hAnsi="Times New Roman"/>
          <w:sz w:val="24"/>
          <w:szCs w:val="24"/>
        </w:rPr>
      </w:pPr>
    </w:p>
    <w:p w14:paraId="0687D8C5" w14:textId="77777777" w:rsidR="00E7778E" w:rsidRPr="006B309F" w:rsidRDefault="00454255" w:rsidP="00E7778E">
      <w:pPr>
        <w:spacing w:after="0" w:line="240" w:lineRule="auto"/>
        <w:jc w:val="both"/>
        <w:rPr>
          <w:rFonts w:ascii="Times New Roman" w:hAnsi="Times New Roman"/>
          <w:sz w:val="24"/>
          <w:szCs w:val="24"/>
        </w:rPr>
      </w:pPr>
      <w:r>
        <w:rPr>
          <w:rFonts w:ascii="Times New Roman" w:hAnsi="Times New Roman"/>
          <w:sz w:val="24"/>
          <w:szCs w:val="24"/>
        </w:rPr>
        <w:t>v</w:t>
      </w:r>
      <w:r w:rsidR="00E7778E" w:rsidRPr="006B309F">
        <w:rPr>
          <w:rFonts w:ascii="Times New Roman" w:hAnsi="Times New Roman"/>
          <w:sz w:val="24"/>
          <w:szCs w:val="24"/>
        </w:rPr>
        <w:t>.</w:t>
      </w:r>
      <w:r w:rsidR="00E7778E" w:rsidRPr="006B309F">
        <w:rPr>
          <w:rFonts w:ascii="Times New Roman" w:hAnsi="Times New Roman"/>
          <w:sz w:val="24"/>
          <w:szCs w:val="24"/>
        </w:rPr>
        <w:tab/>
      </w:r>
      <w:r w:rsidR="00E7778E" w:rsidRPr="006B309F">
        <w:rPr>
          <w:rFonts w:ascii="Times New Roman" w:hAnsi="Times New Roman"/>
          <w:b/>
          <w:i/>
          <w:sz w:val="24"/>
          <w:szCs w:val="24"/>
        </w:rPr>
        <w:t>Efficience</w:t>
      </w:r>
      <w:r w:rsidR="00E7778E" w:rsidRPr="006B309F">
        <w:rPr>
          <w:rFonts w:ascii="Times New Roman" w:hAnsi="Times New Roman"/>
          <w:sz w:val="24"/>
          <w:szCs w:val="24"/>
        </w:rPr>
        <w:t> : Les standards de gestion de rang international du PNUD ont favorisé l’efficience à travers une optimisation des coûts de livraison. Ce profil est encore amélioré par le fait que le Bureau puise parfois dans l’expertise corporate du PNUD (Bureaux et Centres régionaux) à des coûts inférieurs à ceux du marché, d’une part, par l</w:t>
      </w:r>
      <w:r w:rsidR="00E7778E">
        <w:rPr>
          <w:rFonts w:ascii="Times New Roman" w:hAnsi="Times New Roman"/>
          <w:sz w:val="24"/>
          <w:szCs w:val="24"/>
        </w:rPr>
        <w:t>e recours à la logistique de la Mission sans laquelle la couverture des risques sécuritaire</w:t>
      </w:r>
      <w:r w:rsidR="00E17DC8">
        <w:rPr>
          <w:rFonts w:ascii="Times New Roman" w:hAnsi="Times New Roman"/>
          <w:sz w:val="24"/>
          <w:szCs w:val="24"/>
        </w:rPr>
        <w:t>s</w:t>
      </w:r>
      <w:r w:rsidR="00E7778E">
        <w:rPr>
          <w:rFonts w:ascii="Times New Roman" w:hAnsi="Times New Roman"/>
          <w:sz w:val="24"/>
          <w:szCs w:val="24"/>
        </w:rPr>
        <w:t xml:space="preserve"> aurait pu être très onéreuse pour le programme, d’autre part. La mutualisation de certains services avec d’autres agences du système, au niveau central et des bureaux de terrain, permet aussi une optimisation des coûts y relatifs</w:t>
      </w:r>
      <w:r w:rsidR="00E7778E" w:rsidRPr="006B309F">
        <w:rPr>
          <w:rFonts w:ascii="Times New Roman" w:hAnsi="Times New Roman"/>
          <w:sz w:val="24"/>
          <w:szCs w:val="24"/>
        </w:rPr>
        <w:t xml:space="preserve">. L’efficience est toutefois contrariée par le morcellement du programme </w:t>
      </w:r>
      <w:r w:rsidR="00E7778E">
        <w:rPr>
          <w:rFonts w:ascii="Times New Roman" w:hAnsi="Times New Roman"/>
          <w:sz w:val="24"/>
          <w:szCs w:val="24"/>
        </w:rPr>
        <w:t xml:space="preserve">et l’existence d’unités parallèles de gestion de projet </w:t>
      </w:r>
      <w:r w:rsidR="00E7778E" w:rsidRPr="00EA74DA">
        <w:rPr>
          <w:rFonts w:ascii="Times New Roman" w:hAnsi="Times New Roman"/>
          <w:sz w:val="24"/>
          <w:szCs w:val="24"/>
          <w:shd w:val="clear" w:color="auto" w:fill="FFFFFF" w:themeFill="background1"/>
        </w:rPr>
        <w:t>en marge de l’exécution nationale</w:t>
      </w:r>
      <w:r w:rsidR="00D5225C" w:rsidRPr="00EA74DA">
        <w:rPr>
          <w:rFonts w:ascii="Times New Roman" w:hAnsi="Times New Roman"/>
          <w:sz w:val="24"/>
          <w:szCs w:val="24"/>
          <w:shd w:val="clear" w:color="auto" w:fill="FFFFFF" w:themeFill="background1"/>
        </w:rPr>
        <w:t xml:space="preserve"> (7 coordination de projet à côté de l’AEED !)</w:t>
      </w:r>
      <w:r w:rsidR="00E7778E" w:rsidRPr="00EA74DA">
        <w:rPr>
          <w:rFonts w:ascii="Times New Roman" w:hAnsi="Times New Roman"/>
          <w:sz w:val="24"/>
          <w:szCs w:val="24"/>
          <w:shd w:val="clear" w:color="auto" w:fill="FFFFFF" w:themeFill="background1"/>
        </w:rPr>
        <w:t>, de surcroît avec des pratiques de staffing insuffisamment harmonisées.</w:t>
      </w:r>
      <w:r w:rsidR="00E17DC8" w:rsidRPr="00EA74DA">
        <w:rPr>
          <w:rFonts w:ascii="Times New Roman" w:hAnsi="Times New Roman"/>
          <w:sz w:val="24"/>
          <w:szCs w:val="24"/>
          <w:shd w:val="clear" w:color="auto" w:fill="FFFFFF" w:themeFill="background1"/>
        </w:rPr>
        <w:t xml:space="preserve"> Les difficultés d’un monitoring rapproché et systématique, résultant notamment du contexte sécuritaire délicat, sont également un facteur de dégradation de l’efficacité marginale du programme.</w:t>
      </w:r>
    </w:p>
    <w:p w14:paraId="24939ED6" w14:textId="77777777" w:rsidR="00E7778E" w:rsidRPr="006B309F" w:rsidRDefault="00E7778E" w:rsidP="00E7778E">
      <w:pPr>
        <w:spacing w:after="0" w:line="240" w:lineRule="auto"/>
        <w:jc w:val="both"/>
        <w:rPr>
          <w:rFonts w:ascii="Times New Roman" w:hAnsi="Times New Roman"/>
          <w:sz w:val="24"/>
          <w:szCs w:val="24"/>
        </w:rPr>
      </w:pPr>
    </w:p>
    <w:p w14:paraId="4E414418" w14:textId="77777777" w:rsidR="00E7778E" w:rsidRPr="00EA74DA" w:rsidRDefault="00454255" w:rsidP="00E7778E">
      <w:pPr>
        <w:spacing w:after="0" w:line="240" w:lineRule="auto"/>
        <w:jc w:val="both"/>
        <w:rPr>
          <w:rFonts w:ascii="Times New Roman" w:hAnsi="Times New Roman"/>
          <w:sz w:val="24"/>
          <w:szCs w:val="24"/>
        </w:rPr>
      </w:pPr>
      <w:r>
        <w:rPr>
          <w:rFonts w:ascii="Times New Roman" w:hAnsi="Times New Roman"/>
          <w:sz w:val="24"/>
          <w:szCs w:val="24"/>
        </w:rPr>
        <w:t>vi</w:t>
      </w:r>
      <w:r w:rsidR="00E7778E" w:rsidRPr="006B309F">
        <w:rPr>
          <w:rFonts w:ascii="Times New Roman" w:hAnsi="Times New Roman"/>
          <w:sz w:val="24"/>
          <w:szCs w:val="24"/>
        </w:rPr>
        <w:t>.</w:t>
      </w:r>
      <w:r w:rsidR="00E7778E" w:rsidRPr="006B309F">
        <w:rPr>
          <w:rFonts w:ascii="Times New Roman" w:hAnsi="Times New Roman"/>
          <w:sz w:val="24"/>
          <w:szCs w:val="24"/>
        </w:rPr>
        <w:tab/>
      </w:r>
      <w:r w:rsidR="00E7778E" w:rsidRPr="006B309F">
        <w:rPr>
          <w:rFonts w:ascii="Times New Roman" w:hAnsi="Times New Roman"/>
          <w:b/>
          <w:i/>
          <w:sz w:val="24"/>
          <w:szCs w:val="24"/>
        </w:rPr>
        <w:t>Durabilité</w:t>
      </w:r>
      <w:r w:rsidR="00E7778E" w:rsidRPr="006B309F">
        <w:rPr>
          <w:rFonts w:ascii="Times New Roman" w:hAnsi="Times New Roman"/>
          <w:sz w:val="24"/>
          <w:szCs w:val="24"/>
        </w:rPr>
        <w:t> : Les effets d</w:t>
      </w:r>
      <w:r w:rsidR="00E7778E">
        <w:rPr>
          <w:rFonts w:ascii="Times New Roman" w:hAnsi="Times New Roman"/>
          <w:sz w:val="24"/>
          <w:szCs w:val="24"/>
        </w:rPr>
        <w:t>ans le domaine des ca</w:t>
      </w:r>
      <w:r w:rsidR="00452C63">
        <w:rPr>
          <w:rFonts w:ascii="Times New Roman" w:hAnsi="Times New Roman"/>
          <w:sz w:val="24"/>
          <w:szCs w:val="24"/>
        </w:rPr>
        <w:t>pacités de pilotage stratégique</w:t>
      </w:r>
      <w:r w:rsidR="00E7778E">
        <w:rPr>
          <w:rFonts w:ascii="Times New Roman" w:hAnsi="Times New Roman"/>
          <w:sz w:val="24"/>
          <w:szCs w:val="24"/>
        </w:rPr>
        <w:t xml:space="preserve"> sont ancrés dans des structures nationales robuste</w:t>
      </w:r>
      <w:r w:rsidR="00E17DC8">
        <w:rPr>
          <w:rFonts w:ascii="Times New Roman" w:hAnsi="Times New Roman"/>
          <w:sz w:val="24"/>
          <w:szCs w:val="24"/>
        </w:rPr>
        <w:t>s</w:t>
      </w:r>
      <w:r w:rsidR="00E7778E">
        <w:rPr>
          <w:rFonts w:ascii="Times New Roman" w:hAnsi="Times New Roman"/>
          <w:sz w:val="24"/>
          <w:szCs w:val="24"/>
        </w:rPr>
        <w:t xml:space="preserve"> et of</w:t>
      </w:r>
      <w:r w:rsidR="00E7778E" w:rsidRPr="00EA74DA">
        <w:rPr>
          <w:rFonts w:ascii="Times New Roman" w:hAnsi="Times New Roman"/>
          <w:sz w:val="24"/>
          <w:szCs w:val="24"/>
        </w:rPr>
        <w:t>frent un profil de pérennité favorable. De même</w:t>
      </w:r>
      <w:r w:rsidR="00E17DC8" w:rsidRPr="00EA74DA">
        <w:rPr>
          <w:rFonts w:ascii="Times New Roman" w:hAnsi="Times New Roman"/>
          <w:sz w:val="24"/>
          <w:szCs w:val="24"/>
        </w:rPr>
        <w:t>,</w:t>
      </w:r>
      <w:r w:rsidR="00E7778E" w:rsidRPr="00EA74DA">
        <w:rPr>
          <w:rFonts w:ascii="Times New Roman" w:hAnsi="Times New Roman"/>
          <w:sz w:val="24"/>
          <w:szCs w:val="24"/>
        </w:rPr>
        <w:t xml:space="preserve"> l’accompagnement prodigué à l’école de maintien de la paix ressort très bien valorisé par une structure qui s’efforce du reste de bâtir une certaine autonomie budgétaire en développant des masters attractifs</w:t>
      </w:r>
      <w:r w:rsidR="00452C63" w:rsidRPr="00EA74DA">
        <w:rPr>
          <w:rFonts w:ascii="Times New Roman" w:hAnsi="Times New Roman"/>
          <w:sz w:val="24"/>
          <w:szCs w:val="24"/>
        </w:rPr>
        <w:t xml:space="preserve"> </w:t>
      </w:r>
      <w:r w:rsidR="00452C63" w:rsidRPr="00EA74DA">
        <w:rPr>
          <w:rFonts w:ascii="Times New Roman" w:hAnsi="Times New Roman"/>
          <w:sz w:val="24"/>
          <w:szCs w:val="24"/>
          <w:shd w:val="clear" w:color="auto" w:fill="FFFFFF" w:themeFill="background1"/>
        </w:rPr>
        <w:t>et d’autres initiatives de recouvrement de coûts</w:t>
      </w:r>
      <w:r w:rsidR="00E7778E" w:rsidRPr="00EA74DA">
        <w:rPr>
          <w:rFonts w:ascii="Times New Roman" w:hAnsi="Times New Roman"/>
          <w:sz w:val="24"/>
          <w:szCs w:val="24"/>
          <w:shd w:val="clear" w:color="auto" w:fill="FFFFFF" w:themeFill="background1"/>
        </w:rPr>
        <w:t>. L’école</w:t>
      </w:r>
      <w:r w:rsidR="00E7778E" w:rsidRPr="00EA74DA">
        <w:rPr>
          <w:rFonts w:ascii="Times New Roman" w:hAnsi="Times New Roman"/>
          <w:sz w:val="24"/>
          <w:szCs w:val="24"/>
        </w:rPr>
        <w:t xml:space="preserve"> de formation de la police aussi capitalise bien sur l’assistance reçue du programme et e</w:t>
      </w:r>
      <w:r w:rsidR="00E17DC8" w:rsidRPr="00EA74DA">
        <w:rPr>
          <w:rFonts w:ascii="Times New Roman" w:hAnsi="Times New Roman"/>
          <w:sz w:val="24"/>
          <w:szCs w:val="24"/>
        </w:rPr>
        <w:t>nvisage même de s’ouvrir sur la sous-région</w:t>
      </w:r>
      <w:r w:rsidR="00E7778E" w:rsidRPr="00EA74DA">
        <w:rPr>
          <w:rFonts w:ascii="Times New Roman" w:hAnsi="Times New Roman"/>
          <w:sz w:val="24"/>
          <w:szCs w:val="24"/>
        </w:rPr>
        <w:t xml:space="preserve"> pour conforter ses bases et entrevoir une certaine autonomie garante de viabilité. Le redéploiement de l’Etat de droit à l’intérieur du pays, en revanche, est sous la menace des aléas sécuritaires encore hélas importants : par exemple, les magistrats, dont le redéploiement avait commencé à améliorer les statistiques nationales d’accès à la justice, recommencent encore à se replier dans la capitale du fait de la recrudescence des violences, dans les zones du Nord et du Centre notamment. Les acquis en matière de travail parlementaire devront être consolidés d’une législature à l’autre pour tenir compte du taux de renouvellement de la chambre, à moins de mettre davantage l’accent sur le renforcement des capacité</w:t>
      </w:r>
      <w:r w:rsidR="007762E7" w:rsidRPr="00EA74DA">
        <w:rPr>
          <w:rFonts w:ascii="Times New Roman" w:hAnsi="Times New Roman"/>
          <w:sz w:val="24"/>
          <w:szCs w:val="24"/>
        </w:rPr>
        <w:t xml:space="preserve">s des services </w:t>
      </w:r>
      <w:r w:rsidR="007762E7" w:rsidRPr="00EA74DA">
        <w:rPr>
          <w:rFonts w:ascii="Times New Roman" w:hAnsi="Times New Roman"/>
          <w:sz w:val="24"/>
          <w:szCs w:val="24"/>
          <w:shd w:val="clear" w:color="auto" w:fill="FFFFFF" w:themeFill="background1"/>
        </w:rPr>
        <w:t>techniques de l’A</w:t>
      </w:r>
      <w:r w:rsidR="00E7778E" w:rsidRPr="00EA74DA">
        <w:rPr>
          <w:rFonts w:ascii="Times New Roman" w:hAnsi="Times New Roman"/>
          <w:sz w:val="24"/>
          <w:szCs w:val="24"/>
          <w:shd w:val="clear" w:color="auto" w:fill="FFFFFF" w:themeFill="background1"/>
        </w:rPr>
        <w:t>ssemblée qui à leur tour</w:t>
      </w:r>
      <w:r w:rsidR="00E7778E" w:rsidRPr="00EA74DA">
        <w:rPr>
          <w:rFonts w:ascii="Times New Roman" w:hAnsi="Times New Roman"/>
          <w:sz w:val="24"/>
          <w:szCs w:val="24"/>
        </w:rPr>
        <w:t xml:space="preserve"> prendraient mieux en charge les nouveaux élus. Les résultats en matière de cohésion et de résilience socioéconomique à la base sont tout aussi sensibles à l’évolution de la situation sécuritaire du pays. Enfin, l’avenir des acquis en matière de prévention et de gestion de la pandémie du Sida est fonction du niveau de réussite que pourrait connaître le transfert au pays de la gestion des ressources du Fonds Mondial Santé.  </w:t>
      </w:r>
    </w:p>
    <w:p w14:paraId="38DE2A15" w14:textId="77777777" w:rsidR="00E7778E" w:rsidRPr="00EA74DA" w:rsidRDefault="00E7778E" w:rsidP="00E7778E">
      <w:pPr>
        <w:spacing w:after="0" w:line="240" w:lineRule="auto"/>
        <w:jc w:val="both"/>
        <w:rPr>
          <w:rFonts w:ascii="Times New Roman" w:hAnsi="Times New Roman"/>
          <w:sz w:val="24"/>
          <w:szCs w:val="24"/>
        </w:rPr>
      </w:pPr>
    </w:p>
    <w:p w14:paraId="3E01278B" w14:textId="77777777" w:rsidR="00793956" w:rsidRPr="00EA74DA" w:rsidRDefault="00793956" w:rsidP="00B026AE">
      <w:pPr>
        <w:pStyle w:val="Titre2"/>
        <w:numPr>
          <w:ilvl w:val="0"/>
          <w:numId w:val="2"/>
        </w:numPr>
        <w:tabs>
          <w:tab w:val="clear" w:pos="720"/>
          <w:tab w:val="num" w:pos="284"/>
          <w:tab w:val="left" w:pos="426"/>
        </w:tabs>
        <w:spacing w:before="0"/>
        <w:ind w:left="0" w:firstLine="0"/>
        <w:rPr>
          <w:color w:val="auto"/>
        </w:rPr>
      </w:pPr>
      <w:bookmarkStart w:id="10" w:name="_Toc499211573"/>
      <w:bookmarkStart w:id="11" w:name="_Toc499213846"/>
      <w:r w:rsidRPr="00EA74DA">
        <w:rPr>
          <w:color w:val="auto"/>
        </w:rPr>
        <w:t>Leçons apprises</w:t>
      </w:r>
      <w:bookmarkEnd w:id="10"/>
      <w:bookmarkEnd w:id="11"/>
    </w:p>
    <w:p w14:paraId="4D56D703" w14:textId="77777777" w:rsidR="00E7778E" w:rsidRPr="00EA74DA" w:rsidRDefault="00E7778E" w:rsidP="00E7778E">
      <w:pPr>
        <w:spacing w:after="0" w:line="240" w:lineRule="auto"/>
        <w:rPr>
          <w:rFonts w:ascii="Times New Roman" w:hAnsi="Times New Roman"/>
          <w:sz w:val="24"/>
          <w:szCs w:val="24"/>
        </w:rPr>
      </w:pPr>
    </w:p>
    <w:p w14:paraId="17836DED" w14:textId="77777777" w:rsidR="00E7778E" w:rsidRPr="00EA74DA" w:rsidRDefault="00E7778E" w:rsidP="00D76EFA">
      <w:pPr>
        <w:pStyle w:val="Paragraphedeliste"/>
        <w:numPr>
          <w:ilvl w:val="0"/>
          <w:numId w:val="135"/>
        </w:numPr>
        <w:spacing w:after="0" w:line="240" w:lineRule="auto"/>
        <w:rPr>
          <w:rFonts w:ascii="Times New Roman" w:hAnsi="Times New Roman"/>
          <w:b/>
          <w:sz w:val="24"/>
          <w:szCs w:val="24"/>
        </w:rPr>
      </w:pPr>
      <w:r w:rsidRPr="00EA74DA">
        <w:rPr>
          <w:rFonts w:ascii="Times New Roman" w:hAnsi="Times New Roman"/>
          <w:b/>
          <w:i/>
          <w:sz w:val="24"/>
          <w:szCs w:val="24"/>
        </w:rPr>
        <w:lastRenderedPageBreak/>
        <w:t xml:space="preserve">Le programme marque une présence de qualité au côté de l’Etat dans des domaines critiques et </w:t>
      </w:r>
      <w:r w:rsidR="00E17DC8" w:rsidRPr="00EA74DA">
        <w:rPr>
          <w:rFonts w:ascii="Times New Roman" w:hAnsi="Times New Roman"/>
          <w:b/>
          <w:i/>
          <w:sz w:val="24"/>
          <w:szCs w:val="24"/>
        </w:rPr>
        <w:t xml:space="preserve">y </w:t>
      </w:r>
      <w:r w:rsidR="00E17DC8" w:rsidRPr="00EA74DA">
        <w:rPr>
          <w:rFonts w:ascii="Times New Roman" w:hAnsi="Times New Roman"/>
          <w:b/>
          <w:i/>
          <w:sz w:val="24"/>
          <w:szCs w:val="24"/>
          <w:shd w:val="clear" w:color="auto" w:fill="FFFFFF" w:themeFill="background1"/>
        </w:rPr>
        <w:t>apporte</w:t>
      </w:r>
      <w:r w:rsidR="007762E7" w:rsidRPr="00EA74DA">
        <w:rPr>
          <w:rFonts w:ascii="Times New Roman" w:hAnsi="Times New Roman"/>
          <w:b/>
          <w:i/>
          <w:sz w:val="24"/>
          <w:szCs w:val="24"/>
          <w:shd w:val="clear" w:color="auto" w:fill="FFFFFF" w:themeFill="background1"/>
        </w:rPr>
        <w:t>r</w:t>
      </w:r>
      <w:r w:rsidR="00E17DC8" w:rsidRPr="00EA74DA">
        <w:rPr>
          <w:rFonts w:ascii="Times New Roman" w:hAnsi="Times New Roman"/>
          <w:b/>
          <w:i/>
          <w:sz w:val="24"/>
          <w:szCs w:val="24"/>
          <w:shd w:val="clear" w:color="auto" w:fill="FFFFFF" w:themeFill="background1"/>
        </w:rPr>
        <w:t xml:space="preserve"> </w:t>
      </w:r>
      <w:r w:rsidRPr="00EA74DA">
        <w:rPr>
          <w:rFonts w:ascii="Times New Roman" w:hAnsi="Times New Roman"/>
          <w:b/>
          <w:i/>
          <w:sz w:val="24"/>
          <w:szCs w:val="24"/>
          <w:shd w:val="clear" w:color="auto" w:fill="FFFFFF" w:themeFill="background1"/>
        </w:rPr>
        <w:t>des valeurs</w:t>
      </w:r>
      <w:r w:rsidRPr="00EA74DA">
        <w:rPr>
          <w:rFonts w:ascii="Times New Roman" w:hAnsi="Times New Roman"/>
          <w:b/>
          <w:i/>
          <w:sz w:val="24"/>
          <w:szCs w:val="24"/>
        </w:rPr>
        <w:t xml:space="preserve"> ajoutées décisives</w:t>
      </w:r>
      <w:r w:rsidRPr="00EA74DA">
        <w:rPr>
          <w:rFonts w:ascii="Times New Roman" w:hAnsi="Times New Roman"/>
          <w:b/>
          <w:sz w:val="24"/>
          <w:szCs w:val="24"/>
        </w:rPr>
        <w:t>.</w:t>
      </w:r>
    </w:p>
    <w:p w14:paraId="281CDCCA" w14:textId="77777777" w:rsidR="00E7778E" w:rsidRPr="006B309F" w:rsidRDefault="00E7778E" w:rsidP="00E7778E">
      <w:pPr>
        <w:spacing w:after="0" w:line="240" w:lineRule="auto"/>
        <w:rPr>
          <w:rFonts w:ascii="Times New Roman" w:hAnsi="Times New Roman"/>
          <w:sz w:val="24"/>
          <w:szCs w:val="24"/>
        </w:rPr>
      </w:pPr>
    </w:p>
    <w:p w14:paraId="764EF3FE" w14:textId="77777777" w:rsidR="00E7778E" w:rsidRPr="006B309F" w:rsidRDefault="00454255" w:rsidP="00E7778E">
      <w:pPr>
        <w:spacing w:after="0" w:line="240" w:lineRule="auto"/>
        <w:jc w:val="both"/>
        <w:rPr>
          <w:rFonts w:ascii="Times New Roman" w:hAnsi="Times New Roman"/>
          <w:sz w:val="24"/>
          <w:szCs w:val="24"/>
        </w:rPr>
      </w:pPr>
      <w:r>
        <w:rPr>
          <w:rFonts w:ascii="Times New Roman" w:hAnsi="Times New Roman"/>
          <w:sz w:val="24"/>
          <w:szCs w:val="24"/>
        </w:rPr>
        <w:t>vii</w:t>
      </w:r>
      <w:r w:rsidR="00E7778E" w:rsidRPr="006B309F">
        <w:rPr>
          <w:rFonts w:ascii="Times New Roman" w:hAnsi="Times New Roman"/>
          <w:sz w:val="24"/>
          <w:szCs w:val="24"/>
        </w:rPr>
        <w:t>.</w:t>
      </w:r>
      <w:r w:rsidR="00E7778E" w:rsidRPr="006B309F">
        <w:rPr>
          <w:rFonts w:ascii="Times New Roman" w:hAnsi="Times New Roman"/>
          <w:sz w:val="24"/>
          <w:szCs w:val="24"/>
        </w:rPr>
        <w:tab/>
      </w:r>
      <w:r w:rsidR="00E7778E">
        <w:rPr>
          <w:rFonts w:ascii="Times New Roman" w:hAnsi="Times New Roman"/>
          <w:sz w:val="24"/>
          <w:szCs w:val="24"/>
        </w:rPr>
        <w:t>Qu’il s’agisse du développement de capacités stratégiques de pilotage de l’économie, de la gestion environnementale, de la cohésion nationale, de la gouvernance et de la consolidation de l’Etat de droit, ou encore de la formation de potentiels de résilience au bénéfice des populations à la base, le programme déroule une présence continu</w:t>
      </w:r>
      <w:r w:rsidR="00E17DC8">
        <w:rPr>
          <w:rFonts w:ascii="Times New Roman" w:hAnsi="Times New Roman"/>
          <w:sz w:val="24"/>
          <w:szCs w:val="24"/>
        </w:rPr>
        <w:t>e</w:t>
      </w:r>
      <w:r w:rsidR="00E7778E">
        <w:rPr>
          <w:rFonts w:ascii="Times New Roman" w:hAnsi="Times New Roman"/>
          <w:sz w:val="24"/>
          <w:szCs w:val="24"/>
        </w:rPr>
        <w:t xml:space="preserve"> et robuste dans le pays. Elle est d’autant plus appréciée et crée du résultat, qu’elle conserve une flexibilité de mise en œuvre qui fait que le PNUD est </w:t>
      </w:r>
      <w:r w:rsidR="00E17DC8">
        <w:rPr>
          <w:rFonts w:ascii="Times New Roman" w:hAnsi="Times New Roman"/>
          <w:sz w:val="24"/>
          <w:szCs w:val="24"/>
        </w:rPr>
        <w:t xml:space="preserve">souvent décrit par les nationaux comme </w:t>
      </w:r>
      <w:r w:rsidR="00E7778E">
        <w:rPr>
          <w:rFonts w:ascii="Times New Roman" w:hAnsi="Times New Roman"/>
          <w:sz w:val="24"/>
          <w:szCs w:val="24"/>
        </w:rPr>
        <w:t>le recours de confiance.</w:t>
      </w:r>
    </w:p>
    <w:p w14:paraId="4DF34378" w14:textId="77777777" w:rsidR="00E7778E" w:rsidRPr="006B309F" w:rsidRDefault="00E7778E" w:rsidP="00E7778E">
      <w:pPr>
        <w:spacing w:after="0" w:line="240" w:lineRule="auto"/>
        <w:jc w:val="both"/>
        <w:rPr>
          <w:rFonts w:ascii="Times New Roman" w:hAnsi="Times New Roman"/>
          <w:sz w:val="24"/>
          <w:szCs w:val="24"/>
        </w:rPr>
      </w:pPr>
    </w:p>
    <w:p w14:paraId="08703787" w14:textId="77777777" w:rsidR="00E7778E" w:rsidRPr="006B309F" w:rsidRDefault="00E7778E" w:rsidP="00E7778E">
      <w:pPr>
        <w:spacing w:after="0" w:line="240" w:lineRule="auto"/>
        <w:rPr>
          <w:rFonts w:ascii="Times New Roman" w:hAnsi="Times New Roman"/>
          <w:sz w:val="24"/>
          <w:szCs w:val="24"/>
        </w:rPr>
      </w:pPr>
    </w:p>
    <w:p w14:paraId="540EDCDB" w14:textId="77777777" w:rsidR="00E7778E" w:rsidRPr="006B309F" w:rsidRDefault="00E7778E" w:rsidP="00D76EFA">
      <w:pPr>
        <w:pStyle w:val="Paragraphedeliste"/>
        <w:numPr>
          <w:ilvl w:val="0"/>
          <w:numId w:val="135"/>
        </w:numPr>
        <w:spacing w:after="0" w:line="240" w:lineRule="auto"/>
        <w:rPr>
          <w:rFonts w:ascii="Times New Roman" w:hAnsi="Times New Roman"/>
          <w:i/>
          <w:sz w:val="24"/>
          <w:szCs w:val="24"/>
        </w:rPr>
      </w:pPr>
      <w:r>
        <w:rPr>
          <w:rFonts w:ascii="Times New Roman" w:hAnsi="Times New Roman"/>
          <w:b/>
          <w:i/>
          <w:sz w:val="24"/>
          <w:szCs w:val="24"/>
        </w:rPr>
        <w:t>Les entités nationales montrent une remarquable tendance à se retourner vers le PNUD pour contourner ou relativiser une exécution nationale source d’inertie à leurs yeux : ce tropisme ne favorise hélas pas l’appropriation et le développement de capacités</w:t>
      </w:r>
      <w:r w:rsidRPr="006B309F">
        <w:rPr>
          <w:rFonts w:ascii="Times New Roman" w:hAnsi="Times New Roman"/>
          <w:i/>
          <w:sz w:val="24"/>
          <w:szCs w:val="24"/>
        </w:rPr>
        <w:t>.</w:t>
      </w:r>
    </w:p>
    <w:p w14:paraId="593B9AD8" w14:textId="77777777" w:rsidR="00E7778E" w:rsidRDefault="00E7778E" w:rsidP="00E7778E">
      <w:pPr>
        <w:spacing w:after="0" w:line="240" w:lineRule="auto"/>
        <w:jc w:val="both"/>
        <w:rPr>
          <w:rFonts w:ascii="Times New Roman" w:hAnsi="Times New Roman"/>
          <w:sz w:val="24"/>
          <w:szCs w:val="24"/>
        </w:rPr>
      </w:pPr>
    </w:p>
    <w:p w14:paraId="5EB02FC7" w14:textId="77777777" w:rsidR="00E7778E" w:rsidRPr="006B309F" w:rsidRDefault="00454255" w:rsidP="00E7778E">
      <w:pPr>
        <w:spacing w:after="0" w:line="240" w:lineRule="auto"/>
        <w:jc w:val="both"/>
        <w:rPr>
          <w:rFonts w:ascii="Times New Roman" w:hAnsi="Times New Roman"/>
          <w:sz w:val="24"/>
          <w:szCs w:val="24"/>
        </w:rPr>
      </w:pPr>
      <w:r>
        <w:rPr>
          <w:rFonts w:ascii="Times New Roman" w:hAnsi="Times New Roman"/>
          <w:sz w:val="24"/>
          <w:szCs w:val="24"/>
        </w:rPr>
        <w:t>viii ;</w:t>
      </w:r>
      <w:r w:rsidR="00E7778E">
        <w:rPr>
          <w:rFonts w:ascii="Times New Roman" w:hAnsi="Times New Roman"/>
          <w:sz w:val="24"/>
          <w:szCs w:val="24"/>
        </w:rPr>
        <w:tab/>
        <w:t>Il est tout aussi remarquable que mal</w:t>
      </w:r>
      <w:r w:rsidR="00A525B2">
        <w:rPr>
          <w:rFonts w:ascii="Times New Roman" w:hAnsi="Times New Roman"/>
          <w:sz w:val="24"/>
          <w:szCs w:val="24"/>
        </w:rPr>
        <w:t xml:space="preserve">gré </w:t>
      </w:r>
      <w:r w:rsidR="00E7778E">
        <w:rPr>
          <w:rFonts w:ascii="Times New Roman" w:hAnsi="Times New Roman"/>
          <w:sz w:val="24"/>
          <w:szCs w:val="24"/>
        </w:rPr>
        <w:t xml:space="preserve">l’exécution nationale </w:t>
      </w:r>
      <w:r w:rsidR="00A525B2">
        <w:rPr>
          <w:rFonts w:ascii="Times New Roman" w:hAnsi="Times New Roman"/>
          <w:sz w:val="24"/>
          <w:szCs w:val="24"/>
        </w:rPr>
        <w:t xml:space="preserve">comme modalité principale de </w:t>
      </w:r>
      <w:r w:rsidR="00E7778E">
        <w:rPr>
          <w:rFonts w:ascii="Times New Roman" w:hAnsi="Times New Roman"/>
          <w:sz w:val="24"/>
          <w:szCs w:val="24"/>
        </w:rPr>
        <w:t>la coopération avec le pays, les agences nationales partenaires se retournent parfois, voire souvent, vers le PNUD pour demander elles-mêmes qu’il soit dérogé à cette règle. Certes</w:t>
      </w:r>
      <w:r w:rsidR="00A525B2">
        <w:rPr>
          <w:rFonts w:ascii="Times New Roman" w:hAnsi="Times New Roman"/>
          <w:sz w:val="24"/>
          <w:szCs w:val="24"/>
        </w:rPr>
        <w:t>,</w:t>
      </w:r>
      <w:r w:rsidR="00E7778E">
        <w:rPr>
          <w:rFonts w:ascii="Times New Roman" w:hAnsi="Times New Roman"/>
          <w:sz w:val="24"/>
          <w:szCs w:val="24"/>
        </w:rPr>
        <w:t xml:space="preserve"> cette pratique arrange tout le monde : la partie nationale s’exonère des procédures nationales réputées chronophages ; le PNUD améliore son </w:t>
      </w:r>
      <w:r w:rsidR="00A525B2">
        <w:rPr>
          <w:rFonts w:ascii="Times New Roman" w:hAnsi="Times New Roman"/>
          <w:sz w:val="24"/>
          <w:szCs w:val="24"/>
        </w:rPr>
        <w:t>"</w:t>
      </w:r>
      <w:r w:rsidR="00E7778E">
        <w:rPr>
          <w:rFonts w:ascii="Times New Roman" w:hAnsi="Times New Roman"/>
          <w:sz w:val="24"/>
          <w:szCs w:val="24"/>
        </w:rPr>
        <w:t>delivery</w:t>
      </w:r>
      <w:r w:rsidR="00A525B2">
        <w:rPr>
          <w:rFonts w:ascii="Times New Roman" w:hAnsi="Times New Roman"/>
          <w:sz w:val="24"/>
          <w:szCs w:val="24"/>
        </w:rPr>
        <w:t>"</w:t>
      </w:r>
      <w:r w:rsidR="00E7778E">
        <w:rPr>
          <w:rFonts w:ascii="Times New Roman" w:hAnsi="Times New Roman"/>
          <w:sz w:val="24"/>
          <w:szCs w:val="24"/>
        </w:rPr>
        <w:t xml:space="preserve"> en gagnant du temps. Il est toutefois à craindre que cet usage ne favorise ni l’appropriation ni un véritable développement de capacités.</w:t>
      </w:r>
    </w:p>
    <w:p w14:paraId="2825C0EF" w14:textId="77777777" w:rsidR="00E7778E" w:rsidRPr="006B309F" w:rsidRDefault="00E7778E" w:rsidP="00E7778E">
      <w:pPr>
        <w:spacing w:after="0" w:line="240" w:lineRule="auto"/>
        <w:rPr>
          <w:rFonts w:ascii="Times New Roman" w:hAnsi="Times New Roman"/>
          <w:sz w:val="24"/>
          <w:szCs w:val="24"/>
        </w:rPr>
      </w:pPr>
    </w:p>
    <w:p w14:paraId="4B6749EB" w14:textId="77777777" w:rsidR="00E7778E" w:rsidRPr="006B309F" w:rsidRDefault="00E7778E" w:rsidP="00D76EFA">
      <w:pPr>
        <w:pStyle w:val="Paragraphedeliste"/>
        <w:numPr>
          <w:ilvl w:val="0"/>
          <w:numId w:val="135"/>
        </w:numPr>
        <w:spacing w:after="0" w:line="240" w:lineRule="auto"/>
        <w:jc w:val="both"/>
        <w:rPr>
          <w:rFonts w:ascii="Times New Roman" w:hAnsi="Times New Roman"/>
          <w:sz w:val="24"/>
          <w:szCs w:val="24"/>
        </w:rPr>
      </w:pPr>
      <w:r>
        <w:rPr>
          <w:rFonts w:ascii="Times New Roman" w:hAnsi="Times New Roman"/>
          <w:b/>
          <w:i/>
          <w:sz w:val="24"/>
          <w:szCs w:val="24"/>
        </w:rPr>
        <w:t>L’émiettement de certains segments du portefeuille ne favorise pas des effets robustes et génère</w:t>
      </w:r>
      <w:r w:rsidR="00A525B2">
        <w:rPr>
          <w:rFonts w:ascii="Times New Roman" w:hAnsi="Times New Roman"/>
          <w:b/>
          <w:i/>
          <w:sz w:val="24"/>
          <w:szCs w:val="24"/>
        </w:rPr>
        <w:t>,</w:t>
      </w:r>
      <w:r>
        <w:rPr>
          <w:rFonts w:ascii="Times New Roman" w:hAnsi="Times New Roman"/>
          <w:b/>
          <w:i/>
          <w:sz w:val="24"/>
          <w:szCs w:val="24"/>
        </w:rPr>
        <w:t xml:space="preserve"> au contraire</w:t>
      </w:r>
      <w:r w:rsidR="00A525B2">
        <w:rPr>
          <w:rFonts w:ascii="Times New Roman" w:hAnsi="Times New Roman"/>
          <w:b/>
          <w:i/>
          <w:sz w:val="24"/>
          <w:szCs w:val="24"/>
        </w:rPr>
        <w:t>,</w:t>
      </w:r>
      <w:r>
        <w:rPr>
          <w:rFonts w:ascii="Times New Roman" w:hAnsi="Times New Roman"/>
          <w:b/>
          <w:i/>
          <w:sz w:val="24"/>
          <w:szCs w:val="24"/>
        </w:rPr>
        <w:t xml:space="preserve"> des surcoûts d’opération allant à l’encontre des exigences d’efficience</w:t>
      </w:r>
      <w:r w:rsidRPr="006B309F">
        <w:rPr>
          <w:rFonts w:ascii="Times New Roman" w:hAnsi="Times New Roman"/>
          <w:sz w:val="24"/>
          <w:szCs w:val="24"/>
        </w:rPr>
        <w:t>.</w:t>
      </w:r>
    </w:p>
    <w:p w14:paraId="548BA5F2" w14:textId="77777777" w:rsidR="00E7778E" w:rsidRPr="006B309F" w:rsidRDefault="00E7778E" w:rsidP="00E7778E">
      <w:pPr>
        <w:spacing w:after="0" w:line="240" w:lineRule="auto"/>
        <w:jc w:val="both"/>
        <w:rPr>
          <w:rFonts w:ascii="Times New Roman" w:hAnsi="Times New Roman"/>
          <w:sz w:val="24"/>
          <w:szCs w:val="24"/>
        </w:rPr>
      </w:pPr>
    </w:p>
    <w:p w14:paraId="0C6A0C22" w14:textId="77777777" w:rsidR="00E7778E" w:rsidRPr="006B309F" w:rsidRDefault="00454255" w:rsidP="00E7778E">
      <w:pPr>
        <w:spacing w:after="0" w:line="240" w:lineRule="auto"/>
        <w:jc w:val="both"/>
        <w:rPr>
          <w:rFonts w:ascii="Times New Roman" w:hAnsi="Times New Roman"/>
          <w:sz w:val="24"/>
          <w:szCs w:val="24"/>
        </w:rPr>
      </w:pPr>
      <w:r>
        <w:rPr>
          <w:rFonts w:ascii="Times New Roman" w:hAnsi="Times New Roman"/>
          <w:sz w:val="24"/>
          <w:szCs w:val="24"/>
        </w:rPr>
        <w:t>ix</w:t>
      </w:r>
      <w:r w:rsidR="00E7778E" w:rsidRPr="006B309F">
        <w:rPr>
          <w:rFonts w:ascii="Times New Roman" w:hAnsi="Times New Roman"/>
          <w:sz w:val="24"/>
          <w:szCs w:val="24"/>
        </w:rPr>
        <w:t>.</w:t>
      </w:r>
      <w:r w:rsidR="00E7778E" w:rsidRPr="006B309F">
        <w:rPr>
          <w:rFonts w:ascii="Times New Roman" w:hAnsi="Times New Roman"/>
          <w:sz w:val="24"/>
          <w:szCs w:val="24"/>
        </w:rPr>
        <w:tab/>
      </w:r>
      <w:r w:rsidR="00E7778E">
        <w:rPr>
          <w:rFonts w:ascii="Times New Roman" w:hAnsi="Times New Roman"/>
          <w:sz w:val="24"/>
          <w:szCs w:val="24"/>
        </w:rPr>
        <w:t>Le portefeuille se découvre fortement émietté à certains endroits. Le cluster Environnement offre une illustration achevée de cette situation, avec par exemple, pas moins de 7 petits projets ancrés à l’Agence de l’Environnement et du Développement Durable. Cet éclatement ne favorise pas une réelle densité d’effets, les interventions étant cloisonnées entre elle</w:t>
      </w:r>
      <w:r w:rsidR="00A525B2">
        <w:rPr>
          <w:rFonts w:ascii="Times New Roman" w:hAnsi="Times New Roman"/>
          <w:sz w:val="24"/>
          <w:szCs w:val="24"/>
        </w:rPr>
        <w:t>s</w:t>
      </w:r>
      <w:r w:rsidR="00E7778E">
        <w:rPr>
          <w:rFonts w:ascii="Times New Roman" w:hAnsi="Times New Roman"/>
          <w:sz w:val="24"/>
          <w:szCs w:val="24"/>
        </w:rPr>
        <w:t xml:space="preserve"> malgré une tutelle unique. De surcroît, chacune étant dotée d’une coordination technique parallèle, toutes contribuent à un renchérissement des coûts d’opération qui finit par mordre dans l’efficience du programme.</w:t>
      </w:r>
    </w:p>
    <w:p w14:paraId="5B60384F" w14:textId="77777777" w:rsidR="00F51C01" w:rsidRPr="009A1AFC" w:rsidRDefault="00F51C01" w:rsidP="00F51C01">
      <w:pPr>
        <w:spacing w:after="0" w:line="240" w:lineRule="auto"/>
        <w:jc w:val="both"/>
        <w:rPr>
          <w:rFonts w:ascii="Times New Roman" w:hAnsi="Times New Roman"/>
          <w:sz w:val="14"/>
          <w:szCs w:val="14"/>
        </w:rPr>
      </w:pPr>
    </w:p>
    <w:p w14:paraId="155D253D" w14:textId="77777777" w:rsidR="001C0774" w:rsidRPr="006B309F" w:rsidRDefault="001C0774" w:rsidP="00F51C01">
      <w:pPr>
        <w:spacing w:after="0" w:line="240" w:lineRule="auto"/>
        <w:jc w:val="both"/>
        <w:rPr>
          <w:rFonts w:ascii="Times New Roman" w:hAnsi="Times New Roman"/>
          <w:sz w:val="14"/>
          <w:szCs w:val="14"/>
        </w:rPr>
      </w:pPr>
    </w:p>
    <w:p w14:paraId="316A5646" w14:textId="77777777" w:rsidR="00795741" w:rsidRPr="006B309F" w:rsidRDefault="00795741" w:rsidP="00B026AE">
      <w:pPr>
        <w:pStyle w:val="Titre2"/>
        <w:numPr>
          <w:ilvl w:val="0"/>
          <w:numId w:val="2"/>
        </w:numPr>
        <w:tabs>
          <w:tab w:val="clear" w:pos="720"/>
          <w:tab w:val="num" w:pos="284"/>
          <w:tab w:val="left" w:pos="426"/>
        </w:tabs>
        <w:spacing w:before="0"/>
        <w:ind w:left="0" w:firstLine="0"/>
        <w:rPr>
          <w:color w:val="auto"/>
        </w:rPr>
      </w:pPr>
      <w:bookmarkStart w:id="12" w:name="_Toc499211574"/>
      <w:bookmarkStart w:id="13" w:name="_Toc499213847"/>
      <w:r w:rsidRPr="006B309F">
        <w:rPr>
          <w:color w:val="auto"/>
        </w:rPr>
        <w:t>Recommandations</w:t>
      </w:r>
      <w:bookmarkEnd w:id="12"/>
      <w:bookmarkEnd w:id="13"/>
    </w:p>
    <w:p w14:paraId="577C8F59" w14:textId="77777777" w:rsidR="00F51C01" w:rsidRPr="009A1AFC" w:rsidRDefault="00F51C01" w:rsidP="00F51C01">
      <w:pPr>
        <w:spacing w:after="0" w:line="240" w:lineRule="auto"/>
        <w:jc w:val="both"/>
        <w:rPr>
          <w:rFonts w:ascii="Times New Roman" w:hAnsi="Times New Roman"/>
          <w:sz w:val="24"/>
          <w:szCs w:val="24"/>
        </w:rPr>
      </w:pPr>
    </w:p>
    <w:p w14:paraId="609433F4" w14:textId="77777777" w:rsidR="00E7778E" w:rsidRDefault="00E7778E" w:rsidP="00E7778E">
      <w:pPr>
        <w:spacing w:after="0" w:line="240" w:lineRule="auto"/>
        <w:jc w:val="both"/>
        <w:rPr>
          <w:rFonts w:ascii="Times New Roman" w:hAnsi="Times New Roman"/>
          <w:sz w:val="24"/>
          <w:szCs w:val="24"/>
        </w:rPr>
      </w:pPr>
    </w:p>
    <w:p w14:paraId="309A03B0" w14:textId="77777777" w:rsidR="00E7778E" w:rsidRPr="003A5883" w:rsidRDefault="00E7778E" w:rsidP="00D76EFA">
      <w:pPr>
        <w:pStyle w:val="Paragraphedeliste"/>
        <w:numPr>
          <w:ilvl w:val="0"/>
          <w:numId w:val="136"/>
        </w:numPr>
        <w:spacing w:after="0" w:line="240" w:lineRule="auto"/>
        <w:jc w:val="both"/>
        <w:rPr>
          <w:rFonts w:ascii="Times New Roman" w:hAnsi="Times New Roman"/>
          <w:b/>
          <w:i/>
          <w:sz w:val="24"/>
          <w:szCs w:val="24"/>
        </w:rPr>
      </w:pPr>
      <w:r w:rsidRPr="003A5883">
        <w:rPr>
          <w:rFonts w:ascii="Times New Roman" w:hAnsi="Times New Roman"/>
          <w:b/>
          <w:i/>
          <w:sz w:val="24"/>
          <w:szCs w:val="24"/>
        </w:rPr>
        <w:t>Améliorer l’efficience du programme par une rationalisation des unités parallèle</w:t>
      </w:r>
      <w:r w:rsidR="00A525B2">
        <w:rPr>
          <w:rFonts w:ascii="Times New Roman" w:hAnsi="Times New Roman"/>
          <w:b/>
          <w:i/>
          <w:sz w:val="24"/>
          <w:szCs w:val="24"/>
        </w:rPr>
        <w:t>s</w:t>
      </w:r>
      <w:r w:rsidRPr="003A5883">
        <w:rPr>
          <w:rFonts w:ascii="Times New Roman" w:hAnsi="Times New Roman"/>
          <w:b/>
          <w:i/>
          <w:sz w:val="24"/>
          <w:szCs w:val="24"/>
        </w:rPr>
        <w:t xml:space="preserve"> de gestion.</w:t>
      </w:r>
    </w:p>
    <w:p w14:paraId="1F8C4DEE" w14:textId="77777777" w:rsidR="00E7778E" w:rsidRDefault="00E7778E" w:rsidP="00E7778E">
      <w:pPr>
        <w:spacing w:after="0" w:line="240" w:lineRule="auto"/>
        <w:jc w:val="both"/>
        <w:rPr>
          <w:rFonts w:ascii="Times New Roman" w:hAnsi="Times New Roman"/>
          <w:sz w:val="24"/>
          <w:szCs w:val="24"/>
        </w:rPr>
      </w:pPr>
    </w:p>
    <w:p w14:paraId="649678E1" w14:textId="77777777" w:rsidR="00E7778E" w:rsidRDefault="00454255" w:rsidP="00E7778E">
      <w:pPr>
        <w:spacing w:after="0" w:line="240" w:lineRule="auto"/>
        <w:jc w:val="both"/>
        <w:rPr>
          <w:rFonts w:ascii="Times New Roman" w:hAnsi="Times New Roman"/>
          <w:sz w:val="24"/>
          <w:szCs w:val="24"/>
        </w:rPr>
      </w:pPr>
      <w:r>
        <w:rPr>
          <w:rFonts w:ascii="Times New Roman" w:hAnsi="Times New Roman"/>
          <w:sz w:val="24"/>
          <w:szCs w:val="24"/>
        </w:rPr>
        <w:t>x.</w:t>
      </w:r>
      <w:r w:rsidR="00E7778E">
        <w:rPr>
          <w:rFonts w:ascii="Times New Roman" w:hAnsi="Times New Roman"/>
          <w:sz w:val="24"/>
          <w:szCs w:val="24"/>
        </w:rPr>
        <w:tab/>
        <w:t>Elles doivent être limités au minimum incompressible, au lieu de la situ</w:t>
      </w:r>
      <w:r w:rsidR="00A525B2">
        <w:rPr>
          <w:rFonts w:ascii="Times New Roman" w:hAnsi="Times New Roman"/>
          <w:sz w:val="24"/>
          <w:szCs w:val="24"/>
        </w:rPr>
        <w:t>ation actuelle où une multitude</w:t>
      </w:r>
      <w:r w:rsidR="00E7778E">
        <w:rPr>
          <w:rFonts w:ascii="Times New Roman" w:hAnsi="Times New Roman"/>
          <w:sz w:val="24"/>
          <w:szCs w:val="24"/>
        </w:rPr>
        <w:t xml:space="preserve"> de micro interventions sont dotées de coordinations technique</w:t>
      </w:r>
      <w:r w:rsidR="00A525B2">
        <w:rPr>
          <w:rFonts w:ascii="Times New Roman" w:hAnsi="Times New Roman"/>
          <w:sz w:val="24"/>
          <w:szCs w:val="24"/>
        </w:rPr>
        <w:t>s</w:t>
      </w:r>
      <w:r w:rsidR="00E7778E">
        <w:rPr>
          <w:rFonts w:ascii="Times New Roman" w:hAnsi="Times New Roman"/>
          <w:sz w:val="24"/>
          <w:szCs w:val="24"/>
        </w:rPr>
        <w:t xml:space="preserve"> régulièrement installées et rémunérées aux frais du programme</w:t>
      </w:r>
      <w:r w:rsidR="00A525B2">
        <w:rPr>
          <w:rFonts w:ascii="Times New Roman" w:hAnsi="Times New Roman"/>
          <w:sz w:val="24"/>
          <w:szCs w:val="24"/>
        </w:rPr>
        <w:t>,</w:t>
      </w:r>
      <w:r w:rsidR="00E7778E">
        <w:rPr>
          <w:rFonts w:ascii="Times New Roman" w:hAnsi="Times New Roman"/>
          <w:sz w:val="24"/>
          <w:szCs w:val="24"/>
        </w:rPr>
        <w:t xml:space="preserve"> sur des ressources qui n’arrivent donc pas </w:t>
      </w:r>
      <w:r w:rsidR="00A525B2">
        <w:rPr>
          <w:rFonts w:ascii="Times New Roman" w:hAnsi="Times New Roman"/>
          <w:sz w:val="24"/>
          <w:szCs w:val="24"/>
        </w:rPr>
        <w:t xml:space="preserve">à </w:t>
      </w:r>
      <w:r w:rsidR="00E7778E">
        <w:rPr>
          <w:rFonts w:ascii="Times New Roman" w:hAnsi="Times New Roman"/>
          <w:sz w:val="24"/>
          <w:szCs w:val="24"/>
        </w:rPr>
        <w:t xml:space="preserve">leurs bénéficiaires plus légitimes. </w:t>
      </w:r>
      <w:r w:rsidR="00A525B2">
        <w:rPr>
          <w:rFonts w:ascii="Times New Roman" w:hAnsi="Times New Roman"/>
          <w:sz w:val="24"/>
          <w:szCs w:val="24"/>
        </w:rPr>
        <w:t>P</w:t>
      </w:r>
      <w:r w:rsidR="00E7778E">
        <w:rPr>
          <w:rFonts w:ascii="Times New Roman" w:hAnsi="Times New Roman"/>
          <w:sz w:val="24"/>
          <w:szCs w:val="24"/>
        </w:rPr>
        <w:t>our les rares qui seront conservées, sans doute pour aider à gérer des programme</w:t>
      </w:r>
      <w:r w:rsidR="00A525B2">
        <w:rPr>
          <w:rFonts w:ascii="Times New Roman" w:hAnsi="Times New Roman"/>
          <w:sz w:val="24"/>
          <w:szCs w:val="24"/>
        </w:rPr>
        <w:t>s</w:t>
      </w:r>
      <w:r w:rsidR="00E7778E">
        <w:rPr>
          <w:rFonts w:ascii="Times New Roman" w:hAnsi="Times New Roman"/>
          <w:sz w:val="24"/>
          <w:szCs w:val="24"/>
        </w:rPr>
        <w:t xml:space="preserve"> de large emprise, il faudra harmoniser leur cadre de fonctionnement et leurs registres de coûts, d’accord partie avec non seulement la partie nationale, mais aussi, si possible, avec les autres agences UN, voire plus globalement la communauté locale des partenaires au développement.</w:t>
      </w:r>
    </w:p>
    <w:p w14:paraId="7BA82C45" w14:textId="77777777" w:rsidR="00E7778E" w:rsidRDefault="00E7778E" w:rsidP="00E7778E">
      <w:pPr>
        <w:spacing w:after="0" w:line="240" w:lineRule="auto"/>
        <w:jc w:val="both"/>
        <w:rPr>
          <w:rFonts w:ascii="Times New Roman" w:hAnsi="Times New Roman"/>
          <w:sz w:val="24"/>
          <w:szCs w:val="24"/>
        </w:rPr>
      </w:pPr>
    </w:p>
    <w:p w14:paraId="7DB75FC7" w14:textId="77777777" w:rsidR="00C5461F" w:rsidRDefault="00C5461F" w:rsidP="00C5461F">
      <w:pPr>
        <w:spacing w:after="0" w:line="240" w:lineRule="auto"/>
        <w:jc w:val="both"/>
        <w:rPr>
          <w:rFonts w:ascii="Times New Roman" w:hAnsi="Times New Roman"/>
          <w:sz w:val="24"/>
          <w:szCs w:val="24"/>
        </w:rPr>
      </w:pPr>
    </w:p>
    <w:p w14:paraId="7EE25A4A" w14:textId="77777777" w:rsidR="00C5461F" w:rsidRPr="003A5883" w:rsidRDefault="00C5461F" w:rsidP="00C5461F">
      <w:pPr>
        <w:pStyle w:val="Paragraphedeliste"/>
        <w:numPr>
          <w:ilvl w:val="0"/>
          <w:numId w:val="136"/>
        </w:numPr>
        <w:spacing w:after="0" w:line="240" w:lineRule="auto"/>
        <w:jc w:val="both"/>
        <w:rPr>
          <w:rFonts w:ascii="Times New Roman" w:hAnsi="Times New Roman"/>
          <w:b/>
          <w:i/>
          <w:sz w:val="24"/>
          <w:szCs w:val="24"/>
        </w:rPr>
      </w:pPr>
      <w:r w:rsidRPr="003A5883">
        <w:rPr>
          <w:rFonts w:ascii="Times New Roman" w:hAnsi="Times New Roman"/>
          <w:b/>
          <w:i/>
          <w:sz w:val="24"/>
          <w:szCs w:val="24"/>
        </w:rPr>
        <w:t>Améliorer l</w:t>
      </w:r>
      <w:r>
        <w:rPr>
          <w:rFonts w:ascii="Times New Roman" w:hAnsi="Times New Roman"/>
          <w:b/>
          <w:i/>
          <w:sz w:val="24"/>
          <w:szCs w:val="24"/>
        </w:rPr>
        <w:t>e suivi-évaluation et le reporting sur le programme, pour en accroire le rendement et le dialogue avec les partenaires</w:t>
      </w:r>
      <w:r w:rsidRPr="003A5883">
        <w:rPr>
          <w:rFonts w:ascii="Times New Roman" w:hAnsi="Times New Roman"/>
          <w:b/>
          <w:i/>
          <w:sz w:val="24"/>
          <w:szCs w:val="24"/>
        </w:rPr>
        <w:t>.</w:t>
      </w:r>
    </w:p>
    <w:p w14:paraId="4CAEB29B" w14:textId="77777777" w:rsidR="00C5461F" w:rsidRDefault="00C5461F" w:rsidP="00C5461F">
      <w:pPr>
        <w:spacing w:after="0" w:line="240" w:lineRule="auto"/>
        <w:jc w:val="both"/>
        <w:rPr>
          <w:rFonts w:ascii="Times New Roman" w:hAnsi="Times New Roman"/>
          <w:sz w:val="24"/>
          <w:szCs w:val="24"/>
        </w:rPr>
      </w:pPr>
    </w:p>
    <w:p w14:paraId="6506C989" w14:textId="77777777" w:rsidR="00C5461F" w:rsidRDefault="00C5461F" w:rsidP="00C5461F">
      <w:pPr>
        <w:spacing w:after="0" w:line="240" w:lineRule="auto"/>
        <w:jc w:val="both"/>
        <w:rPr>
          <w:rFonts w:ascii="Times New Roman" w:hAnsi="Times New Roman"/>
          <w:sz w:val="24"/>
          <w:szCs w:val="24"/>
        </w:rPr>
      </w:pPr>
      <w:r>
        <w:rPr>
          <w:rFonts w:ascii="Times New Roman" w:hAnsi="Times New Roman"/>
          <w:sz w:val="24"/>
          <w:szCs w:val="24"/>
        </w:rPr>
        <w:t>xi.</w:t>
      </w:r>
      <w:r>
        <w:rPr>
          <w:rFonts w:ascii="Times New Roman" w:hAnsi="Times New Roman"/>
          <w:sz w:val="24"/>
          <w:szCs w:val="24"/>
        </w:rPr>
        <w:tab/>
        <w:t>Le suivi opérationnel du portefeuille, exécuté par les partenaires d’exécution étatiques ou venant de la société civile doit être amélioré : ces partenaires doivent sentir plus souvent la présence du PNUD sur le terrain, en tenant compte naturellement des contraintes sécuritaires. En aval ce suivi rapproché doit se traduire un reporting amélioré, tenant compte des besoins d’information des bailleurs de fonds du programme, même si l’on reste dans les principes de responsabilité et de souveraineté du PNUD en matière de gestion des ressources qui lui sont confiées.</w:t>
      </w:r>
    </w:p>
    <w:p w14:paraId="506E75D1" w14:textId="77777777" w:rsidR="00C5461F" w:rsidRDefault="00C5461F" w:rsidP="00C5461F">
      <w:pPr>
        <w:spacing w:after="0" w:line="240" w:lineRule="auto"/>
        <w:jc w:val="both"/>
        <w:rPr>
          <w:rFonts w:ascii="Times New Roman" w:hAnsi="Times New Roman"/>
          <w:sz w:val="24"/>
          <w:szCs w:val="24"/>
        </w:rPr>
      </w:pPr>
    </w:p>
    <w:p w14:paraId="38AAC617" w14:textId="77777777" w:rsidR="00C5461F" w:rsidRDefault="00C5461F" w:rsidP="00E7778E">
      <w:pPr>
        <w:spacing w:after="0" w:line="240" w:lineRule="auto"/>
        <w:jc w:val="both"/>
        <w:rPr>
          <w:rFonts w:ascii="Times New Roman" w:hAnsi="Times New Roman"/>
          <w:sz w:val="24"/>
          <w:szCs w:val="24"/>
        </w:rPr>
      </w:pPr>
    </w:p>
    <w:p w14:paraId="0A7E412B" w14:textId="77777777" w:rsidR="00E7778E" w:rsidRDefault="00E7778E" w:rsidP="00E7778E">
      <w:pPr>
        <w:spacing w:after="0" w:line="240" w:lineRule="auto"/>
        <w:jc w:val="both"/>
        <w:rPr>
          <w:rFonts w:ascii="Times New Roman" w:hAnsi="Times New Roman"/>
          <w:sz w:val="24"/>
          <w:szCs w:val="24"/>
        </w:rPr>
      </w:pPr>
    </w:p>
    <w:p w14:paraId="2896B5CF" w14:textId="77777777" w:rsidR="00E7778E" w:rsidRPr="003A5883" w:rsidRDefault="00E7778E" w:rsidP="00C5461F">
      <w:pPr>
        <w:pStyle w:val="Paragraphedeliste"/>
        <w:numPr>
          <w:ilvl w:val="0"/>
          <w:numId w:val="136"/>
        </w:numPr>
        <w:spacing w:after="0" w:line="240" w:lineRule="auto"/>
        <w:jc w:val="both"/>
        <w:rPr>
          <w:rFonts w:ascii="Times New Roman" w:hAnsi="Times New Roman"/>
          <w:b/>
          <w:i/>
          <w:sz w:val="24"/>
          <w:szCs w:val="24"/>
        </w:rPr>
      </w:pPr>
      <w:r w:rsidRPr="003A5883">
        <w:rPr>
          <w:rFonts w:ascii="Times New Roman" w:hAnsi="Times New Roman"/>
          <w:b/>
          <w:i/>
          <w:sz w:val="24"/>
          <w:szCs w:val="24"/>
        </w:rPr>
        <w:t>Valoriser l’expertise genre dans la formulation de nouveaux projets et l’écriture des plans de travail des projets en cours, pour y refléter la transversalité de cette dimension</w:t>
      </w:r>
    </w:p>
    <w:p w14:paraId="38C99FF7" w14:textId="77777777" w:rsidR="00E7778E" w:rsidRPr="0042175A" w:rsidRDefault="00E7778E" w:rsidP="00E7778E">
      <w:pPr>
        <w:spacing w:after="0" w:line="240" w:lineRule="auto"/>
        <w:jc w:val="both"/>
        <w:rPr>
          <w:rFonts w:ascii="Times New Roman" w:hAnsi="Times New Roman"/>
          <w:sz w:val="24"/>
          <w:szCs w:val="24"/>
        </w:rPr>
      </w:pPr>
    </w:p>
    <w:p w14:paraId="2A0A9170" w14:textId="77777777" w:rsidR="00E7778E" w:rsidRPr="0042175A" w:rsidRDefault="00454255" w:rsidP="00E7778E">
      <w:pPr>
        <w:spacing w:after="0" w:line="240" w:lineRule="auto"/>
        <w:jc w:val="both"/>
        <w:rPr>
          <w:rFonts w:ascii="Times New Roman" w:hAnsi="Times New Roman"/>
          <w:sz w:val="24"/>
          <w:szCs w:val="24"/>
        </w:rPr>
      </w:pPr>
      <w:r>
        <w:rPr>
          <w:rFonts w:ascii="Times New Roman" w:hAnsi="Times New Roman"/>
          <w:sz w:val="24"/>
          <w:szCs w:val="24"/>
        </w:rPr>
        <w:t>xi</w:t>
      </w:r>
      <w:r w:rsidR="00C5461F">
        <w:rPr>
          <w:rFonts w:ascii="Times New Roman" w:hAnsi="Times New Roman"/>
          <w:sz w:val="24"/>
          <w:szCs w:val="24"/>
        </w:rPr>
        <w:t>i</w:t>
      </w:r>
      <w:r>
        <w:rPr>
          <w:rFonts w:ascii="Times New Roman" w:hAnsi="Times New Roman"/>
          <w:sz w:val="24"/>
          <w:szCs w:val="24"/>
        </w:rPr>
        <w:t>.</w:t>
      </w:r>
      <w:r w:rsidR="00E7778E" w:rsidRPr="0042175A">
        <w:rPr>
          <w:rFonts w:ascii="Times New Roman" w:hAnsi="Times New Roman"/>
          <w:sz w:val="24"/>
          <w:szCs w:val="24"/>
        </w:rPr>
        <w:tab/>
        <w:t>Cette expertise doit être mieux ressentie dans le programme, en termes d’appui à l’insertion dans les stratégies des projets de contenus capable</w:t>
      </w:r>
      <w:r w:rsidR="00A525B2">
        <w:rPr>
          <w:rFonts w:ascii="Times New Roman" w:hAnsi="Times New Roman"/>
          <w:sz w:val="24"/>
          <w:szCs w:val="24"/>
        </w:rPr>
        <w:t>s</w:t>
      </w:r>
      <w:r w:rsidR="00E7778E" w:rsidRPr="0042175A">
        <w:rPr>
          <w:rFonts w:ascii="Times New Roman" w:hAnsi="Times New Roman"/>
          <w:sz w:val="24"/>
          <w:szCs w:val="24"/>
        </w:rPr>
        <w:t xml:space="preserve"> de faire bouger les lignes dans la promotion de l’équité de genre : il faut dépasser le réflexe courant de se satisfaire de constater que les femmes sont naturellement bien représentées parmi telles cibles ; cette présence massive dans certains domaines ne leur confère pas pour autant une maîtrise équivalente dans les superstructures de gestion de leur environnement de cibles. L’expertise genre doit donc être vigilante et imaginative pour inscrire systématiquement dans les plans de travail des approches hardies de la question de l’autonomisation des femmes qui ne se ramène pas au simple fait</w:t>
      </w:r>
      <w:r w:rsidR="00A525B2">
        <w:rPr>
          <w:rFonts w:ascii="Times New Roman" w:hAnsi="Times New Roman"/>
          <w:sz w:val="24"/>
          <w:szCs w:val="24"/>
        </w:rPr>
        <w:t>,</w:t>
      </w:r>
      <w:r w:rsidR="00E7778E" w:rsidRPr="0042175A">
        <w:rPr>
          <w:rFonts w:ascii="Times New Roman" w:hAnsi="Times New Roman"/>
          <w:sz w:val="24"/>
          <w:szCs w:val="24"/>
        </w:rPr>
        <w:t xml:space="preserve"> </w:t>
      </w:r>
      <w:r w:rsidR="00A525B2">
        <w:rPr>
          <w:rFonts w:ascii="Times New Roman" w:hAnsi="Times New Roman"/>
          <w:sz w:val="24"/>
          <w:szCs w:val="24"/>
        </w:rPr>
        <w:t xml:space="preserve">pour elles, </w:t>
      </w:r>
      <w:r w:rsidR="00E7778E" w:rsidRPr="0042175A">
        <w:rPr>
          <w:rFonts w:ascii="Times New Roman" w:hAnsi="Times New Roman"/>
          <w:sz w:val="24"/>
          <w:szCs w:val="24"/>
        </w:rPr>
        <w:t xml:space="preserve">d’être des bénéficiaires numériquement importants. </w:t>
      </w:r>
    </w:p>
    <w:p w14:paraId="727A2CD5" w14:textId="77777777" w:rsidR="00E7778E" w:rsidRPr="0042175A" w:rsidRDefault="00E7778E" w:rsidP="00E7778E">
      <w:pPr>
        <w:spacing w:after="0" w:line="240" w:lineRule="auto"/>
        <w:jc w:val="both"/>
        <w:rPr>
          <w:rFonts w:ascii="Times New Roman" w:hAnsi="Times New Roman"/>
          <w:sz w:val="24"/>
          <w:szCs w:val="24"/>
        </w:rPr>
      </w:pPr>
    </w:p>
    <w:p w14:paraId="5416DB97" w14:textId="77777777" w:rsidR="00E7778E" w:rsidRPr="003A5883" w:rsidRDefault="00E7778E" w:rsidP="00C5461F">
      <w:pPr>
        <w:pStyle w:val="Paragraphedeliste"/>
        <w:numPr>
          <w:ilvl w:val="0"/>
          <w:numId w:val="136"/>
        </w:numPr>
        <w:spacing w:after="0" w:line="240" w:lineRule="auto"/>
        <w:jc w:val="both"/>
        <w:rPr>
          <w:rFonts w:ascii="Times New Roman" w:hAnsi="Times New Roman"/>
          <w:b/>
          <w:i/>
          <w:sz w:val="24"/>
          <w:szCs w:val="24"/>
        </w:rPr>
      </w:pPr>
      <w:r w:rsidRPr="003A5883">
        <w:rPr>
          <w:rFonts w:ascii="Times New Roman" w:hAnsi="Times New Roman"/>
          <w:b/>
          <w:i/>
          <w:sz w:val="24"/>
          <w:szCs w:val="24"/>
        </w:rPr>
        <w:t>Donner à la communication les moyens d’exister dans le fond pour migrer d’une approche événementielle à une approche de plus grande substance</w:t>
      </w:r>
    </w:p>
    <w:p w14:paraId="0BF32592" w14:textId="77777777" w:rsidR="00E7778E" w:rsidRPr="0042175A" w:rsidRDefault="00E7778E" w:rsidP="00E7778E">
      <w:pPr>
        <w:spacing w:after="0" w:line="240" w:lineRule="auto"/>
        <w:jc w:val="both"/>
        <w:rPr>
          <w:rFonts w:ascii="Times New Roman" w:hAnsi="Times New Roman"/>
          <w:sz w:val="24"/>
          <w:szCs w:val="24"/>
        </w:rPr>
      </w:pPr>
    </w:p>
    <w:p w14:paraId="09F5133B" w14:textId="77777777" w:rsidR="00E7778E" w:rsidRDefault="00454255" w:rsidP="00E7778E">
      <w:pPr>
        <w:spacing w:after="0" w:line="240" w:lineRule="auto"/>
        <w:jc w:val="both"/>
        <w:rPr>
          <w:rFonts w:ascii="Times New Roman" w:hAnsi="Times New Roman"/>
          <w:sz w:val="24"/>
          <w:szCs w:val="24"/>
        </w:rPr>
      </w:pPr>
      <w:r w:rsidRPr="000442E1">
        <w:rPr>
          <w:rFonts w:ascii="Times New Roman" w:hAnsi="Times New Roman"/>
          <w:sz w:val="24"/>
          <w:szCs w:val="24"/>
        </w:rPr>
        <w:t>xi</w:t>
      </w:r>
      <w:r w:rsidR="00C5461F" w:rsidRPr="000442E1">
        <w:rPr>
          <w:rFonts w:ascii="Times New Roman" w:hAnsi="Times New Roman"/>
          <w:sz w:val="24"/>
          <w:szCs w:val="24"/>
        </w:rPr>
        <w:t>i</w:t>
      </w:r>
      <w:r w:rsidRPr="000442E1">
        <w:rPr>
          <w:rFonts w:ascii="Times New Roman" w:hAnsi="Times New Roman"/>
          <w:sz w:val="24"/>
          <w:szCs w:val="24"/>
        </w:rPr>
        <w:t>i.</w:t>
      </w:r>
      <w:r w:rsidR="00E7778E" w:rsidRPr="000442E1">
        <w:rPr>
          <w:rFonts w:ascii="Times New Roman" w:hAnsi="Times New Roman"/>
          <w:sz w:val="24"/>
          <w:szCs w:val="24"/>
        </w:rPr>
        <w:tab/>
        <w:t>Les projets qui produisent du contenu n’ont pas forcément et naturellement le réflexe d’y articuler la communication qu’ils méritent. Ils y pensent ponctuellement lorsqu’ils sont en situation d’approche des partenaires dans le cadre de la mobilisation de ressources, mais à ce moment-là lesdits contenus ne sont peut-être pas assez apprêtés pour être suffisamment significatifs en mode communication. Il faut donc organiser la valorisation de l’Unité Communication dans ce cadre (en lui donnant des moyens et en l’intégrant dans la gestion des productions des projets !), pour une communication de contenu au long cours, au service</w:t>
      </w:r>
      <w:r w:rsidR="00E7778E">
        <w:rPr>
          <w:rFonts w:ascii="Times New Roman" w:hAnsi="Times New Roman"/>
          <w:sz w:val="24"/>
          <w:szCs w:val="24"/>
        </w:rPr>
        <w:t xml:space="preserve"> d’une politique proactive de partenariat et de mobilisation de ressources. </w:t>
      </w:r>
    </w:p>
    <w:p w14:paraId="19EF72F6" w14:textId="77777777" w:rsidR="00E7778E" w:rsidRDefault="00E7778E" w:rsidP="00E7778E">
      <w:pPr>
        <w:spacing w:after="0" w:line="240" w:lineRule="auto"/>
        <w:jc w:val="both"/>
        <w:rPr>
          <w:rFonts w:ascii="Times New Roman" w:hAnsi="Times New Roman"/>
          <w:sz w:val="24"/>
          <w:szCs w:val="24"/>
        </w:rPr>
      </w:pPr>
    </w:p>
    <w:p w14:paraId="121A0782" w14:textId="77777777" w:rsidR="00E7778E" w:rsidRPr="003A5883" w:rsidRDefault="00E7778E" w:rsidP="00C5461F">
      <w:pPr>
        <w:pStyle w:val="Paragraphedeliste"/>
        <w:numPr>
          <w:ilvl w:val="0"/>
          <w:numId w:val="136"/>
        </w:numPr>
        <w:spacing w:after="0" w:line="240" w:lineRule="auto"/>
        <w:jc w:val="both"/>
        <w:rPr>
          <w:rFonts w:ascii="Times New Roman" w:hAnsi="Times New Roman"/>
          <w:b/>
          <w:i/>
          <w:sz w:val="24"/>
          <w:szCs w:val="24"/>
        </w:rPr>
      </w:pPr>
      <w:r w:rsidRPr="003A5883">
        <w:rPr>
          <w:rFonts w:ascii="Times New Roman" w:hAnsi="Times New Roman"/>
          <w:b/>
          <w:i/>
          <w:sz w:val="24"/>
          <w:szCs w:val="24"/>
        </w:rPr>
        <w:t>Redonner du souffle à la mobilisation de ressource dans un contexte de plus en plus concurrentiel et difficile, en jouant mieux des atouts du programme et du Bureau</w:t>
      </w:r>
    </w:p>
    <w:p w14:paraId="0B9ECC4A" w14:textId="77777777" w:rsidR="00E7778E" w:rsidRDefault="00E7778E" w:rsidP="00E7778E">
      <w:pPr>
        <w:spacing w:after="0" w:line="240" w:lineRule="auto"/>
        <w:jc w:val="both"/>
        <w:rPr>
          <w:rFonts w:ascii="Times New Roman" w:hAnsi="Times New Roman"/>
          <w:sz w:val="24"/>
          <w:szCs w:val="24"/>
        </w:rPr>
      </w:pPr>
    </w:p>
    <w:p w14:paraId="660FDFFD" w14:textId="77777777" w:rsidR="00E7778E" w:rsidRDefault="00454255" w:rsidP="00E7778E">
      <w:pPr>
        <w:spacing w:after="0" w:line="240" w:lineRule="auto"/>
        <w:jc w:val="both"/>
        <w:rPr>
          <w:rFonts w:ascii="Times New Roman" w:hAnsi="Times New Roman"/>
          <w:sz w:val="24"/>
          <w:szCs w:val="24"/>
        </w:rPr>
      </w:pPr>
      <w:r>
        <w:rPr>
          <w:rFonts w:ascii="Times New Roman" w:hAnsi="Times New Roman"/>
          <w:sz w:val="24"/>
          <w:szCs w:val="24"/>
        </w:rPr>
        <w:t>xi</w:t>
      </w:r>
      <w:r w:rsidR="00C5461F">
        <w:rPr>
          <w:rFonts w:ascii="Times New Roman" w:hAnsi="Times New Roman"/>
          <w:sz w:val="24"/>
          <w:szCs w:val="24"/>
        </w:rPr>
        <w:t>v</w:t>
      </w:r>
      <w:r>
        <w:rPr>
          <w:rFonts w:ascii="Times New Roman" w:hAnsi="Times New Roman"/>
          <w:sz w:val="24"/>
          <w:szCs w:val="24"/>
        </w:rPr>
        <w:t>.</w:t>
      </w:r>
      <w:r w:rsidR="00E7778E">
        <w:rPr>
          <w:rFonts w:ascii="Times New Roman" w:hAnsi="Times New Roman"/>
          <w:sz w:val="24"/>
          <w:szCs w:val="24"/>
        </w:rPr>
        <w:tab/>
        <w:t xml:space="preserve">Le contexte financier du programme se profile avec des difficultés à l’horizon : la perte dès 2018 d’une partie au moins des ressources du Fonds Mondial/Santé ; le </w:t>
      </w:r>
      <w:r w:rsidR="00A525B2">
        <w:rPr>
          <w:rFonts w:ascii="Times New Roman" w:hAnsi="Times New Roman"/>
          <w:sz w:val="24"/>
          <w:szCs w:val="24"/>
        </w:rPr>
        <w:t xml:space="preserve">risque d’un </w:t>
      </w:r>
      <w:r w:rsidR="00E7778E">
        <w:rPr>
          <w:rFonts w:ascii="Times New Roman" w:hAnsi="Times New Roman"/>
          <w:sz w:val="24"/>
          <w:szCs w:val="24"/>
        </w:rPr>
        <w:t xml:space="preserve">détachement progressif des partenaires par rapport à une crise qui s’installe dans la durée ; la concurrence grandissante des agences d’exécution de type société civile internationale ; notamment. Dans cette nouvelle donne, le Bureau doit consolider sa stratégie de mobilisation de ressources en s’appuyant mieux sur </w:t>
      </w:r>
      <w:r w:rsidR="004F0F49">
        <w:rPr>
          <w:rFonts w:ascii="Times New Roman" w:hAnsi="Times New Roman"/>
          <w:sz w:val="24"/>
          <w:szCs w:val="24"/>
        </w:rPr>
        <w:t>trois</w:t>
      </w:r>
      <w:r w:rsidR="00E7778E">
        <w:rPr>
          <w:rFonts w:ascii="Times New Roman" w:hAnsi="Times New Roman"/>
          <w:sz w:val="24"/>
          <w:szCs w:val="24"/>
        </w:rPr>
        <w:t xml:space="preserve"> leviers au moins : (i) la communication de contenus </w:t>
      </w:r>
      <w:r w:rsidR="00E7778E">
        <w:rPr>
          <w:rFonts w:ascii="Times New Roman" w:hAnsi="Times New Roman"/>
          <w:sz w:val="24"/>
          <w:szCs w:val="24"/>
        </w:rPr>
        <w:lastRenderedPageBreak/>
        <w:t xml:space="preserve">au long cours visée dans la recommandation précédente ; (ii) une meilleure mise à contribution du partenaire national, non pas uniquement en tant que source de financement, mais aussi surtout  dans le cadre de tandems pour approcher les bailleurs de fonds ; (iii) explorer dans horizons nouveaux comme les opérateurs </w:t>
      </w:r>
      <w:r w:rsidR="004F0F49">
        <w:rPr>
          <w:rFonts w:ascii="Times New Roman" w:hAnsi="Times New Roman"/>
          <w:sz w:val="24"/>
          <w:szCs w:val="24"/>
        </w:rPr>
        <w:t xml:space="preserve">de téléphonie </w:t>
      </w:r>
      <w:r w:rsidR="00E7778E">
        <w:rPr>
          <w:rFonts w:ascii="Times New Roman" w:hAnsi="Times New Roman"/>
          <w:sz w:val="24"/>
          <w:szCs w:val="24"/>
        </w:rPr>
        <w:t>mobile et plus largement le secteur privé dans le cadre de Partenariat Public Privé.</w:t>
      </w:r>
    </w:p>
    <w:p w14:paraId="0A10D417" w14:textId="77777777" w:rsidR="00E7778E" w:rsidRPr="006B309F" w:rsidRDefault="00E7778E" w:rsidP="00E7778E">
      <w:pPr>
        <w:spacing w:after="0" w:line="240" w:lineRule="auto"/>
        <w:jc w:val="both"/>
        <w:rPr>
          <w:rFonts w:ascii="Times New Roman" w:hAnsi="Times New Roman"/>
          <w:b/>
          <w:sz w:val="24"/>
          <w:szCs w:val="24"/>
        </w:rPr>
      </w:pPr>
    </w:p>
    <w:p w14:paraId="42A52E67" w14:textId="77777777" w:rsidR="00E7778E" w:rsidRPr="003A5883" w:rsidRDefault="004F0F49" w:rsidP="00C5461F">
      <w:pPr>
        <w:pStyle w:val="Paragraphedeliste"/>
        <w:numPr>
          <w:ilvl w:val="0"/>
          <w:numId w:val="136"/>
        </w:numPr>
        <w:spacing w:after="0" w:line="240" w:lineRule="auto"/>
        <w:jc w:val="both"/>
        <w:rPr>
          <w:rFonts w:ascii="Times New Roman" w:hAnsi="Times New Roman"/>
          <w:sz w:val="24"/>
          <w:szCs w:val="24"/>
        </w:rPr>
      </w:pPr>
      <w:r>
        <w:rPr>
          <w:rFonts w:ascii="Times New Roman" w:hAnsi="Times New Roman"/>
          <w:b/>
          <w:i/>
          <w:sz w:val="24"/>
          <w:szCs w:val="24"/>
        </w:rPr>
        <w:t>Réécrire</w:t>
      </w:r>
      <w:r w:rsidR="00E7778E" w:rsidRPr="003A5883">
        <w:rPr>
          <w:rFonts w:ascii="Times New Roman" w:hAnsi="Times New Roman"/>
          <w:b/>
          <w:i/>
          <w:sz w:val="24"/>
          <w:szCs w:val="24"/>
        </w:rPr>
        <w:t xml:space="preserve"> la matrice des résultats et des ressources en s’appuyant sur le résultat d’une éventuelle réécriture de la matrice de l’UNDAF dont elle procède</w:t>
      </w:r>
      <w:r w:rsidR="00E7778E" w:rsidRPr="003A5883">
        <w:rPr>
          <w:rFonts w:ascii="Times New Roman" w:hAnsi="Times New Roman"/>
          <w:sz w:val="24"/>
          <w:szCs w:val="24"/>
        </w:rPr>
        <w:t>.</w:t>
      </w:r>
    </w:p>
    <w:p w14:paraId="55F1FA29" w14:textId="77777777" w:rsidR="00E7778E" w:rsidRPr="006B309F" w:rsidRDefault="00E7778E" w:rsidP="00E7778E">
      <w:pPr>
        <w:spacing w:after="0" w:line="240" w:lineRule="auto"/>
        <w:jc w:val="both"/>
        <w:rPr>
          <w:rFonts w:ascii="Times New Roman" w:hAnsi="Times New Roman"/>
          <w:sz w:val="24"/>
          <w:szCs w:val="24"/>
        </w:rPr>
      </w:pPr>
    </w:p>
    <w:p w14:paraId="3F16E171" w14:textId="77777777" w:rsidR="00E7778E" w:rsidRDefault="00C5461F" w:rsidP="00E7778E">
      <w:pPr>
        <w:spacing w:after="0" w:line="240" w:lineRule="auto"/>
        <w:jc w:val="both"/>
        <w:rPr>
          <w:rFonts w:ascii="Times New Roman" w:hAnsi="Times New Roman"/>
          <w:sz w:val="24"/>
          <w:szCs w:val="24"/>
        </w:rPr>
      </w:pPr>
      <w:r>
        <w:rPr>
          <w:rFonts w:ascii="Times New Roman" w:hAnsi="Times New Roman"/>
          <w:sz w:val="24"/>
          <w:szCs w:val="24"/>
        </w:rPr>
        <w:t>x</w:t>
      </w:r>
      <w:r w:rsidR="00454255">
        <w:rPr>
          <w:rFonts w:ascii="Times New Roman" w:hAnsi="Times New Roman"/>
          <w:sz w:val="24"/>
          <w:szCs w:val="24"/>
        </w:rPr>
        <w:t>v</w:t>
      </w:r>
      <w:r w:rsidR="00E7778E" w:rsidRPr="006B309F">
        <w:rPr>
          <w:rFonts w:ascii="Times New Roman" w:hAnsi="Times New Roman"/>
          <w:sz w:val="24"/>
          <w:szCs w:val="24"/>
        </w:rPr>
        <w:t>.</w:t>
      </w:r>
      <w:r w:rsidR="00E7778E" w:rsidRPr="006B309F">
        <w:rPr>
          <w:rFonts w:ascii="Times New Roman" w:hAnsi="Times New Roman"/>
          <w:sz w:val="24"/>
          <w:szCs w:val="24"/>
        </w:rPr>
        <w:tab/>
      </w:r>
      <w:r w:rsidR="00E7778E">
        <w:rPr>
          <w:rFonts w:ascii="Times New Roman" w:hAnsi="Times New Roman"/>
          <w:sz w:val="24"/>
          <w:szCs w:val="24"/>
        </w:rPr>
        <w:t>Si à la faveur de la revue à mi-parcours de l’UNDAF</w:t>
      </w:r>
      <w:r w:rsidR="004F0F49">
        <w:rPr>
          <w:rFonts w:ascii="Times New Roman" w:hAnsi="Times New Roman"/>
          <w:sz w:val="24"/>
          <w:szCs w:val="24"/>
        </w:rPr>
        <w:t>,</w:t>
      </w:r>
      <w:r w:rsidR="00E7778E">
        <w:rPr>
          <w:rFonts w:ascii="Times New Roman" w:hAnsi="Times New Roman"/>
          <w:sz w:val="24"/>
          <w:szCs w:val="24"/>
        </w:rPr>
        <w:t xml:space="preserve"> le cadre logique en est assaini et réécrit convenable</w:t>
      </w:r>
      <w:r w:rsidR="004F0F49">
        <w:rPr>
          <w:rFonts w:ascii="Times New Roman" w:hAnsi="Times New Roman"/>
          <w:sz w:val="24"/>
          <w:szCs w:val="24"/>
        </w:rPr>
        <w:t>ment</w:t>
      </w:r>
      <w:r w:rsidR="00E7778E">
        <w:rPr>
          <w:rFonts w:ascii="Times New Roman" w:hAnsi="Times New Roman"/>
          <w:sz w:val="24"/>
          <w:szCs w:val="24"/>
        </w:rPr>
        <w:t>, le programme devra automatiquement refléter cet ajustement pour améliorer son évaluabilité : une matrice correctement outillée permet de rendre mesurables et visibles les valeurs ajoutées apportées par le programme dans son environnement ; à cette occasion, profitant de la finalisation de la priorisation des ODD pour le pays, le programme devrait également consacrer son réalignement sur ces marqueurs de développement.</w:t>
      </w:r>
    </w:p>
    <w:p w14:paraId="6BD39120" w14:textId="77777777" w:rsidR="001C0774" w:rsidRPr="009A1AFC" w:rsidRDefault="001C0774" w:rsidP="00F51C01">
      <w:pPr>
        <w:spacing w:after="0" w:line="240" w:lineRule="auto"/>
        <w:jc w:val="both"/>
        <w:rPr>
          <w:rFonts w:ascii="Times New Roman" w:hAnsi="Times New Roman"/>
          <w:sz w:val="24"/>
          <w:szCs w:val="24"/>
        </w:rPr>
      </w:pPr>
    </w:p>
    <w:p w14:paraId="2E737A1A" w14:textId="77777777" w:rsidR="00E7778E" w:rsidRDefault="00E7778E">
      <w:pPr>
        <w:spacing w:after="0" w:line="240" w:lineRule="auto"/>
        <w:rPr>
          <w:rFonts w:ascii="Cambria" w:eastAsia="Times New Roman" w:hAnsi="Cambria"/>
          <w:b/>
          <w:bCs/>
          <w:sz w:val="28"/>
          <w:szCs w:val="28"/>
        </w:rPr>
      </w:pPr>
      <w:r>
        <w:br w:type="page"/>
      </w:r>
    </w:p>
    <w:p w14:paraId="1F200C7E" w14:textId="77777777" w:rsidR="00BA3DC6" w:rsidRPr="006B309F" w:rsidRDefault="00BA3DC6" w:rsidP="00B96F0F">
      <w:pPr>
        <w:pStyle w:val="Titre1"/>
        <w:spacing w:before="0" w:line="240" w:lineRule="auto"/>
        <w:rPr>
          <w:color w:val="auto"/>
        </w:rPr>
      </w:pPr>
      <w:bookmarkStart w:id="14" w:name="_Toc499211575"/>
      <w:bookmarkStart w:id="15" w:name="_Toc499213848"/>
      <w:r w:rsidRPr="006B309F">
        <w:rPr>
          <w:color w:val="auto"/>
        </w:rPr>
        <w:lastRenderedPageBreak/>
        <w:t>Introduction</w:t>
      </w:r>
      <w:bookmarkEnd w:id="0"/>
      <w:bookmarkEnd w:id="14"/>
      <w:bookmarkEnd w:id="15"/>
    </w:p>
    <w:p w14:paraId="2B8BF778" w14:textId="77777777" w:rsidR="00BA3DC6" w:rsidRPr="006B309F" w:rsidRDefault="00BA3DC6" w:rsidP="00B96F0F">
      <w:pPr>
        <w:spacing w:after="0" w:line="240" w:lineRule="auto"/>
      </w:pPr>
    </w:p>
    <w:p w14:paraId="33A18B30" w14:textId="77777777" w:rsidR="00BA3DC6" w:rsidRPr="006B309F" w:rsidRDefault="00BA3DC6" w:rsidP="00B026AE">
      <w:pPr>
        <w:pStyle w:val="Titre2"/>
        <w:numPr>
          <w:ilvl w:val="0"/>
          <w:numId w:val="3"/>
        </w:numPr>
        <w:spacing w:before="0"/>
        <w:rPr>
          <w:rFonts w:ascii="Times New Roman" w:hAnsi="Times New Roman"/>
          <w:color w:val="auto"/>
          <w:sz w:val="24"/>
          <w:szCs w:val="24"/>
        </w:rPr>
      </w:pPr>
      <w:bookmarkStart w:id="16" w:name="_Toc348488278"/>
      <w:bookmarkStart w:id="17" w:name="_Toc355533881"/>
      <w:bookmarkStart w:id="18" w:name="_Toc499211576"/>
      <w:bookmarkStart w:id="19" w:name="_Toc499213849"/>
      <w:r w:rsidRPr="006B309F">
        <w:rPr>
          <w:rFonts w:ascii="Times New Roman" w:hAnsi="Times New Roman"/>
          <w:color w:val="auto"/>
          <w:sz w:val="24"/>
          <w:szCs w:val="24"/>
        </w:rPr>
        <w:t>But</w:t>
      </w:r>
      <w:bookmarkEnd w:id="16"/>
      <w:bookmarkEnd w:id="17"/>
      <w:r w:rsidRPr="006B309F">
        <w:rPr>
          <w:rFonts w:ascii="Times New Roman" w:hAnsi="Times New Roman"/>
          <w:color w:val="auto"/>
          <w:sz w:val="24"/>
          <w:szCs w:val="24"/>
        </w:rPr>
        <w:t xml:space="preserve"> de l’évaluation</w:t>
      </w:r>
      <w:bookmarkEnd w:id="18"/>
      <w:bookmarkEnd w:id="19"/>
    </w:p>
    <w:p w14:paraId="57658D0C" w14:textId="77777777" w:rsidR="00BA3DC6" w:rsidRPr="006B309F" w:rsidRDefault="00BA3DC6" w:rsidP="00B96F0F">
      <w:pPr>
        <w:spacing w:after="0" w:line="240" w:lineRule="auto"/>
        <w:jc w:val="both"/>
        <w:rPr>
          <w:rFonts w:ascii="Times New Roman" w:hAnsi="Times New Roman"/>
          <w:bCs/>
          <w:sz w:val="14"/>
          <w:szCs w:val="14"/>
        </w:rPr>
      </w:pPr>
    </w:p>
    <w:p w14:paraId="6DE0F2AD" w14:textId="77777777" w:rsidR="00BA3DC6" w:rsidRPr="00E7778E" w:rsidRDefault="00BA3DC6" w:rsidP="00B96F0F">
      <w:pPr>
        <w:spacing w:after="0" w:line="240" w:lineRule="auto"/>
        <w:jc w:val="both"/>
        <w:rPr>
          <w:rFonts w:ascii="Times New Roman" w:hAnsi="Times New Roman"/>
          <w:bCs/>
          <w:sz w:val="24"/>
          <w:szCs w:val="24"/>
        </w:rPr>
      </w:pPr>
      <w:r w:rsidRPr="00E7778E">
        <w:rPr>
          <w:rFonts w:ascii="Times New Roman" w:hAnsi="Times New Roman"/>
          <w:bCs/>
          <w:sz w:val="24"/>
          <w:szCs w:val="24"/>
        </w:rPr>
        <w:t>1.</w:t>
      </w:r>
      <w:r w:rsidRPr="00E7778E">
        <w:rPr>
          <w:rFonts w:ascii="Times New Roman" w:hAnsi="Times New Roman"/>
          <w:bCs/>
          <w:sz w:val="24"/>
          <w:szCs w:val="24"/>
        </w:rPr>
        <w:tab/>
        <w:t xml:space="preserve">Le but de l’évaluation est de satisfaire aux exigences de transparence et de redevabilité vis-à-vis des parties prenantes : </w:t>
      </w:r>
      <w:r w:rsidR="004375FA" w:rsidRPr="00E7778E">
        <w:rPr>
          <w:rFonts w:ascii="Times New Roman" w:hAnsi="Times New Roman"/>
          <w:bCs/>
          <w:sz w:val="24"/>
          <w:szCs w:val="24"/>
        </w:rPr>
        <w:t xml:space="preserve">le Programme des Nations Unies pour le Développement, </w:t>
      </w:r>
      <w:r w:rsidRPr="00E7778E">
        <w:rPr>
          <w:rFonts w:ascii="Times New Roman" w:hAnsi="Times New Roman"/>
          <w:bCs/>
          <w:sz w:val="24"/>
          <w:szCs w:val="24"/>
        </w:rPr>
        <w:t xml:space="preserve">l’Etat de la République </w:t>
      </w:r>
      <w:r w:rsidR="004375FA" w:rsidRPr="00E7778E">
        <w:rPr>
          <w:rFonts w:ascii="Times New Roman" w:hAnsi="Times New Roman"/>
          <w:bCs/>
          <w:sz w:val="24"/>
          <w:szCs w:val="24"/>
        </w:rPr>
        <w:t>d</w:t>
      </w:r>
      <w:r w:rsidR="00303125" w:rsidRPr="00E7778E">
        <w:rPr>
          <w:rFonts w:ascii="Times New Roman" w:hAnsi="Times New Roman"/>
          <w:bCs/>
          <w:sz w:val="24"/>
          <w:szCs w:val="24"/>
        </w:rPr>
        <w:t>u Mali</w:t>
      </w:r>
      <w:r w:rsidRPr="00E7778E">
        <w:rPr>
          <w:rFonts w:ascii="Times New Roman" w:hAnsi="Times New Roman"/>
          <w:bCs/>
          <w:sz w:val="24"/>
          <w:szCs w:val="24"/>
        </w:rPr>
        <w:t>,</w:t>
      </w:r>
      <w:r w:rsidR="004375FA" w:rsidRPr="00E7778E">
        <w:rPr>
          <w:rFonts w:ascii="Times New Roman" w:hAnsi="Times New Roman"/>
          <w:bCs/>
          <w:sz w:val="24"/>
          <w:szCs w:val="24"/>
        </w:rPr>
        <w:t xml:space="preserve"> </w:t>
      </w:r>
      <w:r w:rsidRPr="00E7778E">
        <w:rPr>
          <w:rFonts w:ascii="Times New Roman" w:hAnsi="Times New Roman"/>
          <w:bCs/>
          <w:sz w:val="24"/>
          <w:szCs w:val="24"/>
        </w:rPr>
        <w:t>les autres Partenaires techniques et financiers et la société civile</w:t>
      </w:r>
      <w:r w:rsidR="00303125" w:rsidRPr="00E7778E">
        <w:rPr>
          <w:rFonts w:ascii="Times New Roman" w:hAnsi="Times New Roman"/>
          <w:bCs/>
          <w:sz w:val="24"/>
          <w:szCs w:val="24"/>
        </w:rPr>
        <w:t>, ainsi que, plus largement, les bénéficiaires du programme</w:t>
      </w:r>
      <w:r w:rsidRPr="00E7778E">
        <w:rPr>
          <w:rFonts w:ascii="Times New Roman" w:hAnsi="Times New Roman"/>
          <w:bCs/>
          <w:sz w:val="24"/>
          <w:szCs w:val="24"/>
        </w:rPr>
        <w:t>. Plus précisément, il s’agit de leur fournir</w:t>
      </w:r>
      <w:r w:rsidR="00303125" w:rsidRPr="00E7778E">
        <w:rPr>
          <w:rFonts w:ascii="Times New Roman" w:hAnsi="Times New Roman"/>
          <w:bCs/>
          <w:sz w:val="24"/>
          <w:szCs w:val="24"/>
        </w:rPr>
        <w:t>, à mi-parcours,</w:t>
      </w:r>
      <w:r w:rsidRPr="00E7778E">
        <w:rPr>
          <w:rFonts w:ascii="Times New Roman" w:hAnsi="Times New Roman"/>
          <w:bCs/>
          <w:sz w:val="24"/>
          <w:szCs w:val="24"/>
        </w:rPr>
        <w:t xml:space="preserve"> les éléments nécessaires à une bonne appréhension des résultats obtenus, des difficultés rencontrées, </w:t>
      </w:r>
      <w:r w:rsidR="00303125" w:rsidRPr="00E7778E">
        <w:rPr>
          <w:rFonts w:ascii="Times New Roman" w:hAnsi="Times New Roman"/>
          <w:bCs/>
          <w:sz w:val="24"/>
          <w:szCs w:val="24"/>
        </w:rPr>
        <w:t xml:space="preserve">et </w:t>
      </w:r>
      <w:r w:rsidRPr="00E7778E">
        <w:rPr>
          <w:rFonts w:ascii="Times New Roman" w:hAnsi="Times New Roman"/>
          <w:bCs/>
          <w:sz w:val="24"/>
          <w:szCs w:val="24"/>
        </w:rPr>
        <w:t xml:space="preserve">des enseignements </w:t>
      </w:r>
      <w:r w:rsidR="00303125" w:rsidRPr="00E7778E">
        <w:rPr>
          <w:rFonts w:ascii="Times New Roman" w:hAnsi="Times New Roman"/>
          <w:bCs/>
          <w:sz w:val="24"/>
          <w:szCs w:val="24"/>
        </w:rPr>
        <w:t xml:space="preserve">et </w:t>
      </w:r>
      <w:r w:rsidRPr="00E7778E">
        <w:rPr>
          <w:rFonts w:ascii="Times New Roman" w:hAnsi="Times New Roman"/>
          <w:bCs/>
          <w:sz w:val="24"/>
          <w:szCs w:val="24"/>
        </w:rPr>
        <w:t>recommandations</w:t>
      </w:r>
      <w:r w:rsidR="00303125" w:rsidRPr="00E7778E">
        <w:rPr>
          <w:rFonts w:ascii="Times New Roman" w:hAnsi="Times New Roman"/>
          <w:bCs/>
          <w:sz w:val="24"/>
          <w:szCs w:val="24"/>
        </w:rPr>
        <w:t xml:space="preserve"> à en tirer</w:t>
      </w:r>
      <w:r w:rsidRPr="00E7778E">
        <w:rPr>
          <w:rFonts w:ascii="Times New Roman" w:hAnsi="Times New Roman"/>
          <w:bCs/>
          <w:sz w:val="24"/>
          <w:szCs w:val="24"/>
        </w:rPr>
        <w:t xml:space="preserve"> susceptibles d’aider à mieux aller de l’avant</w:t>
      </w:r>
      <w:r w:rsidR="00303125" w:rsidRPr="00E7778E">
        <w:rPr>
          <w:rFonts w:ascii="Times New Roman" w:hAnsi="Times New Roman"/>
          <w:bCs/>
          <w:sz w:val="24"/>
          <w:szCs w:val="24"/>
        </w:rPr>
        <w:t xml:space="preserve"> dans la deuxième moitié du cycle de programmation</w:t>
      </w:r>
      <w:r w:rsidRPr="00E7778E">
        <w:rPr>
          <w:rFonts w:ascii="Times New Roman" w:hAnsi="Times New Roman"/>
          <w:bCs/>
          <w:sz w:val="24"/>
          <w:szCs w:val="24"/>
        </w:rPr>
        <w:t>.</w:t>
      </w:r>
    </w:p>
    <w:p w14:paraId="69CAD792" w14:textId="77777777" w:rsidR="00BA3DC6" w:rsidRPr="00E7778E" w:rsidRDefault="00BA3DC6" w:rsidP="00B96F0F">
      <w:pPr>
        <w:spacing w:after="0" w:line="240" w:lineRule="auto"/>
        <w:jc w:val="both"/>
        <w:rPr>
          <w:rFonts w:ascii="Times New Roman" w:hAnsi="Times New Roman"/>
          <w:bCs/>
          <w:sz w:val="14"/>
          <w:szCs w:val="14"/>
        </w:rPr>
      </w:pPr>
    </w:p>
    <w:p w14:paraId="25BCFEA4" w14:textId="77777777" w:rsidR="00BA3DC6" w:rsidRPr="00E7778E" w:rsidRDefault="00BA3DC6" w:rsidP="00B026AE">
      <w:pPr>
        <w:pStyle w:val="Titre2"/>
        <w:numPr>
          <w:ilvl w:val="0"/>
          <w:numId w:val="3"/>
        </w:numPr>
        <w:spacing w:before="0"/>
        <w:rPr>
          <w:rFonts w:ascii="Times New Roman" w:hAnsi="Times New Roman"/>
          <w:color w:val="auto"/>
          <w:sz w:val="24"/>
          <w:szCs w:val="24"/>
        </w:rPr>
      </w:pPr>
      <w:bookmarkStart w:id="20" w:name="_Toc348488279"/>
      <w:bookmarkStart w:id="21" w:name="_Toc355533882"/>
      <w:bookmarkStart w:id="22" w:name="_Toc499211577"/>
      <w:bookmarkStart w:id="23" w:name="_Toc499213850"/>
      <w:r w:rsidRPr="00E7778E">
        <w:rPr>
          <w:rFonts w:ascii="Times New Roman" w:hAnsi="Times New Roman"/>
          <w:color w:val="auto"/>
          <w:sz w:val="24"/>
          <w:szCs w:val="24"/>
        </w:rPr>
        <w:t>Portée</w:t>
      </w:r>
      <w:bookmarkEnd w:id="20"/>
      <w:bookmarkEnd w:id="21"/>
      <w:r w:rsidRPr="00E7778E">
        <w:rPr>
          <w:rFonts w:ascii="Times New Roman" w:hAnsi="Times New Roman"/>
          <w:color w:val="auto"/>
          <w:sz w:val="24"/>
          <w:szCs w:val="24"/>
        </w:rPr>
        <w:t xml:space="preserve"> de l’évaluation</w:t>
      </w:r>
      <w:bookmarkEnd w:id="22"/>
      <w:bookmarkEnd w:id="23"/>
    </w:p>
    <w:p w14:paraId="5E81A40E" w14:textId="77777777" w:rsidR="00BA3DC6" w:rsidRPr="00E7778E" w:rsidRDefault="00BA3DC6" w:rsidP="00B96F0F">
      <w:pPr>
        <w:spacing w:after="0" w:line="240" w:lineRule="auto"/>
        <w:jc w:val="both"/>
        <w:rPr>
          <w:rFonts w:ascii="Times New Roman" w:hAnsi="Times New Roman"/>
          <w:bCs/>
          <w:sz w:val="14"/>
          <w:szCs w:val="14"/>
        </w:rPr>
      </w:pPr>
    </w:p>
    <w:p w14:paraId="2E7F9C0E" w14:textId="77777777" w:rsidR="00303125" w:rsidRPr="00E7778E" w:rsidRDefault="00BA3DC6" w:rsidP="00303125">
      <w:pPr>
        <w:spacing w:after="0" w:line="240" w:lineRule="auto"/>
        <w:jc w:val="both"/>
        <w:rPr>
          <w:rFonts w:ascii="Times New Roman" w:hAnsi="Times New Roman"/>
          <w:bCs/>
          <w:sz w:val="24"/>
          <w:szCs w:val="24"/>
        </w:rPr>
      </w:pPr>
      <w:r w:rsidRPr="00E7778E">
        <w:rPr>
          <w:rFonts w:ascii="Times New Roman" w:hAnsi="Times New Roman"/>
          <w:bCs/>
          <w:sz w:val="24"/>
          <w:szCs w:val="24"/>
        </w:rPr>
        <w:t>2.</w:t>
      </w:r>
      <w:r w:rsidRPr="00E7778E">
        <w:rPr>
          <w:rFonts w:ascii="Times New Roman" w:hAnsi="Times New Roman"/>
          <w:bCs/>
          <w:sz w:val="24"/>
          <w:szCs w:val="24"/>
        </w:rPr>
        <w:tab/>
        <w:t xml:space="preserve">L’évaluation couvre les </w:t>
      </w:r>
      <w:r w:rsidR="00303125" w:rsidRPr="00E7778E">
        <w:rPr>
          <w:rFonts w:ascii="Times New Roman" w:hAnsi="Times New Roman"/>
          <w:bCs/>
          <w:sz w:val="24"/>
          <w:szCs w:val="24"/>
        </w:rPr>
        <w:t xml:space="preserve">quatre </w:t>
      </w:r>
      <w:r w:rsidR="004375FA" w:rsidRPr="00E7778E">
        <w:rPr>
          <w:rFonts w:ascii="Times New Roman" w:hAnsi="Times New Roman"/>
          <w:bCs/>
          <w:sz w:val="24"/>
          <w:szCs w:val="24"/>
        </w:rPr>
        <w:t>axes stratégiques pa</w:t>
      </w:r>
      <w:r w:rsidR="00073A5B" w:rsidRPr="00E7778E">
        <w:rPr>
          <w:rFonts w:ascii="Times New Roman" w:hAnsi="Times New Roman"/>
          <w:bCs/>
          <w:sz w:val="24"/>
          <w:szCs w:val="24"/>
        </w:rPr>
        <w:t xml:space="preserve">r lesquels le PNUD </w:t>
      </w:r>
      <w:r w:rsidR="004375FA" w:rsidRPr="00E7778E">
        <w:rPr>
          <w:rFonts w:ascii="Times New Roman" w:hAnsi="Times New Roman"/>
          <w:bCs/>
          <w:sz w:val="24"/>
          <w:szCs w:val="24"/>
        </w:rPr>
        <w:t>est engag</w:t>
      </w:r>
      <w:r w:rsidR="009C493D">
        <w:rPr>
          <w:rFonts w:ascii="Times New Roman" w:hAnsi="Times New Roman"/>
          <w:bCs/>
          <w:sz w:val="24"/>
          <w:szCs w:val="24"/>
        </w:rPr>
        <w:t>é à contribuer aux effets U</w:t>
      </w:r>
      <w:r w:rsidR="00C51D0D" w:rsidRPr="00E7778E">
        <w:rPr>
          <w:rFonts w:ascii="Times New Roman" w:hAnsi="Times New Roman"/>
          <w:bCs/>
          <w:sz w:val="24"/>
          <w:szCs w:val="24"/>
        </w:rPr>
        <w:t>N</w:t>
      </w:r>
      <w:r w:rsidR="009C493D">
        <w:rPr>
          <w:rFonts w:ascii="Times New Roman" w:hAnsi="Times New Roman"/>
          <w:bCs/>
          <w:sz w:val="24"/>
          <w:szCs w:val="24"/>
        </w:rPr>
        <w:t>DAF</w:t>
      </w:r>
      <w:r w:rsidR="00C51D0D" w:rsidRPr="00E7778E">
        <w:rPr>
          <w:rFonts w:ascii="Times New Roman" w:hAnsi="Times New Roman"/>
          <w:bCs/>
          <w:sz w:val="24"/>
          <w:szCs w:val="24"/>
        </w:rPr>
        <w:t xml:space="preserve"> : </w:t>
      </w:r>
    </w:p>
    <w:p w14:paraId="70929F4C" w14:textId="77777777" w:rsidR="00303125" w:rsidRPr="00E7778E" w:rsidRDefault="00303125" w:rsidP="00303125">
      <w:pPr>
        <w:spacing w:after="0" w:line="240" w:lineRule="auto"/>
        <w:jc w:val="both"/>
        <w:rPr>
          <w:rFonts w:ascii="Times New Roman" w:hAnsi="Times New Roman"/>
          <w:bCs/>
          <w:sz w:val="24"/>
          <w:szCs w:val="24"/>
        </w:rPr>
      </w:pPr>
    </w:p>
    <w:p w14:paraId="43F61B1F" w14:textId="77777777" w:rsidR="00303125" w:rsidRPr="00E7778E" w:rsidRDefault="00303125" w:rsidP="00D76EFA">
      <w:pPr>
        <w:pStyle w:val="Paragraphedeliste"/>
        <w:numPr>
          <w:ilvl w:val="0"/>
          <w:numId w:val="12"/>
        </w:numPr>
        <w:spacing w:after="0" w:line="240" w:lineRule="auto"/>
        <w:jc w:val="both"/>
        <w:rPr>
          <w:rFonts w:ascii="Times New Roman" w:hAnsi="Times New Roman"/>
          <w:bCs/>
          <w:sz w:val="24"/>
          <w:szCs w:val="24"/>
        </w:rPr>
      </w:pPr>
      <w:r w:rsidRPr="00E7778E">
        <w:rPr>
          <w:rFonts w:ascii="Times New Roman" w:eastAsia="Times New Roman" w:hAnsi="Times New Roman"/>
          <w:bCs/>
          <w:sz w:val="24"/>
          <w:szCs w:val="24"/>
        </w:rPr>
        <w:t>"</w:t>
      </w:r>
      <w:r w:rsidRPr="00E7778E">
        <w:rPr>
          <w:rFonts w:ascii="Times New Roman" w:eastAsia="Times New Roman" w:hAnsi="Times New Roman"/>
          <w:bCs/>
          <w:i/>
          <w:sz w:val="24"/>
          <w:szCs w:val="24"/>
        </w:rPr>
        <w:t>D’ici à 2019 la cohésion sociale est facilitée par la justice transitionnelle, le dialogue entre communautés, la culture et l’éducation à la paix</w:t>
      </w:r>
      <w:r w:rsidRPr="00E7778E">
        <w:rPr>
          <w:rFonts w:ascii="Times New Roman" w:eastAsia="Times New Roman" w:hAnsi="Times New Roman"/>
          <w:bCs/>
          <w:sz w:val="24"/>
          <w:szCs w:val="24"/>
        </w:rPr>
        <w:t>"</w:t>
      </w:r>
    </w:p>
    <w:p w14:paraId="537B5F7C" w14:textId="77777777" w:rsidR="00303125" w:rsidRPr="00E7778E" w:rsidRDefault="00303125" w:rsidP="00D76EFA">
      <w:pPr>
        <w:pStyle w:val="Paragraphedeliste"/>
        <w:numPr>
          <w:ilvl w:val="0"/>
          <w:numId w:val="12"/>
        </w:numPr>
        <w:spacing w:after="0" w:line="240" w:lineRule="auto"/>
        <w:jc w:val="both"/>
        <w:rPr>
          <w:rFonts w:ascii="Times New Roman" w:hAnsi="Times New Roman"/>
          <w:bCs/>
          <w:sz w:val="24"/>
          <w:szCs w:val="24"/>
        </w:rPr>
      </w:pPr>
      <w:r w:rsidRPr="00E7778E">
        <w:rPr>
          <w:rFonts w:ascii="Times New Roman" w:eastAsia="Times New Roman" w:hAnsi="Times New Roman"/>
          <w:bCs/>
          <w:sz w:val="24"/>
          <w:szCs w:val="24"/>
        </w:rPr>
        <w:t>"</w:t>
      </w:r>
      <w:r w:rsidRPr="00E7778E">
        <w:rPr>
          <w:rFonts w:ascii="Times New Roman" w:eastAsia="Times New Roman" w:hAnsi="Times New Roman"/>
          <w:bCs/>
          <w:i/>
          <w:sz w:val="24"/>
          <w:szCs w:val="24"/>
        </w:rPr>
        <w:t>D’ici à 2019, les populations vulnérables, en particulier les femmes et les jeunes, utilisent des capacités de production dans un environnement (naturel) sain qui est propice à la réduction de la pauvreté</w:t>
      </w:r>
      <w:r w:rsidRPr="00E7778E">
        <w:rPr>
          <w:rFonts w:ascii="Times New Roman" w:eastAsia="Times New Roman" w:hAnsi="Times New Roman"/>
          <w:bCs/>
          <w:sz w:val="24"/>
          <w:szCs w:val="24"/>
        </w:rPr>
        <w:t>"</w:t>
      </w:r>
    </w:p>
    <w:p w14:paraId="3F0AEF1D" w14:textId="77777777" w:rsidR="00303125" w:rsidRPr="00E7778E" w:rsidRDefault="00303125" w:rsidP="00D76EFA">
      <w:pPr>
        <w:pStyle w:val="Paragraphedeliste"/>
        <w:numPr>
          <w:ilvl w:val="0"/>
          <w:numId w:val="12"/>
        </w:numPr>
        <w:spacing w:after="0" w:line="240" w:lineRule="auto"/>
        <w:jc w:val="both"/>
        <w:rPr>
          <w:rFonts w:ascii="Times New Roman" w:hAnsi="Times New Roman"/>
          <w:bCs/>
          <w:sz w:val="24"/>
          <w:szCs w:val="24"/>
        </w:rPr>
      </w:pPr>
      <w:r w:rsidRPr="00E7778E">
        <w:rPr>
          <w:rFonts w:ascii="Times New Roman" w:eastAsia="Times New Roman" w:hAnsi="Times New Roman"/>
          <w:bCs/>
          <w:sz w:val="24"/>
          <w:szCs w:val="24"/>
        </w:rPr>
        <w:t>"</w:t>
      </w:r>
      <w:r w:rsidRPr="00E7778E">
        <w:rPr>
          <w:rFonts w:ascii="Times New Roman" w:eastAsia="Times New Roman" w:hAnsi="Times New Roman"/>
          <w:bCs/>
          <w:i/>
          <w:sz w:val="24"/>
          <w:szCs w:val="24"/>
        </w:rPr>
        <w:t>D’ici à 2019, l’Etat et les institutions nationales et locales remplissent plus efficacement leur mission de service public et les acteurs non étatiques participent à la vie de la nation et exercent un contrôle citoyen dans le respect des principes de la bonne gouvernance et de la primauté du droit</w:t>
      </w:r>
      <w:r w:rsidRPr="00E7778E">
        <w:rPr>
          <w:rFonts w:ascii="Times New Roman" w:eastAsia="Times New Roman" w:hAnsi="Times New Roman"/>
          <w:bCs/>
          <w:sz w:val="24"/>
          <w:szCs w:val="24"/>
        </w:rPr>
        <w:t>"</w:t>
      </w:r>
    </w:p>
    <w:p w14:paraId="218407ED" w14:textId="77777777" w:rsidR="00303125" w:rsidRPr="00E7778E" w:rsidRDefault="00303125" w:rsidP="00D76EFA">
      <w:pPr>
        <w:pStyle w:val="Paragraphedeliste"/>
        <w:numPr>
          <w:ilvl w:val="0"/>
          <w:numId w:val="12"/>
        </w:numPr>
        <w:spacing w:after="0" w:line="240" w:lineRule="auto"/>
        <w:jc w:val="both"/>
        <w:rPr>
          <w:rFonts w:ascii="Times New Roman" w:hAnsi="Times New Roman"/>
          <w:bCs/>
          <w:sz w:val="24"/>
          <w:szCs w:val="24"/>
        </w:rPr>
      </w:pPr>
      <w:r w:rsidRPr="00E7778E">
        <w:rPr>
          <w:rFonts w:ascii="Times New Roman" w:eastAsia="Times New Roman" w:hAnsi="Times New Roman"/>
          <w:bCs/>
          <w:sz w:val="24"/>
          <w:szCs w:val="24"/>
        </w:rPr>
        <w:t>"</w:t>
      </w:r>
      <w:r w:rsidRPr="00E7778E">
        <w:rPr>
          <w:rFonts w:ascii="Times New Roman" w:eastAsia="Times New Roman" w:hAnsi="Times New Roman"/>
          <w:bCs/>
          <w:i/>
          <w:sz w:val="24"/>
          <w:szCs w:val="24"/>
        </w:rPr>
        <w:t>D’ici à 2019, les communautés, en particulier les plus vulnérables et celles touchées par la crise, pourront accéder à des soins de santé de base de qualité et en bénéficier plus facilement et sur un pied d’égalité</w:t>
      </w:r>
      <w:r w:rsidRPr="00E7778E">
        <w:rPr>
          <w:rFonts w:ascii="Times New Roman" w:eastAsia="Times New Roman" w:hAnsi="Times New Roman"/>
          <w:bCs/>
          <w:sz w:val="24"/>
          <w:szCs w:val="24"/>
        </w:rPr>
        <w:t>."</w:t>
      </w:r>
    </w:p>
    <w:p w14:paraId="6130C126" w14:textId="77777777" w:rsidR="00303125" w:rsidRPr="00E7778E" w:rsidRDefault="00303125" w:rsidP="00303125">
      <w:pPr>
        <w:spacing w:after="0" w:line="240" w:lineRule="auto"/>
        <w:jc w:val="both"/>
        <w:rPr>
          <w:rFonts w:ascii="Times New Roman" w:eastAsia="Times New Roman" w:hAnsi="Times New Roman"/>
          <w:bCs/>
          <w:sz w:val="24"/>
          <w:szCs w:val="24"/>
        </w:rPr>
      </w:pPr>
    </w:p>
    <w:p w14:paraId="266EB589" w14:textId="77777777" w:rsidR="00303125" w:rsidRPr="00E7778E" w:rsidRDefault="002017E6" w:rsidP="00303125">
      <w:pPr>
        <w:spacing w:after="0" w:line="240" w:lineRule="auto"/>
        <w:jc w:val="both"/>
        <w:rPr>
          <w:rFonts w:ascii="Times New Roman" w:eastAsia="Times New Roman" w:hAnsi="Times New Roman"/>
          <w:bCs/>
          <w:sz w:val="24"/>
          <w:szCs w:val="24"/>
        </w:rPr>
      </w:pPr>
      <w:r w:rsidRPr="00E7778E">
        <w:rPr>
          <w:rFonts w:ascii="Times New Roman" w:eastAsia="Times New Roman" w:hAnsi="Times New Roman"/>
          <w:bCs/>
          <w:sz w:val="24"/>
          <w:szCs w:val="24"/>
        </w:rPr>
        <w:t>3</w:t>
      </w:r>
      <w:r w:rsidR="00303125" w:rsidRPr="00E7778E">
        <w:rPr>
          <w:rFonts w:ascii="Times New Roman" w:eastAsia="Times New Roman" w:hAnsi="Times New Roman"/>
          <w:bCs/>
          <w:sz w:val="24"/>
          <w:szCs w:val="24"/>
        </w:rPr>
        <w:t>.</w:t>
      </w:r>
      <w:r w:rsidR="00303125" w:rsidRPr="00E7778E">
        <w:rPr>
          <w:rFonts w:ascii="Times New Roman" w:eastAsia="Times New Roman" w:hAnsi="Times New Roman"/>
          <w:bCs/>
          <w:sz w:val="24"/>
          <w:szCs w:val="24"/>
        </w:rPr>
        <w:tab/>
        <w:t>L’évaluation à mi-parcours dresse un bilan des réalisations obtenues et des contraintes rencontrées lors de la mise en œuvre du Programme Pays. Elle permet de mieux aligner le programme sur les priorités nationales telles que définies dans le CREDD, d’apprécier la contribution du Programme Pays du PNUD à la mise en œuvre de l’Accord de Paix et de Réconciliation Nationale dans les thématiques qui relèvent du mandat du PNUD (Cohésion sociale, Décentralisation, Relèvement, etc.)., de mieux prendre en compte l’évolution de l’environnement socio-économique et institutionnel du pays et certains thèmes transversaux de portée stratégique comme le Genre, les Droits Humains, le Renforcement des Capacités, qui constituent aussi les principes programmatiques des Nations Unies. Enfin, au delà des résultats retracés, l’évaluation vise aussi à tirer des enseignements et formuler des recommandations pour encadrer la mise en œuvre de la seconde phase du programme. (Source : TDR)</w:t>
      </w:r>
    </w:p>
    <w:p w14:paraId="0036FD60" w14:textId="77777777" w:rsidR="00BA3DC6" w:rsidRPr="00E7778E" w:rsidRDefault="00BA3DC6" w:rsidP="00B96F0F">
      <w:pPr>
        <w:spacing w:after="0" w:line="240" w:lineRule="auto"/>
        <w:jc w:val="both"/>
        <w:rPr>
          <w:rFonts w:ascii="Times New Roman" w:hAnsi="Times New Roman"/>
          <w:bCs/>
          <w:sz w:val="24"/>
          <w:szCs w:val="24"/>
        </w:rPr>
      </w:pPr>
    </w:p>
    <w:p w14:paraId="58A2EC9E" w14:textId="77777777" w:rsidR="00BA3DC6" w:rsidRPr="00E7778E" w:rsidRDefault="00BA3DC6" w:rsidP="00B026AE">
      <w:pPr>
        <w:pStyle w:val="Titre2"/>
        <w:numPr>
          <w:ilvl w:val="0"/>
          <w:numId w:val="3"/>
        </w:numPr>
        <w:spacing w:before="0"/>
        <w:rPr>
          <w:rFonts w:ascii="Times New Roman" w:hAnsi="Times New Roman"/>
          <w:color w:val="auto"/>
          <w:sz w:val="24"/>
          <w:szCs w:val="24"/>
        </w:rPr>
      </w:pPr>
      <w:bookmarkStart w:id="24" w:name="_Toc348488280"/>
      <w:bookmarkStart w:id="25" w:name="_Toc355533883"/>
      <w:bookmarkStart w:id="26" w:name="_Toc499211578"/>
      <w:bookmarkStart w:id="27" w:name="_Toc499213851"/>
      <w:r w:rsidRPr="00E7778E">
        <w:rPr>
          <w:rFonts w:ascii="Times New Roman" w:hAnsi="Times New Roman"/>
          <w:color w:val="auto"/>
          <w:sz w:val="24"/>
          <w:szCs w:val="24"/>
        </w:rPr>
        <w:t>Objectifs</w:t>
      </w:r>
      <w:bookmarkEnd w:id="24"/>
      <w:bookmarkEnd w:id="25"/>
      <w:r w:rsidR="00220301" w:rsidRPr="00E7778E">
        <w:rPr>
          <w:rFonts w:ascii="Times New Roman" w:hAnsi="Times New Roman"/>
          <w:color w:val="auto"/>
          <w:sz w:val="24"/>
          <w:szCs w:val="24"/>
        </w:rPr>
        <w:t xml:space="preserve"> de l’évaluation et questions évaluatives subséquentes</w:t>
      </w:r>
      <w:bookmarkEnd w:id="26"/>
      <w:bookmarkEnd w:id="27"/>
    </w:p>
    <w:p w14:paraId="7D5C51B2" w14:textId="77777777" w:rsidR="00BA3DC6" w:rsidRPr="00E7778E" w:rsidRDefault="00BA3DC6" w:rsidP="00B96F0F">
      <w:pPr>
        <w:spacing w:after="0" w:line="240" w:lineRule="auto"/>
        <w:jc w:val="both"/>
        <w:rPr>
          <w:rFonts w:ascii="Times New Roman" w:hAnsi="Times New Roman"/>
          <w:bCs/>
          <w:sz w:val="14"/>
          <w:szCs w:val="14"/>
        </w:rPr>
      </w:pPr>
    </w:p>
    <w:p w14:paraId="59B72242" w14:textId="77777777" w:rsidR="00BA3DC6" w:rsidRPr="00E7778E" w:rsidRDefault="002017E6" w:rsidP="00B96F0F">
      <w:pPr>
        <w:spacing w:after="0" w:line="240" w:lineRule="auto"/>
        <w:jc w:val="both"/>
        <w:rPr>
          <w:rFonts w:ascii="Times New Roman" w:hAnsi="Times New Roman"/>
          <w:sz w:val="24"/>
          <w:szCs w:val="24"/>
        </w:rPr>
      </w:pPr>
      <w:r w:rsidRPr="00E7778E">
        <w:rPr>
          <w:rFonts w:ascii="Times New Roman" w:hAnsi="Times New Roman"/>
          <w:sz w:val="24"/>
          <w:szCs w:val="24"/>
        </w:rPr>
        <w:t>4</w:t>
      </w:r>
      <w:r w:rsidR="00BA3DC6" w:rsidRPr="00E7778E">
        <w:rPr>
          <w:rFonts w:ascii="Times New Roman" w:hAnsi="Times New Roman"/>
          <w:sz w:val="24"/>
          <w:szCs w:val="24"/>
        </w:rPr>
        <w:t>.</w:t>
      </w:r>
      <w:r w:rsidR="00BA3DC6" w:rsidRPr="00E7778E">
        <w:rPr>
          <w:rFonts w:ascii="Times New Roman" w:hAnsi="Times New Roman"/>
          <w:sz w:val="24"/>
          <w:szCs w:val="24"/>
        </w:rPr>
        <w:tab/>
        <w:t>Les termes de référence de la mission assignent les object</w:t>
      </w:r>
      <w:r w:rsidR="00C51D0D" w:rsidRPr="00E7778E">
        <w:rPr>
          <w:rFonts w:ascii="Times New Roman" w:hAnsi="Times New Roman"/>
          <w:sz w:val="24"/>
          <w:szCs w:val="24"/>
        </w:rPr>
        <w:t xml:space="preserve">ifs ci-dessous à l’évaluation </w:t>
      </w:r>
      <w:r w:rsidR="00303125" w:rsidRPr="00E7778E">
        <w:rPr>
          <w:rFonts w:ascii="Times New Roman" w:hAnsi="Times New Roman"/>
          <w:sz w:val="24"/>
          <w:szCs w:val="24"/>
        </w:rPr>
        <w:t xml:space="preserve">à mi-parcours du Programme Pays, cycle 2015-2017 </w:t>
      </w:r>
      <w:r w:rsidR="00BA3DC6" w:rsidRPr="00E7778E">
        <w:rPr>
          <w:rFonts w:ascii="Times New Roman" w:hAnsi="Times New Roman"/>
          <w:sz w:val="24"/>
          <w:szCs w:val="24"/>
        </w:rPr>
        <w:t>:</w:t>
      </w:r>
    </w:p>
    <w:p w14:paraId="61AA1CE9" w14:textId="77777777" w:rsidR="00303125" w:rsidRPr="00E7778E" w:rsidRDefault="00303125" w:rsidP="00D76EFA">
      <w:pPr>
        <w:pStyle w:val="Paragraphedeliste"/>
        <w:numPr>
          <w:ilvl w:val="0"/>
          <w:numId w:val="14"/>
        </w:numPr>
        <w:autoSpaceDE w:val="0"/>
        <w:autoSpaceDN w:val="0"/>
        <w:adjustRightInd w:val="0"/>
        <w:spacing w:after="0" w:line="240" w:lineRule="auto"/>
        <w:jc w:val="both"/>
        <w:rPr>
          <w:rFonts w:ascii="Times New Roman" w:hAnsi="Times New Roman"/>
          <w:bCs/>
          <w:color w:val="272627"/>
          <w:sz w:val="24"/>
          <w:szCs w:val="24"/>
        </w:rPr>
      </w:pPr>
      <w:r w:rsidRPr="00E7778E">
        <w:rPr>
          <w:rFonts w:ascii="Times New Roman" w:hAnsi="Times New Roman"/>
          <w:bCs/>
          <w:color w:val="272627"/>
          <w:sz w:val="24"/>
          <w:szCs w:val="24"/>
        </w:rPr>
        <w:t xml:space="preserve">Apprécier l’alignement des priorités du Programme Pays sur les priorités du </w:t>
      </w:r>
      <w:r w:rsidR="009C493D">
        <w:rPr>
          <w:rFonts w:ascii="Times New Roman" w:hAnsi="Times New Roman"/>
          <w:bCs/>
          <w:color w:val="272627"/>
          <w:sz w:val="24"/>
          <w:szCs w:val="24"/>
        </w:rPr>
        <w:t>UNDAF</w:t>
      </w:r>
      <w:r w:rsidRPr="00E7778E">
        <w:rPr>
          <w:rFonts w:ascii="Times New Roman" w:hAnsi="Times New Roman"/>
          <w:bCs/>
          <w:color w:val="272627"/>
          <w:sz w:val="24"/>
          <w:szCs w:val="24"/>
        </w:rPr>
        <w:t>+ et du CREDD;</w:t>
      </w:r>
    </w:p>
    <w:p w14:paraId="5623F5CD" w14:textId="77777777" w:rsidR="00303125" w:rsidRPr="00E7778E" w:rsidRDefault="00303125" w:rsidP="00D76EFA">
      <w:pPr>
        <w:numPr>
          <w:ilvl w:val="0"/>
          <w:numId w:val="14"/>
        </w:numPr>
        <w:autoSpaceDE w:val="0"/>
        <w:autoSpaceDN w:val="0"/>
        <w:adjustRightInd w:val="0"/>
        <w:spacing w:after="0" w:line="240" w:lineRule="auto"/>
        <w:jc w:val="both"/>
        <w:rPr>
          <w:rFonts w:ascii="Times New Roman" w:hAnsi="Times New Roman"/>
          <w:color w:val="272627"/>
          <w:sz w:val="24"/>
          <w:szCs w:val="24"/>
        </w:rPr>
      </w:pPr>
      <w:r w:rsidRPr="00E7778E">
        <w:rPr>
          <w:rFonts w:ascii="Times New Roman" w:hAnsi="Times New Roman"/>
          <w:color w:val="272627"/>
          <w:sz w:val="24"/>
          <w:szCs w:val="24"/>
        </w:rPr>
        <w:t xml:space="preserve">Apprécier la pertinence et la cohérence des programmes et projets mis en œuvre (pertinence par rapport aux effets </w:t>
      </w:r>
      <w:r w:rsidR="009C493D">
        <w:rPr>
          <w:rFonts w:ascii="Times New Roman" w:hAnsi="Times New Roman"/>
          <w:color w:val="272627"/>
          <w:sz w:val="24"/>
          <w:szCs w:val="24"/>
        </w:rPr>
        <w:t>UNDAF</w:t>
      </w:r>
      <w:r w:rsidRPr="00E7778E">
        <w:rPr>
          <w:rFonts w:ascii="Times New Roman" w:hAnsi="Times New Roman"/>
          <w:color w:val="272627"/>
          <w:sz w:val="24"/>
          <w:szCs w:val="24"/>
        </w:rPr>
        <w:t>+ retenus, aux priorités nationales telles qu’énoncées dans le CREDD) et l’adéquation des interventions du PNUD;</w:t>
      </w:r>
    </w:p>
    <w:p w14:paraId="3C99AD8A" w14:textId="77777777" w:rsidR="00303125" w:rsidRPr="00E7778E" w:rsidRDefault="00303125" w:rsidP="00D76EFA">
      <w:pPr>
        <w:numPr>
          <w:ilvl w:val="0"/>
          <w:numId w:val="14"/>
        </w:numPr>
        <w:autoSpaceDE w:val="0"/>
        <w:autoSpaceDN w:val="0"/>
        <w:adjustRightInd w:val="0"/>
        <w:spacing w:after="0" w:line="240" w:lineRule="auto"/>
        <w:jc w:val="both"/>
        <w:rPr>
          <w:rFonts w:ascii="Times New Roman" w:hAnsi="Times New Roman"/>
          <w:color w:val="272627"/>
          <w:sz w:val="24"/>
          <w:szCs w:val="24"/>
        </w:rPr>
      </w:pPr>
      <w:r w:rsidRPr="00E7778E">
        <w:rPr>
          <w:rFonts w:ascii="Times New Roman" w:hAnsi="Times New Roman"/>
          <w:color w:val="272627"/>
          <w:sz w:val="24"/>
          <w:szCs w:val="24"/>
        </w:rPr>
        <w:lastRenderedPageBreak/>
        <w:t>Apprécier les progrès réalisés vers l’atteinte des résultats attendus tels qu’énoncés dans la matrice des résultats du CPD (réalisations, ressources utilisées, gap de financement par secteur, difficultés opérationnelles rencontrées, risques);</w:t>
      </w:r>
    </w:p>
    <w:p w14:paraId="6EA34878" w14:textId="77777777" w:rsidR="00303125" w:rsidRPr="00E7778E" w:rsidRDefault="00303125" w:rsidP="00D76EFA">
      <w:pPr>
        <w:numPr>
          <w:ilvl w:val="0"/>
          <w:numId w:val="14"/>
        </w:numPr>
        <w:autoSpaceDE w:val="0"/>
        <w:autoSpaceDN w:val="0"/>
        <w:adjustRightInd w:val="0"/>
        <w:spacing w:after="0" w:line="240" w:lineRule="auto"/>
        <w:jc w:val="both"/>
        <w:rPr>
          <w:rFonts w:ascii="Times New Roman" w:hAnsi="Times New Roman"/>
          <w:color w:val="272627"/>
          <w:sz w:val="24"/>
          <w:szCs w:val="24"/>
        </w:rPr>
      </w:pPr>
      <w:r w:rsidRPr="00E7778E">
        <w:rPr>
          <w:rFonts w:ascii="Times New Roman" w:hAnsi="Times New Roman"/>
          <w:color w:val="272627"/>
          <w:sz w:val="24"/>
          <w:szCs w:val="24"/>
        </w:rPr>
        <w:t>Procéder à l’évaluation du Programme Pays par rapport à la matrice des résultats du PNUAD+ et le cadre des mesures et des indicateurs de suivi du CREDD;</w:t>
      </w:r>
    </w:p>
    <w:p w14:paraId="09200C6C" w14:textId="77777777" w:rsidR="00303125" w:rsidRPr="00E7778E" w:rsidRDefault="00303125" w:rsidP="00D76EFA">
      <w:pPr>
        <w:numPr>
          <w:ilvl w:val="0"/>
          <w:numId w:val="14"/>
        </w:numPr>
        <w:autoSpaceDE w:val="0"/>
        <w:autoSpaceDN w:val="0"/>
        <w:adjustRightInd w:val="0"/>
        <w:spacing w:after="0" w:line="240" w:lineRule="auto"/>
        <w:jc w:val="both"/>
        <w:rPr>
          <w:rFonts w:ascii="Times New Roman" w:hAnsi="Times New Roman"/>
          <w:color w:val="272627"/>
          <w:sz w:val="24"/>
          <w:szCs w:val="24"/>
        </w:rPr>
      </w:pPr>
      <w:r w:rsidRPr="00E7778E">
        <w:rPr>
          <w:rFonts w:ascii="Times New Roman" w:hAnsi="Times New Roman"/>
          <w:color w:val="272627"/>
          <w:sz w:val="24"/>
          <w:szCs w:val="24"/>
        </w:rPr>
        <w:t>Apprécier la prise en compte des priorités émergentes survenues en cours du cycle et comment ces priorités ont influencé les résultats obtenus et leurs impacts sur les résultats attendus du PNUAD+ et du CPD initialement fixés;</w:t>
      </w:r>
    </w:p>
    <w:p w14:paraId="2D894335" w14:textId="77777777" w:rsidR="00303125" w:rsidRPr="00E7778E" w:rsidRDefault="00303125" w:rsidP="00D76EFA">
      <w:pPr>
        <w:numPr>
          <w:ilvl w:val="0"/>
          <w:numId w:val="14"/>
        </w:numPr>
        <w:autoSpaceDE w:val="0"/>
        <w:autoSpaceDN w:val="0"/>
        <w:adjustRightInd w:val="0"/>
        <w:spacing w:after="0" w:line="240" w:lineRule="auto"/>
        <w:jc w:val="both"/>
        <w:rPr>
          <w:rFonts w:ascii="Times New Roman" w:hAnsi="Times New Roman"/>
          <w:color w:val="272627"/>
          <w:sz w:val="24"/>
          <w:szCs w:val="24"/>
        </w:rPr>
      </w:pPr>
      <w:r w:rsidRPr="00E7778E">
        <w:rPr>
          <w:rFonts w:ascii="Times New Roman" w:hAnsi="Times New Roman"/>
          <w:color w:val="272627"/>
          <w:sz w:val="24"/>
          <w:szCs w:val="24"/>
        </w:rPr>
        <w:t xml:space="preserve">Apprécier la contribution du PNUD dans la mise en œuvre du </w:t>
      </w:r>
      <w:r w:rsidR="009C493D">
        <w:rPr>
          <w:rFonts w:ascii="Times New Roman" w:hAnsi="Times New Roman"/>
          <w:color w:val="272627"/>
          <w:sz w:val="24"/>
          <w:szCs w:val="24"/>
        </w:rPr>
        <w:t>UNDAF</w:t>
      </w:r>
      <w:r w:rsidRPr="00E7778E">
        <w:rPr>
          <w:rFonts w:ascii="Times New Roman" w:hAnsi="Times New Roman"/>
          <w:color w:val="272627"/>
          <w:sz w:val="24"/>
          <w:szCs w:val="24"/>
        </w:rPr>
        <w:t>+, y compris  les mécanismes de coordination (Comité Programme, OMT, Groupe Communication, Groupes Thématiques) et la stratégie de communication conjointe (actions réalisées, difficultés et contraintes);</w:t>
      </w:r>
    </w:p>
    <w:p w14:paraId="05E41609" w14:textId="77777777" w:rsidR="00303125" w:rsidRPr="00E7778E" w:rsidRDefault="00303125" w:rsidP="00D76EFA">
      <w:pPr>
        <w:numPr>
          <w:ilvl w:val="0"/>
          <w:numId w:val="14"/>
        </w:numPr>
        <w:autoSpaceDE w:val="0"/>
        <w:autoSpaceDN w:val="0"/>
        <w:adjustRightInd w:val="0"/>
        <w:spacing w:after="0" w:line="240" w:lineRule="auto"/>
        <w:jc w:val="both"/>
        <w:rPr>
          <w:rFonts w:ascii="Times New Roman" w:hAnsi="Times New Roman"/>
          <w:color w:val="272627"/>
          <w:sz w:val="24"/>
          <w:szCs w:val="24"/>
        </w:rPr>
      </w:pPr>
      <w:r w:rsidRPr="00E7778E">
        <w:rPr>
          <w:rFonts w:ascii="Times New Roman" w:hAnsi="Times New Roman"/>
          <w:color w:val="272627"/>
          <w:sz w:val="24"/>
          <w:szCs w:val="24"/>
        </w:rPr>
        <w:t>Apprécier la contribution du PNUD dans la mise en œuvre de l’Accord de Paix, notamment à travers les axes liés à ses domaines de Coopération tels que la Cohésion Sociale, la Décentralisation et le Relèvement post-conflits ;</w:t>
      </w:r>
    </w:p>
    <w:p w14:paraId="1A2DF937" w14:textId="77777777" w:rsidR="00303125" w:rsidRPr="00E7778E" w:rsidRDefault="00303125" w:rsidP="00D76EFA">
      <w:pPr>
        <w:numPr>
          <w:ilvl w:val="0"/>
          <w:numId w:val="14"/>
        </w:numPr>
        <w:autoSpaceDE w:val="0"/>
        <w:autoSpaceDN w:val="0"/>
        <w:adjustRightInd w:val="0"/>
        <w:spacing w:after="0" w:line="240" w:lineRule="auto"/>
        <w:jc w:val="both"/>
        <w:rPr>
          <w:rFonts w:ascii="Times New Roman" w:hAnsi="Times New Roman"/>
          <w:color w:val="272627"/>
          <w:sz w:val="24"/>
          <w:szCs w:val="24"/>
        </w:rPr>
      </w:pPr>
      <w:r w:rsidRPr="00E7778E">
        <w:rPr>
          <w:rFonts w:ascii="Times New Roman" w:hAnsi="Times New Roman"/>
          <w:color w:val="272627"/>
          <w:sz w:val="24"/>
          <w:szCs w:val="24"/>
        </w:rPr>
        <w:t>Evaluer le degré d’implication des partenaires (Gouvernement, PTFs, Société Civile/ONGs, Secteur Privé, collectivités locales) dans la mise en œuvre du CPD;</w:t>
      </w:r>
    </w:p>
    <w:p w14:paraId="70BE7151" w14:textId="77777777" w:rsidR="00303125" w:rsidRPr="00E7778E" w:rsidRDefault="00303125" w:rsidP="00D76EFA">
      <w:pPr>
        <w:numPr>
          <w:ilvl w:val="0"/>
          <w:numId w:val="14"/>
        </w:numPr>
        <w:autoSpaceDE w:val="0"/>
        <w:autoSpaceDN w:val="0"/>
        <w:adjustRightInd w:val="0"/>
        <w:spacing w:after="0" w:line="240" w:lineRule="auto"/>
        <w:jc w:val="both"/>
        <w:rPr>
          <w:rFonts w:ascii="Times New Roman" w:hAnsi="Times New Roman"/>
          <w:color w:val="272627"/>
          <w:sz w:val="24"/>
          <w:szCs w:val="24"/>
        </w:rPr>
      </w:pPr>
      <w:r w:rsidRPr="00E7778E">
        <w:rPr>
          <w:rFonts w:ascii="Times New Roman" w:hAnsi="Times New Roman"/>
          <w:color w:val="272627"/>
          <w:sz w:val="24"/>
          <w:szCs w:val="24"/>
        </w:rPr>
        <w:t>Faire une évaluation de la mobilisation des ressources  et des efforts de partenariats développés par le PNUD dans un contexte d’aide publique au développement en pleine mutation Post-Déclaration de Paris, Plan d’action d’Accra et Accord de Partenariat de Busan. En particulier, apprécier le niveau d’engagement du PNUD dans l’architecture de l’aide pour la mise en œuvre du CREDD au Mali (Cadre Sectoriel d</w:t>
      </w:r>
      <w:r w:rsidR="009C493D">
        <w:rPr>
          <w:rFonts w:ascii="Times New Roman" w:hAnsi="Times New Roman"/>
          <w:color w:val="272627"/>
          <w:sz w:val="24"/>
          <w:szCs w:val="24"/>
        </w:rPr>
        <w:t>e Dialogue, Groupes Thématiques</w:t>
      </w:r>
      <w:r w:rsidRPr="00E7778E">
        <w:rPr>
          <w:rFonts w:ascii="Times New Roman" w:hAnsi="Times New Roman"/>
          <w:color w:val="272627"/>
          <w:sz w:val="24"/>
          <w:szCs w:val="24"/>
        </w:rPr>
        <w:t>) ;</w:t>
      </w:r>
    </w:p>
    <w:p w14:paraId="550E356C" w14:textId="77777777" w:rsidR="00303125" w:rsidRPr="00E7778E" w:rsidRDefault="00303125" w:rsidP="00D76EFA">
      <w:pPr>
        <w:numPr>
          <w:ilvl w:val="0"/>
          <w:numId w:val="14"/>
        </w:numPr>
        <w:autoSpaceDE w:val="0"/>
        <w:autoSpaceDN w:val="0"/>
        <w:adjustRightInd w:val="0"/>
        <w:spacing w:after="0" w:line="240" w:lineRule="auto"/>
        <w:jc w:val="both"/>
        <w:rPr>
          <w:rFonts w:ascii="Times New Roman" w:hAnsi="Times New Roman"/>
          <w:color w:val="272627"/>
          <w:sz w:val="24"/>
          <w:szCs w:val="24"/>
        </w:rPr>
      </w:pPr>
      <w:r w:rsidRPr="00E7778E">
        <w:rPr>
          <w:rFonts w:ascii="Times New Roman" w:hAnsi="Times New Roman"/>
          <w:color w:val="272627"/>
          <w:sz w:val="24"/>
          <w:szCs w:val="24"/>
        </w:rPr>
        <w:t>Evaluer l’impact sur les groupes cibles et les institutions, des activités du programme,  en termes de développement des capacités et de durabilité des interventions;</w:t>
      </w:r>
    </w:p>
    <w:p w14:paraId="1D2459F6" w14:textId="77777777" w:rsidR="00303125" w:rsidRPr="00E7778E" w:rsidRDefault="00303125" w:rsidP="00D76EFA">
      <w:pPr>
        <w:numPr>
          <w:ilvl w:val="0"/>
          <w:numId w:val="14"/>
        </w:numPr>
        <w:autoSpaceDE w:val="0"/>
        <w:autoSpaceDN w:val="0"/>
        <w:adjustRightInd w:val="0"/>
        <w:spacing w:after="0" w:line="240" w:lineRule="auto"/>
        <w:jc w:val="both"/>
        <w:rPr>
          <w:rFonts w:ascii="Times New Roman" w:hAnsi="Times New Roman"/>
          <w:color w:val="272627"/>
          <w:sz w:val="24"/>
          <w:szCs w:val="24"/>
        </w:rPr>
      </w:pPr>
      <w:r w:rsidRPr="00E7778E">
        <w:rPr>
          <w:rFonts w:ascii="Times New Roman" w:hAnsi="Times New Roman"/>
          <w:color w:val="272627"/>
          <w:sz w:val="24"/>
          <w:szCs w:val="24"/>
        </w:rPr>
        <w:t>Evaluer dans quelle mesure, les arrangements de gestion et le mécanisme de suivi  et évaluation ont effectivement facilité l’atteinte ou non des résultats et leur durabilité ;</w:t>
      </w:r>
    </w:p>
    <w:p w14:paraId="169BF129" w14:textId="77777777" w:rsidR="00303125" w:rsidRPr="00E7778E" w:rsidRDefault="00303125" w:rsidP="00D76EFA">
      <w:pPr>
        <w:numPr>
          <w:ilvl w:val="0"/>
          <w:numId w:val="14"/>
        </w:numPr>
        <w:autoSpaceDE w:val="0"/>
        <w:autoSpaceDN w:val="0"/>
        <w:adjustRightInd w:val="0"/>
        <w:spacing w:after="0" w:line="240" w:lineRule="auto"/>
        <w:jc w:val="both"/>
        <w:rPr>
          <w:rFonts w:ascii="Times New Roman" w:hAnsi="Times New Roman"/>
          <w:color w:val="272627"/>
          <w:sz w:val="24"/>
          <w:szCs w:val="24"/>
        </w:rPr>
      </w:pPr>
      <w:r w:rsidRPr="00E7778E">
        <w:rPr>
          <w:rFonts w:ascii="Times New Roman" w:hAnsi="Times New Roman"/>
          <w:color w:val="272627"/>
          <w:sz w:val="24"/>
          <w:szCs w:val="24"/>
        </w:rPr>
        <w:t>Apprécier les mécanismes et stratégie de communication autour du programme (actions réalisées, difficultés et contraintes) ;</w:t>
      </w:r>
    </w:p>
    <w:p w14:paraId="777F6D9C" w14:textId="77777777" w:rsidR="00303125" w:rsidRPr="00E7778E" w:rsidRDefault="00303125" w:rsidP="00D76EFA">
      <w:pPr>
        <w:numPr>
          <w:ilvl w:val="0"/>
          <w:numId w:val="14"/>
        </w:numPr>
        <w:autoSpaceDE w:val="0"/>
        <w:autoSpaceDN w:val="0"/>
        <w:adjustRightInd w:val="0"/>
        <w:spacing w:after="0" w:line="240" w:lineRule="auto"/>
        <w:jc w:val="both"/>
        <w:rPr>
          <w:rFonts w:ascii="Times New Roman" w:hAnsi="Times New Roman"/>
          <w:color w:val="272627"/>
          <w:sz w:val="24"/>
          <w:szCs w:val="24"/>
        </w:rPr>
      </w:pPr>
      <w:r w:rsidRPr="00E7778E">
        <w:rPr>
          <w:rFonts w:ascii="Times New Roman" w:hAnsi="Times New Roman"/>
          <w:color w:val="272627"/>
          <w:sz w:val="24"/>
          <w:szCs w:val="24"/>
        </w:rPr>
        <w:t>Apprécier la cohérence entre les mécanismes de coordination et de mise en œuvre du CPD (Comités de Pilotage des Projets), ceux du PNUAD+ et les mécanismes nationaux existants: pertinence, forces et faiblesses ;</w:t>
      </w:r>
    </w:p>
    <w:p w14:paraId="6E9CF0F5" w14:textId="77777777" w:rsidR="00303125" w:rsidRPr="00E7778E" w:rsidRDefault="00303125" w:rsidP="00D76EFA">
      <w:pPr>
        <w:numPr>
          <w:ilvl w:val="0"/>
          <w:numId w:val="13"/>
        </w:numPr>
        <w:autoSpaceDE w:val="0"/>
        <w:autoSpaceDN w:val="0"/>
        <w:adjustRightInd w:val="0"/>
        <w:spacing w:after="0" w:line="240" w:lineRule="auto"/>
        <w:jc w:val="both"/>
        <w:rPr>
          <w:rFonts w:ascii="Times New Roman" w:hAnsi="Times New Roman"/>
          <w:color w:val="272627"/>
          <w:sz w:val="24"/>
          <w:szCs w:val="24"/>
        </w:rPr>
      </w:pPr>
      <w:r w:rsidRPr="00E7778E">
        <w:rPr>
          <w:rFonts w:ascii="Times New Roman" w:hAnsi="Times New Roman"/>
          <w:color w:val="272627"/>
          <w:sz w:val="24"/>
          <w:szCs w:val="24"/>
        </w:rPr>
        <w:t>Apprécier la durabilité des résultats en rapport avec les priorités nationales de développement ;</w:t>
      </w:r>
    </w:p>
    <w:p w14:paraId="15D4C771" w14:textId="77777777" w:rsidR="00303125" w:rsidRPr="00E7778E" w:rsidRDefault="00303125" w:rsidP="00D76EFA">
      <w:pPr>
        <w:numPr>
          <w:ilvl w:val="0"/>
          <w:numId w:val="13"/>
        </w:numPr>
        <w:autoSpaceDE w:val="0"/>
        <w:autoSpaceDN w:val="0"/>
        <w:adjustRightInd w:val="0"/>
        <w:spacing w:after="0" w:line="240" w:lineRule="auto"/>
        <w:jc w:val="both"/>
        <w:rPr>
          <w:rFonts w:ascii="Times New Roman" w:hAnsi="Times New Roman"/>
          <w:color w:val="272627"/>
          <w:sz w:val="24"/>
          <w:szCs w:val="24"/>
        </w:rPr>
      </w:pPr>
      <w:r w:rsidRPr="00E7778E">
        <w:rPr>
          <w:rFonts w:ascii="Times New Roman" w:hAnsi="Times New Roman"/>
          <w:color w:val="272627"/>
          <w:sz w:val="24"/>
          <w:szCs w:val="24"/>
        </w:rPr>
        <w:t>Identifier les leçons apprises et capitaliser les bonnes pratiques ;</w:t>
      </w:r>
    </w:p>
    <w:p w14:paraId="1EF3E4D6" w14:textId="77777777" w:rsidR="00303125" w:rsidRPr="00E7778E" w:rsidRDefault="00303125" w:rsidP="00D76EFA">
      <w:pPr>
        <w:numPr>
          <w:ilvl w:val="0"/>
          <w:numId w:val="13"/>
        </w:numPr>
        <w:autoSpaceDE w:val="0"/>
        <w:autoSpaceDN w:val="0"/>
        <w:adjustRightInd w:val="0"/>
        <w:spacing w:after="0" w:line="240" w:lineRule="auto"/>
        <w:jc w:val="both"/>
        <w:rPr>
          <w:rFonts w:ascii="Times New Roman" w:hAnsi="Times New Roman"/>
          <w:color w:val="272627"/>
          <w:sz w:val="24"/>
          <w:szCs w:val="24"/>
        </w:rPr>
      </w:pPr>
      <w:r w:rsidRPr="00E7778E">
        <w:rPr>
          <w:rFonts w:ascii="Times New Roman" w:hAnsi="Times New Roman"/>
          <w:color w:val="272627"/>
          <w:sz w:val="24"/>
          <w:szCs w:val="24"/>
        </w:rPr>
        <w:t>Formuler des recommandations pour la 2</w:t>
      </w:r>
      <w:r w:rsidRPr="00E7778E">
        <w:rPr>
          <w:rFonts w:ascii="Times New Roman" w:hAnsi="Times New Roman"/>
          <w:color w:val="272627"/>
          <w:sz w:val="24"/>
          <w:szCs w:val="24"/>
          <w:vertAlign w:val="superscript"/>
        </w:rPr>
        <w:t>ème</w:t>
      </w:r>
      <w:r w:rsidRPr="00E7778E">
        <w:rPr>
          <w:rFonts w:ascii="Times New Roman" w:hAnsi="Times New Roman"/>
          <w:color w:val="272627"/>
          <w:sz w:val="24"/>
          <w:szCs w:val="24"/>
        </w:rPr>
        <w:t xml:space="preserve"> phase du cycle de programmation;</w:t>
      </w:r>
    </w:p>
    <w:p w14:paraId="0D9EB4B8" w14:textId="77777777" w:rsidR="00C51D0D" w:rsidRPr="00E7778E" w:rsidRDefault="00C51D0D" w:rsidP="00B96F0F">
      <w:pPr>
        <w:pStyle w:val="NormalWeb"/>
        <w:jc w:val="both"/>
      </w:pPr>
    </w:p>
    <w:p w14:paraId="1C87BB8E" w14:textId="77777777" w:rsidR="00BA3DC6" w:rsidRPr="00E7778E" w:rsidRDefault="002017E6" w:rsidP="00B96F0F">
      <w:pPr>
        <w:pStyle w:val="NormalWeb"/>
        <w:jc w:val="both"/>
      </w:pPr>
      <w:r w:rsidRPr="00E7778E">
        <w:t>5</w:t>
      </w:r>
      <w:r w:rsidR="00BA3DC6" w:rsidRPr="00E7778E">
        <w:t>.</w:t>
      </w:r>
      <w:r w:rsidR="00BA3DC6" w:rsidRPr="00E7778E">
        <w:tab/>
        <w:t>L’Evaluation se doit d’intégrer ces objectifs spécifiques dans le cadre des critères du Comité d’Aide au Développement de l’OCDE, à savoir la pertinence, l’efficacité, l’efficience et la durabilité des résultats.</w:t>
      </w:r>
    </w:p>
    <w:p w14:paraId="1E32FFB8" w14:textId="77777777" w:rsidR="00BA3DC6" w:rsidRPr="00E7778E" w:rsidRDefault="00BA3DC6" w:rsidP="00B96F0F">
      <w:pPr>
        <w:spacing w:after="0" w:line="240" w:lineRule="auto"/>
        <w:jc w:val="both"/>
        <w:rPr>
          <w:rFonts w:ascii="Times New Roman" w:hAnsi="Times New Roman"/>
          <w:b/>
          <w:sz w:val="24"/>
          <w:szCs w:val="24"/>
        </w:rPr>
      </w:pPr>
      <w:bookmarkStart w:id="28" w:name="_Toc244316699"/>
      <w:bookmarkStart w:id="29" w:name="_Toc323037167"/>
      <w:bookmarkStart w:id="30" w:name="_Toc344485708"/>
      <w:bookmarkStart w:id="31" w:name="_Toc348488282"/>
    </w:p>
    <w:p w14:paraId="2588F41C" w14:textId="77777777" w:rsidR="00BA3DC6" w:rsidRPr="00E7778E" w:rsidRDefault="00BA3DC6" w:rsidP="00B026AE">
      <w:pPr>
        <w:pStyle w:val="Titre2"/>
        <w:numPr>
          <w:ilvl w:val="0"/>
          <w:numId w:val="3"/>
        </w:numPr>
        <w:spacing w:before="0"/>
        <w:rPr>
          <w:color w:val="auto"/>
        </w:rPr>
      </w:pPr>
      <w:bookmarkStart w:id="32" w:name="_Toc355533885"/>
      <w:bookmarkStart w:id="33" w:name="_Toc499211579"/>
      <w:bookmarkStart w:id="34" w:name="_Toc499213852"/>
      <w:r w:rsidRPr="00E7778E">
        <w:rPr>
          <w:color w:val="auto"/>
        </w:rPr>
        <w:t>Méthodologie</w:t>
      </w:r>
      <w:bookmarkEnd w:id="28"/>
      <w:bookmarkEnd w:id="29"/>
      <w:bookmarkEnd w:id="30"/>
      <w:bookmarkEnd w:id="31"/>
      <w:bookmarkEnd w:id="32"/>
      <w:bookmarkEnd w:id="33"/>
      <w:bookmarkEnd w:id="34"/>
    </w:p>
    <w:p w14:paraId="1209ADD7" w14:textId="77777777" w:rsidR="00BA3DC6" w:rsidRPr="00E7778E" w:rsidRDefault="00BA3DC6" w:rsidP="00B96F0F">
      <w:pPr>
        <w:spacing w:after="0" w:line="240" w:lineRule="auto"/>
        <w:jc w:val="both"/>
        <w:rPr>
          <w:rFonts w:ascii="Times New Roman" w:hAnsi="Times New Roman"/>
          <w:bCs/>
          <w:sz w:val="24"/>
          <w:szCs w:val="24"/>
        </w:rPr>
      </w:pPr>
    </w:p>
    <w:p w14:paraId="185ED884" w14:textId="77777777" w:rsidR="00BA3DC6" w:rsidRPr="00E7778E" w:rsidRDefault="002017E6" w:rsidP="00B96F0F">
      <w:pPr>
        <w:spacing w:after="0" w:line="240" w:lineRule="auto"/>
        <w:jc w:val="both"/>
        <w:rPr>
          <w:rFonts w:ascii="Times New Roman" w:hAnsi="Times New Roman"/>
          <w:bCs/>
          <w:sz w:val="24"/>
          <w:szCs w:val="24"/>
        </w:rPr>
      </w:pPr>
      <w:r w:rsidRPr="00E7778E">
        <w:rPr>
          <w:rFonts w:ascii="Times New Roman" w:hAnsi="Times New Roman"/>
          <w:bCs/>
          <w:sz w:val="24"/>
          <w:szCs w:val="24"/>
        </w:rPr>
        <w:t>6</w:t>
      </w:r>
      <w:r w:rsidR="00BA3DC6" w:rsidRPr="00E7778E">
        <w:rPr>
          <w:rFonts w:ascii="Times New Roman" w:hAnsi="Times New Roman"/>
          <w:bCs/>
          <w:sz w:val="24"/>
          <w:szCs w:val="24"/>
        </w:rPr>
        <w:t>.</w:t>
      </w:r>
      <w:r w:rsidR="00BA3DC6" w:rsidRPr="00E7778E">
        <w:rPr>
          <w:rFonts w:ascii="Times New Roman" w:hAnsi="Times New Roman"/>
          <w:bCs/>
          <w:sz w:val="24"/>
          <w:szCs w:val="24"/>
        </w:rPr>
        <w:tab/>
        <w:t>La méthodologie utilisée est articulée autour d’une revue documentaire, d’entretiens</w:t>
      </w:r>
      <w:r w:rsidR="001B1A2B" w:rsidRPr="00E7778E">
        <w:rPr>
          <w:rFonts w:ascii="Times New Roman" w:hAnsi="Times New Roman"/>
          <w:bCs/>
          <w:sz w:val="24"/>
          <w:szCs w:val="24"/>
        </w:rPr>
        <w:t xml:space="preserve"> </w:t>
      </w:r>
      <w:r w:rsidR="00BA3DC6" w:rsidRPr="00E7778E">
        <w:rPr>
          <w:rFonts w:ascii="Times New Roman" w:hAnsi="Times New Roman"/>
          <w:bCs/>
          <w:sz w:val="24"/>
          <w:szCs w:val="24"/>
        </w:rPr>
        <w:t>avec les parties prenantes au programme</w:t>
      </w:r>
      <w:r w:rsidR="00220301" w:rsidRPr="00E7778E">
        <w:rPr>
          <w:rFonts w:ascii="Times New Roman" w:hAnsi="Times New Roman"/>
          <w:bCs/>
          <w:sz w:val="24"/>
          <w:szCs w:val="24"/>
        </w:rPr>
        <w:t xml:space="preserve"> </w:t>
      </w:r>
      <w:r w:rsidR="00BA3DC6" w:rsidRPr="00E7778E">
        <w:rPr>
          <w:rFonts w:ascii="Times New Roman" w:hAnsi="Times New Roman"/>
          <w:bCs/>
          <w:sz w:val="24"/>
          <w:szCs w:val="24"/>
        </w:rPr>
        <w:t>(Partie nationale - institutionnels et bénéficiaires directs -, PNUD et autres Partenaire</w:t>
      </w:r>
      <w:r w:rsidR="001B1A2B" w:rsidRPr="00E7778E">
        <w:rPr>
          <w:rFonts w:ascii="Times New Roman" w:hAnsi="Times New Roman"/>
          <w:bCs/>
          <w:sz w:val="24"/>
          <w:szCs w:val="24"/>
        </w:rPr>
        <w:t>s</w:t>
      </w:r>
      <w:r w:rsidR="00BA3DC6" w:rsidRPr="00E7778E">
        <w:rPr>
          <w:rFonts w:ascii="Times New Roman" w:hAnsi="Times New Roman"/>
          <w:bCs/>
          <w:sz w:val="24"/>
          <w:szCs w:val="24"/>
        </w:rPr>
        <w:t xml:space="preserve"> techniques et financiers, société civile, notamment),</w:t>
      </w:r>
      <w:r w:rsidR="001B1A2B" w:rsidRPr="00E7778E">
        <w:rPr>
          <w:rFonts w:ascii="Times New Roman" w:hAnsi="Times New Roman"/>
          <w:bCs/>
          <w:sz w:val="24"/>
          <w:szCs w:val="24"/>
        </w:rPr>
        <w:t xml:space="preserve"> </w:t>
      </w:r>
      <w:r w:rsidR="00BA3DC6" w:rsidRPr="00E7778E">
        <w:rPr>
          <w:rFonts w:ascii="Times New Roman" w:hAnsi="Times New Roman"/>
          <w:bCs/>
          <w:sz w:val="24"/>
          <w:szCs w:val="24"/>
        </w:rPr>
        <w:t>(voir en Annexe liste exhaustive des sources de données primaires).</w:t>
      </w:r>
    </w:p>
    <w:p w14:paraId="09A4F767" w14:textId="77777777" w:rsidR="00BA3DC6" w:rsidRPr="00E7778E" w:rsidRDefault="00BA3DC6" w:rsidP="00B96F0F">
      <w:pPr>
        <w:spacing w:after="0" w:line="240" w:lineRule="auto"/>
        <w:jc w:val="both"/>
        <w:rPr>
          <w:rFonts w:ascii="Times New Roman" w:hAnsi="Times New Roman"/>
          <w:bCs/>
          <w:sz w:val="14"/>
          <w:szCs w:val="14"/>
        </w:rPr>
      </w:pPr>
    </w:p>
    <w:p w14:paraId="18B3EDC8" w14:textId="77777777" w:rsidR="00BA3DC6" w:rsidRPr="00E7778E" w:rsidRDefault="00BA3DC6" w:rsidP="00B026AE">
      <w:pPr>
        <w:pStyle w:val="Titre3"/>
        <w:numPr>
          <w:ilvl w:val="1"/>
          <w:numId w:val="3"/>
        </w:numPr>
        <w:spacing w:before="0" w:line="240" w:lineRule="auto"/>
        <w:rPr>
          <w:rFonts w:ascii="Times New Roman" w:hAnsi="Times New Roman"/>
          <w:color w:val="auto"/>
          <w:sz w:val="24"/>
          <w:szCs w:val="24"/>
        </w:rPr>
      </w:pPr>
      <w:bookmarkStart w:id="35" w:name="_Toc348488283"/>
      <w:bookmarkStart w:id="36" w:name="_Toc355533886"/>
      <w:bookmarkStart w:id="37" w:name="_Toc499211580"/>
      <w:bookmarkStart w:id="38" w:name="_Toc499213853"/>
      <w:r w:rsidRPr="00E7778E">
        <w:rPr>
          <w:rFonts w:ascii="Times New Roman" w:hAnsi="Times New Roman"/>
          <w:color w:val="auto"/>
          <w:sz w:val="24"/>
          <w:szCs w:val="24"/>
        </w:rPr>
        <w:lastRenderedPageBreak/>
        <w:t>Revue documentaire</w:t>
      </w:r>
      <w:bookmarkEnd w:id="35"/>
      <w:bookmarkEnd w:id="36"/>
      <w:bookmarkEnd w:id="37"/>
      <w:bookmarkEnd w:id="38"/>
    </w:p>
    <w:p w14:paraId="49B5D072" w14:textId="77777777" w:rsidR="00BA3DC6" w:rsidRPr="00E7778E" w:rsidRDefault="00BA3DC6" w:rsidP="00B96F0F">
      <w:pPr>
        <w:spacing w:after="0" w:line="240" w:lineRule="auto"/>
        <w:jc w:val="both"/>
        <w:rPr>
          <w:rFonts w:ascii="Times New Roman" w:hAnsi="Times New Roman"/>
          <w:bCs/>
          <w:sz w:val="24"/>
          <w:szCs w:val="24"/>
        </w:rPr>
      </w:pPr>
    </w:p>
    <w:p w14:paraId="5F0A877E" w14:textId="77777777" w:rsidR="00BA3DC6" w:rsidRPr="00E7778E" w:rsidRDefault="002017E6" w:rsidP="00B96F0F">
      <w:pPr>
        <w:spacing w:after="0" w:line="240" w:lineRule="auto"/>
        <w:jc w:val="both"/>
        <w:rPr>
          <w:rFonts w:ascii="Times New Roman" w:hAnsi="Times New Roman"/>
          <w:bCs/>
          <w:sz w:val="24"/>
          <w:szCs w:val="24"/>
        </w:rPr>
      </w:pPr>
      <w:r w:rsidRPr="00E7778E">
        <w:rPr>
          <w:rFonts w:ascii="Times New Roman" w:hAnsi="Times New Roman"/>
          <w:bCs/>
          <w:sz w:val="24"/>
          <w:szCs w:val="24"/>
        </w:rPr>
        <w:t>7</w:t>
      </w:r>
      <w:r w:rsidR="00BA3DC6" w:rsidRPr="00E7778E">
        <w:rPr>
          <w:rFonts w:ascii="Times New Roman" w:hAnsi="Times New Roman"/>
          <w:bCs/>
          <w:sz w:val="24"/>
          <w:szCs w:val="24"/>
        </w:rPr>
        <w:t>.</w:t>
      </w:r>
      <w:r w:rsidR="00BA3DC6" w:rsidRPr="00E7778E">
        <w:rPr>
          <w:rFonts w:ascii="Times New Roman" w:hAnsi="Times New Roman"/>
          <w:bCs/>
          <w:sz w:val="24"/>
          <w:szCs w:val="24"/>
        </w:rPr>
        <w:tab/>
        <w:t>La revue documentaire, dont l</w:t>
      </w:r>
      <w:r w:rsidR="00073A5B" w:rsidRPr="00E7778E">
        <w:rPr>
          <w:rFonts w:ascii="Times New Roman" w:hAnsi="Times New Roman"/>
          <w:bCs/>
          <w:sz w:val="24"/>
          <w:szCs w:val="24"/>
        </w:rPr>
        <w:t>e s</w:t>
      </w:r>
      <w:r w:rsidR="00BA3DC6" w:rsidRPr="00E7778E">
        <w:rPr>
          <w:rFonts w:ascii="Times New Roman" w:hAnsi="Times New Roman"/>
          <w:bCs/>
          <w:sz w:val="24"/>
          <w:szCs w:val="24"/>
        </w:rPr>
        <w:t>upport est versé aux Annexes de ce rapport, a porté sur les ressources ci-dessous, notamment :</w:t>
      </w:r>
    </w:p>
    <w:p w14:paraId="31FCE40F" w14:textId="77777777" w:rsidR="001B1A2B" w:rsidRPr="00E7778E" w:rsidRDefault="001B1A2B" w:rsidP="001B1A2B">
      <w:pPr>
        <w:spacing w:after="0" w:line="240" w:lineRule="auto"/>
        <w:jc w:val="both"/>
        <w:rPr>
          <w:rFonts w:ascii="Times New Roman" w:hAnsi="Times New Roman"/>
          <w:bCs/>
          <w:sz w:val="24"/>
          <w:szCs w:val="24"/>
        </w:rPr>
      </w:pPr>
    </w:p>
    <w:p w14:paraId="4DC5F3E2" w14:textId="77777777" w:rsidR="001B1A2B" w:rsidRPr="00E7778E" w:rsidRDefault="001B1A2B" w:rsidP="00D76EFA">
      <w:pPr>
        <w:numPr>
          <w:ilvl w:val="0"/>
          <w:numId w:val="21"/>
        </w:numPr>
        <w:spacing w:after="0" w:line="240" w:lineRule="auto"/>
        <w:jc w:val="both"/>
        <w:rPr>
          <w:rFonts w:ascii="Times New Roman" w:hAnsi="Times New Roman"/>
          <w:b/>
          <w:bCs/>
          <w:sz w:val="24"/>
          <w:szCs w:val="24"/>
        </w:rPr>
      </w:pPr>
      <w:r w:rsidRPr="00E7778E">
        <w:rPr>
          <w:rFonts w:ascii="Times New Roman" w:hAnsi="Times New Roman"/>
          <w:b/>
          <w:bCs/>
          <w:sz w:val="24"/>
          <w:szCs w:val="24"/>
        </w:rPr>
        <w:t>Documents contextuels</w:t>
      </w:r>
    </w:p>
    <w:p w14:paraId="3E29F62D" w14:textId="77777777" w:rsidR="001B1A2B" w:rsidRPr="00E7778E" w:rsidRDefault="001B1A2B" w:rsidP="00D76EFA">
      <w:pPr>
        <w:numPr>
          <w:ilvl w:val="0"/>
          <w:numId w:val="15"/>
        </w:numPr>
        <w:spacing w:after="0" w:line="240" w:lineRule="auto"/>
        <w:jc w:val="both"/>
        <w:rPr>
          <w:rFonts w:ascii="Times New Roman" w:hAnsi="Times New Roman"/>
          <w:bCs/>
          <w:sz w:val="24"/>
          <w:szCs w:val="24"/>
          <w:lang w:bidi="en-US"/>
        </w:rPr>
      </w:pPr>
      <w:r w:rsidRPr="00E7778E">
        <w:rPr>
          <w:rFonts w:ascii="Times New Roman" w:hAnsi="Times New Roman"/>
          <w:bCs/>
          <w:sz w:val="24"/>
          <w:szCs w:val="24"/>
          <w:lang w:bidi="en-US"/>
        </w:rPr>
        <w:t xml:space="preserve">Pays : PRED 2013-2014, CSCRP (2012-2017), PAG (2013-2018), PDARN, APRM </w:t>
      </w:r>
      <w:r w:rsidRPr="00E7778E">
        <w:rPr>
          <w:rFonts w:ascii="Times New Roman" w:hAnsi="Times New Roman"/>
          <w:bCs/>
          <w:sz w:val="24"/>
          <w:szCs w:val="24"/>
        </w:rPr>
        <w:t>Juin</w:t>
      </w:r>
      <w:r w:rsidRPr="00E7778E">
        <w:rPr>
          <w:rFonts w:ascii="Times New Roman" w:hAnsi="Times New Roman"/>
          <w:bCs/>
          <w:sz w:val="24"/>
          <w:szCs w:val="24"/>
          <w:lang w:bidi="en-US"/>
        </w:rPr>
        <w:t xml:space="preserve"> 2014, CREDD 2016-2018</w:t>
      </w:r>
    </w:p>
    <w:p w14:paraId="6AD5E45A" w14:textId="77777777" w:rsidR="001B1A2B" w:rsidRPr="00E7778E" w:rsidRDefault="001B1A2B" w:rsidP="00D76EFA">
      <w:pPr>
        <w:numPr>
          <w:ilvl w:val="0"/>
          <w:numId w:val="15"/>
        </w:numPr>
        <w:spacing w:after="0" w:line="240" w:lineRule="auto"/>
        <w:jc w:val="both"/>
        <w:rPr>
          <w:rFonts w:ascii="Times New Roman" w:hAnsi="Times New Roman"/>
          <w:bCs/>
          <w:sz w:val="24"/>
          <w:szCs w:val="24"/>
        </w:rPr>
      </w:pPr>
      <w:r w:rsidRPr="00E7778E">
        <w:rPr>
          <w:rFonts w:ascii="Times New Roman" w:hAnsi="Times New Roman"/>
          <w:bCs/>
          <w:sz w:val="24"/>
          <w:szCs w:val="24"/>
        </w:rPr>
        <w:t>SNU : PNUAD</w:t>
      </w:r>
    </w:p>
    <w:p w14:paraId="2AA63FE4" w14:textId="77777777" w:rsidR="001B1A2B" w:rsidRPr="00E7778E" w:rsidRDefault="001B1A2B" w:rsidP="00D76EFA">
      <w:pPr>
        <w:numPr>
          <w:ilvl w:val="0"/>
          <w:numId w:val="15"/>
        </w:numPr>
        <w:spacing w:after="0" w:line="240" w:lineRule="auto"/>
        <w:jc w:val="both"/>
        <w:rPr>
          <w:rFonts w:ascii="Times New Roman" w:hAnsi="Times New Roman"/>
          <w:bCs/>
          <w:sz w:val="24"/>
          <w:szCs w:val="24"/>
        </w:rPr>
      </w:pPr>
      <w:r w:rsidRPr="00E7778E">
        <w:rPr>
          <w:rFonts w:ascii="Times New Roman" w:hAnsi="Times New Roman"/>
          <w:bCs/>
          <w:sz w:val="24"/>
          <w:szCs w:val="24"/>
        </w:rPr>
        <w:t>Plan Stratégique PNUD</w:t>
      </w:r>
    </w:p>
    <w:p w14:paraId="46EDD695" w14:textId="77777777" w:rsidR="001B1A2B" w:rsidRPr="00E7778E" w:rsidRDefault="001B1A2B" w:rsidP="00D76EFA">
      <w:pPr>
        <w:numPr>
          <w:ilvl w:val="0"/>
          <w:numId w:val="21"/>
        </w:numPr>
        <w:spacing w:after="0" w:line="240" w:lineRule="auto"/>
        <w:jc w:val="both"/>
        <w:rPr>
          <w:rFonts w:ascii="Times New Roman" w:hAnsi="Times New Roman"/>
          <w:b/>
          <w:bCs/>
          <w:sz w:val="24"/>
          <w:szCs w:val="24"/>
        </w:rPr>
      </w:pPr>
      <w:r w:rsidRPr="00E7778E">
        <w:rPr>
          <w:rFonts w:ascii="Times New Roman" w:hAnsi="Times New Roman"/>
          <w:b/>
          <w:bCs/>
          <w:sz w:val="24"/>
          <w:szCs w:val="24"/>
        </w:rPr>
        <w:t>Documents du Programme</w:t>
      </w:r>
    </w:p>
    <w:p w14:paraId="2D4DFA48" w14:textId="77777777" w:rsidR="001B1A2B" w:rsidRPr="00E7778E" w:rsidRDefault="001B1A2B" w:rsidP="00D76EFA">
      <w:pPr>
        <w:numPr>
          <w:ilvl w:val="0"/>
          <w:numId w:val="16"/>
        </w:numPr>
        <w:spacing w:after="0" w:line="240" w:lineRule="auto"/>
        <w:jc w:val="both"/>
        <w:rPr>
          <w:rFonts w:ascii="Times New Roman" w:hAnsi="Times New Roman"/>
          <w:bCs/>
          <w:sz w:val="24"/>
          <w:szCs w:val="24"/>
        </w:rPr>
      </w:pPr>
      <w:r w:rsidRPr="00E7778E">
        <w:rPr>
          <w:rFonts w:ascii="Times New Roman" w:hAnsi="Times New Roman"/>
          <w:bCs/>
          <w:sz w:val="24"/>
          <w:szCs w:val="24"/>
        </w:rPr>
        <w:t>Documents de programmation :</w:t>
      </w:r>
    </w:p>
    <w:p w14:paraId="23876211" w14:textId="77777777" w:rsidR="001B1A2B" w:rsidRPr="00E7778E" w:rsidRDefault="001B1A2B" w:rsidP="00D76EFA">
      <w:pPr>
        <w:numPr>
          <w:ilvl w:val="0"/>
          <w:numId w:val="17"/>
        </w:numPr>
        <w:spacing w:after="0" w:line="240" w:lineRule="auto"/>
        <w:jc w:val="both"/>
        <w:rPr>
          <w:rFonts w:ascii="Times New Roman" w:hAnsi="Times New Roman"/>
          <w:bCs/>
          <w:sz w:val="24"/>
          <w:szCs w:val="24"/>
        </w:rPr>
      </w:pPr>
      <w:r w:rsidRPr="00E7778E">
        <w:rPr>
          <w:rFonts w:ascii="Times New Roman" w:hAnsi="Times New Roman"/>
          <w:bCs/>
          <w:sz w:val="24"/>
          <w:szCs w:val="24"/>
        </w:rPr>
        <w:t>Programme pays 2015-2019</w:t>
      </w:r>
    </w:p>
    <w:p w14:paraId="1BC9EBB6" w14:textId="77777777" w:rsidR="001B1A2B" w:rsidRPr="00E7778E" w:rsidRDefault="001B1A2B" w:rsidP="00D76EFA">
      <w:pPr>
        <w:numPr>
          <w:ilvl w:val="0"/>
          <w:numId w:val="17"/>
        </w:numPr>
        <w:spacing w:after="0" w:line="240" w:lineRule="auto"/>
        <w:jc w:val="both"/>
        <w:rPr>
          <w:rFonts w:ascii="Times New Roman" w:hAnsi="Times New Roman"/>
          <w:bCs/>
          <w:sz w:val="24"/>
          <w:szCs w:val="24"/>
        </w:rPr>
      </w:pPr>
      <w:r w:rsidRPr="00E7778E">
        <w:rPr>
          <w:rFonts w:ascii="Times New Roman" w:hAnsi="Times New Roman"/>
          <w:bCs/>
          <w:sz w:val="24"/>
          <w:szCs w:val="24"/>
        </w:rPr>
        <w:t>Documents et PTA des projets</w:t>
      </w:r>
    </w:p>
    <w:p w14:paraId="2C646E2C" w14:textId="77777777" w:rsidR="001B1A2B" w:rsidRPr="00E7778E" w:rsidRDefault="001B1A2B" w:rsidP="00D76EFA">
      <w:pPr>
        <w:numPr>
          <w:ilvl w:val="0"/>
          <w:numId w:val="18"/>
        </w:numPr>
        <w:spacing w:after="0" w:line="240" w:lineRule="auto"/>
        <w:jc w:val="both"/>
        <w:rPr>
          <w:rFonts w:ascii="Times New Roman" w:hAnsi="Times New Roman"/>
          <w:bCs/>
          <w:sz w:val="24"/>
          <w:szCs w:val="24"/>
        </w:rPr>
      </w:pPr>
      <w:r w:rsidRPr="00E7778E">
        <w:rPr>
          <w:rFonts w:ascii="Times New Roman" w:hAnsi="Times New Roman"/>
          <w:bCs/>
          <w:sz w:val="24"/>
          <w:szCs w:val="24"/>
        </w:rPr>
        <w:t>Documents d’exécution</w:t>
      </w:r>
    </w:p>
    <w:p w14:paraId="23E36BA6" w14:textId="77777777" w:rsidR="001B1A2B" w:rsidRPr="00E7778E" w:rsidRDefault="001B1A2B" w:rsidP="00D76EFA">
      <w:pPr>
        <w:numPr>
          <w:ilvl w:val="0"/>
          <w:numId w:val="20"/>
        </w:numPr>
        <w:spacing w:after="0" w:line="240" w:lineRule="auto"/>
        <w:jc w:val="both"/>
        <w:rPr>
          <w:rFonts w:ascii="Times New Roman" w:hAnsi="Times New Roman"/>
          <w:bCs/>
          <w:sz w:val="24"/>
          <w:szCs w:val="24"/>
        </w:rPr>
      </w:pPr>
      <w:r w:rsidRPr="00E7778E">
        <w:rPr>
          <w:rFonts w:ascii="Times New Roman" w:hAnsi="Times New Roman"/>
          <w:bCs/>
          <w:sz w:val="24"/>
          <w:szCs w:val="24"/>
        </w:rPr>
        <w:t>Rapports ROAR</w:t>
      </w:r>
    </w:p>
    <w:p w14:paraId="66A574BA" w14:textId="77777777" w:rsidR="001B1A2B" w:rsidRPr="00E7778E" w:rsidRDefault="001B1A2B" w:rsidP="00D76EFA">
      <w:pPr>
        <w:numPr>
          <w:ilvl w:val="0"/>
          <w:numId w:val="19"/>
        </w:numPr>
        <w:spacing w:after="0" w:line="240" w:lineRule="auto"/>
        <w:jc w:val="both"/>
        <w:rPr>
          <w:rFonts w:ascii="Times New Roman" w:hAnsi="Times New Roman"/>
          <w:bCs/>
          <w:sz w:val="24"/>
          <w:szCs w:val="24"/>
        </w:rPr>
      </w:pPr>
      <w:r w:rsidRPr="00E7778E">
        <w:rPr>
          <w:rFonts w:ascii="Times New Roman" w:hAnsi="Times New Roman"/>
          <w:bCs/>
          <w:sz w:val="24"/>
          <w:szCs w:val="24"/>
        </w:rPr>
        <w:t>Rapports annuels de progrès des différents projets</w:t>
      </w:r>
    </w:p>
    <w:p w14:paraId="747BF0F6" w14:textId="77777777" w:rsidR="001B1A2B" w:rsidRPr="00E7778E" w:rsidRDefault="001B1A2B" w:rsidP="00D76EFA">
      <w:pPr>
        <w:numPr>
          <w:ilvl w:val="0"/>
          <w:numId w:val="19"/>
        </w:numPr>
        <w:spacing w:after="0" w:line="240" w:lineRule="auto"/>
        <w:jc w:val="both"/>
        <w:rPr>
          <w:rFonts w:ascii="Times New Roman" w:hAnsi="Times New Roman"/>
          <w:bCs/>
          <w:sz w:val="24"/>
          <w:szCs w:val="24"/>
        </w:rPr>
      </w:pPr>
      <w:r w:rsidRPr="00E7778E">
        <w:rPr>
          <w:rFonts w:ascii="Times New Roman" w:hAnsi="Times New Roman"/>
          <w:bCs/>
          <w:sz w:val="24"/>
          <w:szCs w:val="24"/>
        </w:rPr>
        <w:t>Rapports d’évaluation de projets</w:t>
      </w:r>
    </w:p>
    <w:p w14:paraId="51D81510" w14:textId="77777777" w:rsidR="001B1A2B" w:rsidRPr="00E7778E" w:rsidRDefault="001B1A2B" w:rsidP="001B1A2B">
      <w:pPr>
        <w:spacing w:after="0" w:line="240" w:lineRule="auto"/>
        <w:jc w:val="both"/>
        <w:rPr>
          <w:rFonts w:ascii="Times New Roman" w:hAnsi="Times New Roman"/>
          <w:bCs/>
          <w:sz w:val="24"/>
          <w:szCs w:val="24"/>
        </w:rPr>
      </w:pPr>
    </w:p>
    <w:p w14:paraId="69ACDEDA" w14:textId="77777777" w:rsidR="00BA3DC6" w:rsidRPr="00E7778E" w:rsidRDefault="002017E6" w:rsidP="00B96F0F">
      <w:pPr>
        <w:spacing w:after="0" w:line="240" w:lineRule="auto"/>
        <w:jc w:val="both"/>
        <w:rPr>
          <w:rFonts w:ascii="Times New Roman" w:hAnsi="Times New Roman"/>
          <w:bCs/>
          <w:sz w:val="24"/>
          <w:szCs w:val="24"/>
        </w:rPr>
      </w:pPr>
      <w:r w:rsidRPr="00E7778E">
        <w:rPr>
          <w:rFonts w:ascii="Times New Roman" w:hAnsi="Times New Roman"/>
          <w:bCs/>
          <w:sz w:val="24"/>
          <w:szCs w:val="24"/>
        </w:rPr>
        <w:t>8</w:t>
      </w:r>
      <w:r w:rsidR="00BA3DC6" w:rsidRPr="00E7778E">
        <w:rPr>
          <w:rFonts w:ascii="Times New Roman" w:hAnsi="Times New Roman"/>
          <w:bCs/>
          <w:sz w:val="24"/>
          <w:szCs w:val="24"/>
        </w:rPr>
        <w:t>.</w:t>
      </w:r>
      <w:r w:rsidR="00BA3DC6" w:rsidRPr="00E7778E">
        <w:rPr>
          <w:rFonts w:ascii="Times New Roman" w:hAnsi="Times New Roman"/>
          <w:bCs/>
          <w:sz w:val="24"/>
          <w:szCs w:val="24"/>
        </w:rPr>
        <w:tab/>
        <w:t>L</w:t>
      </w:r>
      <w:r w:rsidR="005F4C9A" w:rsidRPr="00E7778E">
        <w:rPr>
          <w:rFonts w:ascii="Times New Roman" w:hAnsi="Times New Roman"/>
          <w:bCs/>
          <w:sz w:val="24"/>
          <w:szCs w:val="24"/>
        </w:rPr>
        <w:t>’exploitation des documents</w:t>
      </w:r>
      <w:r w:rsidR="00BA3DC6" w:rsidRPr="00E7778E">
        <w:rPr>
          <w:rFonts w:ascii="Times New Roman" w:hAnsi="Times New Roman"/>
          <w:bCs/>
          <w:sz w:val="24"/>
          <w:szCs w:val="24"/>
        </w:rPr>
        <w:t xml:space="preserve"> a permis de construire une première visibilité sur la programmation et son opérationnalisation. Elle a conduit à affiner la méthodologie et les outils d’évaluation const</w:t>
      </w:r>
      <w:r w:rsidR="00EF5143" w:rsidRPr="00E7778E">
        <w:rPr>
          <w:rFonts w:ascii="Times New Roman" w:hAnsi="Times New Roman"/>
          <w:bCs/>
          <w:sz w:val="24"/>
          <w:szCs w:val="24"/>
        </w:rPr>
        <w:t>itutifs</w:t>
      </w:r>
      <w:r w:rsidR="001B1A2B" w:rsidRPr="00E7778E">
        <w:rPr>
          <w:rFonts w:ascii="Times New Roman" w:hAnsi="Times New Roman"/>
          <w:bCs/>
          <w:sz w:val="24"/>
          <w:szCs w:val="24"/>
        </w:rPr>
        <w:t xml:space="preserve">, le tout acté dans un </w:t>
      </w:r>
      <w:r w:rsidR="00EF5143" w:rsidRPr="00E7778E">
        <w:rPr>
          <w:rFonts w:ascii="Times New Roman" w:hAnsi="Times New Roman"/>
          <w:bCs/>
          <w:sz w:val="24"/>
          <w:szCs w:val="24"/>
        </w:rPr>
        <w:t xml:space="preserve">Rapport initial </w:t>
      </w:r>
      <w:r w:rsidR="001B1A2B" w:rsidRPr="00E7778E">
        <w:rPr>
          <w:rFonts w:ascii="Times New Roman" w:hAnsi="Times New Roman"/>
          <w:bCs/>
          <w:sz w:val="24"/>
          <w:szCs w:val="24"/>
        </w:rPr>
        <w:t xml:space="preserve">qui est le premier livrable </w:t>
      </w:r>
      <w:r w:rsidR="00EF5143" w:rsidRPr="00E7778E">
        <w:rPr>
          <w:rFonts w:ascii="Times New Roman" w:hAnsi="Times New Roman"/>
          <w:bCs/>
          <w:sz w:val="24"/>
          <w:szCs w:val="24"/>
        </w:rPr>
        <w:t>de</w:t>
      </w:r>
      <w:r w:rsidR="00BA3DC6" w:rsidRPr="00E7778E">
        <w:rPr>
          <w:rFonts w:ascii="Times New Roman" w:hAnsi="Times New Roman"/>
          <w:bCs/>
          <w:sz w:val="24"/>
          <w:szCs w:val="24"/>
        </w:rPr>
        <w:t xml:space="preserve"> </w:t>
      </w:r>
      <w:r w:rsidR="001B1A2B" w:rsidRPr="00E7778E">
        <w:rPr>
          <w:rFonts w:ascii="Times New Roman" w:hAnsi="Times New Roman"/>
          <w:bCs/>
          <w:sz w:val="24"/>
          <w:szCs w:val="24"/>
        </w:rPr>
        <w:t xml:space="preserve">la </w:t>
      </w:r>
      <w:r w:rsidR="00BA3DC6" w:rsidRPr="00E7778E">
        <w:rPr>
          <w:rFonts w:ascii="Times New Roman" w:hAnsi="Times New Roman"/>
          <w:bCs/>
          <w:sz w:val="24"/>
          <w:szCs w:val="24"/>
        </w:rPr>
        <w:t>mission.</w:t>
      </w:r>
    </w:p>
    <w:p w14:paraId="27EE3B72" w14:textId="77777777" w:rsidR="00BA3DC6" w:rsidRPr="00E7778E" w:rsidRDefault="00BA3DC6" w:rsidP="00B96F0F">
      <w:pPr>
        <w:spacing w:after="0" w:line="240" w:lineRule="auto"/>
        <w:jc w:val="both"/>
        <w:rPr>
          <w:rFonts w:ascii="Times New Roman" w:hAnsi="Times New Roman"/>
          <w:bCs/>
          <w:sz w:val="14"/>
          <w:szCs w:val="14"/>
        </w:rPr>
      </w:pPr>
    </w:p>
    <w:p w14:paraId="796B4D9E" w14:textId="77777777" w:rsidR="00BA3DC6" w:rsidRPr="00E7778E" w:rsidRDefault="00BA3DC6" w:rsidP="00B026AE">
      <w:pPr>
        <w:pStyle w:val="Titre3"/>
        <w:numPr>
          <w:ilvl w:val="1"/>
          <w:numId w:val="3"/>
        </w:numPr>
        <w:spacing w:before="0" w:line="240" w:lineRule="auto"/>
        <w:rPr>
          <w:rFonts w:ascii="Times New Roman" w:hAnsi="Times New Roman"/>
          <w:color w:val="auto"/>
          <w:sz w:val="24"/>
          <w:szCs w:val="24"/>
        </w:rPr>
      </w:pPr>
      <w:bookmarkStart w:id="39" w:name="_Toc348488284"/>
      <w:bookmarkStart w:id="40" w:name="_Toc355533887"/>
      <w:bookmarkStart w:id="41" w:name="_Toc499211581"/>
      <w:bookmarkStart w:id="42" w:name="_Toc499213854"/>
      <w:r w:rsidRPr="00E7778E">
        <w:rPr>
          <w:rFonts w:ascii="Times New Roman" w:hAnsi="Times New Roman"/>
          <w:color w:val="auto"/>
          <w:sz w:val="24"/>
          <w:szCs w:val="24"/>
        </w:rPr>
        <w:t>Entretiens</w:t>
      </w:r>
      <w:bookmarkEnd w:id="39"/>
      <w:bookmarkEnd w:id="40"/>
      <w:bookmarkEnd w:id="41"/>
      <w:bookmarkEnd w:id="42"/>
    </w:p>
    <w:p w14:paraId="248D91FF" w14:textId="77777777" w:rsidR="00BA3DC6" w:rsidRPr="00E7778E" w:rsidRDefault="00BA3DC6" w:rsidP="00B96F0F">
      <w:pPr>
        <w:spacing w:after="0" w:line="240" w:lineRule="auto"/>
        <w:jc w:val="both"/>
        <w:rPr>
          <w:rFonts w:ascii="Times New Roman" w:hAnsi="Times New Roman"/>
          <w:bCs/>
          <w:sz w:val="14"/>
          <w:szCs w:val="14"/>
        </w:rPr>
      </w:pPr>
    </w:p>
    <w:p w14:paraId="6626B72E" w14:textId="77777777" w:rsidR="00BA3DC6" w:rsidRPr="00E7778E" w:rsidRDefault="002017E6" w:rsidP="00B96F0F">
      <w:pPr>
        <w:spacing w:after="0" w:line="240" w:lineRule="auto"/>
        <w:jc w:val="both"/>
        <w:rPr>
          <w:rFonts w:ascii="Times New Roman" w:hAnsi="Times New Roman"/>
          <w:bCs/>
          <w:sz w:val="24"/>
          <w:szCs w:val="24"/>
        </w:rPr>
      </w:pPr>
      <w:r w:rsidRPr="00E7778E">
        <w:rPr>
          <w:rFonts w:ascii="Times New Roman" w:hAnsi="Times New Roman"/>
          <w:bCs/>
          <w:sz w:val="24"/>
          <w:szCs w:val="24"/>
        </w:rPr>
        <w:t>9</w:t>
      </w:r>
      <w:r w:rsidR="00BA3DC6" w:rsidRPr="00E7778E">
        <w:rPr>
          <w:rFonts w:ascii="Times New Roman" w:hAnsi="Times New Roman"/>
          <w:bCs/>
          <w:sz w:val="24"/>
          <w:szCs w:val="24"/>
        </w:rPr>
        <w:t>.</w:t>
      </w:r>
      <w:r w:rsidR="00BA3DC6" w:rsidRPr="00E7778E">
        <w:rPr>
          <w:rFonts w:ascii="Times New Roman" w:hAnsi="Times New Roman"/>
          <w:bCs/>
          <w:sz w:val="24"/>
          <w:szCs w:val="24"/>
        </w:rPr>
        <w:tab/>
        <w:t>Les entretiens ont concerné </w:t>
      </w:r>
      <w:r w:rsidR="001B1A2B" w:rsidRPr="00E7778E">
        <w:rPr>
          <w:rFonts w:ascii="Times New Roman" w:hAnsi="Times New Roman"/>
          <w:bCs/>
          <w:sz w:val="24"/>
          <w:szCs w:val="24"/>
        </w:rPr>
        <w:t>les</w:t>
      </w:r>
      <w:r w:rsidR="00BA3DC6" w:rsidRPr="00E7778E">
        <w:rPr>
          <w:rFonts w:ascii="Times New Roman" w:hAnsi="Times New Roman"/>
          <w:bCs/>
          <w:sz w:val="24"/>
          <w:szCs w:val="24"/>
        </w:rPr>
        <w:t xml:space="preserve"> groupes d’acteurs </w:t>
      </w:r>
      <w:r w:rsidR="001B1A2B" w:rsidRPr="00E7778E">
        <w:rPr>
          <w:rFonts w:ascii="Times New Roman" w:hAnsi="Times New Roman"/>
          <w:bCs/>
          <w:sz w:val="24"/>
          <w:szCs w:val="24"/>
        </w:rPr>
        <w:t xml:space="preserve">suivants, </w:t>
      </w:r>
      <w:r w:rsidR="00BA3DC6" w:rsidRPr="00E7778E">
        <w:rPr>
          <w:rFonts w:ascii="Times New Roman" w:hAnsi="Times New Roman"/>
          <w:bCs/>
          <w:sz w:val="24"/>
          <w:szCs w:val="24"/>
        </w:rPr>
        <w:t xml:space="preserve">répartis </w:t>
      </w:r>
      <w:r w:rsidR="001B1A2B" w:rsidRPr="00E7778E">
        <w:rPr>
          <w:rFonts w:ascii="Times New Roman" w:hAnsi="Times New Roman"/>
          <w:bCs/>
          <w:sz w:val="24"/>
          <w:szCs w:val="24"/>
        </w:rPr>
        <w:t xml:space="preserve">entre </w:t>
      </w:r>
      <w:r w:rsidR="00BA3DC6" w:rsidRPr="00E7778E">
        <w:rPr>
          <w:rFonts w:ascii="Times New Roman" w:hAnsi="Times New Roman"/>
          <w:bCs/>
          <w:sz w:val="24"/>
          <w:szCs w:val="24"/>
        </w:rPr>
        <w:t>d</w:t>
      </w:r>
      <w:r w:rsidR="001B1A2B" w:rsidRPr="00E7778E">
        <w:rPr>
          <w:rFonts w:ascii="Times New Roman" w:hAnsi="Times New Roman"/>
          <w:bCs/>
          <w:sz w:val="24"/>
          <w:szCs w:val="24"/>
        </w:rPr>
        <w:t xml:space="preserve">ivers statuts et </w:t>
      </w:r>
      <w:r w:rsidR="00BA3DC6" w:rsidRPr="00E7778E">
        <w:rPr>
          <w:rFonts w:ascii="Times New Roman" w:hAnsi="Times New Roman"/>
          <w:bCs/>
          <w:sz w:val="24"/>
          <w:szCs w:val="24"/>
        </w:rPr>
        <w:t>institutions :</w:t>
      </w:r>
    </w:p>
    <w:p w14:paraId="764E4DDA" w14:textId="77777777" w:rsidR="00BA3DC6" w:rsidRPr="00E7778E" w:rsidRDefault="00BA3DC6" w:rsidP="00B96F0F">
      <w:pPr>
        <w:spacing w:after="0" w:line="240" w:lineRule="auto"/>
        <w:jc w:val="both"/>
        <w:rPr>
          <w:rFonts w:ascii="Times New Roman" w:hAnsi="Times New Roman"/>
          <w:bCs/>
          <w:sz w:val="14"/>
          <w:szCs w:val="14"/>
        </w:rPr>
      </w:pPr>
    </w:p>
    <w:p w14:paraId="350DA4D9" w14:textId="77777777" w:rsidR="001B1A2B" w:rsidRPr="00E7778E" w:rsidRDefault="00BA3DC6" w:rsidP="00B026AE">
      <w:pPr>
        <w:numPr>
          <w:ilvl w:val="0"/>
          <w:numId w:val="1"/>
        </w:numPr>
        <w:spacing w:after="0" w:line="240" w:lineRule="auto"/>
        <w:jc w:val="both"/>
        <w:rPr>
          <w:rFonts w:ascii="Times New Roman" w:hAnsi="Times New Roman"/>
          <w:bCs/>
          <w:sz w:val="24"/>
          <w:szCs w:val="24"/>
        </w:rPr>
      </w:pPr>
      <w:r w:rsidRPr="00E7778E">
        <w:rPr>
          <w:rFonts w:ascii="Times New Roman" w:hAnsi="Times New Roman"/>
          <w:bCs/>
          <w:sz w:val="24"/>
          <w:szCs w:val="24"/>
        </w:rPr>
        <w:t xml:space="preserve">PNUD et autres </w:t>
      </w:r>
      <w:r w:rsidR="001B1A2B" w:rsidRPr="00E7778E">
        <w:rPr>
          <w:rFonts w:ascii="Times New Roman" w:hAnsi="Times New Roman"/>
          <w:bCs/>
          <w:sz w:val="24"/>
          <w:szCs w:val="24"/>
        </w:rPr>
        <w:t>agences du SNU</w:t>
      </w:r>
    </w:p>
    <w:p w14:paraId="6779EE06" w14:textId="77777777" w:rsidR="00BA3DC6" w:rsidRPr="00E7778E" w:rsidRDefault="00BA3DC6" w:rsidP="00B026AE">
      <w:pPr>
        <w:numPr>
          <w:ilvl w:val="0"/>
          <w:numId w:val="1"/>
        </w:numPr>
        <w:spacing w:after="0" w:line="240" w:lineRule="auto"/>
        <w:jc w:val="both"/>
        <w:rPr>
          <w:rFonts w:ascii="Times New Roman" w:hAnsi="Times New Roman"/>
          <w:bCs/>
          <w:sz w:val="24"/>
          <w:szCs w:val="24"/>
        </w:rPr>
      </w:pPr>
      <w:r w:rsidRPr="00E7778E">
        <w:rPr>
          <w:rFonts w:ascii="Times New Roman" w:hAnsi="Times New Roman"/>
          <w:bCs/>
          <w:sz w:val="24"/>
          <w:szCs w:val="24"/>
        </w:rPr>
        <w:t>P</w:t>
      </w:r>
      <w:r w:rsidR="001B1A2B" w:rsidRPr="00E7778E">
        <w:rPr>
          <w:rFonts w:ascii="Times New Roman" w:hAnsi="Times New Roman"/>
          <w:bCs/>
          <w:sz w:val="24"/>
          <w:szCs w:val="24"/>
        </w:rPr>
        <w:t xml:space="preserve">artenaires </w:t>
      </w:r>
      <w:r w:rsidRPr="00E7778E">
        <w:rPr>
          <w:rFonts w:ascii="Times New Roman" w:hAnsi="Times New Roman"/>
          <w:bCs/>
          <w:sz w:val="24"/>
          <w:szCs w:val="24"/>
        </w:rPr>
        <w:t>T</w:t>
      </w:r>
      <w:r w:rsidR="001B1A2B" w:rsidRPr="00E7778E">
        <w:rPr>
          <w:rFonts w:ascii="Times New Roman" w:hAnsi="Times New Roman"/>
          <w:bCs/>
          <w:sz w:val="24"/>
          <w:szCs w:val="24"/>
        </w:rPr>
        <w:t xml:space="preserve">echniques et </w:t>
      </w:r>
      <w:r w:rsidRPr="00E7778E">
        <w:rPr>
          <w:rFonts w:ascii="Times New Roman" w:hAnsi="Times New Roman"/>
          <w:bCs/>
          <w:sz w:val="24"/>
          <w:szCs w:val="24"/>
        </w:rPr>
        <w:t>F</w:t>
      </w:r>
      <w:r w:rsidR="001B1A2B" w:rsidRPr="00E7778E">
        <w:rPr>
          <w:rFonts w:ascii="Times New Roman" w:hAnsi="Times New Roman"/>
          <w:bCs/>
          <w:sz w:val="24"/>
          <w:szCs w:val="24"/>
        </w:rPr>
        <w:t>inanciers</w:t>
      </w:r>
    </w:p>
    <w:p w14:paraId="4BAD4A2D" w14:textId="77777777" w:rsidR="00BA3DC6" w:rsidRPr="00E7778E" w:rsidRDefault="00BA3DC6" w:rsidP="00B026AE">
      <w:pPr>
        <w:numPr>
          <w:ilvl w:val="0"/>
          <w:numId w:val="1"/>
        </w:numPr>
        <w:spacing w:after="0" w:line="240" w:lineRule="auto"/>
        <w:jc w:val="both"/>
        <w:rPr>
          <w:rFonts w:ascii="Times New Roman" w:hAnsi="Times New Roman"/>
          <w:bCs/>
          <w:sz w:val="24"/>
          <w:szCs w:val="24"/>
        </w:rPr>
      </w:pPr>
      <w:r w:rsidRPr="00E7778E">
        <w:rPr>
          <w:rFonts w:ascii="Times New Roman" w:hAnsi="Times New Roman"/>
          <w:bCs/>
          <w:sz w:val="24"/>
          <w:szCs w:val="24"/>
        </w:rPr>
        <w:t>Partenaires Etatiques</w:t>
      </w:r>
    </w:p>
    <w:p w14:paraId="52036CB3" w14:textId="77777777" w:rsidR="00BA3DC6" w:rsidRPr="00E7778E" w:rsidRDefault="00BA3DC6" w:rsidP="00B026AE">
      <w:pPr>
        <w:numPr>
          <w:ilvl w:val="0"/>
          <w:numId w:val="1"/>
        </w:numPr>
        <w:spacing w:after="0" w:line="240" w:lineRule="auto"/>
        <w:jc w:val="both"/>
        <w:rPr>
          <w:rFonts w:ascii="Times New Roman" w:hAnsi="Times New Roman"/>
          <w:bCs/>
          <w:sz w:val="24"/>
          <w:szCs w:val="24"/>
        </w:rPr>
      </w:pPr>
      <w:r w:rsidRPr="00E7778E">
        <w:rPr>
          <w:rFonts w:ascii="Times New Roman" w:hAnsi="Times New Roman"/>
          <w:bCs/>
          <w:sz w:val="24"/>
          <w:szCs w:val="24"/>
        </w:rPr>
        <w:t>Organisations de la Société civile</w:t>
      </w:r>
    </w:p>
    <w:p w14:paraId="686DEC63" w14:textId="77777777" w:rsidR="00BA3DC6" w:rsidRPr="00E7778E" w:rsidRDefault="00BA3DC6" w:rsidP="00B026AE">
      <w:pPr>
        <w:numPr>
          <w:ilvl w:val="0"/>
          <w:numId w:val="1"/>
        </w:numPr>
        <w:spacing w:after="0" w:line="240" w:lineRule="auto"/>
        <w:jc w:val="both"/>
        <w:rPr>
          <w:rFonts w:ascii="Times New Roman" w:hAnsi="Times New Roman"/>
          <w:bCs/>
          <w:sz w:val="24"/>
          <w:szCs w:val="24"/>
        </w:rPr>
      </w:pPr>
      <w:r w:rsidRPr="00E7778E">
        <w:rPr>
          <w:rFonts w:ascii="Times New Roman" w:hAnsi="Times New Roman"/>
          <w:bCs/>
          <w:sz w:val="24"/>
          <w:szCs w:val="24"/>
        </w:rPr>
        <w:t xml:space="preserve">Bénéficiaires directs des interventions </w:t>
      </w:r>
    </w:p>
    <w:p w14:paraId="5C12783E" w14:textId="77777777" w:rsidR="00BA3DC6" w:rsidRPr="00E7778E" w:rsidRDefault="00BA3DC6" w:rsidP="00B96F0F">
      <w:pPr>
        <w:pStyle w:val="Titre2"/>
        <w:spacing w:before="0"/>
        <w:rPr>
          <w:rFonts w:ascii="Times New Roman" w:eastAsia="Calibri" w:hAnsi="Times New Roman"/>
          <w:color w:val="auto"/>
          <w:sz w:val="24"/>
          <w:szCs w:val="24"/>
        </w:rPr>
      </w:pPr>
      <w:bookmarkStart w:id="43" w:name="_Toc428889268"/>
    </w:p>
    <w:p w14:paraId="4B9BBA0A" w14:textId="77777777" w:rsidR="00BA3DC6" w:rsidRPr="00E7778E" w:rsidRDefault="00BA3DC6" w:rsidP="00B026AE">
      <w:pPr>
        <w:pStyle w:val="Titre2"/>
        <w:numPr>
          <w:ilvl w:val="1"/>
          <w:numId w:val="3"/>
        </w:numPr>
        <w:spacing w:before="0"/>
        <w:rPr>
          <w:rFonts w:ascii="Times New Roman" w:eastAsia="Calibri" w:hAnsi="Times New Roman"/>
          <w:color w:val="auto"/>
          <w:sz w:val="24"/>
          <w:szCs w:val="24"/>
        </w:rPr>
      </w:pPr>
      <w:bookmarkStart w:id="44" w:name="_Toc499211582"/>
      <w:bookmarkStart w:id="45" w:name="_Toc499213855"/>
      <w:r w:rsidRPr="00E7778E">
        <w:rPr>
          <w:rFonts w:ascii="Times New Roman" w:eastAsia="Calibri" w:hAnsi="Times New Roman"/>
          <w:color w:val="auto"/>
          <w:sz w:val="24"/>
          <w:szCs w:val="24"/>
        </w:rPr>
        <w:t>Echantillonnage</w:t>
      </w:r>
      <w:bookmarkEnd w:id="43"/>
      <w:bookmarkEnd w:id="44"/>
      <w:bookmarkEnd w:id="45"/>
    </w:p>
    <w:p w14:paraId="303CF178" w14:textId="77777777" w:rsidR="00BA3DC6" w:rsidRPr="00E7778E" w:rsidRDefault="00BA3DC6" w:rsidP="00B96F0F">
      <w:pPr>
        <w:spacing w:after="0" w:line="240" w:lineRule="auto"/>
        <w:jc w:val="both"/>
        <w:rPr>
          <w:rFonts w:ascii="Times New Roman" w:hAnsi="Times New Roman"/>
          <w:sz w:val="24"/>
          <w:szCs w:val="24"/>
        </w:rPr>
      </w:pPr>
    </w:p>
    <w:p w14:paraId="2D084849" w14:textId="77777777" w:rsidR="00BA3DC6" w:rsidRPr="00E7778E" w:rsidRDefault="002017E6" w:rsidP="00B96F0F">
      <w:pPr>
        <w:spacing w:after="0" w:line="240" w:lineRule="auto"/>
        <w:jc w:val="both"/>
        <w:rPr>
          <w:rFonts w:ascii="Times New Roman" w:hAnsi="Times New Roman"/>
          <w:sz w:val="24"/>
          <w:szCs w:val="24"/>
        </w:rPr>
      </w:pPr>
      <w:r w:rsidRPr="00E7778E">
        <w:rPr>
          <w:rFonts w:ascii="Times New Roman" w:hAnsi="Times New Roman"/>
          <w:sz w:val="24"/>
          <w:szCs w:val="24"/>
        </w:rPr>
        <w:t>10</w:t>
      </w:r>
      <w:r w:rsidR="00BA3DC6" w:rsidRPr="00E7778E">
        <w:rPr>
          <w:rFonts w:ascii="Times New Roman" w:hAnsi="Times New Roman"/>
          <w:sz w:val="24"/>
          <w:szCs w:val="24"/>
        </w:rPr>
        <w:t>.</w:t>
      </w:r>
      <w:r w:rsidR="00BA3DC6" w:rsidRPr="00E7778E">
        <w:rPr>
          <w:rFonts w:ascii="Times New Roman" w:hAnsi="Times New Roman"/>
          <w:sz w:val="24"/>
          <w:szCs w:val="24"/>
        </w:rPr>
        <w:tab/>
        <w:t xml:space="preserve">La revue documentaire a couvert l’ensemble du portefeuille attaché </w:t>
      </w:r>
      <w:r w:rsidR="00EF5143" w:rsidRPr="00E7778E">
        <w:rPr>
          <w:rFonts w:ascii="Times New Roman" w:hAnsi="Times New Roman"/>
          <w:sz w:val="24"/>
          <w:szCs w:val="24"/>
        </w:rPr>
        <w:t>au programme</w:t>
      </w:r>
      <w:r w:rsidR="00BA3DC6" w:rsidRPr="00E7778E">
        <w:rPr>
          <w:rFonts w:ascii="Times New Roman" w:hAnsi="Times New Roman"/>
          <w:sz w:val="24"/>
          <w:szCs w:val="24"/>
        </w:rPr>
        <w:t xml:space="preserve">. Les entretiens et les visites de </w:t>
      </w:r>
      <w:r w:rsidR="001B1A2B" w:rsidRPr="00E7778E">
        <w:rPr>
          <w:rFonts w:ascii="Times New Roman" w:hAnsi="Times New Roman"/>
          <w:sz w:val="24"/>
          <w:szCs w:val="24"/>
        </w:rPr>
        <w:t>réalisations</w:t>
      </w:r>
      <w:r w:rsidR="00BA3DC6" w:rsidRPr="00E7778E">
        <w:rPr>
          <w:rFonts w:ascii="Times New Roman" w:hAnsi="Times New Roman"/>
          <w:sz w:val="24"/>
          <w:szCs w:val="24"/>
        </w:rPr>
        <w:t>, en revanche, ont porté sur un échantillon</w:t>
      </w:r>
      <w:r w:rsidR="001B1A2B" w:rsidRPr="00E7778E">
        <w:rPr>
          <w:rFonts w:ascii="Times New Roman" w:hAnsi="Times New Roman"/>
          <w:sz w:val="24"/>
          <w:szCs w:val="24"/>
        </w:rPr>
        <w:t xml:space="preserve"> de personnes et d’actifs</w:t>
      </w:r>
      <w:r w:rsidR="00BA3DC6" w:rsidRPr="00E7778E">
        <w:rPr>
          <w:rFonts w:ascii="Times New Roman" w:hAnsi="Times New Roman"/>
          <w:sz w:val="24"/>
          <w:szCs w:val="24"/>
        </w:rPr>
        <w:t xml:space="preserve"> choisis, d’accord parties entre la mission et les gestionnaires de portefeuille, mais selon les critères d’inclusion ci-dessous arrêtés par les évaluateurs :</w:t>
      </w:r>
    </w:p>
    <w:p w14:paraId="31C9DB22" w14:textId="77777777" w:rsidR="00BA3DC6" w:rsidRPr="00E7778E" w:rsidRDefault="00BA3DC6" w:rsidP="00B96F0F">
      <w:pPr>
        <w:spacing w:after="0" w:line="240" w:lineRule="auto"/>
        <w:jc w:val="both"/>
        <w:rPr>
          <w:rFonts w:ascii="Times New Roman" w:hAnsi="Times New Roman"/>
          <w:sz w:val="24"/>
          <w:szCs w:val="24"/>
        </w:rPr>
      </w:pPr>
    </w:p>
    <w:p w14:paraId="27E86D30" w14:textId="77777777" w:rsidR="00BA3DC6" w:rsidRPr="00E7778E" w:rsidRDefault="00BA3DC6" w:rsidP="00B026AE">
      <w:pPr>
        <w:pStyle w:val="Paragraphedeliste"/>
        <w:numPr>
          <w:ilvl w:val="0"/>
          <w:numId w:val="8"/>
        </w:numPr>
        <w:spacing w:after="0" w:line="240" w:lineRule="auto"/>
        <w:jc w:val="both"/>
        <w:rPr>
          <w:rFonts w:ascii="Times New Roman" w:hAnsi="Times New Roman"/>
          <w:sz w:val="24"/>
          <w:szCs w:val="24"/>
        </w:rPr>
      </w:pPr>
      <w:r w:rsidRPr="00E7778E">
        <w:rPr>
          <w:rFonts w:ascii="Times New Roman" w:hAnsi="Times New Roman"/>
          <w:b/>
          <w:i/>
          <w:sz w:val="24"/>
          <w:szCs w:val="24"/>
        </w:rPr>
        <w:t>Couverture stratégique du portefeuille</w:t>
      </w:r>
      <w:r w:rsidR="005F4C9A" w:rsidRPr="00E7778E">
        <w:rPr>
          <w:rFonts w:ascii="Times New Roman" w:hAnsi="Times New Roman"/>
          <w:sz w:val="24"/>
          <w:szCs w:val="24"/>
        </w:rPr>
        <w:t xml:space="preserve"> : </w:t>
      </w:r>
      <w:r w:rsidRPr="00E7778E">
        <w:rPr>
          <w:rFonts w:ascii="Times New Roman" w:hAnsi="Times New Roman"/>
          <w:sz w:val="24"/>
          <w:szCs w:val="24"/>
        </w:rPr>
        <w:t>avoir des personnes et des interventions qui représentent les différentes composantes du</w:t>
      </w:r>
      <w:r w:rsidR="00EF5143" w:rsidRPr="00E7778E">
        <w:rPr>
          <w:rFonts w:ascii="Times New Roman" w:hAnsi="Times New Roman"/>
          <w:sz w:val="24"/>
          <w:szCs w:val="24"/>
        </w:rPr>
        <w:t xml:space="preserve"> p</w:t>
      </w:r>
      <w:r w:rsidRPr="00E7778E">
        <w:rPr>
          <w:rFonts w:ascii="Times New Roman" w:hAnsi="Times New Roman"/>
          <w:sz w:val="24"/>
          <w:szCs w:val="24"/>
        </w:rPr>
        <w:t>rogramme</w:t>
      </w:r>
    </w:p>
    <w:p w14:paraId="1AB18901" w14:textId="77777777" w:rsidR="00BA3DC6" w:rsidRPr="00E7778E" w:rsidRDefault="00BA3DC6" w:rsidP="00B026AE">
      <w:pPr>
        <w:pStyle w:val="Paragraphedeliste"/>
        <w:numPr>
          <w:ilvl w:val="0"/>
          <w:numId w:val="8"/>
        </w:numPr>
        <w:spacing w:after="0" w:line="240" w:lineRule="auto"/>
        <w:jc w:val="both"/>
        <w:rPr>
          <w:rFonts w:ascii="Times New Roman" w:hAnsi="Times New Roman"/>
          <w:sz w:val="24"/>
          <w:szCs w:val="24"/>
        </w:rPr>
      </w:pPr>
      <w:r w:rsidRPr="00E7778E">
        <w:rPr>
          <w:rFonts w:ascii="Times New Roman" w:hAnsi="Times New Roman"/>
          <w:b/>
          <w:i/>
          <w:sz w:val="24"/>
          <w:szCs w:val="24"/>
        </w:rPr>
        <w:t>Taille stratégique/volumique</w:t>
      </w:r>
      <w:r w:rsidR="005F4C9A" w:rsidRPr="00E7778E">
        <w:rPr>
          <w:rFonts w:ascii="Times New Roman" w:hAnsi="Times New Roman"/>
          <w:sz w:val="24"/>
          <w:szCs w:val="24"/>
        </w:rPr>
        <w:t xml:space="preserve"> : </w:t>
      </w:r>
      <w:r w:rsidRPr="00E7778E">
        <w:rPr>
          <w:rFonts w:ascii="Times New Roman" w:hAnsi="Times New Roman"/>
          <w:sz w:val="24"/>
          <w:szCs w:val="24"/>
        </w:rPr>
        <w:t>avoir des interventions d’une certaine significative</w:t>
      </w:r>
    </w:p>
    <w:p w14:paraId="27E1B88B" w14:textId="77777777" w:rsidR="00BA3DC6" w:rsidRPr="006B309F" w:rsidRDefault="00BA3DC6" w:rsidP="00B026AE">
      <w:pPr>
        <w:pStyle w:val="Paragraphedeliste"/>
        <w:numPr>
          <w:ilvl w:val="0"/>
          <w:numId w:val="8"/>
        </w:numPr>
        <w:spacing w:after="0" w:line="240" w:lineRule="auto"/>
        <w:jc w:val="both"/>
        <w:rPr>
          <w:rFonts w:ascii="Times New Roman" w:hAnsi="Times New Roman"/>
          <w:sz w:val="24"/>
          <w:szCs w:val="24"/>
        </w:rPr>
      </w:pPr>
      <w:r w:rsidRPr="006B309F">
        <w:rPr>
          <w:rFonts w:ascii="Times New Roman" w:hAnsi="Times New Roman"/>
          <w:b/>
          <w:i/>
          <w:sz w:val="24"/>
          <w:szCs w:val="24"/>
        </w:rPr>
        <w:t>Diversité géographique</w:t>
      </w:r>
      <w:r w:rsidR="005F4C9A" w:rsidRPr="006B309F">
        <w:rPr>
          <w:rFonts w:ascii="Times New Roman" w:hAnsi="Times New Roman"/>
          <w:sz w:val="24"/>
          <w:szCs w:val="24"/>
        </w:rPr>
        <w:t xml:space="preserve"> : </w:t>
      </w:r>
      <w:r w:rsidRPr="006B309F">
        <w:rPr>
          <w:rFonts w:ascii="Times New Roman" w:hAnsi="Times New Roman"/>
          <w:sz w:val="24"/>
          <w:szCs w:val="24"/>
        </w:rPr>
        <w:t>avoir des interventions montrant une couverture sinon exhaustive du moins divers</w:t>
      </w:r>
      <w:r w:rsidR="005F4C9A" w:rsidRPr="006B309F">
        <w:rPr>
          <w:rFonts w:ascii="Times New Roman" w:hAnsi="Times New Roman"/>
          <w:sz w:val="24"/>
          <w:szCs w:val="24"/>
        </w:rPr>
        <w:t>ifiée des zones de concentration du</w:t>
      </w:r>
      <w:r w:rsidR="00EF5143" w:rsidRPr="006B309F">
        <w:rPr>
          <w:rFonts w:ascii="Times New Roman" w:hAnsi="Times New Roman"/>
          <w:sz w:val="24"/>
          <w:szCs w:val="24"/>
        </w:rPr>
        <w:t xml:space="preserve"> </w:t>
      </w:r>
      <w:r w:rsidR="005F4C9A" w:rsidRPr="006B309F">
        <w:rPr>
          <w:rFonts w:ascii="Times New Roman" w:hAnsi="Times New Roman"/>
          <w:sz w:val="24"/>
          <w:szCs w:val="24"/>
        </w:rPr>
        <w:t>programme</w:t>
      </w:r>
    </w:p>
    <w:p w14:paraId="1971636C" w14:textId="77777777" w:rsidR="00BA3DC6" w:rsidRPr="006B309F" w:rsidRDefault="00BA3DC6" w:rsidP="00B026AE">
      <w:pPr>
        <w:pStyle w:val="Paragraphedeliste"/>
        <w:numPr>
          <w:ilvl w:val="0"/>
          <w:numId w:val="8"/>
        </w:numPr>
        <w:spacing w:after="0" w:line="240" w:lineRule="auto"/>
        <w:jc w:val="both"/>
        <w:rPr>
          <w:rFonts w:ascii="Times New Roman" w:hAnsi="Times New Roman"/>
          <w:sz w:val="24"/>
          <w:szCs w:val="24"/>
        </w:rPr>
      </w:pPr>
      <w:r w:rsidRPr="006B309F">
        <w:rPr>
          <w:rFonts w:ascii="Times New Roman" w:hAnsi="Times New Roman"/>
          <w:b/>
          <w:i/>
          <w:sz w:val="24"/>
          <w:szCs w:val="24"/>
        </w:rPr>
        <w:t>Qualité</w:t>
      </w:r>
      <w:r w:rsidR="005F4C9A" w:rsidRPr="006B309F">
        <w:rPr>
          <w:rFonts w:ascii="Times New Roman" w:hAnsi="Times New Roman"/>
          <w:sz w:val="24"/>
          <w:szCs w:val="24"/>
        </w:rPr>
        <w:t xml:space="preserve"> : </w:t>
      </w:r>
      <w:r w:rsidRPr="006B309F">
        <w:rPr>
          <w:rFonts w:ascii="Times New Roman" w:hAnsi="Times New Roman"/>
          <w:sz w:val="24"/>
          <w:szCs w:val="24"/>
        </w:rPr>
        <w:t xml:space="preserve">avoir des interventions réputées performantes et d’autres qui le seraient moins, pour permettre des apprentissages diversifiés, articulées </w:t>
      </w:r>
      <w:r w:rsidR="005F4C9A" w:rsidRPr="006B309F">
        <w:rPr>
          <w:rFonts w:ascii="Times New Roman" w:hAnsi="Times New Roman"/>
          <w:sz w:val="24"/>
          <w:szCs w:val="24"/>
        </w:rPr>
        <w:t>sur les succès et les insuccès</w:t>
      </w:r>
    </w:p>
    <w:p w14:paraId="2DFFDF2E" w14:textId="77777777" w:rsidR="00BA3DC6" w:rsidRPr="006B309F" w:rsidRDefault="00BA3DC6" w:rsidP="00B96F0F">
      <w:pPr>
        <w:spacing w:after="0" w:line="240" w:lineRule="auto"/>
        <w:jc w:val="both"/>
        <w:rPr>
          <w:rFonts w:ascii="Times New Roman" w:hAnsi="Times New Roman"/>
          <w:sz w:val="24"/>
          <w:szCs w:val="24"/>
        </w:rPr>
      </w:pPr>
    </w:p>
    <w:p w14:paraId="4C21C359" w14:textId="77777777" w:rsidR="00BA3DC6" w:rsidRPr="006B309F" w:rsidRDefault="00BA3DC6" w:rsidP="00B96F0F">
      <w:pPr>
        <w:spacing w:after="0" w:line="240" w:lineRule="auto"/>
        <w:jc w:val="both"/>
        <w:rPr>
          <w:rFonts w:ascii="Times New Roman" w:hAnsi="Times New Roman"/>
          <w:sz w:val="24"/>
          <w:szCs w:val="24"/>
        </w:rPr>
      </w:pPr>
    </w:p>
    <w:p w14:paraId="46500CCA" w14:textId="77777777" w:rsidR="00BA3DC6" w:rsidRPr="002017E6" w:rsidRDefault="00BA3DC6" w:rsidP="00B026AE">
      <w:pPr>
        <w:pStyle w:val="Titre3"/>
        <w:numPr>
          <w:ilvl w:val="1"/>
          <w:numId w:val="3"/>
        </w:numPr>
        <w:spacing w:before="0" w:line="240" w:lineRule="auto"/>
        <w:rPr>
          <w:rFonts w:ascii="Times New Roman" w:hAnsi="Times New Roman"/>
          <w:color w:val="auto"/>
          <w:sz w:val="24"/>
          <w:szCs w:val="24"/>
        </w:rPr>
      </w:pPr>
      <w:bookmarkStart w:id="46" w:name="_Toc348488285"/>
      <w:bookmarkStart w:id="47" w:name="_Toc355533888"/>
      <w:bookmarkStart w:id="48" w:name="_Toc499211583"/>
      <w:bookmarkStart w:id="49" w:name="_Toc499213856"/>
      <w:r w:rsidRPr="002017E6">
        <w:rPr>
          <w:rFonts w:ascii="Times New Roman" w:hAnsi="Times New Roman"/>
          <w:color w:val="auto"/>
          <w:sz w:val="24"/>
          <w:szCs w:val="24"/>
        </w:rPr>
        <w:t>Cadre d’analyse</w:t>
      </w:r>
      <w:bookmarkEnd w:id="46"/>
      <w:bookmarkEnd w:id="47"/>
      <w:bookmarkEnd w:id="48"/>
      <w:bookmarkEnd w:id="49"/>
    </w:p>
    <w:p w14:paraId="08078AF6" w14:textId="77777777" w:rsidR="00BA3DC6" w:rsidRPr="006B309F" w:rsidRDefault="00BA3DC6" w:rsidP="00B96F0F">
      <w:pPr>
        <w:spacing w:after="0" w:line="240" w:lineRule="auto"/>
        <w:jc w:val="both"/>
        <w:rPr>
          <w:rFonts w:ascii="Times New Roman" w:hAnsi="Times New Roman"/>
          <w:bCs/>
          <w:sz w:val="14"/>
          <w:szCs w:val="14"/>
        </w:rPr>
      </w:pPr>
    </w:p>
    <w:p w14:paraId="246AB039" w14:textId="77777777" w:rsidR="00BA3DC6" w:rsidRPr="006B309F" w:rsidRDefault="00BA3DC6" w:rsidP="00B96F0F">
      <w:pPr>
        <w:spacing w:after="0" w:line="240" w:lineRule="auto"/>
        <w:jc w:val="both"/>
        <w:rPr>
          <w:rFonts w:ascii="Times New Roman" w:hAnsi="Times New Roman"/>
          <w:bCs/>
          <w:sz w:val="24"/>
          <w:szCs w:val="24"/>
        </w:rPr>
      </w:pPr>
      <w:r w:rsidRPr="006B309F">
        <w:rPr>
          <w:rFonts w:ascii="Times New Roman" w:hAnsi="Times New Roman"/>
          <w:bCs/>
          <w:sz w:val="24"/>
          <w:szCs w:val="24"/>
        </w:rPr>
        <w:t>1</w:t>
      </w:r>
      <w:r w:rsidR="00795741" w:rsidRPr="006B309F">
        <w:rPr>
          <w:rFonts w:ascii="Times New Roman" w:hAnsi="Times New Roman"/>
          <w:bCs/>
          <w:sz w:val="24"/>
          <w:szCs w:val="24"/>
        </w:rPr>
        <w:t>1</w:t>
      </w:r>
      <w:r w:rsidRPr="006B309F">
        <w:rPr>
          <w:rFonts w:ascii="Times New Roman" w:hAnsi="Times New Roman"/>
          <w:bCs/>
          <w:sz w:val="24"/>
          <w:szCs w:val="24"/>
        </w:rPr>
        <w:t>.</w:t>
      </w:r>
      <w:r w:rsidRPr="006B309F">
        <w:rPr>
          <w:rFonts w:ascii="Times New Roman" w:hAnsi="Times New Roman"/>
          <w:bCs/>
          <w:sz w:val="24"/>
          <w:szCs w:val="24"/>
        </w:rPr>
        <w:tab/>
        <w:t>Le cadre analytique adopté s’appuie sur les critères de l’évaluation explicitement visés par les termes de référence de la mission : pertinence, efficacité, efficience, durabilité. L’approche prend également en compte le</w:t>
      </w:r>
      <w:r w:rsidR="005F4C9A" w:rsidRPr="006B309F">
        <w:rPr>
          <w:rFonts w:ascii="Times New Roman" w:hAnsi="Times New Roman"/>
          <w:bCs/>
          <w:sz w:val="24"/>
          <w:szCs w:val="24"/>
        </w:rPr>
        <w:t xml:space="preserve">s thématiques transversales comme </w:t>
      </w:r>
      <w:r w:rsidR="001B1A2B">
        <w:rPr>
          <w:rFonts w:ascii="Times New Roman" w:hAnsi="Times New Roman"/>
          <w:bCs/>
          <w:sz w:val="24"/>
          <w:szCs w:val="24"/>
        </w:rPr>
        <w:t xml:space="preserve">le genre, les droits humains, </w:t>
      </w:r>
      <w:r w:rsidR="005F4C9A" w:rsidRPr="006B309F">
        <w:rPr>
          <w:rFonts w:ascii="Times New Roman" w:hAnsi="Times New Roman"/>
          <w:bCs/>
          <w:sz w:val="24"/>
          <w:szCs w:val="24"/>
        </w:rPr>
        <w:t>le</w:t>
      </w:r>
      <w:r w:rsidR="00EF5143" w:rsidRPr="006B309F">
        <w:rPr>
          <w:rFonts w:ascii="Times New Roman" w:hAnsi="Times New Roman"/>
          <w:bCs/>
          <w:sz w:val="24"/>
          <w:szCs w:val="24"/>
        </w:rPr>
        <w:t xml:space="preserve"> renforcement de capacités</w:t>
      </w:r>
      <w:r w:rsidR="005F4C9A" w:rsidRPr="006B309F">
        <w:rPr>
          <w:rFonts w:ascii="Times New Roman" w:hAnsi="Times New Roman"/>
          <w:bCs/>
          <w:sz w:val="24"/>
          <w:szCs w:val="24"/>
        </w:rPr>
        <w:t xml:space="preserve">, </w:t>
      </w:r>
      <w:r w:rsidRPr="006B309F">
        <w:rPr>
          <w:rFonts w:ascii="Times New Roman" w:hAnsi="Times New Roman"/>
          <w:bCs/>
          <w:sz w:val="24"/>
          <w:szCs w:val="24"/>
        </w:rPr>
        <w:t>l’appropriation nationale</w:t>
      </w:r>
      <w:r w:rsidR="005F4C9A" w:rsidRPr="006B309F">
        <w:rPr>
          <w:rFonts w:ascii="Times New Roman" w:hAnsi="Times New Roman"/>
          <w:bCs/>
          <w:sz w:val="24"/>
          <w:szCs w:val="24"/>
        </w:rPr>
        <w:t xml:space="preserve"> </w:t>
      </w:r>
      <w:r w:rsidRPr="006B309F">
        <w:rPr>
          <w:rFonts w:ascii="Times New Roman" w:hAnsi="Times New Roman"/>
          <w:bCs/>
          <w:sz w:val="24"/>
          <w:szCs w:val="24"/>
        </w:rPr>
        <w:t>en relation avec la durabilité</w:t>
      </w:r>
      <w:r w:rsidR="005F4C9A" w:rsidRPr="006B309F">
        <w:rPr>
          <w:rFonts w:ascii="Times New Roman" w:hAnsi="Times New Roman"/>
          <w:bCs/>
          <w:sz w:val="24"/>
          <w:szCs w:val="24"/>
        </w:rPr>
        <w:t>, notamment</w:t>
      </w:r>
      <w:r w:rsidRPr="006B309F">
        <w:rPr>
          <w:rFonts w:ascii="Times New Roman" w:hAnsi="Times New Roman"/>
          <w:bCs/>
          <w:sz w:val="24"/>
          <w:szCs w:val="24"/>
        </w:rPr>
        <w:t>.</w:t>
      </w:r>
    </w:p>
    <w:p w14:paraId="2BF73EAB" w14:textId="77777777" w:rsidR="00BA3DC6" w:rsidRPr="006B309F" w:rsidRDefault="00BA3DC6" w:rsidP="00B96F0F">
      <w:pPr>
        <w:spacing w:after="0" w:line="240" w:lineRule="auto"/>
        <w:jc w:val="both"/>
        <w:rPr>
          <w:rFonts w:ascii="Times New Roman" w:hAnsi="Times New Roman"/>
          <w:bCs/>
          <w:sz w:val="24"/>
          <w:szCs w:val="24"/>
        </w:rPr>
      </w:pPr>
    </w:p>
    <w:p w14:paraId="472BF64B" w14:textId="77777777" w:rsidR="00BA3DC6" w:rsidRPr="006B309F" w:rsidRDefault="00BA3DC6" w:rsidP="00B96F0F">
      <w:pPr>
        <w:spacing w:after="0" w:line="240" w:lineRule="auto"/>
        <w:jc w:val="both"/>
        <w:rPr>
          <w:rFonts w:ascii="Times New Roman" w:hAnsi="Times New Roman"/>
          <w:bCs/>
          <w:sz w:val="24"/>
          <w:szCs w:val="24"/>
        </w:rPr>
      </w:pPr>
      <w:r w:rsidRPr="006B309F">
        <w:rPr>
          <w:rFonts w:ascii="Times New Roman" w:hAnsi="Times New Roman"/>
          <w:bCs/>
          <w:sz w:val="24"/>
          <w:szCs w:val="24"/>
        </w:rPr>
        <w:t>1</w:t>
      </w:r>
      <w:r w:rsidR="00795741" w:rsidRPr="006B309F">
        <w:rPr>
          <w:rFonts w:ascii="Times New Roman" w:hAnsi="Times New Roman"/>
          <w:bCs/>
          <w:sz w:val="24"/>
          <w:szCs w:val="24"/>
        </w:rPr>
        <w:t>2</w:t>
      </w:r>
      <w:r w:rsidRPr="006B309F">
        <w:rPr>
          <w:rFonts w:ascii="Times New Roman" w:hAnsi="Times New Roman"/>
          <w:bCs/>
          <w:sz w:val="24"/>
          <w:szCs w:val="24"/>
        </w:rPr>
        <w:t>.</w:t>
      </w:r>
      <w:r w:rsidRPr="006B309F">
        <w:rPr>
          <w:rFonts w:ascii="Times New Roman" w:hAnsi="Times New Roman"/>
          <w:bCs/>
          <w:sz w:val="24"/>
          <w:szCs w:val="24"/>
        </w:rPr>
        <w:tab/>
        <w:t xml:space="preserve">L’analyse débouche sur un système de notation des performances assorti d’une échelle de valeurs </w:t>
      </w:r>
      <w:r w:rsidR="005F4C9A" w:rsidRPr="006B309F">
        <w:rPr>
          <w:rFonts w:ascii="Times New Roman" w:hAnsi="Times New Roman"/>
          <w:bCs/>
          <w:sz w:val="24"/>
          <w:szCs w:val="24"/>
        </w:rPr>
        <w:t xml:space="preserve">qualitative </w:t>
      </w:r>
      <w:r w:rsidRPr="006B309F">
        <w:rPr>
          <w:rFonts w:ascii="Times New Roman" w:hAnsi="Times New Roman"/>
          <w:bCs/>
          <w:sz w:val="24"/>
          <w:szCs w:val="24"/>
        </w:rPr>
        <w:t xml:space="preserve">à trois </w:t>
      </w:r>
      <w:r w:rsidR="005F4C9A" w:rsidRPr="006B309F">
        <w:rPr>
          <w:rFonts w:ascii="Times New Roman" w:hAnsi="Times New Roman"/>
          <w:bCs/>
          <w:sz w:val="24"/>
          <w:szCs w:val="24"/>
        </w:rPr>
        <w:t>seuils</w:t>
      </w:r>
      <w:r w:rsidRPr="006B309F">
        <w:rPr>
          <w:rFonts w:ascii="Times New Roman" w:hAnsi="Times New Roman"/>
          <w:bCs/>
          <w:sz w:val="24"/>
          <w:szCs w:val="24"/>
        </w:rPr>
        <w:t> : « E » pour élevé, « M » pour moyen et « F-N » pour Faible à Nul. En amont de chaque attribution de note, les déterminants de celle-</w:t>
      </w:r>
      <w:r w:rsidR="005F4C9A" w:rsidRPr="006B309F">
        <w:rPr>
          <w:rFonts w:ascii="Times New Roman" w:hAnsi="Times New Roman"/>
          <w:bCs/>
          <w:sz w:val="24"/>
          <w:szCs w:val="24"/>
        </w:rPr>
        <w:t>ci sont exposés dans le détail</w:t>
      </w:r>
      <w:r w:rsidRPr="006B309F">
        <w:rPr>
          <w:rFonts w:ascii="Times New Roman" w:hAnsi="Times New Roman"/>
          <w:bCs/>
          <w:sz w:val="24"/>
          <w:szCs w:val="24"/>
        </w:rPr>
        <w:t>.</w:t>
      </w:r>
    </w:p>
    <w:p w14:paraId="7C9482B8" w14:textId="77777777" w:rsidR="00BA3DC6" w:rsidRPr="006B309F" w:rsidRDefault="00BA3DC6" w:rsidP="00B96F0F">
      <w:pPr>
        <w:spacing w:after="0" w:line="240" w:lineRule="auto"/>
        <w:jc w:val="both"/>
        <w:rPr>
          <w:rFonts w:ascii="Times New Roman" w:hAnsi="Times New Roman"/>
          <w:bCs/>
          <w:sz w:val="24"/>
          <w:szCs w:val="24"/>
        </w:rPr>
      </w:pPr>
    </w:p>
    <w:p w14:paraId="6867C720" w14:textId="77777777" w:rsidR="00BA3DC6" w:rsidRPr="006B309F" w:rsidRDefault="00BA3DC6" w:rsidP="00B026AE">
      <w:pPr>
        <w:pStyle w:val="Titre3"/>
        <w:numPr>
          <w:ilvl w:val="1"/>
          <w:numId w:val="3"/>
        </w:numPr>
        <w:spacing w:before="0" w:line="240" w:lineRule="auto"/>
        <w:rPr>
          <w:rFonts w:ascii="Times New Roman" w:hAnsi="Times New Roman"/>
          <w:color w:val="auto"/>
          <w:sz w:val="24"/>
          <w:szCs w:val="24"/>
        </w:rPr>
      </w:pPr>
      <w:bookmarkStart w:id="50" w:name="_Toc348488286"/>
      <w:bookmarkStart w:id="51" w:name="_Toc355533890"/>
      <w:bookmarkStart w:id="52" w:name="_Toc499211584"/>
      <w:bookmarkStart w:id="53" w:name="_Toc499213857"/>
      <w:r w:rsidRPr="006B309F">
        <w:rPr>
          <w:rFonts w:ascii="Times New Roman" w:hAnsi="Times New Roman"/>
          <w:color w:val="auto"/>
          <w:sz w:val="24"/>
          <w:szCs w:val="24"/>
        </w:rPr>
        <w:t>Limitations et mesures de remédiation</w:t>
      </w:r>
      <w:bookmarkEnd w:id="50"/>
      <w:bookmarkEnd w:id="51"/>
      <w:bookmarkEnd w:id="52"/>
      <w:bookmarkEnd w:id="53"/>
    </w:p>
    <w:p w14:paraId="704F013F" w14:textId="77777777" w:rsidR="00BA3DC6" w:rsidRPr="006B309F" w:rsidRDefault="00BA3DC6" w:rsidP="00B96F0F">
      <w:pPr>
        <w:spacing w:after="0" w:line="240" w:lineRule="auto"/>
        <w:jc w:val="both"/>
        <w:rPr>
          <w:rFonts w:ascii="Times New Roman" w:hAnsi="Times New Roman"/>
          <w:bCs/>
          <w:sz w:val="24"/>
          <w:szCs w:val="24"/>
        </w:rPr>
      </w:pPr>
      <w:r w:rsidRPr="006B309F">
        <w:rPr>
          <w:rFonts w:ascii="Times New Roman" w:hAnsi="Times New Roman"/>
          <w:bCs/>
          <w:sz w:val="24"/>
          <w:szCs w:val="24"/>
        </w:rPr>
        <w:t xml:space="preserve"> </w:t>
      </w:r>
    </w:p>
    <w:p w14:paraId="21EFB9EF" w14:textId="77777777" w:rsidR="00BA3DC6" w:rsidRPr="006B309F" w:rsidRDefault="00BA3DC6" w:rsidP="00B96F0F">
      <w:pPr>
        <w:spacing w:after="0" w:line="240" w:lineRule="auto"/>
        <w:jc w:val="both"/>
        <w:rPr>
          <w:rFonts w:ascii="Times New Roman" w:hAnsi="Times New Roman"/>
          <w:bCs/>
          <w:sz w:val="24"/>
          <w:szCs w:val="24"/>
        </w:rPr>
      </w:pPr>
      <w:r w:rsidRPr="006B309F">
        <w:rPr>
          <w:rFonts w:ascii="Times New Roman" w:hAnsi="Times New Roman"/>
          <w:bCs/>
          <w:sz w:val="24"/>
          <w:szCs w:val="24"/>
        </w:rPr>
        <w:t>1</w:t>
      </w:r>
      <w:r w:rsidR="00795741" w:rsidRPr="006B309F">
        <w:rPr>
          <w:rFonts w:ascii="Times New Roman" w:hAnsi="Times New Roman"/>
          <w:bCs/>
          <w:sz w:val="24"/>
          <w:szCs w:val="24"/>
        </w:rPr>
        <w:t>3</w:t>
      </w:r>
      <w:r w:rsidRPr="006B309F">
        <w:rPr>
          <w:rFonts w:ascii="Times New Roman" w:hAnsi="Times New Roman"/>
          <w:bCs/>
          <w:sz w:val="24"/>
          <w:szCs w:val="24"/>
        </w:rPr>
        <w:t>.</w:t>
      </w:r>
      <w:r w:rsidRPr="006B309F">
        <w:rPr>
          <w:rFonts w:ascii="Times New Roman" w:hAnsi="Times New Roman"/>
          <w:bCs/>
          <w:sz w:val="24"/>
          <w:szCs w:val="24"/>
        </w:rPr>
        <w:tab/>
        <w:t>L</w:t>
      </w:r>
      <w:r w:rsidR="005F4C9A" w:rsidRPr="006B309F">
        <w:rPr>
          <w:rFonts w:ascii="Times New Roman" w:hAnsi="Times New Roman"/>
          <w:bCs/>
          <w:sz w:val="24"/>
          <w:szCs w:val="24"/>
        </w:rPr>
        <w:t xml:space="preserve">e </w:t>
      </w:r>
      <w:r w:rsidR="00835714">
        <w:rPr>
          <w:rFonts w:ascii="Times New Roman" w:hAnsi="Times New Roman"/>
          <w:bCs/>
          <w:sz w:val="24"/>
          <w:szCs w:val="24"/>
        </w:rPr>
        <w:t>contexte pays, caractérisé par un risque sécuritaire élevé, notamment du centre au nord, a été un facteur de contrainte pour la mission, comme il l’est d’ailleurs au jour le jour pour la mise en œuvre du programme. En effet la mobilité de la mission a  été finalement limitée, notamment dans la capitale et ses environs. Comme stratégie de mitigation, l’évaluation a accru ses objectifs en matière de rencontre avec les personnes ressources</w:t>
      </w:r>
      <w:r w:rsidR="001166FD" w:rsidRPr="006B309F">
        <w:rPr>
          <w:rFonts w:ascii="Times New Roman" w:hAnsi="Times New Roman"/>
          <w:bCs/>
          <w:sz w:val="24"/>
          <w:szCs w:val="24"/>
        </w:rPr>
        <w:t>.</w:t>
      </w:r>
    </w:p>
    <w:p w14:paraId="04BCDCF8" w14:textId="77777777" w:rsidR="00BA3DC6" w:rsidRPr="006B309F" w:rsidRDefault="00BA3DC6" w:rsidP="00B96F0F">
      <w:pPr>
        <w:spacing w:after="0" w:line="240" w:lineRule="auto"/>
        <w:jc w:val="both"/>
        <w:rPr>
          <w:rFonts w:ascii="Times New Roman" w:hAnsi="Times New Roman"/>
          <w:bCs/>
          <w:color w:val="FF0000"/>
          <w:sz w:val="24"/>
          <w:szCs w:val="24"/>
        </w:rPr>
      </w:pPr>
      <w:bookmarkStart w:id="54" w:name="_Toc344485709"/>
      <w:bookmarkStart w:id="55" w:name="_Toc348488287"/>
    </w:p>
    <w:p w14:paraId="5C75D315" w14:textId="77777777" w:rsidR="00BA3DC6" w:rsidRPr="006B309F" w:rsidRDefault="00BA3DC6" w:rsidP="00B026AE">
      <w:pPr>
        <w:pStyle w:val="Titre3"/>
        <w:numPr>
          <w:ilvl w:val="1"/>
          <w:numId w:val="3"/>
        </w:numPr>
        <w:spacing w:before="0" w:line="240" w:lineRule="auto"/>
        <w:rPr>
          <w:rFonts w:ascii="Times New Roman" w:hAnsi="Times New Roman"/>
          <w:color w:val="auto"/>
          <w:sz w:val="24"/>
          <w:szCs w:val="24"/>
        </w:rPr>
      </w:pPr>
      <w:bookmarkStart w:id="56" w:name="_Toc355533891"/>
      <w:bookmarkStart w:id="57" w:name="_Toc499211585"/>
      <w:bookmarkStart w:id="58" w:name="_Toc499213858"/>
      <w:r w:rsidRPr="006B309F">
        <w:rPr>
          <w:rFonts w:ascii="Times New Roman" w:hAnsi="Times New Roman"/>
          <w:color w:val="auto"/>
          <w:sz w:val="24"/>
          <w:szCs w:val="24"/>
        </w:rPr>
        <w:t>Calendrier de la mission</w:t>
      </w:r>
      <w:bookmarkEnd w:id="54"/>
      <w:bookmarkEnd w:id="55"/>
      <w:bookmarkEnd w:id="56"/>
      <w:bookmarkEnd w:id="57"/>
      <w:bookmarkEnd w:id="58"/>
    </w:p>
    <w:p w14:paraId="2F2FC74A" w14:textId="77777777" w:rsidR="00BA3DC6" w:rsidRPr="006B309F" w:rsidRDefault="00BA3DC6" w:rsidP="00B96F0F">
      <w:pPr>
        <w:spacing w:after="0" w:line="240" w:lineRule="auto"/>
        <w:jc w:val="both"/>
        <w:rPr>
          <w:rFonts w:ascii="Times New Roman" w:hAnsi="Times New Roman"/>
          <w:bCs/>
          <w:sz w:val="24"/>
          <w:szCs w:val="24"/>
        </w:rPr>
      </w:pPr>
    </w:p>
    <w:p w14:paraId="56FD229F" w14:textId="77777777" w:rsidR="00BA3DC6" w:rsidRPr="004710A9" w:rsidRDefault="00BA3DC6" w:rsidP="00B96F0F">
      <w:pPr>
        <w:spacing w:after="0" w:line="240" w:lineRule="auto"/>
        <w:jc w:val="both"/>
        <w:rPr>
          <w:rFonts w:ascii="Times New Roman" w:hAnsi="Times New Roman"/>
          <w:bCs/>
          <w:sz w:val="24"/>
          <w:szCs w:val="24"/>
        </w:rPr>
      </w:pPr>
      <w:r w:rsidRPr="006B309F">
        <w:rPr>
          <w:rFonts w:ascii="Times New Roman" w:hAnsi="Times New Roman"/>
          <w:bCs/>
          <w:sz w:val="24"/>
          <w:szCs w:val="24"/>
        </w:rPr>
        <w:t>1</w:t>
      </w:r>
      <w:r w:rsidR="00795741" w:rsidRPr="006B309F">
        <w:rPr>
          <w:rFonts w:ascii="Times New Roman" w:hAnsi="Times New Roman"/>
          <w:bCs/>
          <w:sz w:val="24"/>
          <w:szCs w:val="24"/>
        </w:rPr>
        <w:t>4</w:t>
      </w:r>
      <w:r w:rsidRPr="006B309F">
        <w:rPr>
          <w:rFonts w:ascii="Times New Roman" w:hAnsi="Times New Roman"/>
          <w:bCs/>
          <w:sz w:val="24"/>
          <w:szCs w:val="24"/>
        </w:rPr>
        <w:t>.</w:t>
      </w:r>
      <w:r w:rsidRPr="006B309F">
        <w:rPr>
          <w:rFonts w:ascii="Times New Roman" w:hAnsi="Times New Roman"/>
          <w:bCs/>
          <w:sz w:val="24"/>
          <w:szCs w:val="24"/>
        </w:rPr>
        <w:tab/>
      </w:r>
      <w:r w:rsidR="00A2631A" w:rsidRPr="004710A9">
        <w:rPr>
          <w:rFonts w:ascii="Times New Roman" w:hAnsi="Times New Roman"/>
          <w:bCs/>
          <w:sz w:val="24"/>
          <w:szCs w:val="24"/>
        </w:rPr>
        <w:t>L</w:t>
      </w:r>
      <w:r w:rsidR="007A2BC3" w:rsidRPr="004710A9">
        <w:rPr>
          <w:rFonts w:ascii="Times New Roman" w:hAnsi="Times New Roman"/>
          <w:bCs/>
          <w:sz w:val="24"/>
          <w:szCs w:val="24"/>
        </w:rPr>
        <w:t xml:space="preserve">a mission </w:t>
      </w:r>
      <w:r w:rsidRPr="004710A9">
        <w:rPr>
          <w:rFonts w:ascii="Times New Roman" w:hAnsi="Times New Roman"/>
          <w:bCs/>
          <w:sz w:val="24"/>
          <w:szCs w:val="24"/>
        </w:rPr>
        <w:t xml:space="preserve">en République </w:t>
      </w:r>
      <w:r w:rsidR="007A2BC3" w:rsidRPr="004710A9">
        <w:rPr>
          <w:rFonts w:ascii="Times New Roman" w:hAnsi="Times New Roman"/>
          <w:bCs/>
          <w:sz w:val="24"/>
          <w:szCs w:val="24"/>
        </w:rPr>
        <w:t>d</w:t>
      </w:r>
      <w:r w:rsidR="00A2631A" w:rsidRPr="004710A9">
        <w:rPr>
          <w:rFonts w:ascii="Times New Roman" w:hAnsi="Times New Roman"/>
          <w:bCs/>
          <w:sz w:val="24"/>
          <w:szCs w:val="24"/>
        </w:rPr>
        <w:t xml:space="preserve">u Mali </w:t>
      </w:r>
      <w:r w:rsidR="007A2BC3" w:rsidRPr="004710A9">
        <w:rPr>
          <w:rFonts w:ascii="Times New Roman" w:hAnsi="Times New Roman"/>
          <w:bCs/>
          <w:sz w:val="24"/>
          <w:szCs w:val="24"/>
        </w:rPr>
        <w:t xml:space="preserve">a eu lieu </w:t>
      </w:r>
      <w:r w:rsidRPr="004710A9">
        <w:rPr>
          <w:rFonts w:ascii="Times New Roman" w:hAnsi="Times New Roman"/>
          <w:bCs/>
          <w:sz w:val="24"/>
          <w:szCs w:val="24"/>
        </w:rPr>
        <w:t xml:space="preserve">du </w:t>
      </w:r>
      <w:r w:rsidR="00A2631A" w:rsidRPr="004710A9">
        <w:rPr>
          <w:rFonts w:ascii="Times New Roman" w:hAnsi="Times New Roman"/>
          <w:bCs/>
          <w:sz w:val="24"/>
          <w:szCs w:val="24"/>
        </w:rPr>
        <w:t xml:space="preserve">04 Septembre au 02 </w:t>
      </w:r>
      <w:r w:rsidR="007A2BC3" w:rsidRPr="004710A9">
        <w:rPr>
          <w:rFonts w:ascii="Times New Roman" w:hAnsi="Times New Roman"/>
          <w:bCs/>
          <w:sz w:val="24"/>
          <w:szCs w:val="24"/>
        </w:rPr>
        <w:t xml:space="preserve">Octobre </w:t>
      </w:r>
      <w:r w:rsidR="00A2631A" w:rsidRPr="004710A9">
        <w:rPr>
          <w:rFonts w:ascii="Times New Roman" w:hAnsi="Times New Roman"/>
          <w:bCs/>
          <w:sz w:val="24"/>
          <w:szCs w:val="24"/>
        </w:rPr>
        <w:t>2017</w:t>
      </w:r>
      <w:r w:rsidRPr="004710A9">
        <w:rPr>
          <w:rFonts w:ascii="Times New Roman" w:hAnsi="Times New Roman"/>
          <w:bCs/>
          <w:sz w:val="24"/>
          <w:szCs w:val="24"/>
        </w:rPr>
        <w:t xml:space="preserve">, </w:t>
      </w:r>
      <w:r w:rsidR="007A2BC3" w:rsidRPr="004710A9">
        <w:rPr>
          <w:rFonts w:ascii="Times New Roman" w:hAnsi="Times New Roman"/>
          <w:bCs/>
          <w:sz w:val="24"/>
          <w:szCs w:val="24"/>
        </w:rPr>
        <w:t>suivant le</w:t>
      </w:r>
      <w:r w:rsidRPr="004710A9">
        <w:rPr>
          <w:rFonts w:ascii="Times New Roman" w:hAnsi="Times New Roman"/>
          <w:bCs/>
          <w:sz w:val="24"/>
          <w:szCs w:val="24"/>
        </w:rPr>
        <w:t xml:space="preserve"> chronogramme ci-dessous :</w:t>
      </w:r>
    </w:p>
    <w:p w14:paraId="48260534" w14:textId="77777777" w:rsidR="000442E1" w:rsidRDefault="000442E1" w:rsidP="00B96F0F">
      <w:pPr>
        <w:spacing w:after="0" w:line="240" w:lineRule="auto"/>
        <w:jc w:val="both"/>
        <w:rPr>
          <w:rFonts w:ascii="Times New Roman" w:hAnsi="Times New Roman"/>
          <w:bCs/>
          <w:sz w:val="24"/>
          <w:szCs w:val="24"/>
        </w:rPr>
      </w:pPr>
    </w:p>
    <w:p w14:paraId="75A274C1" w14:textId="77777777" w:rsidR="00BA3DC6" w:rsidRPr="000442E1" w:rsidRDefault="000442E1" w:rsidP="000442E1">
      <w:pPr>
        <w:pStyle w:val="Titre1"/>
        <w:spacing w:before="0" w:line="240" w:lineRule="auto"/>
        <w:rPr>
          <w:rFonts w:ascii="Times New Roman" w:hAnsi="Times New Roman"/>
          <w:color w:val="auto"/>
          <w:sz w:val="24"/>
          <w:szCs w:val="24"/>
        </w:rPr>
      </w:pPr>
      <w:bookmarkStart w:id="59" w:name="_Toc499211586"/>
      <w:bookmarkStart w:id="60" w:name="_Toc499213859"/>
      <w:r w:rsidRPr="000442E1">
        <w:rPr>
          <w:rFonts w:ascii="Times New Roman" w:hAnsi="Times New Roman"/>
          <w:color w:val="auto"/>
          <w:sz w:val="24"/>
          <w:szCs w:val="24"/>
        </w:rPr>
        <w:t>Tableau 1 : Chronogramme de mission</w:t>
      </w:r>
      <w:bookmarkEnd w:id="59"/>
      <w:bookmarkEnd w:id="60"/>
    </w:p>
    <w:p w14:paraId="7465FA49" w14:textId="77777777" w:rsidR="000442E1" w:rsidRPr="004710A9" w:rsidRDefault="000442E1" w:rsidP="00B96F0F">
      <w:pPr>
        <w:spacing w:after="0" w:line="240" w:lineRule="auto"/>
        <w:jc w:val="both"/>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264"/>
        <w:gridCol w:w="3220"/>
      </w:tblGrid>
      <w:tr w:rsidR="00406E61" w:rsidRPr="004710A9" w14:paraId="30976D90" w14:textId="77777777" w:rsidTr="0076625E">
        <w:tc>
          <w:tcPr>
            <w:tcW w:w="9252" w:type="dxa"/>
            <w:gridSpan w:val="3"/>
            <w:shd w:val="clear" w:color="auto" w:fill="F2F2F2" w:themeFill="background1" w:themeFillShade="F2"/>
            <w:vAlign w:val="center"/>
          </w:tcPr>
          <w:p w14:paraId="073FAB33" w14:textId="77777777" w:rsidR="00406E61" w:rsidRPr="004710A9" w:rsidRDefault="00406E61" w:rsidP="00B96F0F">
            <w:pPr>
              <w:spacing w:after="0" w:line="240" w:lineRule="auto"/>
              <w:jc w:val="center"/>
              <w:textAlignment w:val="baseline"/>
              <w:rPr>
                <w:rFonts w:ascii="Times New Roman" w:eastAsia="MS PGothic" w:hAnsi="Times New Roman"/>
                <w:color w:val="000000"/>
                <w:kern w:val="24"/>
                <w:sz w:val="20"/>
                <w:szCs w:val="20"/>
                <w:lang w:eastAsia="fr-FR"/>
              </w:rPr>
            </w:pPr>
            <w:r w:rsidRPr="004710A9">
              <w:rPr>
                <w:rFonts w:ascii="Times New Roman" w:eastAsia="MS PGothic" w:hAnsi="Times New Roman"/>
                <w:color w:val="000000"/>
                <w:kern w:val="24"/>
                <w:sz w:val="20"/>
                <w:szCs w:val="20"/>
                <w:lang w:eastAsia="fr-FR"/>
              </w:rPr>
              <w:t>Tableau 1 : Chronogramme</w:t>
            </w:r>
          </w:p>
        </w:tc>
      </w:tr>
      <w:tr w:rsidR="00632A47" w:rsidRPr="004710A9" w14:paraId="7253DD05" w14:textId="77777777" w:rsidTr="0076625E">
        <w:tc>
          <w:tcPr>
            <w:tcW w:w="576" w:type="dxa"/>
            <w:shd w:val="clear" w:color="auto" w:fill="F2F2F2" w:themeFill="background1" w:themeFillShade="F2"/>
            <w:vAlign w:val="center"/>
          </w:tcPr>
          <w:p w14:paraId="3C530355" w14:textId="77777777" w:rsidR="00BA3DC6" w:rsidRPr="004710A9" w:rsidRDefault="00BA3DC6" w:rsidP="00B96F0F">
            <w:pPr>
              <w:spacing w:after="0" w:line="240" w:lineRule="auto"/>
              <w:jc w:val="both"/>
              <w:textAlignment w:val="baseline"/>
              <w:rPr>
                <w:rFonts w:ascii="Times New Roman" w:eastAsia="MS PGothic" w:hAnsi="Times New Roman"/>
                <w:bCs/>
                <w:color w:val="000000"/>
                <w:kern w:val="24"/>
                <w:sz w:val="20"/>
                <w:szCs w:val="20"/>
                <w:lang w:eastAsia="fr-FR"/>
              </w:rPr>
            </w:pPr>
            <w:r w:rsidRPr="004710A9">
              <w:rPr>
                <w:rFonts w:ascii="Times New Roman" w:eastAsia="MS PGothic" w:hAnsi="Times New Roman"/>
                <w:bCs/>
                <w:color w:val="000000"/>
                <w:kern w:val="24"/>
                <w:sz w:val="20"/>
                <w:szCs w:val="20"/>
                <w:lang w:eastAsia="fr-FR"/>
              </w:rPr>
              <w:t>N°</w:t>
            </w:r>
          </w:p>
        </w:tc>
        <w:tc>
          <w:tcPr>
            <w:tcW w:w="5386" w:type="dxa"/>
            <w:shd w:val="clear" w:color="auto" w:fill="auto"/>
            <w:vAlign w:val="center"/>
          </w:tcPr>
          <w:p w14:paraId="57B39B6F" w14:textId="77777777" w:rsidR="00BA3DC6" w:rsidRPr="004710A9" w:rsidRDefault="00BA3DC6" w:rsidP="00B96F0F">
            <w:pPr>
              <w:spacing w:after="0" w:line="240" w:lineRule="auto"/>
              <w:textAlignment w:val="baseline"/>
              <w:rPr>
                <w:rFonts w:ascii="Times New Roman" w:eastAsia="MS PGothic" w:hAnsi="Times New Roman"/>
                <w:bCs/>
                <w:color w:val="000000"/>
                <w:kern w:val="24"/>
                <w:sz w:val="20"/>
                <w:szCs w:val="20"/>
                <w:lang w:eastAsia="fr-FR"/>
              </w:rPr>
            </w:pPr>
            <w:r w:rsidRPr="004710A9">
              <w:rPr>
                <w:rFonts w:ascii="Times New Roman" w:eastAsia="MS PGothic" w:hAnsi="Times New Roman"/>
                <w:bCs/>
                <w:color w:val="000000"/>
                <w:kern w:val="24"/>
                <w:sz w:val="20"/>
                <w:szCs w:val="20"/>
                <w:lang w:eastAsia="fr-FR"/>
              </w:rPr>
              <w:t>Etapes /Activités</w:t>
            </w:r>
          </w:p>
        </w:tc>
        <w:tc>
          <w:tcPr>
            <w:tcW w:w="3290" w:type="dxa"/>
            <w:shd w:val="clear" w:color="auto" w:fill="auto"/>
            <w:vAlign w:val="center"/>
          </w:tcPr>
          <w:p w14:paraId="205EDD13" w14:textId="77777777" w:rsidR="00BA3DC6" w:rsidRPr="004710A9" w:rsidRDefault="00BA3DC6" w:rsidP="00E7778E">
            <w:pPr>
              <w:spacing w:after="0" w:line="240" w:lineRule="auto"/>
              <w:jc w:val="center"/>
              <w:textAlignment w:val="baseline"/>
              <w:rPr>
                <w:rFonts w:ascii="Times New Roman" w:eastAsia="MS PGothic" w:hAnsi="Times New Roman"/>
                <w:color w:val="000000"/>
                <w:kern w:val="24"/>
                <w:sz w:val="20"/>
                <w:szCs w:val="20"/>
                <w:lang w:eastAsia="fr-FR"/>
              </w:rPr>
            </w:pPr>
            <w:r w:rsidRPr="004710A9">
              <w:rPr>
                <w:rFonts w:ascii="Times New Roman" w:eastAsia="MS PGothic" w:hAnsi="Times New Roman"/>
                <w:color w:val="000000"/>
                <w:kern w:val="24"/>
                <w:sz w:val="20"/>
                <w:szCs w:val="20"/>
                <w:lang w:eastAsia="fr-FR"/>
              </w:rPr>
              <w:t>Chronogramme</w:t>
            </w:r>
          </w:p>
        </w:tc>
      </w:tr>
      <w:tr w:rsidR="00E7778E" w:rsidRPr="004710A9" w14:paraId="4A555987" w14:textId="77777777" w:rsidTr="009C493D">
        <w:tc>
          <w:tcPr>
            <w:tcW w:w="576" w:type="dxa"/>
            <w:shd w:val="clear" w:color="auto" w:fill="F2F2F2" w:themeFill="background1" w:themeFillShade="F2"/>
            <w:vAlign w:val="center"/>
          </w:tcPr>
          <w:p w14:paraId="1652EEB9" w14:textId="77777777" w:rsidR="00E7778E" w:rsidRPr="004710A9" w:rsidRDefault="00E7778E" w:rsidP="00B53B0E">
            <w:pPr>
              <w:spacing w:after="0" w:line="240" w:lineRule="auto"/>
              <w:jc w:val="both"/>
              <w:textAlignment w:val="baseline"/>
              <w:rPr>
                <w:rFonts w:ascii="Times New Roman" w:eastAsia="MS PGothic" w:hAnsi="Times New Roman"/>
                <w:bCs/>
                <w:color w:val="000000"/>
                <w:kern w:val="24"/>
                <w:sz w:val="24"/>
                <w:szCs w:val="24"/>
                <w:lang w:eastAsia="fr-FR"/>
              </w:rPr>
            </w:pPr>
            <w:r w:rsidRPr="004710A9">
              <w:rPr>
                <w:rFonts w:ascii="Times New Roman" w:eastAsia="MS PGothic" w:hAnsi="Times New Roman"/>
                <w:bCs/>
                <w:color w:val="000000"/>
                <w:kern w:val="24"/>
                <w:sz w:val="24"/>
                <w:szCs w:val="24"/>
                <w:lang w:eastAsia="fr-FR"/>
              </w:rPr>
              <w:t>.1.</w:t>
            </w:r>
          </w:p>
        </w:tc>
        <w:tc>
          <w:tcPr>
            <w:tcW w:w="5386" w:type="dxa"/>
            <w:shd w:val="clear" w:color="auto" w:fill="auto"/>
            <w:vAlign w:val="center"/>
          </w:tcPr>
          <w:p w14:paraId="069CE3E3" w14:textId="77777777" w:rsidR="00E7778E" w:rsidRPr="004710A9" w:rsidRDefault="00E7778E" w:rsidP="00A2631A">
            <w:pPr>
              <w:spacing w:after="0" w:line="240" w:lineRule="auto"/>
              <w:textAlignment w:val="baseline"/>
              <w:rPr>
                <w:rFonts w:ascii="Times New Roman" w:eastAsia="MS PGothic" w:hAnsi="Times New Roman"/>
                <w:bCs/>
                <w:color w:val="000000"/>
                <w:kern w:val="24"/>
                <w:sz w:val="20"/>
                <w:szCs w:val="20"/>
                <w:lang w:eastAsia="fr-FR"/>
              </w:rPr>
            </w:pPr>
            <w:r w:rsidRPr="004710A9">
              <w:rPr>
                <w:rFonts w:ascii="Times New Roman" w:eastAsia="MS PGothic" w:hAnsi="Times New Roman"/>
                <w:bCs/>
                <w:color w:val="000000"/>
                <w:kern w:val="24"/>
                <w:sz w:val="20"/>
                <w:szCs w:val="20"/>
                <w:lang w:eastAsia="fr-FR"/>
              </w:rPr>
              <w:t>Briefing Directeur Pays a.i.</w:t>
            </w:r>
          </w:p>
        </w:tc>
        <w:tc>
          <w:tcPr>
            <w:tcW w:w="3290" w:type="dxa"/>
            <w:shd w:val="clear" w:color="auto" w:fill="auto"/>
            <w:vAlign w:val="center"/>
          </w:tcPr>
          <w:p w14:paraId="4BDF232D" w14:textId="77777777" w:rsidR="00E7778E" w:rsidRPr="004710A9" w:rsidRDefault="00E7778E" w:rsidP="00B53B0E">
            <w:pPr>
              <w:spacing w:after="0" w:line="240" w:lineRule="auto"/>
              <w:jc w:val="right"/>
              <w:textAlignment w:val="baseline"/>
              <w:rPr>
                <w:rFonts w:ascii="Times New Roman" w:eastAsia="MS PGothic" w:hAnsi="Times New Roman"/>
                <w:color w:val="000000"/>
                <w:kern w:val="24"/>
                <w:sz w:val="20"/>
                <w:szCs w:val="20"/>
                <w:lang w:eastAsia="fr-FR"/>
              </w:rPr>
            </w:pPr>
            <w:r w:rsidRPr="004710A9">
              <w:rPr>
                <w:rFonts w:ascii="Times New Roman" w:eastAsia="MS PGothic" w:hAnsi="Times New Roman"/>
                <w:color w:val="000000"/>
                <w:kern w:val="24"/>
                <w:sz w:val="20"/>
                <w:szCs w:val="20"/>
                <w:lang w:eastAsia="fr-FR"/>
              </w:rPr>
              <w:t>05 Septembre 2017</w:t>
            </w:r>
          </w:p>
        </w:tc>
      </w:tr>
      <w:tr w:rsidR="00E7778E" w:rsidRPr="004710A9" w14:paraId="338A5DCF" w14:textId="77777777" w:rsidTr="009C493D">
        <w:tc>
          <w:tcPr>
            <w:tcW w:w="576" w:type="dxa"/>
            <w:shd w:val="clear" w:color="auto" w:fill="F2F2F2" w:themeFill="background1" w:themeFillShade="F2"/>
            <w:vAlign w:val="center"/>
          </w:tcPr>
          <w:p w14:paraId="47586443" w14:textId="77777777" w:rsidR="00E7778E" w:rsidRPr="004710A9" w:rsidRDefault="00E7778E" w:rsidP="00B53B0E">
            <w:pPr>
              <w:spacing w:after="0" w:line="240" w:lineRule="auto"/>
              <w:jc w:val="both"/>
              <w:textAlignment w:val="baseline"/>
              <w:rPr>
                <w:rFonts w:ascii="Times New Roman" w:eastAsia="MS PGothic" w:hAnsi="Times New Roman"/>
                <w:bCs/>
                <w:color w:val="000000"/>
                <w:kern w:val="24"/>
                <w:sz w:val="24"/>
                <w:szCs w:val="24"/>
                <w:lang w:eastAsia="fr-FR"/>
              </w:rPr>
            </w:pPr>
            <w:r w:rsidRPr="004710A9">
              <w:rPr>
                <w:rFonts w:ascii="Times New Roman" w:eastAsia="MS PGothic" w:hAnsi="Times New Roman"/>
                <w:bCs/>
                <w:color w:val="000000"/>
                <w:kern w:val="24"/>
                <w:sz w:val="24"/>
                <w:szCs w:val="24"/>
                <w:lang w:eastAsia="fr-FR"/>
              </w:rPr>
              <w:t>.2.</w:t>
            </w:r>
          </w:p>
        </w:tc>
        <w:tc>
          <w:tcPr>
            <w:tcW w:w="5386" w:type="dxa"/>
            <w:shd w:val="clear" w:color="auto" w:fill="auto"/>
            <w:vAlign w:val="center"/>
          </w:tcPr>
          <w:p w14:paraId="250B3E7A" w14:textId="77777777" w:rsidR="00E7778E" w:rsidRPr="004710A9" w:rsidRDefault="00E7778E" w:rsidP="00A117ED">
            <w:pPr>
              <w:spacing w:after="0" w:line="240" w:lineRule="auto"/>
              <w:textAlignment w:val="baseline"/>
              <w:rPr>
                <w:rFonts w:ascii="Times New Roman" w:eastAsia="MS PGothic" w:hAnsi="Times New Roman"/>
                <w:bCs/>
                <w:color w:val="000000"/>
                <w:kern w:val="24"/>
                <w:sz w:val="20"/>
                <w:szCs w:val="20"/>
                <w:lang w:eastAsia="fr-FR"/>
              </w:rPr>
            </w:pPr>
            <w:r w:rsidRPr="004710A9">
              <w:rPr>
                <w:rFonts w:ascii="Times New Roman" w:eastAsia="MS PGothic" w:hAnsi="Times New Roman"/>
                <w:bCs/>
                <w:color w:val="000000"/>
                <w:kern w:val="24"/>
                <w:sz w:val="20"/>
                <w:szCs w:val="20"/>
                <w:lang w:eastAsia="fr-FR"/>
              </w:rPr>
              <w:t>Briefing : Equipes Programme, puis Directeur Programme</w:t>
            </w:r>
          </w:p>
        </w:tc>
        <w:tc>
          <w:tcPr>
            <w:tcW w:w="3290" w:type="dxa"/>
            <w:shd w:val="clear" w:color="auto" w:fill="auto"/>
            <w:vAlign w:val="center"/>
          </w:tcPr>
          <w:p w14:paraId="3B688385" w14:textId="77777777" w:rsidR="00E7778E" w:rsidRPr="004710A9" w:rsidRDefault="00E7778E" w:rsidP="00A117ED">
            <w:pPr>
              <w:spacing w:after="0" w:line="240" w:lineRule="auto"/>
              <w:jc w:val="right"/>
              <w:textAlignment w:val="baseline"/>
              <w:rPr>
                <w:rFonts w:ascii="Times New Roman" w:eastAsia="MS PGothic" w:hAnsi="Times New Roman"/>
                <w:color w:val="000000"/>
                <w:kern w:val="24"/>
                <w:sz w:val="20"/>
                <w:szCs w:val="20"/>
                <w:lang w:eastAsia="fr-FR"/>
              </w:rPr>
            </w:pPr>
            <w:r w:rsidRPr="004710A9">
              <w:rPr>
                <w:rFonts w:ascii="Times New Roman" w:eastAsia="MS PGothic" w:hAnsi="Times New Roman"/>
                <w:color w:val="000000"/>
                <w:kern w:val="24"/>
                <w:sz w:val="20"/>
                <w:szCs w:val="20"/>
                <w:lang w:eastAsia="fr-FR"/>
              </w:rPr>
              <w:t>05 Septembre 2017</w:t>
            </w:r>
          </w:p>
        </w:tc>
      </w:tr>
      <w:tr w:rsidR="00E7778E" w:rsidRPr="004710A9" w14:paraId="2245F1DD" w14:textId="77777777" w:rsidTr="009C493D">
        <w:tc>
          <w:tcPr>
            <w:tcW w:w="576" w:type="dxa"/>
            <w:shd w:val="clear" w:color="auto" w:fill="F2F2F2" w:themeFill="background1" w:themeFillShade="F2"/>
            <w:vAlign w:val="center"/>
          </w:tcPr>
          <w:p w14:paraId="5E3D9588" w14:textId="77777777" w:rsidR="00E7778E" w:rsidRPr="004710A9" w:rsidRDefault="00E7778E" w:rsidP="00B53B0E">
            <w:pPr>
              <w:spacing w:after="0" w:line="240" w:lineRule="auto"/>
              <w:jc w:val="both"/>
              <w:textAlignment w:val="baseline"/>
              <w:rPr>
                <w:rFonts w:ascii="Times New Roman" w:eastAsia="MS PGothic" w:hAnsi="Times New Roman"/>
                <w:bCs/>
                <w:color w:val="000000"/>
                <w:kern w:val="24"/>
                <w:sz w:val="24"/>
                <w:szCs w:val="24"/>
                <w:lang w:eastAsia="fr-FR"/>
              </w:rPr>
            </w:pPr>
            <w:r w:rsidRPr="004710A9">
              <w:rPr>
                <w:rFonts w:ascii="Times New Roman" w:eastAsia="MS PGothic" w:hAnsi="Times New Roman"/>
                <w:bCs/>
                <w:color w:val="000000"/>
                <w:kern w:val="24"/>
                <w:sz w:val="24"/>
                <w:szCs w:val="24"/>
                <w:lang w:eastAsia="fr-FR"/>
              </w:rPr>
              <w:t>.3.</w:t>
            </w:r>
          </w:p>
        </w:tc>
        <w:tc>
          <w:tcPr>
            <w:tcW w:w="5386" w:type="dxa"/>
            <w:shd w:val="clear" w:color="auto" w:fill="auto"/>
            <w:vAlign w:val="center"/>
          </w:tcPr>
          <w:p w14:paraId="7B9E593F" w14:textId="77777777" w:rsidR="00E7778E" w:rsidRPr="004710A9" w:rsidRDefault="00E7778E" w:rsidP="00A2631A">
            <w:pPr>
              <w:spacing w:after="0" w:line="240" w:lineRule="auto"/>
              <w:textAlignment w:val="baseline"/>
              <w:rPr>
                <w:rFonts w:ascii="Times New Roman" w:eastAsia="MS PGothic" w:hAnsi="Times New Roman"/>
                <w:bCs/>
                <w:color w:val="000000"/>
                <w:kern w:val="24"/>
                <w:sz w:val="20"/>
                <w:szCs w:val="20"/>
                <w:lang w:eastAsia="fr-FR"/>
              </w:rPr>
            </w:pPr>
            <w:r w:rsidRPr="004710A9">
              <w:rPr>
                <w:rFonts w:ascii="Times New Roman" w:eastAsia="MS PGothic" w:hAnsi="Times New Roman"/>
                <w:bCs/>
                <w:color w:val="000000"/>
                <w:kern w:val="24"/>
                <w:sz w:val="20"/>
                <w:szCs w:val="20"/>
                <w:lang w:eastAsia="fr-FR"/>
              </w:rPr>
              <w:t>Revue documentaire initiale</w:t>
            </w:r>
          </w:p>
        </w:tc>
        <w:tc>
          <w:tcPr>
            <w:tcW w:w="3290" w:type="dxa"/>
            <w:shd w:val="clear" w:color="auto" w:fill="auto"/>
            <w:vAlign w:val="center"/>
          </w:tcPr>
          <w:p w14:paraId="04D2B3BC" w14:textId="77777777" w:rsidR="00E7778E" w:rsidRPr="004710A9" w:rsidRDefault="00E7778E" w:rsidP="00B53B0E">
            <w:pPr>
              <w:spacing w:after="0" w:line="240" w:lineRule="auto"/>
              <w:jc w:val="right"/>
              <w:textAlignment w:val="baseline"/>
              <w:rPr>
                <w:rFonts w:ascii="Times New Roman" w:eastAsia="MS PGothic" w:hAnsi="Times New Roman"/>
                <w:color w:val="000000"/>
                <w:kern w:val="24"/>
                <w:sz w:val="20"/>
                <w:szCs w:val="20"/>
                <w:lang w:eastAsia="fr-FR"/>
              </w:rPr>
            </w:pPr>
            <w:r w:rsidRPr="004710A9">
              <w:rPr>
                <w:rFonts w:ascii="Times New Roman" w:eastAsia="MS PGothic" w:hAnsi="Times New Roman"/>
                <w:color w:val="000000"/>
                <w:kern w:val="24"/>
                <w:sz w:val="20"/>
                <w:szCs w:val="20"/>
                <w:lang w:eastAsia="fr-FR"/>
              </w:rPr>
              <w:t>4-11 Septembre 2017</w:t>
            </w:r>
          </w:p>
        </w:tc>
      </w:tr>
      <w:tr w:rsidR="00E7778E" w:rsidRPr="004710A9" w14:paraId="5BFEC2D4" w14:textId="77777777" w:rsidTr="009C493D">
        <w:tc>
          <w:tcPr>
            <w:tcW w:w="576" w:type="dxa"/>
            <w:shd w:val="clear" w:color="auto" w:fill="F2F2F2" w:themeFill="background1" w:themeFillShade="F2"/>
            <w:vAlign w:val="center"/>
          </w:tcPr>
          <w:p w14:paraId="705C7875" w14:textId="77777777" w:rsidR="00E7778E" w:rsidRPr="004710A9" w:rsidRDefault="00E7778E" w:rsidP="00B53B0E">
            <w:pPr>
              <w:spacing w:after="0" w:line="240" w:lineRule="auto"/>
              <w:jc w:val="both"/>
              <w:textAlignment w:val="baseline"/>
              <w:rPr>
                <w:rFonts w:ascii="Times New Roman" w:eastAsia="MS PGothic" w:hAnsi="Times New Roman"/>
                <w:bCs/>
                <w:color w:val="000000"/>
                <w:kern w:val="24"/>
                <w:sz w:val="24"/>
                <w:szCs w:val="24"/>
                <w:lang w:eastAsia="fr-FR"/>
              </w:rPr>
            </w:pPr>
            <w:r w:rsidRPr="004710A9">
              <w:rPr>
                <w:rFonts w:ascii="Times New Roman" w:eastAsia="MS PGothic" w:hAnsi="Times New Roman"/>
                <w:bCs/>
                <w:color w:val="000000"/>
                <w:kern w:val="24"/>
                <w:sz w:val="24"/>
                <w:szCs w:val="24"/>
                <w:lang w:eastAsia="fr-FR"/>
              </w:rPr>
              <w:t>.4.</w:t>
            </w:r>
          </w:p>
        </w:tc>
        <w:tc>
          <w:tcPr>
            <w:tcW w:w="5386" w:type="dxa"/>
            <w:shd w:val="clear" w:color="auto" w:fill="auto"/>
            <w:vAlign w:val="center"/>
          </w:tcPr>
          <w:p w14:paraId="26862428" w14:textId="77777777" w:rsidR="00E7778E" w:rsidRPr="004710A9" w:rsidRDefault="00E7778E" w:rsidP="00A117ED">
            <w:pPr>
              <w:spacing w:after="0" w:line="240" w:lineRule="auto"/>
              <w:textAlignment w:val="baseline"/>
              <w:rPr>
                <w:rFonts w:ascii="Times New Roman" w:hAnsi="Times New Roman"/>
                <w:color w:val="000000"/>
                <w:sz w:val="20"/>
                <w:szCs w:val="20"/>
                <w:lang w:eastAsia="fr-FR"/>
              </w:rPr>
            </w:pPr>
            <w:r w:rsidRPr="004710A9">
              <w:rPr>
                <w:rFonts w:ascii="Times New Roman" w:eastAsia="MS PGothic" w:hAnsi="Times New Roman"/>
                <w:bCs/>
                <w:color w:val="000000"/>
                <w:kern w:val="24"/>
                <w:sz w:val="20"/>
                <w:szCs w:val="20"/>
                <w:lang w:eastAsia="fr-FR"/>
              </w:rPr>
              <w:t>Entretiens Team leader/chargés de programme Gouvernance</w:t>
            </w:r>
          </w:p>
        </w:tc>
        <w:tc>
          <w:tcPr>
            <w:tcW w:w="3290" w:type="dxa"/>
            <w:vMerge w:val="restart"/>
            <w:shd w:val="clear" w:color="auto" w:fill="auto"/>
            <w:vAlign w:val="center"/>
          </w:tcPr>
          <w:p w14:paraId="0325CB8E" w14:textId="77777777" w:rsidR="00E7778E" w:rsidRPr="004710A9" w:rsidRDefault="00E7778E" w:rsidP="00A117ED">
            <w:pPr>
              <w:spacing w:after="0" w:line="240" w:lineRule="auto"/>
              <w:jc w:val="right"/>
              <w:textAlignment w:val="baseline"/>
              <w:rPr>
                <w:rFonts w:ascii="Times New Roman" w:hAnsi="Times New Roman"/>
                <w:color w:val="000000"/>
                <w:sz w:val="20"/>
                <w:szCs w:val="20"/>
                <w:lang w:eastAsia="fr-FR"/>
              </w:rPr>
            </w:pPr>
            <w:r w:rsidRPr="004710A9">
              <w:rPr>
                <w:rFonts w:ascii="Times New Roman" w:eastAsia="MS PGothic" w:hAnsi="Times New Roman"/>
                <w:color w:val="000000"/>
                <w:kern w:val="24"/>
                <w:sz w:val="20"/>
                <w:szCs w:val="20"/>
                <w:lang w:eastAsia="fr-FR"/>
              </w:rPr>
              <w:t>11 Septembre – 3 Octobre 2017</w:t>
            </w:r>
          </w:p>
        </w:tc>
      </w:tr>
      <w:tr w:rsidR="00E7778E" w:rsidRPr="004710A9" w14:paraId="481A105E" w14:textId="77777777" w:rsidTr="009C493D">
        <w:trPr>
          <w:trHeight w:val="282"/>
        </w:trPr>
        <w:tc>
          <w:tcPr>
            <w:tcW w:w="576" w:type="dxa"/>
            <w:shd w:val="clear" w:color="auto" w:fill="F2F2F2" w:themeFill="background1" w:themeFillShade="F2"/>
            <w:vAlign w:val="center"/>
          </w:tcPr>
          <w:p w14:paraId="57851A5B" w14:textId="77777777" w:rsidR="00E7778E" w:rsidRPr="004710A9" w:rsidRDefault="00E7778E" w:rsidP="00B53B0E">
            <w:pPr>
              <w:spacing w:after="0" w:line="240" w:lineRule="auto"/>
              <w:jc w:val="both"/>
              <w:textAlignment w:val="baseline"/>
              <w:rPr>
                <w:rFonts w:ascii="Times New Roman" w:eastAsia="MS PGothic" w:hAnsi="Times New Roman"/>
                <w:bCs/>
                <w:color w:val="000000"/>
                <w:kern w:val="24"/>
                <w:sz w:val="24"/>
                <w:szCs w:val="24"/>
                <w:lang w:eastAsia="fr-FR"/>
              </w:rPr>
            </w:pPr>
            <w:r w:rsidRPr="004710A9">
              <w:rPr>
                <w:rFonts w:ascii="Times New Roman" w:eastAsia="MS PGothic" w:hAnsi="Times New Roman"/>
                <w:bCs/>
                <w:color w:val="000000"/>
                <w:kern w:val="24"/>
                <w:sz w:val="24"/>
                <w:szCs w:val="24"/>
                <w:lang w:eastAsia="fr-FR"/>
              </w:rPr>
              <w:t>.5.</w:t>
            </w:r>
          </w:p>
        </w:tc>
        <w:tc>
          <w:tcPr>
            <w:tcW w:w="5386" w:type="dxa"/>
            <w:shd w:val="clear" w:color="auto" w:fill="auto"/>
            <w:vAlign w:val="center"/>
          </w:tcPr>
          <w:p w14:paraId="2850EFA6" w14:textId="77777777" w:rsidR="00E7778E" w:rsidRPr="004710A9" w:rsidRDefault="00E7778E" w:rsidP="00A117ED">
            <w:pPr>
              <w:spacing w:after="0" w:line="240" w:lineRule="auto"/>
              <w:textAlignment w:val="baseline"/>
              <w:rPr>
                <w:rFonts w:ascii="Times New Roman" w:hAnsi="Times New Roman"/>
                <w:color w:val="000000"/>
                <w:sz w:val="20"/>
                <w:szCs w:val="20"/>
                <w:lang w:eastAsia="fr-FR"/>
              </w:rPr>
            </w:pPr>
            <w:r w:rsidRPr="004710A9">
              <w:rPr>
                <w:rFonts w:ascii="Times New Roman" w:eastAsia="MS PGothic" w:hAnsi="Times New Roman"/>
                <w:bCs/>
                <w:color w:val="000000"/>
                <w:kern w:val="24"/>
                <w:sz w:val="20"/>
                <w:szCs w:val="20"/>
                <w:lang w:eastAsia="fr-FR"/>
              </w:rPr>
              <w:t>Entretiens Team leader/chargés de programme Environnement</w:t>
            </w:r>
          </w:p>
        </w:tc>
        <w:tc>
          <w:tcPr>
            <w:tcW w:w="3290" w:type="dxa"/>
            <w:vMerge/>
            <w:shd w:val="clear" w:color="auto" w:fill="auto"/>
            <w:vAlign w:val="center"/>
          </w:tcPr>
          <w:p w14:paraId="44067DEF" w14:textId="77777777" w:rsidR="00E7778E" w:rsidRPr="004710A9" w:rsidRDefault="00E7778E" w:rsidP="00A117ED">
            <w:pPr>
              <w:spacing w:after="0" w:line="240" w:lineRule="auto"/>
              <w:jc w:val="right"/>
              <w:textAlignment w:val="baseline"/>
              <w:rPr>
                <w:rFonts w:ascii="Times New Roman" w:hAnsi="Times New Roman"/>
                <w:color w:val="000000"/>
                <w:sz w:val="20"/>
                <w:szCs w:val="20"/>
                <w:lang w:eastAsia="fr-FR"/>
              </w:rPr>
            </w:pPr>
          </w:p>
        </w:tc>
      </w:tr>
      <w:tr w:rsidR="00E7778E" w:rsidRPr="004710A9" w14:paraId="1222BE41" w14:textId="77777777" w:rsidTr="009C493D">
        <w:trPr>
          <w:trHeight w:val="282"/>
        </w:trPr>
        <w:tc>
          <w:tcPr>
            <w:tcW w:w="576" w:type="dxa"/>
            <w:shd w:val="clear" w:color="auto" w:fill="F2F2F2" w:themeFill="background1" w:themeFillShade="F2"/>
            <w:vAlign w:val="center"/>
          </w:tcPr>
          <w:p w14:paraId="2AF2B81F" w14:textId="77777777" w:rsidR="00E7778E" w:rsidRPr="004710A9" w:rsidRDefault="00E7778E" w:rsidP="00B53B0E">
            <w:pPr>
              <w:spacing w:after="0" w:line="240" w:lineRule="auto"/>
              <w:jc w:val="both"/>
              <w:textAlignment w:val="baseline"/>
              <w:rPr>
                <w:rFonts w:ascii="Times New Roman" w:eastAsia="MS PGothic" w:hAnsi="Times New Roman"/>
                <w:bCs/>
                <w:color w:val="000000"/>
                <w:kern w:val="24"/>
                <w:sz w:val="24"/>
                <w:szCs w:val="24"/>
                <w:lang w:eastAsia="fr-FR"/>
              </w:rPr>
            </w:pPr>
            <w:r w:rsidRPr="004710A9">
              <w:rPr>
                <w:rFonts w:ascii="Times New Roman" w:eastAsia="MS PGothic" w:hAnsi="Times New Roman"/>
                <w:bCs/>
                <w:color w:val="000000"/>
                <w:kern w:val="24"/>
                <w:sz w:val="24"/>
                <w:szCs w:val="24"/>
                <w:lang w:eastAsia="fr-FR"/>
              </w:rPr>
              <w:t>.6.</w:t>
            </w:r>
          </w:p>
        </w:tc>
        <w:tc>
          <w:tcPr>
            <w:tcW w:w="5386" w:type="dxa"/>
            <w:shd w:val="clear" w:color="auto" w:fill="auto"/>
            <w:vAlign w:val="center"/>
          </w:tcPr>
          <w:p w14:paraId="3C8E4C29" w14:textId="77777777" w:rsidR="00E7778E" w:rsidRPr="004710A9" w:rsidRDefault="00E7778E" w:rsidP="00464B45">
            <w:pPr>
              <w:spacing w:after="0" w:line="240" w:lineRule="auto"/>
              <w:textAlignment w:val="baseline"/>
              <w:rPr>
                <w:rFonts w:ascii="Times New Roman" w:hAnsi="Times New Roman"/>
                <w:color w:val="000000"/>
                <w:sz w:val="20"/>
                <w:szCs w:val="20"/>
                <w:lang w:eastAsia="fr-FR"/>
              </w:rPr>
            </w:pPr>
            <w:r w:rsidRPr="004710A9">
              <w:rPr>
                <w:rFonts w:ascii="Times New Roman" w:eastAsia="MS PGothic" w:hAnsi="Times New Roman"/>
                <w:bCs/>
                <w:color w:val="000000"/>
                <w:kern w:val="24"/>
                <w:sz w:val="20"/>
                <w:szCs w:val="20"/>
                <w:lang w:eastAsia="fr-FR"/>
              </w:rPr>
              <w:t>Entretiens Unité Politiques et Stratégiques</w:t>
            </w:r>
          </w:p>
        </w:tc>
        <w:tc>
          <w:tcPr>
            <w:tcW w:w="3290" w:type="dxa"/>
            <w:vMerge/>
            <w:shd w:val="clear" w:color="auto" w:fill="auto"/>
            <w:vAlign w:val="center"/>
          </w:tcPr>
          <w:p w14:paraId="3A0CA500" w14:textId="77777777" w:rsidR="00E7778E" w:rsidRPr="004710A9" w:rsidRDefault="00E7778E" w:rsidP="00A117ED">
            <w:pPr>
              <w:spacing w:after="0" w:line="240" w:lineRule="auto"/>
              <w:jc w:val="right"/>
              <w:textAlignment w:val="baseline"/>
              <w:rPr>
                <w:rFonts w:ascii="Times New Roman" w:hAnsi="Times New Roman"/>
                <w:color w:val="000000"/>
                <w:sz w:val="20"/>
                <w:szCs w:val="20"/>
                <w:lang w:eastAsia="fr-FR"/>
              </w:rPr>
            </w:pPr>
          </w:p>
        </w:tc>
      </w:tr>
      <w:tr w:rsidR="00E7778E" w:rsidRPr="004710A9" w14:paraId="032B133D" w14:textId="77777777" w:rsidTr="009C493D">
        <w:trPr>
          <w:trHeight w:val="282"/>
        </w:trPr>
        <w:tc>
          <w:tcPr>
            <w:tcW w:w="576" w:type="dxa"/>
            <w:shd w:val="clear" w:color="auto" w:fill="F2F2F2" w:themeFill="background1" w:themeFillShade="F2"/>
            <w:vAlign w:val="center"/>
          </w:tcPr>
          <w:p w14:paraId="59E98181" w14:textId="77777777" w:rsidR="00E7778E" w:rsidRPr="004710A9" w:rsidRDefault="00E7778E" w:rsidP="00B53B0E">
            <w:pPr>
              <w:spacing w:after="0" w:line="240" w:lineRule="auto"/>
              <w:jc w:val="both"/>
              <w:textAlignment w:val="baseline"/>
              <w:rPr>
                <w:rFonts w:ascii="Times New Roman" w:eastAsia="MS PGothic" w:hAnsi="Times New Roman"/>
                <w:bCs/>
                <w:color w:val="000000"/>
                <w:kern w:val="24"/>
                <w:sz w:val="24"/>
                <w:szCs w:val="24"/>
                <w:lang w:eastAsia="fr-FR"/>
              </w:rPr>
            </w:pPr>
            <w:r w:rsidRPr="004710A9">
              <w:rPr>
                <w:rFonts w:ascii="Times New Roman" w:eastAsia="MS PGothic" w:hAnsi="Times New Roman"/>
                <w:bCs/>
                <w:color w:val="000000"/>
                <w:kern w:val="24"/>
                <w:sz w:val="24"/>
                <w:szCs w:val="24"/>
                <w:lang w:eastAsia="fr-FR"/>
              </w:rPr>
              <w:t>.7.</w:t>
            </w:r>
          </w:p>
        </w:tc>
        <w:tc>
          <w:tcPr>
            <w:tcW w:w="5386" w:type="dxa"/>
            <w:shd w:val="clear" w:color="auto" w:fill="auto"/>
            <w:vAlign w:val="center"/>
          </w:tcPr>
          <w:p w14:paraId="6E1A0D0C" w14:textId="77777777" w:rsidR="00E7778E" w:rsidRPr="004710A9" w:rsidRDefault="00E7778E" w:rsidP="00B53B0E">
            <w:pPr>
              <w:spacing w:after="0" w:line="240" w:lineRule="auto"/>
              <w:textAlignment w:val="baseline"/>
              <w:rPr>
                <w:rFonts w:ascii="Times New Roman" w:eastAsia="MS PGothic" w:hAnsi="Times New Roman"/>
                <w:bCs/>
                <w:color w:val="000000"/>
                <w:kern w:val="24"/>
                <w:sz w:val="20"/>
                <w:szCs w:val="20"/>
                <w:lang w:eastAsia="fr-FR"/>
              </w:rPr>
            </w:pPr>
            <w:r w:rsidRPr="004710A9">
              <w:rPr>
                <w:rFonts w:ascii="Times New Roman" w:eastAsia="MS PGothic" w:hAnsi="Times New Roman"/>
                <w:bCs/>
                <w:color w:val="000000"/>
                <w:kern w:val="24"/>
                <w:sz w:val="20"/>
                <w:szCs w:val="20"/>
                <w:lang w:eastAsia="fr-FR"/>
              </w:rPr>
              <w:t>Entretien Directeur Programme</w:t>
            </w:r>
          </w:p>
        </w:tc>
        <w:tc>
          <w:tcPr>
            <w:tcW w:w="3290" w:type="dxa"/>
            <w:vMerge/>
            <w:shd w:val="clear" w:color="auto" w:fill="auto"/>
            <w:vAlign w:val="center"/>
          </w:tcPr>
          <w:p w14:paraId="787387BB" w14:textId="77777777" w:rsidR="00E7778E" w:rsidRPr="004710A9" w:rsidRDefault="00E7778E" w:rsidP="00A117ED">
            <w:pPr>
              <w:spacing w:after="0" w:line="240" w:lineRule="auto"/>
              <w:jc w:val="right"/>
              <w:textAlignment w:val="baseline"/>
              <w:rPr>
                <w:rFonts w:ascii="Times New Roman" w:eastAsia="MS PGothic" w:hAnsi="Times New Roman"/>
                <w:color w:val="000000"/>
                <w:kern w:val="24"/>
                <w:sz w:val="20"/>
                <w:szCs w:val="20"/>
                <w:lang w:eastAsia="fr-FR"/>
              </w:rPr>
            </w:pPr>
          </w:p>
        </w:tc>
      </w:tr>
      <w:tr w:rsidR="00E7778E" w:rsidRPr="004710A9" w14:paraId="4898B81A" w14:textId="77777777" w:rsidTr="009C493D">
        <w:tc>
          <w:tcPr>
            <w:tcW w:w="576" w:type="dxa"/>
            <w:shd w:val="clear" w:color="auto" w:fill="F2F2F2" w:themeFill="background1" w:themeFillShade="F2"/>
            <w:vAlign w:val="center"/>
          </w:tcPr>
          <w:p w14:paraId="268DB9D8" w14:textId="77777777" w:rsidR="00E7778E" w:rsidRPr="004710A9" w:rsidRDefault="00E7778E" w:rsidP="00B53B0E">
            <w:pPr>
              <w:spacing w:after="0" w:line="240" w:lineRule="auto"/>
              <w:jc w:val="both"/>
              <w:textAlignment w:val="baseline"/>
              <w:rPr>
                <w:rFonts w:ascii="Times New Roman" w:eastAsia="MS PGothic" w:hAnsi="Times New Roman"/>
                <w:bCs/>
                <w:color w:val="000000"/>
                <w:kern w:val="24"/>
                <w:sz w:val="24"/>
                <w:szCs w:val="24"/>
                <w:lang w:eastAsia="fr-FR"/>
              </w:rPr>
            </w:pPr>
            <w:r w:rsidRPr="004710A9">
              <w:rPr>
                <w:rFonts w:ascii="Times New Roman" w:eastAsia="MS PGothic" w:hAnsi="Times New Roman"/>
                <w:bCs/>
                <w:color w:val="000000"/>
                <w:kern w:val="24"/>
                <w:sz w:val="24"/>
                <w:szCs w:val="24"/>
                <w:lang w:eastAsia="fr-FR"/>
              </w:rPr>
              <w:t>.8.</w:t>
            </w:r>
          </w:p>
        </w:tc>
        <w:tc>
          <w:tcPr>
            <w:tcW w:w="5386" w:type="dxa"/>
            <w:shd w:val="clear" w:color="auto" w:fill="auto"/>
            <w:vAlign w:val="center"/>
          </w:tcPr>
          <w:p w14:paraId="261F4D2B" w14:textId="77777777" w:rsidR="00E7778E" w:rsidRPr="004710A9" w:rsidRDefault="00E7778E" w:rsidP="00464B45">
            <w:pPr>
              <w:spacing w:after="0" w:line="240" w:lineRule="auto"/>
              <w:textAlignment w:val="baseline"/>
              <w:rPr>
                <w:rFonts w:ascii="Times New Roman" w:hAnsi="Times New Roman"/>
                <w:color w:val="000000"/>
                <w:sz w:val="20"/>
                <w:szCs w:val="20"/>
                <w:lang w:eastAsia="fr-FR"/>
              </w:rPr>
            </w:pPr>
            <w:r w:rsidRPr="004710A9">
              <w:rPr>
                <w:rFonts w:ascii="Times New Roman" w:eastAsia="MS PGothic" w:hAnsi="Times New Roman"/>
                <w:bCs/>
                <w:color w:val="000000"/>
                <w:kern w:val="24"/>
                <w:sz w:val="20"/>
                <w:szCs w:val="20"/>
                <w:lang w:eastAsia="fr-FR"/>
              </w:rPr>
              <w:t>Entretiens Section Fonds Mondial</w:t>
            </w:r>
          </w:p>
        </w:tc>
        <w:tc>
          <w:tcPr>
            <w:tcW w:w="3290" w:type="dxa"/>
            <w:vMerge/>
            <w:shd w:val="clear" w:color="auto" w:fill="auto"/>
            <w:vAlign w:val="center"/>
          </w:tcPr>
          <w:p w14:paraId="19E02FDC" w14:textId="77777777" w:rsidR="00E7778E" w:rsidRPr="004710A9" w:rsidRDefault="00E7778E" w:rsidP="00B53B0E">
            <w:pPr>
              <w:spacing w:after="0" w:line="240" w:lineRule="auto"/>
              <w:jc w:val="right"/>
              <w:textAlignment w:val="baseline"/>
              <w:rPr>
                <w:rFonts w:ascii="Times New Roman" w:hAnsi="Times New Roman"/>
                <w:color w:val="000000"/>
                <w:sz w:val="20"/>
                <w:szCs w:val="20"/>
                <w:lang w:eastAsia="fr-FR"/>
              </w:rPr>
            </w:pPr>
          </w:p>
        </w:tc>
      </w:tr>
      <w:tr w:rsidR="00E7778E" w:rsidRPr="004710A9" w14:paraId="3C9C1EFA" w14:textId="77777777" w:rsidTr="009C493D">
        <w:tc>
          <w:tcPr>
            <w:tcW w:w="576" w:type="dxa"/>
            <w:shd w:val="clear" w:color="auto" w:fill="F2F2F2" w:themeFill="background1" w:themeFillShade="F2"/>
            <w:vAlign w:val="center"/>
          </w:tcPr>
          <w:p w14:paraId="25DBAB98" w14:textId="77777777" w:rsidR="00E7778E" w:rsidRPr="004710A9" w:rsidRDefault="00E7778E" w:rsidP="00A117ED">
            <w:pPr>
              <w:spacing w:after="0" w:line="240" w:lineRule="auto"/>
              <w:jc w:val="both"/>
              <w:textAlignment w:val="baseline"/>
              <w:rPr>
                <w:rFonts w:ascii="Times New Roman" w:eastAsia="MS PGothic" w:hAnsi="Times New Roman"/>
                <w:bCs/>
                <w:color w:val="000000"/>
                <w:kern w:val="24"/>
                <w:sz w:val="24"/>
                <w:szCs w:val="24"/>
                <w:lang w:eastAsia="fr-FR"/>
              </w:rPr>
            </w:pPr>
            <w:r w:rsidRPr="004710A9">
              <w:rPr>
                <w:rFonts w:ascii="Times New Roman" w:eastAsia="MS PGothic" w:hAnsi="Times New Roman"/>
                <w:bCs/>
                <w:color w:val="000000"/>
                <w:kern w:val="24"/>
                <w:sz w:val="24"/>
                <w:szCs w:val="24"/>
                <w:lang w:eastAsia="fr-FR"/>
              </w:rPr>
              <w:t>.9.</w:t>
            </w:r>
          </w:p>
        </w:tc>
        <w:tc>
          <w:tcPr>
            <w:tcW w:w="5386" w:type="dxa"/>
            <w:shd w:val="clear" w:color="auto" w:fill="auto"/>
            <w:vAlign w:val="center"/>
          </w:tcPr>
          <w:p w14:paraId="77529A24" w14:textId="77777777" w:rsidR="00E7778E" w:rsidRPr="004710A9" w:rsidRDefault="00E7778E" w:rsidP="00A117ED">
            <w:pPr>
              <w:spacing w:after="0" w:line="240" w:lineRule="auto"/>
              <w:textAlignment w:val="baseline"/>
              <w:rPr>
                <w:rFonts w:ascii="Times New Roman" w:eastAsia="MS PGothic" w:hAnsi="Times New Roman"/>
                <w:bCs/>
                <w:color w:val="000000"/>
                <w:kern w:val="24"/>
                <w:sz w:val="20"/>
                <w:szCs w:val="20"/>
                <w:lang w:eastAsia="fr-FR"/>
              </w:rPr>
            </w:pPr>
            <w:r w:rsidRPr="004710A9">
              <w:rPr>
                <w:rFonts w:ascii="Times New Roman" w:eastAsia="MS PGothic" w:hAnsi="Times New Roman"/>
                <w:bCs/>
                <w:color w:val="000000"/>
                <w:kern w:val="24"/>
                <w:sz w:val="20"/>
                <w:szCs w:val="20"/>
                <w:lang w:eastAsia="fr-FR"/>
              </w:rPr>
              <w:t>Entretiens Partie nationale institutionnelle</w:t>
            </w:r>
          </w:p>
        </w:tc>
        <w:tc>
          <w:tcPr>
            <w:tcW w:w="3290" w:type="dxa"/>
            <w:vMerge/>
            <w:shd w:val="clear" w:color="auto" w:fill="auto"/>
            <w:vAlign w:val="center"/>
          </w:tcPr>
          <w:p w14:paraId="36F05290" w14:textId="77777777" w:rsidR="00E7778E" w:rsidRPr="004710A9" w:rsidRDefault="00E7778E" w:rsidP="00A117ED">
            <w:pPr>
              <w:spacing w:after="0" w:line="240" w:lineRule="auto"/>
              <w:jc w:val="right"/>
              <w:textAlignment w:val="baseline"/>
              <w:rPr>
                <w:rFonts w:ascii="Times New Roman" w:hAnsi="Times New Roman"/>
                <w:color w:val="000000"/>
                <w:sz w:val="20"/>
                <w:szCs w:val="20"/>
                <w:lang w:eastAsia="fr-FR"/>
              </w:rPr>
            </w:pPr>
          </w:p>
        </w:tc>
      </w:tr>
      <w:tr w:rsidR="00E7778E" w:rsidRPr="004710A9" w14:paraId="03BB2B8F" w14:textId="77777777" w:rsidTr="009C493D">
        <w:tc>
          <w:tcPr>
            <w:tcW w:w="576" w:type="dxa"/>
            <w:shd w:val="clear" w:color="auto" w:fill="F2F2F2" w:themeFill="background1" w:themeFillShade="F2"/>
            <w:vAlign w:val="center"/>
          </w:tcPr>
          <w:p w14:paraId="4C5D2D4B" w14:textId="77777777" w:rsidR="00E7778E" w:rsidRPr="004710A9" w:rsidRDefault="00E7778E" w:rsidP="00A117ED">
            <w:pPr>
              <w:spacing w:after="0" w:line="240" w:lineRule="auto"/>
              <w:jc w:val="both"/>
              <w:textAlignment w:val="baseline"/>
              <w:rPr>
                <w:rFonts w:ascii="Times New Roman" w:eastAsia="MS PGothic" w:hAnsi="Times New Roman"/>
                <w:bCs/>
                <w:color w:val="000000"/>
                <w:kern w:val="24"/>
                <w:sz w:val="24"/>
                <w:szCs w:val="24"/>
                <w:lang w:eastAsia="fr-FR"/>
              </w:rPr>
            </w:pPr>
            <w:r w:rsidRPr="004710A9">
              <w:rPr>
                <w:rFonts w:ascii="Times New Roman" w:eastAsia="MS PGothic" w:hAnsi="Times New Roman"/>
                <w:bCs/>
                <w:color w:val="000000"/>
                <w:kern w:val="24"/>
                <w:sz w:val="24"/>
                <w:szCs w:val="24"/>
                <w:lang w:eastAsia="fr-FR"/>
              </w:rPr>
              <w:t>.10.</w:t>
            </w:r>
          </w:p>
        </w:tc>
        <w:tc>
          <w:tcPr>
            <w:tcW w:w="5386" w:type="dxa"/>
            <w:shd w:val="clear" w:color="auto" w:fill="auto"/>
            <w:vAlign w:val="center"/>
          </w:tcPr>
          <w:p w14:paraId="2D9F733C" w14:textId="77777777" w:rsidR="00E7778E" w:rsidRPr="004710A9" w:rsidRDefault="00E7778E" w:rsidP="00A117ED">
            <w:pPr>
              <w:spacing w:after="0" w:line="240" w:lineRule="auto"/>
              <w:textAlignment w:val="baseline"/>
              <w:rPr>
                <w:rFonts w:ascii="Times New Roman" w:eastAsia="MS PGothic" w:hAnsi="Times New Roman"/>
                <w:bCs/>
                <w:color w:val="000000"/>
                <w:kern w:val="24"/>
                <w:sz w:val="20"/>
                <w:szCs w:val="20"/>
                <w:lang w:eastAsia="fr-FR"/>
              </w:rPr>
            </w:pPr>
            <w:r w:rsidRPr="004710A9">
              <w:rPr>
                <w:rFonts w:ascii="Times New Roman" w:eastAsia="MS PGothic" w:hAnsi="Times New Roman"/>
                <w:bCs/>
                <w:color w:val="000000"/>
                <w:kern w:val="24"/>
                <w:sz w:val="20"/>
                <w:szCs w:val="20"/>
                <w:lang w:eastAsia="fr-FR"/>
              </w:rPr>
              <w:t>Entretiens Partie nationale : Société civile</w:t>
            </w:r>
          </w:p>
        </w:tc>
        <w:tc>
          <w:tcPr>
            <w:tcW w:w="3290" w:type="dxa"/>
            <w:vMerge/>
            <w:shd w:val="clear" w:color="auto" w:fill="auto"/>
            <w:vAlign w:val="center"/>
          </w:tcPr>
          <w:p w14:paraId="5914883B" w14:textId="77777777" w:rsidR="00E7778E" w:rsidRPr="004710A9" w:rsidRDefault="00E7778E" w:rsidP="00A117ED">
            <w:pPr>
              <w:spacing w:after="0" w:line="240" w:lineRule="auto"/>
              <w:jc w:val="right"/>
              <w:textAlignment w:val="baseline"/>
              <w:rPr>
                <w:rFonts w:ascii="Times New Roman" w:hAnsi="Times New Roman"/>
                <w:color w:val="000000"/>
                <w:sz w:val="20"/>
                <w:szCs w:val="20"/>
                <w:lang w:eastAsia="fr-FR"/>
              </w:rPr>
            </w:pPr>
          </w:p>
        </w:tc>
      </w:tr>
      <w:tr w:rsidR="00E7778E" w:rsidRPr="004710A9" w14:paraId="204C60E2" w14:textId="77777777" w:rsidTr="009C493D">
        <w:tc>
          <w:tcPr>
            <w:tcW w:w="576" w:type="dxa"/>
            <w:shd w:val="clear" w:color="auto" w:fill="F2F2F2" w:themeFill="background1" w:themeFillShade="F2"/>
            <w:vAlign w:val="center"/>
          </w:tcPr>
          <w:p w14:paraId="3E82C48C" w14:textId="77777777" w:rsidR="00E7778E" w:rsidRPr="004710A9" w:rsidRDefault="00E7778E" w:rsidP="00B96F0F">
            <w:pPr>
              <w:spacing w:after="0" w:line="240" w:lineRule="auto"/>
              <w:jc w:val="both"/>
              <w:textAlignment w:val="baseline"/>
              <w:rPr>
                <w:rFonts w:ascii="Times New Roman" w:eastAsia="MS PGothic" w:hAnsi="Times New Roman"/>
                <w:bCs/>
                <w:color w:val="000000"/>
                <w:kern w:val="24"/>
                <w:sz w:val="24"/>
                <w:szCs w:val="24"/>
                <w:lang w:eastAsia="fr-FR"/>
              </w:rPr>
            </w:pPr>
            <w:r w:rsidRPr="004710A9">
              <w:rPr>
                <w:rFonts w:ascii="Times New Roman" w:eastAsia="MS PGothic" w:hAnsi="Times New Roman"/>
                <w:bCs/>
                <w:color w:val="000000"/>
                <w:kern w:val="24"/>
                <w:sz w:val="24"/>
                <w:szCs w:val="24"/>
                <w:lang w:eastAsia="fr-FR"/>
              </w:rPr>
              <w:t>.11.</w:t>
            </w:r>
          </w:p>
        </w:tc>
        <w:tc>
          <w:tcPr>
            <w:tcW w:w="5386" w:type="dxa"/>
            <w:shd w:val="clear" w:color="auto" w:fill="auto"/>
            <w:vAlign w:val="center"/>
          </w:tcPr>
          <w:p w14:paraId="39BB0028" w14:textId="77777777" w:rsidR="00E7778E" w:rsidRPr="004710A9" w:rsidRDefault="00E7778E" w:rsidP="00B96F0F">
            <w:pPr>
              <w:spacing w:after="0" w:line="240" w:lineRule="auto"/>
              <w:textAlignment w:val="baseline"/>
              <w:rPr>
                <w:rFonts w:ascii="Times New Roman" w:eastAsia="MS PGothic" w:hAnsi="Times New Roman"/>
                <w:bCs/>
                <w:color w:val="000000"/>
                <w:kern w:val="24"/>
                <w:sz w:val="20"/>
                <w:szCs w:val="20"/>
                <w:lang w:eastAsia="fr-FR"/>
              </w:rPr>
            </w:pPr>
            <w:r w:rsidRPr="004710A9">
              <w:rPr>
                <w:rFonts w:ascii="Times New Roman" w:eastAsia="MS PGothic" w:hAnsi="Times New Roman"/>
                <w:bCs/>
                <w:color w:val="000000"/>
                <w:kern w:val="24"/>
                <w:sz w:val="20"/>
                <w:szCs w:val="20"/>
                <w:lang w:eastAsia="fr-FR"/>
              </w:rPr>
              <w:t>Entretiens Bénéficiaires directs</w:t>
            </w:r>
          </w:p>
        </w:tc>
        <w:tc>
          <w:tcPr>
            <w:tcW w:w="3290" w:type="dxa"/>
            <w:vMerge/>
            <w:shd w:val="clear" w:color="auto" w:fill="auto"/>
            <w:vAlign w:val="center"/>
          </w:tcPr>
          <w:p w14:paraId="5601DB71" w14:textId="77777777" w:rsidR="00E7778E" w:rsidRPr="004710A9" w:rsidRDefault="00E7778E" w:rsidP="00B96F0F">
            <w:pPr>
              <w:spacing w:after="0" w:line="240" w:lineRule="auto"/>
              <w:jc w:val="right"/>
              <w:textAlignment w:val="baseline"/>
              <w:rPr>
                <w:rFonts w:ascii="Times New Roman" w:hAnsi="Times New Roman"/>
                <w:color w:val="000000"/>
                <w:sz w:val="20"/>
                <w:szCs w:val="20"/>
                <w:lang w:eastAsia="fr-FR"/>
              </w:rPr>
            </w:pPr>
          </w:p>
        </w:tc>
      </w:tr>
      <w:tr w:rsidR="00E7778E" w:rsidRPr="004710A9" w14:paraId="1FE9C01F" w14:textId="77777777" w:rsidTr="009C493D">
        <w:tc>
          <w:tcPr>
            <w:tcW w:w="576" w:type="dxa"/>
            <w:shd w:val="clear" w:color="auto" w:fill="F2F2F2" w:themeFill="background1" w:themeFillShade="F2"/>
            <w:vAlign w:val="center"/>
          </w:tcPr>
          <w:p w14:paraId="2D2D87FB" w14:textId="77777777" w:rsidR="00E7778E" w:rsidRPr="004710A9" w:rsidRDefault="00E7778E" w:rsidP="00B96F0F">
            <w:pPr>
              <w:spacing w:after="0" w:line="240" w:lineRule="auto"/>
              <w:jc w:val="both"/>
              <w:textAlignment w:val="baseline"/>
              <w:rPr>
                <w:rFonts w:ascii="Times New Roman" w:eastAsia="MS PGothic" w:hAnsi="Times New Roman"/>
                <w:bCs/>
                <w:color w:val="000000"/>
                <w:kern w:val="24"/>
                <w:sz w:val="24"/>
                <w:szCs w:val="24"/>
                <w:lang w:eastAsia="fr-FR"/>
              </w:rPr>
            </w:pPr>
            <w:r w:rsidRPr="004710A9">
              <w:rPr>
                <w:rFonts w:ascii="Times New Roman" w:eastAsia="MS PGothic" w:hAnsi="Times New Roman"/>
                <w:bCs/>
                <w:color w:val="000000"/>
                <w:kern w:val="24"/>
                <w:sz w:val="24"/>
                <w:szCs w:val="24"/>
                <w:lang w:eastAsia="fr-FR"/>
              </w:rPr>
              <w:t>.12.</w:t>
            </w:r>
          </w:p>
        </w:tc>
        <w:tc>
          <w:tcPr>
            <w:tcW w:w="5386" w:type="dxa"/>
            <w:shd w:val="clear" w:color="auto" w:fill="auto"/>
            <w:vAlign w:val="center"/>
          </w:tcPr>
          <w:p w14:paraId="46C685C5" w14:textId="77777777" w:rsidR="00E7778E" w:rsidRPr="004710A9" w:rsidRDefault="00E7778E" w:rsidP="00B96F0F">
            <w:pPr>
              <w:spacing w:after="0" w:line="240" w:lineRule="auto"/>
              <w:textAlignment w:val="baseline"/>
              <w:rPr>
                <w:rFonts w:ascii="Times New Roman" w:eastAsia="MS PGothic" w:hAnsi="Times New Roman"/>
                <w:bCs/>
                <w:color w:val="000000"/>
                <w:kern w:val="24"/>
                <w:sz w:val="20"/>
                <w:szCs w:val="20"/>
                <w:lang w:eastAsia="fr-FR"/>
              </w:rPr>
            </w:pPr>
            <w:r w:rsidRPr="004710A9">
              <w:rPr>
                <w:rFonts w:ascii="Times New Roman" w:eastAsia="MS PGothic" w:hAnsi="Times New Roman"/>
                <w:bCs/>
                <w:color w:val="000000"/>
                <w:kern w:val="24"/>
                <w:sz w:val="20"/>
                <w:szCs w:val="20"/>
                <w:lang w:eastAsia="fr-FR"/>
              </w:rPr>
              <w:t>Entretiens avec les PTF</w:t>
            </w:r>
          </w:p>
        </w:tc>
        <w:tc>
          <w:tcPr>
            <w:tcW w:w="3290" w:type="dxa"/>
            <w:vMerge/>
            <w:shd w:val="clear" w:color="auto" w:fill="auto"/>
            <w:vAlign w:val="center"/>
          </w:tcPr>
          <w:p w14:paraId="4906AB63" w14:textId="77777777" w:rsidR="00E7778E" w:rsidRPr="004710A9" w:rsidRDefault="00E7778E" w:rsidP="00B96F0F">
            <w:pPr>
              <w:spacing w:after="0" w:line="240" w:lineRule="auto"/>
              <w:jc w:val="right"/>
              <w:textAlignment w:val="baseline"/>
              <w:rPr>
                <w:rFonts w:ascii="Times New Roman" w:hAnsi="Times New Roman"/>
                <w:color w:val="000000"/>
                <w:sz w:val="20"/>
                <w:szCs w:val="20"/>
                <w:lang w:eastAsia="fr-FR"/>
              </w:rPr>
            </w:pPr>
          </w:p>
        </w:tc>
      </w:tr>
      <w:tr w:rsidR="006D47EF" w:rsidRPr="004710A9" w14:paraId="3E06228E" w14:textId="77777777" w:rsidTr="009C493D">
        <w:tc>
          <w:tcPr>
            <w:tcW w:w="576" w:type="dxa"/>
            <w:shd w:val="clear" w:color="auto" w:fill="F2F2F2" w:themeFill="background1" w:themeFillShade="F2"/>
            <w:vAlign w:val="center"/>
          </w:tcPr>
          <w:p w14:paraId="657C1FDB" w14:textId="77777777" w:rsidR="006D47EF" w:rsidRPr="004710A9" w:rsidRDefault="006D47EF" w:rsidP="00B96F0F">
            <w:pPr>
              <w:spacing w:after="0" w:line="240" w:lineRule="auto"/>
              <w:jc w:val="both"/>
              <w:textAlignment w:val="baseline"/>
              <w:rPr>
                <w:rFonts w:ascii="Times New Roman" w:eastAsia="MS PGothic" w:hAnsi="Times New Roman"/>
                <w:bCs/>
                <w:color w:val="000000"/>
                <w:kern w:val="24"/>
                <w:sz w:val="24"/>
                <w:szCs w:val="24"/>
                <w:lang w:eastAsia="fr-FR"/>
              </w:rPr>
            </w:pPr>
            <w:r w:rsidRPr="004710A9">
              <w:rPr>
                <w:rFonts w:ascii="Times New Roman" w:eastAsia="MS PGothic" w:hAnsi="Times New Roman"/>
                <w:bCs/>
                <w:color w:val="000000"/>
                <w:kern w:val="24"/>
                <w:sz w:val="24"/>
                <w:szCs w:val="24"/>
                <w:lang w:eastAsia="fr-FR"/>
              </w:rPr>
              <w:t>.14.</w:t>
            </w:r>
          </w:p>
        </w:tc>
        <w:tc>
          <w:tcPr>
            <w:tcW w:w="5386" w:type="dxa"/>
            <w:shd w:val="clear" w:color="auto" w:fill="auto"/>
            <w:vAlign w:val="center"/>
          </w:tcPr>
          <w:p w14:paraId="65DEF00B" w14:textId="77777777" w:rsidR="006D47EF" w:rsidRPr="004710A9" w:rsidRDefault="006D47EF" w:rsidP="00B96F0F">
            <w:pPr>
              <w:spacing w:after="0" w:line="240" w:lineRule="auto"/>
              <w:textAlignment w:val="baseline"/>
              <w:rPr>
                <w:rFonts w:ascii="Times New Roman" w:hAnsi="Times New Roman"/>
                <w:color w:val="000000"/>
                <w:sz w:val="20"/>
                <w:szCs w:val="20"/>
                <w:lang w:eastAsia="fr-FR"/>
              </w:rPr>
            </w:pPr>
            <w:r w:rsidRPr="004710A9">
              <w:rPr>
                <w:rFonts w:ascii="Times New Roman" w:eastAsia="MS PGothic" w:hAnsi="Times New Roman"/>
                <w:bCs/>
                <w:color w:val="000000"/>
                <w:kern w:val="24"/>
                <w:sz w:val="20"/>
                <w:szCs w:val="20"/>
                <w:lang w:eastAsia="fr-FR"/>
              </w:rPr>
              <w:t>Débriefing avec le staff du PNUD à Bamako</w:t>
            </w:r>
          </w:p>
        </w:tc>
        <w:tc>
          <w:tcPr>
            <w:tcW w:w="3290" w:type="dxa"/>
            <w:shd w:val="clear" w:color="auto" w:fill="auto"/>
            <w:vAlign w:val="center"/>
          </w:tcPr>
          <w:p w14:paraId="34ABCDE2" w14:textId="77777777" w:rsidR="006D47EF" w:rsidRPr="004710A9" w:rsidRDefault="006D47EF" w:rsidP="00B96F0F">
            <w:pPr>
              <w:spacing w:after="0" w:line="240" w:lineRule="auto"/>
              <w:jc w:val="right"/>
              <w:textAlignment w:val="baseline"/>
              <w:rPr>
                <w:rFonts w:ascii="Times New Roman" w:hAnsi="Times New Roman"/>
                <w:color w:val="000000"/>
                <w:sz w:val="20"/>
                <w:szCs w:val="20"/>
                <w:lang w:eastAsia="fr-FR"/>
              </w:rPr>
            </w:pPr>
            <w:r w:rsidRPr="004710A9">
              <w:rPr>
                <w:rFonts w:ascii="Times New Roman" w:hAnsi="Times New Roman"/>
                <w:color w:val="000000"/>
                <w:sz w:val="20"/>
                <w:szCs w:val="20"/>
                <w:lang w:eastAsia="fr-FR"/>
              </w:rPr>
              <w:t>02 Octobre 2017</w:t>
            </w:r>
          </w:p>
        </w:tc>
      </w:tr>
      <w:tr w:rsidR="006D47EF" w:rsidRPr="004710A9" w14:paraId="7711B39A" w14:textId="77777777" w:rsidTr="009C493D">
        <w:tc>
          <w:tcPr>
            <w:tcW w:w="576" w:type="dxa"/>
            <w:shd w:val="clear" w:color="auto" w:fill="F2F2F2" w:themeFill="background1" w:themeFillShade="F2"/>
            <w:vAlign w:val="center"/>
          </w:tcPr>
          <w:p w14:paraId="0C68780F" w14:textId="77777777" w:rsidR="006D47EF" w:rsidRPr="004710A9" w:rsidRDefault="006D47EF" w:rsidP="00B96F0F">
            <w:pPr>
              <w:spacing w:after="0" w:line="240" w:lineRule="auto"/>
              <w:jc w:val="both"/>
              <w:textAlignment w:val="baseline"/>
              <w:rPr>
                <w:rFonts w:ascii="Times New Roman" w:eastAsia="MS PGothic" w:hAnsi="Times New Roman"/>
                <w:bCs/>
                <w:color w:val="000000"/>
                <w:kern w:val="24"/>
                <w:sz w:val="24"/>
                <w:szCs w:val="24"/>
                <w:lang w:eastAsia="fr-FR"/>
              </w:rPr>
            </w:pPr>
            <w:r w:rsidRPr="004710A9">
              <w:rPr>
                <w:rFonts w:ascii="Times New Roman" w:eastAsia="MS PGothic" w:hAnsi="Times New Roman"/>
                <w:bCs/>
                <w:color w:val="000000"/>
                <w:kern w:val="24"/>
                <w:sz w:val="24"/>
                <w:szCs w:val="24"/>
                <w:lang w:eastAsia="fr-FR"/>
              </w:rPr>
              <w:t>.15.</w:t>
            </w:r>
          </w:p>
        </w:tc>
        <w:tc>
          <w:tcPr>
            <w:tcW w:w="5386" w:type="dxa"/>
            <w:shd w:val="clear" w:color="auto" w:fill="auto"/>
            <w:vAlign w:val="center"/>
          </w:tcPr>
          <w:p w14:paraId="1ED27C17" w14:textId="77777777" w:rsidR="006D47EF" w:rsidRPr="004710A9" w:rsidRDefault="006D47EF" w:rsidP="00B96F0F">
            <w:pPr>
              <w:spacing w:after="0" w:line="240" w:lineRule="auto"/>
              <w:textAlignment w:val="baseline"/>
              <w:rPr>
                <w:rFonts w:ascii="Times New Roman" w:eastAsia="MS PGothic" w:hAnsi="Times New Roman"/>
                <w:bCs/>
                <w:color w:val="000000"/>
                <w:kern w:val="24"/>
                <w:sz w:val="20"/>
                <w:szCs w:val="20"/>
                <w:lang w:eastAsia="fr-FR"/>
              </w:rPr>
            </w:pPr>
            <w:r w:rsidRPr="004710A9">
              <w:rPr>
                <w:rFonts w:ascii="Times New Roman" w:eastAsia="MS PGothic" w:hAnsi="Times New Roman"/>
                <w:bCs/>
                <w:color w:val="000000"/>
                <w:kern w:val="24"/>
                <w:sz w:val="20"/>
                <w:szCs w:val="20"/>
                <w:lang w:eastAsia="fr-FR"/>
              </w:rPr>
              <w:t>Rapport</w:t>
            </w:r>
          </w:p>
        </w:tc>
        <w:tc>
          <w:tcPr>
            <w:tcW w:w="3290" w:type="dxa"/>
            <w:shd w:val="clear" w:color="auto" w:fill="auto"/>
            <w:vAlign w:val="center"/>
          </w:tcPr>
          <w:p w14:paraId="0BEF5161" w14:textId="77777777" w:rsidR="006D47EF" w:rsidRPr="004710A9" w:rsidRDefault="006D47EF" w:rsidP="00B96F0F">
            <w:pPr>
              <w:spacing w:after="0" w:line="240" w:lineRule="auto"/>
              <w:jc w:val="right"/>
              <w:textAlignment w:val="baseline"/>
              <w:rPr>
                <w:rFonts w:ascii="Times New Roman" w:hAnsi="Times New Roman"/>
                <w:color w:val="000000"/>
                <w:sz w:val="20"/>
                <w:szCs w:val="20"/>
                <w:lang w:eastAsia="fr-FR"/>
              </w:rPr>
            </w:pPr>
            <w:r w:rsidRPr="004710A9">
              <w:rPr>
                <w:rFonts w:ascii="Times New Roman" w:hAnsi="Times New Roman"/>
                <w:color w:val="000000"/>
                <w:sz w:val="20"/>
                <w:szCs w:val="20"/>
                <w:lang w:eastAsia="fr-FR"/>
              </w:rPr>
              <w:t>03-10 Octobre 2017</w:t>
            </w:r>
          </w:p>
        </w:tc>
      </w:tr>
    </w:tbl>
    <w:p w14:paraId="7D241214" w14:textId="77777777" w:rsidR="0076625E" w:rsidRPr="004710A9" w:rsidRDefault="0076625E" w:rsidP="0076625E">
      <w:pPr>
        <w:tabs>
          <w:tab w:val="left" w:pos="1945"/>
        </w:tabs>
        <w:spacing w:after="0" w:line="240" w:lineRule="auto"/>
        <w:jc w:val="both"/>
        <w:rPr>
          <w:rFonts w:ascii="Times New Roman" w:hAnsi="Times New Roman"/>
          <w:bCs/>
          <w:sz w:val="24"/>
          <w:szCs w:val="24"/>
        </w:rPr>
      </w:pPr>
      <w:r w:rsidRPr="004710A9">
        <w:rPr>
          <w:rFonts w:ascii="Times New Roman" w:hAnsi="Times New Roman"/>
          <w:bCs/>
          <w:sz w:val="24"/>
          <w:szCs w:val="24"/>
        </w:rPr>
        <w:tab/>
      </w:r>
    </w:p>
    <w:p w14:paraId="6BD68246" w14:textId="77777777" w:rsidR="00BA3DC6" w:rsidRDefault="00C9419B" w:rsidP="00B96F0F">
      <w:pPr>
        <w:spacing w:after="0" w:line="240" w:lineRule="auto"/>
        <w:jc w:val="both"/>
        <w:rPr>
          <w:rFonts w:ascii="Times New Roman" w:hAnsi="Times New Roman"/>
          <w:bCs/>
          <w:sz w:val="24"/>
          <w:szCs w:val="24"/>
        </w:rPr>
      </w:pPr>
      <w:r w:rsidRPr="004710A9">
        <w:rPr>
          <w:rFonts w:ascii="Times New Roman" w:hAnsi="Times New Roman"/>
          <w:bCs/>
          <w:sz w:val="24"/>
          <w:szCs w:val="24"/>
        </w:rPr>
        <w:t>1</w:t>
      </w:r>
      <w:r w:rsidR="00795741" w:rsidRPr="004710A9">
        <w:rPr>
          <w:rFonts w:ascii="Times New Roman" w:hAnsi="Times New Roman"/>
          <w:bCs/>
          <w:sz w:val="24"/>
          <w:szCs w:val="24"/>
        </w:rPr>
        <w:t>5</w:t>
      </w:r>
      <w:r w:rsidRPr="004710A9">
        <w:rPr>
          <w:rFonts w:ascii="Times New Roman" w:hAnsi="Times New Roman"/>
          <w:bCs/>
          <w:sz w:val="24"/>
          <w:szCs w:val="24"/>
        </w:rPr>
        <w:t>.</w:t>
      </w:r>
      <w:r w:rsidR="00BA3DC6" w:rsidRPr="004710A9">
        <w:rPr>
          <w:rFonts w:ascii="Times New Roman" w:hAnsi="Times New Roman"/>
          <w:bCs/>
          <w:sz w:val="24"/>
          <w:szCs w:val="24"/>
        </w:rPr>
        <w:tab/>
        <w:t>L</w:t>
      </w:r>
      <w:r w:rsidR="00464B45" w:rsidRPr="004710A9">
        <w:rPr>
          <w:rFonts w:ascii="Times New Roman" w:hAnsi="Times New Roman"/>
          <w:bCs/>
          <w:sz w:val="24"/>
          <w:szCs w:val="24"/>
        </w:rPr>
        <w:t xml:space="preserve">a mission au Mali </w:t>
      </w:r>
      <w:r w:rsidR="00BA3DC6" w:rsidRPr="004710A9">
        <w:rPr>
          <w:rFonts w:ascii="Times New Roman" w:hAnsi="Times New Roman"/>
          <w:bCs/>
          <w:sz w:val="24"/>
          <w:szCs w:val="24"/>
        </w:rPr>
        <w:t xml:space="preserve">a </w:t>
      </w:r>
      <w:r w:rsidR="00464B45" w:rsidRPr="004710A9">
        <w:rPr>
          <w:rFonts w:ascii="Times New Roman" w:hAnsi="Times New Roman"/>
          <w:bCs/>
          <w:sz w:val="24"/>
          <w:szCs w:val="24"/>
        </w:rPr>
        <w:t xml:space="preserve">donc </w:t>
      </w:r>
      <w:r w:rsidR="00BA3DC6" w:rsidRPr="004710A9">
        <w:rPr>
          <w:rFonts w:ascii="Times New Roman" w:hAnsi="Times New Roman"/>
          <w:bCs/>
          <w:sz w:val="24"/>
          <w:szCs w:val="24"/>
        </w:rPr>
        <w:t>démarré par un briefing</w:t>
      </w:r>
      <w:r w:rsidR="00BA3DC6" w:rsidRPr="006B309F">
        <w:rPr>
          <w:rFonts w:ascii="Times New Roman" w:hAnsi="Times New Roman"/>
          <w:bCs/>
          <w:sz w:val="24"/>
          <w:szCs w:val="24"/>
        </w:rPr>
        <w:t xml:space="preserve"> à </w:t>
      </w:r>
      <w:r w:rsidR="001A1105" w:rsidRPr="006B309F">
        <w:rPr>
          <w:rFonts w:ascii="Times New Roman" w:hAnsi="Times New Roman"/>
          <w:bCs/>
          <w:sz w:val="24"/>
          <w:szCs w:val="24"/>
        </w:rPr>
        <w:t>deux</w:t>
      </w:r>
      <w:r w:rsidR="00BA3DC6" w:rsidRPr="006B309F">
        <w:rPr>
          <w:rFonts w:ascii="Times New Roman" w:hAnsi="Times New Roman"/>
          <w:bCs/>
          <w:sz w:val="24"/>
          <w:szCs w:val="24"/>
        </w:rPr>
        <w:t xml:space="preserve"> niveaux (</w:t>
      </w:r>
      <w:r w:rsidR="00464B45">
        <w:rPr>
          <w:rFonts w:ascii="Times New Roman" w:hAnsi="Times New Roman"/>
          <w:bCs/>
          <w:sz w:val="24"/>
          <w:szCs w:val="24"/>
        </w:rPr>
        <w:t>Stratégique et technique), et s’</w:t>
      </w:r>
      <w:r w:rsidR="00BA3DC6" w:rsidRPr="006B309F">
        <w:rPr>
          <w:rFonts w:ascii="Times New Roman" w:hAnsi="Times New Roman"/>
          <w:bCs/>
          <w:sz w:val="24"/>
          <w:szCs w:val="24"/>
        </w:rPr>
        <w:t xml:space="preserve">est </w:t>
      </w:r>
      <w:r w:rsidR="00415BCF" w:rsidRPr="006B309F">
        <w:rPr>
          <w:rFonts w:ascii="Times New Roman" w:hAnsi="Times New Roman"/>
          <w:bCs/>
          <w:sz w:val="24"/>
          <w:szCs w:val="24"/>
        </w:rPr>
        <w:t>conclu</w:t>
      </w:r>
      <w:r w:rsidR="00464B45">
        <w:rPr>
          <w:rFonts w:ascii="Times New Roman" w:hAnsi="Times New Roman"/>
          <w:bCs/>
          <w:sz w:val="24"/>
          <w:szCs w:val="24"/>
        </w:rPr>
        <w:t>e</w:t>
      </w:r>
      <w:r w:rsidR="00415BCF" w:rsidRPr="006B309F">
        <w:rPr>
          <w:rFonts w:ascii="Times New Roman" w:hAnsi="Times New Roman"/>
          <w:bCs/>
          <w:sz w:val="24"/>
          <w:szCs w:val="24"/>
        </w:rPr>
        <w:t xml:space="preserve"> </w:t>
      </w:r>
      <w:r w:rsidR="00BA3DC6" w:rsidRPr="006B309F">
        <w:rPr>
          <w:rFonts w:ascii="Times New Roman" w:hAnsi="Times New Roman"/>
          <w:bCs/>
          <w:sz w:val="24"/>
          <w:szCs w:val="24"/>
        </w:rPr>
        <w:t>par un débriefing avec l’Equipe technique de Programme</w:t>
      </w:r>
      <w:r w:rsidR="00415BCF" w:rsidRPr="006B309F">
        <w:rPr>
          <w:rFonts w:ascii="Times New Roman" w:hAnsi="Times New Roman"/>
          <w:bCs/>
          <w:sz w:val="24"/>
          <w:szCs w:val="24"/>
        </w:rPr>
        <w:t xml:space="preserve"> sous la présidence du Directeur du Programme</w:t>
      </w:r>
      <w:r w:rsidR="00BA3DC6" w:rsidRPr="006B309F">
        <w:rPr>
          <w:rFonts w:ascii="Times New Roman" w:hAnsi="Times New Roman"/>
          <w:bCs/>
          <w:sz w:val="24"/>
          <w:szCs w:val="24"/>
        </w:rPr>
        <w:t xml:space="preserve">. Le premier type de rencontre a permis </w:t>
      </w:r>
      <w:r w:rsidR="001A1105" w:rsidRPr="006B309F">
        <w:rPr>
          <w:rFonts w:ascii="Times New Roman" w:hAnsi="Times New Roman"/>
          <w:bCs/>
          <w:sz w:val="24"/>
          <w:szCs w:val="24"/>
        </w:rPr>
        <w:t xml:space="preserve">au </w:t>
      </w:r>
      <w:r w:rsidR="00BA3DC6" w:rsidRPr="006B309F">
        <w:rPr>
          <w:rFonts w:ascii="Times New Roman" w:hAnsi="Times New Roman"/>
          <w:bCs/>
          <w:sz w:val="24"/>
          <w:szCs w:val="24"/>
        </w:rPr>
        <w:t>PNUD de préciser ses attentes, et aux évaluateurs de partager leur</w:t>
      </w:r>
      <w:r w:rsidR="00464B45">
        <w:rPr>
          <w:rFonts w:ascii="Times New Roman" w:hAnsi="Times New Roman"/>
          <w:bCs/>
          <w:sz w:val="24"/>
          <w:szCs w:val="24"/>
        </w:rPr>
        <w:t xml:space="preserve"> compréhension de la mission, </w:t>
      </w:r>
      <w:r w:rsidR="00464B45">
        <w:rPr>
          <w:rFonts w:ascii="Times New Roman" w:hAnsi="Times New Roman"/>
          <w:bCs/>
          <w:sz w:val="24"/>
          <w:szCs w:val="24"/>
        </w:rPr>
        <w:lastRenderedPageBreak/>
        <w:t>annonciatrice de la</w:t>
      </w:r>
      <w:r w:rsidR="00BA3DC6" w:rsidRPr="006B309F">
        <w:rPr>
          <w:rFonts w:ascii="Times New Roman" w:hAnsi="Times New Roman"/>
          <w:bCs/>
          <w:sz w:val="24"/>
          <w:szCs w:val="24"/>
        </w:rPr>
        <w:t xml:space="preserve"> méthodologie</w:t>
      </w:r>
      <w:r w:rsidR="00464B45">
        <w:rPr>
          <w:rFonts w:ascii="Times New Roman" w:hAnsi="Times New Roman"/>
          <w:bCs/>
          <w:sz w:val="24"/>
          <w:szCs w:val="24"/>
        </w:rPr>
        <w:t xml:space="preserve"> finalisée suite à la revue documentaire initiale</w:t>
      </w:r>
      <w:r w:rsidR="00BA3DC6" w:rsidRPr="006B309F">
        <w:rPr>
          <w:rFonts w:ascii="Times New Roman" w:hAnsi="Times New Roman"/>
          <w:bCs/>
          <w:sz w:val="24"/>
          <w:szCs w:val="24"/>
        </w:rPr>
        <w:t xml:space="preserve">, tandis que le débriefing a donné aux Consultants l’opportunité de restituer leurs </w:t>
      </w:r>
      <w:r w:rsidR="001A1105" w:rsidRPr="006B309F">
        <w:rPr>
          <w:rFonts w:ascii="Times New Roman" w:hAnsi="Times New Roman"/>
          <w:bCs/>
          <w:sz w:val="24"/>
          <w:szCs w:val="24"/>
        </w:rPr>
        <w:t xml:space="preserve">observations </w:t>
      </w:r>
      <w:r w:rsidR="00BA3DC6" w:rsidRPr="006B309F">
        <w:rPr>
          <w:rFonts w:ascii="Times New Roman" w:hAnsi="Times New Roman"/>
          <w:bCs/>
          <w:sz w:val="24"/>
          <w:szCs w:val="24"/>
        </w:rPr>
        <w:t>intermédiaires et de recueillir le premier feedback des parties avant d’aller plus avant dans l’élaboration du rapport.</w:t>
      </w:r>
    </w:p>
    <w:p w14:paraId="1F509EC2" w14:textId="77777777" w:rsidR="006D47EF" w:rsidRPr="006B309F" w:rsidRDefault="006D47EF" w:rsidP="00B96F0F">
      <w:pPr>
        <w:spacing w:after="0" w:line="240" w:lineRule="auto"/>
        <w:jc w:val="both"/>
        <w:rPr>
          <w:rFonts w:ascii="Times New Roman" w:hAnsi="Times New Roman"/>
          <w:bCs/>
          <w:sz w:val="24"/>
          <w:szCs w:val="24"/>
        </w:rPr>
      </w:pPr>
    </w:p>
    <w:p w14:paraId="72E73E88" w14:textId="77777777" w:rsidR="00BA3DC6" w:rsidRPr="006B309F" w:rsidRDefault="00BA3DC6" w:rsidP="00B026AE">
      <w:pPr>
        <w:pStyle w:val="Titre1"/>
        <w:numPr>
          <w:ilvl w:val="0"/>
          <w:numId w:val="4"/>
        </w:numPr>
        <w:spacing w:before="0" w:line="240" w:lineRule="auto"/>
        <w:rPr>
          <w:color w:val="auto"/>
        </w:rPr>
      </w:pPr>
      <w:bookmarkStart w:id="61" w:name="_Toc499211587"/>
      <w:bookmarkStart w:id="62" w:name="_Toc499213860"/>
      <w:r w:rsidRPr="006B309F">
        <w:rPr>
          <w:color w:val="auto"/>
        </w:rPr>
        <w:t>Contexte national</w:t>
      </w:r>
      <w:bookmarkEnd w:id="61"/>
      <w:bookmarkEnd w:id="62"/>
    </w:p>
    <w:p w14:paraId="2C56E13E" w14:textId="77777777" w:rsidR="00BA3DC6" w:rsidRPr="006B309F" w:rsidRDefault="00BA3DC6" w:rsidP="00B96F0F">
      <w:pPr>
        <w:autoSpaceDE w:val="0"/>
        <w:autoSpaceDN w:val="0"/>
        <w:adjustRightInd w:val="0"/>
        <w:spacing w:after="0" w:line="240" w:lineRule="auto"/>
        <w:rPr>
          <w:rFonts w:ascii="Times New Roman" w:hAnsi="Times New Roman"/>
          <w:b/>
          <w:bCs/>
          <w:sz w:val="24"/>
          <w:szCs w:val="24"/>
        </w:rPr>
      </w:pPr>
    </w:p>
    <w:p w14:paraId="1C0BC87D" w14:textId="77777777" w:rsidR="00BA3DC6" w:rsidRPr="006D47EF" w:rsidRDefault="00F30803" w:rsidP="00B026AE">
      <w:pPr>
        <w:pStyle w:val="Titre2"/>
        <w:numPr>
          <w:ilvl w:val="1"/>
          <w:numId w:val="4"/>
        </w:numPr>
        <w:spacing w:before="0"/>
        <w:rPr>
          <w:rFonts w:ascii="Times New Roman" w:hAnsi="Times New Roman"/>
          <w:color w:val="auto"/>
          <w:sz w:val="24"/>
          <w:szCs w:val="24"/>
        </w:rPr>
      </w:pPr>
      <w:bookmarkStart w:id="63" w:name="_Toc499211588"/>
      <w:bookmarkStart w:id="64" w:name="_Toc499213861"/>
      <w:r w:rsidRPr="006D47EF">
        <w:rPr>
          <w:rFonts w:ascii="Times New Roman" w:hAnsi="Times New Roman"/>
          <w:color w:val="auto"/>
          <w:sz w:val="24"/>
          <w:szCs w:val="24"/>
        </w:rPr>
        <w:t>Milieu naturel</w:t>
      </w:r>
      <w:bookmarkEnd w:id="63"/>
      <w:bookmarkEnd w:id="64"/>
    </w:p>
    <w:p w14:paraId="0B172966" w14:textId="77777777" w:rsidR="00BA3DC6" w:rsidRPr="006D47EF" w:rsidRDefault="00BA3DC6" w:rsidP="00F30803">
      <w:pPr>
        <w:tabs>
          <w:tab w:val="left" w:pos="892"/>
        </w:tabs>
        <w:autoSpaceDE w:val="0"/>
        <w:autoSpaceDN w:val="0"/>
        <w:adjustRightInd w:val="0"/>
        <w:spacing w:after="0" w:line="240" w:lineRule="auto"/>
        <w:jc w:val="both"/>
        <w:rPr>
          <w:rFonts w:ascii="Times New Roman" w:hAnsi="Times New Roman"/>
          <w:sz w:val="24"/>
          <w:szCs w:val="24"/>
        </w:rPr>
      </w:pPr>
    </w:p>
    <w:p w14:paraId="129BD432" w14:textId="77777777" w:rsidR="00B53B0E" w:rsidRPr="006D47EF" w:rsidRDefault="00B53B0E" w:rsidP="00F30803">
      <w:pPr>
        <w:spacing w:after="0" w:line="240" w:lineRule="auto"/>
        <w:jc w:val="both"/>
        <w:rPr>
          <w:rFonts w:ascii="Times New Roman" w:hAnsi="Times New Roman"/>
          <w:sz w:val="24"/>
          <w:szCs w:val="24"/>
        </w:rPr>
      </w:pPr>
      <w:r w:rsidRPr="00EA74DA">
        <w:rPr>
          <w:rFonts w:ascii="Times New Roman" w:hAnsi="Times New Roman"/>
          <w:sz w:val="24"/>
          <w:szCs w:val="24"/>
        </w:rPr>
        <w:t>1</w:t>
      </w:r>
      <w:r w:rsidR="002017E6" w:rsidRPr="00EA74DA">
        <w:rPr>
          <w:rFonts w:ascii="Times New Roman" w:hAnsi="Times New Roman"/>
          <w:sz w:val="24"/>
          <w:szCs w:val="24"/>
        </w:rPr>
        <w:t>6</w:t>
      </w:r>
      <w:r w:rsidRPr="00EA74DA">
        <w:rPr>
          <w:rFonts w:ascii="Times New Roman" w:hAnsi="Times New Roman"/>
          <w:sz w:val="24"/>
          <w:szCs w:val="24"/>
        </w:rPr>
        <w:t>.</w:t>
      </w:r>
      <w:r w:rsidRPr="00EA74DA">
        <w:rPr>
          <w:rFonts w:ascii="Times New Roman" w:hAnsi="Times New Roman"/>
          <w:sz w:val="24"/>
          <w:szCs w:val="24"/>
        </w:rPr>
        <w:tab/>
        <w:t xml:space="preserve">Le Mali couvre une superficie de 1.241.238 Km2, avec une population estimée </w:t>
      </w:r>
      <w:r w:rsidR="000B63F2" w:rsidRPr="00EA74DA">
        <w:rPr>
          <w:rFonts w:ascii="Times New Roman" w:hAnsi="Times New Roman"/>
          <w:sz w:val="24"/>
          <w:szCs w:val="24"/>
        </w:rPr>
        <w:t>à</w:t>
      </w:r>
      <w:r w:rsidRPr="00EA74DA">
        <w:rPr>
          <w:rFonts w:ascii="Times New Roman" w:hAnsi="Times New Roman"/>
          <w:sz w:val="24"/>
          <w:szCs w:val="24"/>
        </w:rPr>
        <w:t xml:space="preserve"> 1</w:t>
      </w:r>
      <w:r w:rsidR="007762E7" w:rsidRPr="00EA74DA">
        <w:rPr>
          <w:rFonts w:ascii="Times New Roman" w:hAnsi="Times New Roman"/>
          <w:sz w:val="24"/>
          <w:szCs w:val="24"/>
        </w:rPr>
        <w:t>7</w:t>
      </w:r>
      <w:r w:rsidR="000B63F2" w:rsidRPr="00EA74DA">
        <w:rPr>
          <w:rFonts w:ascii="Times New Roman" w:hAnsi="Times New Roman"/>
          <w:sz w:val="24"/>
          <w:szCs w:val="24"/>
        </w:rPr>
        <w:t xml:space="preserve">,5 millions </w:t>
      </w:r>
      <w:r w:rsidRPr="00EA74DA">
        <w:rPr>
          <w:rFonts w:ascii="Times New Roman" w:hAnsi="Times New Roman"/>
          <w:sz w:val="24"/>
          <w:szCs w:val="24"/>
        </w:rPr>
        <w:t>habitants</w:t>
      </w:r>
      <w:r w:rsidR="000B63F2" w:rsidRPr="00EA74DA">
        <w:rPr>
          <w:rFonts w:ascii="Times New Roman" w:hAnsi="Times New Roman"/>
          <w:sz w:val="24"/>
          <w:szCs w:val="24"/>
        </w:rPr>
        <w:t xml:space="preserve"> en 2015 (source : Direction nationale de la Population)</w:t>
      </w:r>
      <w:r w:rsidRPr="00EA74DA">
        <w:rPr>
          <w:rFonts w:ascii="Times New Roman" w:hAnsi="Times New Roman"/>
          <w:sz w:val="24"/>
          <w:szCs w:val="24"/>
        </w:rPr>
        <w:t>, dont 50,4% de femmes. A 3,6% en rythme annuel, la croissance naturelle est importante, parmi les plus élevées de la région. La densité démographique est très variable d’une zone à</w:t>
      </w:r>
      <w:r w:rsidRPr="006D47EF">
        <w:rPr>
          <w:rFonts w:ascii="Times New Roman" w:hAnsi="Times New Roman"/>
          <w:sz w:val="24"/>
          <w:szCs w:val="24"/>
        </w:rPr>
        <w:t xml:space="preserve"> une autre, passant de 90 habitants/Km2 à moins de 5 habitants/Km2 dans l’extrême nord du pays. </w:t>
      </w:r>
    </w:p>
    <w:p w14:paraId="7F284718" w14:textId="77777777" w:rsidR="00953544" w:rsidRPr="006D47EF" w:rsidRDefault="00953544" w:rsidP="00B96F0F">
      <w:pPr>
        <w:autoSpaceDE w:val="0"/>
        <w:autoSpaceDN w:val="0"/>
        <w:adjustRightInd w:val="0"/>
        <w:spacing w:after="0" w:line="240" w:lineRule="auto"/>
        <w:jc w:val="both"/>
        <w:rPr>
          <w:rFonts w:ascii="Times New Roman" w:hAnsi="Times New Roman"/>
          <w:sz w:val="24"/>
          <w:szCs w:val="24"/>
        </w:rPr>
      </w:pPr>
    </w:p>
    <w:p w14:paraId="473C681E" w14:textId="77777777" w:rsidR="00953544" w:rsidRPr="006D47EF" w:rsidRDefault="00490991" w:rsidP="00B026AE">
      <w:pPr>
        <w:pStyle w:val="Titre2"/>
        <w:numPr>
          <w:ilvl w:val="1"/>
          <w:numId w:val="4"/>
        </w:numPr>
        <w:spacing w:before="0"/>
        <w:rPr>
          <w:rFonts w:ascii="Times New Roman" w:hAnsi="Times New Roman"/>
          <w:color w:val="auto"/>
          <w:sz w:val="24"/>
          <w:szCs w:val="24"/>
        </w:rPr>
      </w:pPr>
      <w:bookmarkStart w:id="65" w:name="_Toc464410985"/>
      <w:bookmarkStart w:id="66" w:name="_Toc499211589"/>
      <w:bookmarkStart w:id="67" w:name="_Toc499213862"/>
      <w:r w:rsidRPr="006D47EF">
        <w:rPr>
          <w:rFonts w:ascii="Times New Roman" w:hAnsi="Times New Roman"/>
          <w:color w:val="auto"/>
          <w:sz w:val="24"/>
          <w:szCs w:val="24"/>
        </w:rPr>
        <w:t>G</w:t>
      </w:r>
      <w:r w:rsidR="00953544" w:rsidRPr="006D47EF">
        <w:rPr>
          <w:rFonts w:ascii="Times New Roman" w:hAnsi="Times New Roman"/>
          <w:color w:val="auto"/>
          <w:sz w:val="24"/>
          <w:szCs w:val="24"/>
        </w:rPr>
        <w:t>ouvernance</w:t>
      </w:r>
      <w:bookmarkEnd w:id="65"/>
      <w:r w:rsidRPr="006D47EF">
        <w:rPr>
          <w:rFonts w:ascii="Times New Roman" w:hAnsi="Times New Roman"/>
          <w:color w:val="auto"/>
          <w:sz w:val="24"/>
          <w:szCs w:val="24"/>
        </w:rPr>
        <w:t xml:space="preserve"> et de sécurité</w:t>
      </w:r>
      <w:bookmarkEnd w:id="66"/>
      <w:bookmarkEnd w:id="67"/>
    </w:p>
    <w:p w14:paraId="73731F3C" w14:textId="77777777" w:rsidR="00490991" w:rsidRPr="006D47EF" w:rsidRDefault="00490991" w:rsidP="00490991">
      <w:pPr>
        <w:autoSpaceDE w:val="0"/>
        <w:autoSpaceDN w:val="0"/>
        <w:adjustRightInd w:val="0"/>
        <w:spacing w:after="0" w:line="240" w:lineRule="auto"/>
        <w:jc w:val="both"/>
        <w:rPr>
          <w:rFonts w:ascii="Times New Roman" w:hAnsi="Times New Roman"/>
          <w:sz w:val="24"/>
          <w:szCs w:val="24"/>
        </w:rPr>
      </w:pPr>
    </w:p>
    <w:p w14:paraId="228246EC" w14:textId="77777777" w:rsidR="00490991" w:rsidRPr="006D47EF" w:rsidRDefault="002017E6" w:rsidP="00490991">
      <w:pPr>
        <w:autoSpaceDE w:val="0"/>
        <w:autoSpaceDN w:val="0"/>
        <w:adjustRightInd w:val="0"/>
        <w:spacing w:after="0" w:line="240" w:lineRule="auto"/>
        <w:jc w:val="both"/>
        <w:rPr>
          <w:rFonts w:ascii="Times New Roman" w:hAnsi="Times New Roman"/>
          <w:sz w:val="24"/>
          <w:szCs w:val="24"/>
        </w:rPr>
      </w:pPr>
      <w:r w:rsidRPr="006D47EF">
        <w:rPr>
          <w:rFonts w:ascii="Times New Roman" w:hAnsi="Times New Roman"/>
          <w:sz w:val="24"/>
          <w:szCs w:val="24"/>
        </w:rPr>
        <w:t>17</w:t>
      </w:r>
      <w:r w:rsidR="00490991" w:rsidRPr="006D47EF">
        <w:rPr>
          <w:rFonts w:ascii="Times New Roman" w:hAnsi="Times New Roman"/>
          <w:sz w:val="24"/>
          <w:szCs w:val="24"/>
        </w:rPr>
        <w:t>.</w:t>
      </w:r>
      <w:r w:rsidR="00490991" w:rsidRPr="006D47EF">
        <w:rPr>
          <w:rFonts w:ascii="Times New Roman" w:hAnsi="Times New Roman"/>
          <w:sz w:val="24"/>
          <w:szCs w:val="24"/>
        </w:rPr>
        <w:tab/>
        <w:t>Le pays est une République laïque, avec un parlement monocaméral, l’Assemblée Nationale, qui exerce le pouvoir législatif. Le pouvoir exécutif est exercé par un Président élu au suffrage universel direct et son gouvernement dirigé par un Premier Ministre. La plus haute autorité judiciaire est la Cour Suprême. Des organes élus, à travers les collectivités territoriales, assurent des responsabilités dans la conception et la mise en œuvre du développement local. Les réformes en faveur de la décentralisation se succèdent, sans donner pour le moment de pleins résultats s’agissant du transfert des compétences et des ressources en faveur des collectivités locales.</w:t>
      </w:r>
    </w:p>
    <w:p w14:paraId="7AE7849A" w14:textId="77777777" w:rsidR="00490991" w:rsidRPr="006D47EF" w:rsidRDefault="00490991" w:rsidP="00490991">
      <w:pPr>
        <w:autoSpaceDE w:val="0"/>
        <w:autoSpaceDN w:val="0"/>
        <w:adjustRightInd w:val="0"/>
        <w:spacing w:after="0" w:line="240" w:lineRule="auto"/>
        <w:jc w:val="both"/>
        <w:rPr>
          <w:rFonts w:ascii="Times New Roman" w:hAnsi="Times New Roman"/>
          <w:sz w:val="24"/>
          <w:szCs w:val="24"/>
        </w:rPr>
      </w:pPr>
    </w:p>
    <w:p w14:paraId="1ED702FB" w14:textId="77777777" w:rsidR="00490991" w:rsidRPr="006D47EF" w:rsidRDefault="002017E6" w:rsidP="00490991">
      <w:pPr>
        <w:autoSpaceDE w:val="0"/>
        <w:autoSpaceDN w:val="0"/>
        <w:adjustRightInd w:val="0"/>
        <w:spacing w:after="0" w:line="240" w:lineRule="auto"/>
        <w:jc w:val="both"/>
        <w:rPr>
          <w:rFonts w:ascii="Times New Roman" w:hAnsi="Times New Roman"/>
          <w:sz w:val="24"/>
          <w:szCs w:val="24"/>
        </w:rPr>
      </w:pPr>
      <w:r w:rsidRPr="006D47EF">
        <w:rPr>
          <w:rFonts w:ascii="Times New Roman" w:hAnsi="Times New Roman"/>
          <w:sz w:val="24"/>
          <w:szCs w:val="24"/>
        </w:rPr>
        <w:t>18</w:t>
      </w:r>
      <w:r w:rsidR="00490991" w:rsidRPr="006D47EF">
        <w:rPr>
          <w:rFonts w:ascii="Times New Roman" w:hAnsi="Times New Roman"/>
          <w:sz w:val="24"/>
          <w:szCs w:val="24"/>
        </w:rPr>
        <w:t>.</w:t>
      </w:r>
      <w:r w:rsidR="00490991" w:rsidRPr="006D47EF">
        <w:rPr>
          <w:rFonts w:ascii="Times New Roman" w:hAnsi="Times New Roman"/>
          <w:sz w:val="24"/>
          <w:szCs w:val="24"/>
        </w:rPr>
        <w:tab/>
        <w:t>Sur le plan sécuritaire, un Accord de Paix et de Réconciliation a été signé en juin 2014. Mais sa mise en œuvre rencontre encore de nombreuses difficultés. La situation sécuritaire du pays, notamment dans le Nord et le Centre, ne s’est guère améliorée. Un référendum visant à modifier la constitution et adossé à ce contexte a finalement été ajourné après avoir suscité beaucoup d’émoi et de controverses à travers le pays.</w:t>
      </w:r>
      <w:r w:rsidR="00490991" w:rsidRPr="006D47EF">
        <w:rPr>
          <w:rFonts w:ascii="Times New Roman" w:hAnsi="Times New Roman"/>
          <w:sz w:val="24"/>
          <w:szCs w:val="24"/>
        </w:rPr>
        <w:tab/>
        <w:t xml:space="preserve"> Au total, en dépit  du  retour  à  un  calme  relatif  dans  le  nord,  l’insécurité  reste préoccupante dans certaines régions. Le rétablissement de l’autorité de l’État, le retour des réfugiés et des personnes déplacées dans le pays et l’accès aux zones d’intervention restent des défis majeurs.</w:t>
      </w:r>
    </w:p>
    <w:p w14:paraId="399A148D" w14:textId="77777777" w:rsidR="00490991" w:rsidRPr="006D47EF" w:rsidRDefault="00490991" w:rsidP="00490991">
      <w:pPr>
        <w:autoSpaceDE w:val="0"/>
        <w:autoSpaceDN w:val="0"/>
        <w:adjustRightInd w:val="0"/>
        <w:spacing w:after="0" w:line="240" w:lineRule="auto"/>
        <w:jc w:val="both"/>
        <w:rPr>
          <w:rFonts w:ascii="Times New Roman" w:hAnsi="Times New Roman"/>
          <w:sz w:val="24"/>
          <w:szCs w:val="24"/>
        </w:rPr>
      </w:pPr>
    </w:p>
    <w:p w14:paraId="671335FE" w14:textId="77777777" w:rsidR="00953544" w:rsidRPr="006D47EF" w:rsidRDefault="00490991" w:rsidP="00B026AE">
      <w:pPr>
        <w:pStyle w:val="Titre2"/>
        <w:numPr>
          <w:ilvl w:val="1"/>
          <w:numId w:val="4"/>
        </w:numPr>
        <w:spacing w:before="0"/>
        <w:rPr>
          <w:rFonts w:ascii="Times New Roman" w:hAnsi="Times New Roman"/>
          <w:color w:val="auto"/>
          <w:sz w:val="24"/>
          <w:szCs w:val="24"/>
        </w:rPr>
      </w:pPr>
      <w:bookmarkStart w:id="68" w:name="_Toc464410986"/>
      <w:bookmarkStart w:id="69" w:name="_Toc499211590"/>
      <w:bookmarkStart w:id="70" w:name="_Toc499213863"/>
      <w:r w:rsidRPr="006D47EF">
        <w:rPr>
          <w:rFonts w:ascii="Times New Roman" w:hAnsi="Times New Roman"/>
          <w:color w:val="auto"/>
          <w:sz w:val="24"/>
          <w:szCs w:val="24"/>
        </w:rPr>
        <w:t>E</w:t>
      </w:r>
      <w:r w:rsidR="00953544" w:rsidRPr="006D47EF">
        <w:rPr>
          <w:rFonts w:ascii="Times New Roman" w:hAnsi="Times New Roman"/>
          <w:color w:val="auto"/>
          <w:sz w:val="24"/>
          <w:szCs w:val="24"/>
        </w:rPr>
        <w:t>conomi</w:t>
      </w:r>
      <w:r w:rsidRPr="006D47EF">
        <w:rPr>
          <w:rFonts w:ascii="Times New Roman" w:hAnsi="Times New Roman"/>
          <w:color w:val="auto"/>
          <w:sz w:val="24"/>
          <w:szCs w:val="24"/>
        </w:rPr>
        <w:t>e</w:t>
      </w:r>
      <w:r w:rsidR="00953544" w:rsidRPr="006D47EF">
        <w:rPr>
          <w:rFonts w:ascii="Times New Roman" w:hAnsi="Times New Roman"/>
          <w:color w:val="auto"/>
          <w:sz w:val="24"/>
          <w:szCs w:val="24"/>
        </w:rPr>
        <w:t xml:space="preserve"> et </w:t>
      </w:r>
      <w:r w:rsidRPr="006D47EF">
        <w:rPr>
          <w:rFonts w:ascii="Times New Roman" w:hAnsi="Times New Roman"/>
          <w:color w:val="auto"/>
          <w:sz w:val="24"/>
          <w:szCs w:val="24"/>
        </w:rPr>
        <w:t>développement humain</w:t>
      </w:r>
      <w:bookmarkEnd w:id="68"/>
      <w:bookmarkEnd w:id="69"/>
      <w:bookmarkEnd w:id="70"/>
    </w:p>
    <w:p w14:paraId="670B4A21" w14:textId="77777777" w:rsidR="00953544" w:rsidRPr="006D47EF" w:rsidRDefault="00953544" w:rsidP="00B96F0F">
      <w:pPr>
        <w:autoSpaceDE w:val="0"/>
        <w:autoSpaceDN w:val="0"/>
        <w:adjustRightInd w:val="0"/>
        <w:spacing w:after="0" w:line="240" w:lineRule="auto"/>
        <w:jc w:val="both"/>
        <w:rPr>
          <w:rFonts w:ascii="Times New Roman" w:hAnsi="Times New Roman"/>
          <w:sz w:val="24"/>
          <w:szCs w:val="24"/>
        </w:rPr>
      </w:pPr>
    </w:p>
    <w:p w14:paraId="3727D3AB" w14:textId="77777777" w:rsidR="00490991" w:rsidRPr="006D47EF" w:rsidRDefault="002017E6" w:rsidP="00490991">
      <w:pPr>
        <w:autoSpaceDE w:val="0"/>
        <w:autoSpaceDN w:val="0"/>
        <w:adjustRightInd w:val="0"/>
        <w:spacing w:after="0" w:line="240" w:lineRule="auto"/>
        <w:jc w:val="both"/>
        <w:rPr>
          <w:rFonts w:ascii="Times New Roman" w:hAnsi="Times New Roman"/>
          <w:sz w:val="24"/>
          <w:szCs w:val="24"/>
        </w:rPr>
      </w:pPr>
      <w:r w:rsidRPr="006D47EF">
        <w:rPr>
          <w:rFonts w:ascii="Times New Roman" w:hAnsi="Times New Roman"/>
          <w:sz w:val="24"/>
          <w:szCs w:val="24"/>
        </w:rPr>
        <w:t>19</w:t>
      </w:r>
      <w:r w:rsidR="00490991" w:rsidRPr="006D47EF">
        <w:rPr>
          <w:rFonts w:ascii="Times New Roman" w:hAnsi="Times New Roman"/>
          <w:sz w:val="24"/>
          <w:szCs w:val="24"/>
        </w:rPr>
        <w:t>.</w:t>
      </w:r>
      <w:r w:rsidR="00490991" w:rsidRPr="006D47EF">
        <w:rPr>
          <w:rFonts w:ascii="Times New Roman" w:hAnsi="Times New Roman"/>
          <w:sz w:val="24"/>
          <w:szCs w:val="24"/>
        </w:rPr>
        <w:tab/>
        <w:t>L’économie du Mali repose principalement sur l’agriculture et l’élevage dont le rendement est limité par une pluviométrie aléatoire et très souvent insuffisante. La croissance du PIB a varié en dents de scie entre 11,9% en 2001 et 5,8% en 2010. Elle est encore tombée à 6% en 2015 et devait se replier à 5,3%, selon une projection du FMI (Rapport pays 2016, N°16/149). L’incidence de la pauvreté monétaire a diminué entre 2006 et 2010, passant de 47,5% à 45,4%. Elle a subi l’effet de la crise sécuritaire, se dégradant jusqu’à 47,1 en 2013. Il faut noter que, selon des données de 2013, la pauvreté est plus importante en milieu rural (54,5%) qu’en milieu urbain (49,3% hors Bamako)</w:t>
      </w:r>
      <w:r w:rsidR="00490991" w:rsidRPr="006D47EF">
        <w:rPr>
          <w:rFonts w:ascii="Times New Roman" w:hAnsi="Times New Roman"/>
          <w:sz w:val="24"/>
          <w:szCs w:val="24"/>
          <w:vertAlign w:val="superscript"/>
        </w:rPr>
        <w:footnoteReference w:id="1"/>
      </w:r>
      <w:r w:rsidR="00490991" w:rsidRPr="006D47EF">
        <w:rPr>
          <w:rFonts w:ascii="Times New Roman" w:hAnsi="Times New Roman"/>
          <w:sz w:val="24"/>
          <w:szCs w:val="24"/>
        </w:rPr>
        <w:t xml:space="preserve">. </w:t>
      </w:r>
    </w:p>
    <w:p w14:paraId="0DF00E62" w14:textId="77777777" w:rsidR="00490991" w:rsidRPr="006D47EF" w:rsidRDefault="00490991" w:rsidP="00490991">
      <w:pPr>
        <w:autoSpaceDE w:val="0"/>
        <w:autoSpaceDN w:val="0"/>
        <w:adjustRightInd w:val="0"/>
        <w:spacing w:after="0" w:line="240" w:lineRule="auto"/>
        <w:jc w:val="both"/>
        <w:rPr>
          <w:rFonts w:ascii="Times New Roman" w:hAnsi="Times New Roman"/>
          <w:sz w:val="24"/>
          <w:szCs w:val="24"/>
        </w:rPr>
      </w:pPr>
    </w:p>
    <w:p w14:paraId="4D646F1D" w14:textId="77777777" w:rsidR="00490991" w:rsidRPr="006D47EF" w:rsidRDefault="002017E6" w:rsidP="00490991">
      <w:pPr>
        <w:autoSpaceDE w:val="0"/>
        <w:autoSpaceDN w:val="0"/>
        <w:adjustRightInd w:val="0"/>
        <w:spacing w:after="0" w:line="240" w:lineRule="auto"/>
        <w:jc w:val="both"/>
        <w:rPr>
          <w:rFonts w:ascii="Times New Roman" w:hAnsi="Times New Roman"/>
          <w:sz w:val="24"/>
          <w:szCs w:val="24"/>
        </w:rPr>
      </w:pPr>
      <w:r w:rsidRPr="006D47EF">
        <w:rPr>
          <w:rFonts w:ascii="Times New Roman" w:hAnsi="Times New Roman"/>
          <w:sz w:val="24"/>
          <w:szCs w:val="24"/>
        </w:rPr>
        <w:t>20</w:t>
      </w:r>
      <w:r w:rsidR="00490991" w:rsidRPr="006D47EF">
        <w:rPr>
          <w:rFonts w:ascii="Times New Roman" w:hAnsi="Times New Roman"/>
          <w:sz w:val="24"/>
          <w:szCs w:val="24"/>
        </w:rPr>
        <w:t>.</w:t>
      </w:r>
      <w:r w:rsidR="00490991" w:rsidRPr="006D47EF">
        <w:rPr>
          <w:rFonts w:ascii="Times New Roman" w:hAnsi="Times New Roman"/>
          <w:sz w:val="24"/>
          <w:szCs w:val="24"/>
        </w:rPr>
        <w:tab/>
        <w:t>L’Indice du Développement Humain (IDH) a régulièrement augmenté de 2005 à 2013 en passant de 0,359 à 0,407. En 2013, le Mali occupait le 182</w:t>
      </w:r>
      <w:r w:rsidR="00490991" w:rsidRPr="006D47EF">
        <w:rPr>
          <w:rFonts w:ascii="Times New Roman" w:hAnsi="Times New Roman"/>
          <w:sz w:val="24"/>
          <w:szCs w:val="24"/>
          <w:vertAlign w:val="superscript"/>
        </w:rPr>
        <w:t>ème</w:t>
      </w:r>
      <w:r w:rsidR="00490991" w:rsidRPr="006D47EF">
        <w:rPr>
          <w:rFonts w:ascii="Times New Roman" w:hAnsi="Times New Roman"/>
          <w:sz w:val="24"/>
          <w:szCs w:val="24"/>
        </w:rPr>
        <w:t xml:space="preserve"> rang sur 187 pays considérés </w:t>
      </w:r>
      <w:r w:rsidR="00490991" w:rsidRPr="006D47EF">
        <w:rPr>
          <w:rFonts w:ascii="Times New Roman" w:hAnsi="Times New Roman"/>
          <w:sz w:val="24"/>
          <w:szCs w:val="24"/>
        </w:rPr>
        <w:lastRenderedPageBreak/>
        <w:t>dans le classement mondial de l’IDH. Le pays a amélioré sa position en 2014 en occupant le 176</w:t>
      </w:r>
      <w:r w:rsidR="00490991" w:rsidRPr="006D47EF">
        <w:rPr>
          <w:rFonts w:ascii="Times New Roman" w:hAnsi="Times New Roman"/>
          <w:sz w:val="24"/>
          <w:szCs w:val="24"/>
          <w:vertAlign w:val="superscript"/>
        </w:rPr>
        <w:t xml:space="preserve">ème </w:t>
      </w:r>
      <w:r w:rsidR="00490991" w:rsidRPr="006D47EF">
        <w:rPr>
          <w:rFonts w:ascii="Times New Roman" w:hAnsi="Times New Roman"/>
          <w:sz w:val="24"/>
          <w:szCs w:val="24"/>
        </w:rPr>
        <w:t>rang, et en 2016 où il est classé 175%. La lutte contre le VIH/SIDA a donné des résultats satisfaisants, mais la prévalence du paludisme reste encore très élevée.</w:t>
      </w:r>
    </w:p>
    <w:p w14:paraId="21077724" w14:textId="77777777" w:rsidR="00490991" w:rsidRPr="006D47EF" w:rsidRDefault="00490991" w:rsidP="00490991">
      <w:pPr>
        <w:autoSpaceDE w:val="0"/>
        <w:autoSpaceDN w:val="0"/>
        <w:adjustRightInd w:val="0"/>
        <w:spacing w:after="0" w:line="240" w:lineRule="auto"/>
        <w:jc w:val="both"/>
        <w:rPr>
          <w:rFonts w:ascii="Times New Roman" w:hAnsi="Times New Roman"/>
          <w:sz w:val="24"/>
          <w:szCs w:val="24"/>
        </w:rPr>
      </w:pPr>
    </w:p>
    <w:p w14:paraId="36725E1F" w14:textId="77777777" w:rsidR="00490991" w:rsidRPr="006D47EF" w:rsidRDefault="002017E6" w:rsidP="00490991">
      <w:pPr>
        <w:autoSpaceDE w:val="0"/>
        <w:autoSpaceDN w:val="0"/>
        <w:adjustRightInd w:val="0"/>
        <w:spacing w:after="0" w:line="240" w:lineRule="auto"/>
        <w:jc w:val="both"/>
        <w:rPr>
          <w:rFonts w:ascii="Times New Roman" w:hAnsi="Times New Roman"/>
          <w:sz w:val="24"/>
          <w:szCs w:val="24"/>
        </w:rPr>
      </w:pPr>
      <w:r w:rsidRPr="006D47EF">
        <w:rPr>
          <w:rFonts w:ascii="Times New Roman" w:hAnsi="Times New Roman"/>
          <w:sz w:val="24"/>
          <w:szCs w:val="24"/>
        </w:rPr>
        <w:t>21</w:t>
      </w:r>
      <w:r w:rsidR="00490991" w:rsidRPr="006D47EF">
        <w:rPr>
          <w:rFonts w:ascii="Times New Roman" w:hAnsi="Times New Roman"/>
          <w:sz w:val="24"/>
          <w:szCs w:val="24"/>
        </w:rPr>
        <w:t>.</w:t>
      </w:r>
      <w:r w:rsidR="00490991" w:rsidRPr="006D47EF">
        <w:rPr>
          <w:rFonts w:ascii="Times New Roman" w:hAnsi="Times New Roman"/>
          <w:sz w:val="24"/>
          <w:szCs w:val="24"/>
        </w:rPr>
        <w:tab/>
        <w:t>Selon l’Enquête Nationale Sur La Sécurité Alimentaire et Nutritionnelle (ENSAN), de février 2017, un quart (25,6%) des ménages maliens sont en insécurité alimentaire (essentiellement dans sa forme modérée 22%, contre 3,6% pour la forme sévère) au niveau national</w:t>
      </w:r>
      <w:r w:rsidR="00490991" w:rsidRPr="006D47EF">
        <w:rPr>
          <w:rFonts w:ascii="Times New Roman" w:hAnsi="Times New Roman"/>
          <w:sz w:val="24"/>
          <w:szCs w:val="24"/>
          <w:vertAlign w:val="superscript"/>
        </w:rPr>
        <w:footnoteReference w:id="2"/>
      </w:r>
      <w:r w:rsidR="00490991" w:rsidRPr="006D47EF">
        <w:rPr>
          <w:rFonts w:ascii="Times New Roman" w:hAnsi="Times New Roman"/>
          <w:sz w:val="24"/>
          <w:szCs w:val="24"/>
        </w:rPr>
        <w:t xml:space="preserve">. L’insécurité alimentaire n’est pas liée à la disponibilité, mais plutôt à l’accessibilité et à l’utilisation. </w:t>
      </w:r>
    </w:p>
    <w:p w14:paraId="5C918E05" w14:textId="77777777" w:rsidR="00490991" w:rsidRPr="006D47EF" w:rsidRDefault="00490991" w:rsidP="00490991">
      <w:pPr>
        <w:autoSpaceDE w:val="0"/>
        <w:autoSpaceDN w:val="0"/>
        <w:adjustRightInd w:val="0"/>
        <w:spacing w:after="0" w:line="240" w:lineRule="auto"/>
        <w:jc w:val="both"/>
        <w:rPr>
          <w:rFonts w:ascii="Times New Roman" w:hAnsi="Times New Roman"/>
          <w:sz w:val="24"/>
          <w:szCs w:val="24"/>
        </w:rPr>
      </w:pPr>
    </w:p>
    <w:p w14:paraId="57024FF3" w14:textId="77777777" w:rsidR="00953544" w:rsidRPr="005429D4" w:rsidRDefault="00490991" w:rsidP="00B026AE">
      <w:pPr>
        <w:pStyle w:val="Titre2"/>
        <w:numPr>
          <w:ilvl w:val="1"/>
          <w:numId w:val="4"/>
        </w:numPr>
        <w:spacing w:before="0"/>
        <w:rPr>
          <w:rFonts w:ascii="Times New Roman" w:hAnsi="Times New Roman"/>
          <w:color w:val="auto"/>
          <w:sz w:val="24"/>
          <w:szCs w:val="24"/>
        </w:rPr>
      </w:pPr>
      <w:bookmarkStart w:id="71" w:name="_Toc464410987"/>
      <w:bookmarkStart w:id="72" w:name="_Toc499211591"/>
      <w:bookmarkStart w:id="73" w:name="_Toc499213864"/>
      <w:r w:rsidRPr="005429D4">
        <w:rPr>
          <w:rFonts w:ascii="Times New Roman" w:hAnsi="Times New Roman"/>
          <w:color w:val="auto"/>
          <w:sz w:val="24"/>
          <w:szCs w:val="24"/>
        </w:rPr>
        <w:t>E</w:t>
      </w:r>
      <w:r w:rsidR="00953544" w:rsidRPr="005429D4">
        <w:rPr>
          <w:rFonts w:ascii="Times New Roman" w:hAnsi="Times New Roman"/>
          <w:color w:val="auto"/>
          <w:sz w:val="24"/>
          <w:szCs w:val="24"/>
        </w:rPr>
        <w:t>nvironnent et des ressources naturelles</w:t>
      </w:r>
      <w:bookmarkEnd w:id="71"/>
      <w:bookmarkEnd w:id="72"/>
      <w:bookmarkEnd w:id="73"/>
    </w:p>
    <w:p w14:paraId="0EC1F9F8" w14:textId="77777777" w:rsidR="00953544" w:rsidRPr="005429D4" w:rsidRDefault="00953544" w:rsidP="00B96F0F">
      <w:pPr>
        <w:autoSpaceDE w:val="0"/>
        <w:autoSpaceDN w:val="0"/>
        <w:adjustRightInd w:val="0"/>
        <w:spacing w:after="0" w:line="240" w:lineRule="auto"/>
        <w:jc w:val="both"/>
        <w:rPr>
          <w:rFonts w:ascii="Times New Roman" w:hAnsi="Times New Roman"/>
          <w:sz w:val="24"/>
          <w:szCs w:val="24"/>
        </w:rPr>
      </w:pPr>
    </w:p>
    <w:p w14:paraId="429F46A8" w14:textId="77777777" w:rsidR="00490991" w:rsidRPr="005429D4" w:rsidRDefault="002017E6" w:rsidP="00490991">
      <w:pPr>
        <w:autoSpaceDE w:val="0"/>
        <w:autoSpaceDN w:val="0"/>
        <w:adjustRightInd w:val="0"/>
        <w:spacing w:after="0" w:line="240" w:lineRule="auto"/>
        <w:jc w:val="both"/>
        <w:rPr>
          <w:rFonts w:ascii="Times New Roman" w:hAnsi="Times New Roman"/>
          <w:sz w:val="24"/>
          <w:szCs w:val="24"/>
        </w:rPr>
      </w:pPr>
      <w:r w:rsidRPr="005429D4">
        <w:rPr>
          <w:rFonts w:ascii="Times New Roman" w:hAnsi="Times New Roman"/>
          <w:sz w:val="24"/>
          <w:szCs w:val="24"/>
        </w:rPr>
        <w:t>22</w:t>
      </w:r>
      <w:r w:rsidR="00490991" w:rsidRPr="005429D4">
        <w:rPr>
          <w:rFonts w:ascii="Times New Roman" w:hAnsi="Times New Roman"/>
          <w:sz w:val="24"/>
          <w:szCs w:val="24"/>
        </w:rPr>
        <w:t>.</w:t>
      </w:r>
      <w:r w:rsidR="00490991" w:rsidRPr="005429D4">
        <w:rPr>
          <w:rFonts w:ascii="Times New Roman" w:hAnsi="Times New Roman"/>
          <w:sz w:val="24"/>
          <w:szCs w:val="24"/>
        </w:rPr>
        <w:tab/>
        <w:t xml:space="preserve">L’environnement et les ressources naturelles sont un haut lieu de préoccupation dans un pays sahélien comme la Mali en bute à la désertification, qui progresse à une vitesse de 15 kilomètres par an (source CDP), et où sont fréquentes aussi des catastrophes naturelles de type inondations et sécheresses cycliques liées aux changements climatiques. Les précipitations ont par exemple connu une </w:t>
      </w:r>
      <w:r w:rsidR="00490991" w:rsidRPr="00EA74DA">
        <w:rPr>
          <w:rFonts w:ascii="Times New Roman" w:hAnsi="Times New Roman"/>
          <w:sz w:val="24"/>
          <w:szCs w:val="24"/>
        </w:rPr>
        <w:t xml:space="preserve">diminution de l’ordre de 20 % dans une période récente. Ces problèmes ont des effets négatifs sur les ressources naturelles, dont 70 % </w:t>
      </w:r>
      <w:r w:rsidR="005429D4" w:rsidRPr="00EA74DA">
        <w:rPr>
          <w:rFonts w:ascii="Times New Roman" w:hAnsi="Times New Roman"/>
          <w:sz w:val="24"/>
          <w:szCs w:val="24"/>
        </w:rPr>
        <w:t xml:space="preserve">de la population au moins, surtout les </w:t>
      </w:r>
      <w:r w:rsidR="00490991" w:rsidRPr="00EA74DA">
        <w:rPr>
          <w:rFonts w:ascii="Times New Roman" w:hAnsi="Times New Roman"/>
          <w:sz w:val="24"/>
          <w:szCs w:val="24"/>
        </w:rPr>
        <w:t>personnes les plus vulnérables</w:t>
      </w:r>
      <w:r w:rsidR="005429D4" w:rsidRPr="00EA74DA">
        <w:rPr>
          <w:rFonts w:ascii="Times New Roman" w:hAnsi="Times New Roman"/>
          <w:sz w:val="24"/>
          <w:szCs w:val="24"/>
        </w:rPr>
        <w:t>,</w:t>
      </w:r>
      <w:r w:rsidR="00490991" w:rsidRPr="00EA74DA">
        <w:rPr>
          <w:rFonts w:ascii="Times New Roman" w:hAnsi="Times New Roman"/>
          <w:sz w:val="24"/>
          <w:szCs w:val="24"/>
        </w:rPr>
        <w:t xml:space="preserve"> tirent leurs moyens de subsistance : 1,5 million de personnes vivent dans une grande insécurité</w:t>
      </w:r>
      <w:r w:rsidR="00490991" w:rsidRPr="005429D4">
        <w:rPr>
          <w:rFonts w:ascii="Times New Roman" w:hAnsi="Times New Roman"/>
          <w:sz w:val="24"/>
          <w:szCs w:val="24"/>
        </w:rPr>
        <w:t xml:space="preserve"> alimentaire.</w:t>
      </w:r>
    </w:p>
    <w:p w14:paraId="73667145" w14:textId="77777777" w:rsidR="00490991" w:rsidRPr="005429D4" w:rsidRDefault="00490991" w:rsidP="00490991">
      <w:pPr>
        <w:autoSpaceDE w:val="0"/>
        <w:autoSpaceDN w:val="0"/>
        <w:adjustRightInd w:val="0"/>
        <w:spacing w:after="0" w:line="240" w:lineRule="auto"/>
        <w:jc w:val="both"/>
        <w:rPr>
          <w:rFonts w:ascii="Times New Roman" w:hAnsi="Times New Roman"/>
          <w:sz w:val="24"/>
          <w:szCs w:val="24"/>
        </w:rPr>
      </w:pPr>
    </w:p>
    <w:p w14:paraId="3C1466E4" w14:textId="77777777" w:rsidR="00490991" w:rsidRPr="00490991" w:rsidRDefault="002017E6" w:rsidP="00490991">
      <w:pPr>
        <w:autoSpaceDE w:val="0"/>
        <w:autoSpaceDN w:val="0"/>
        <w:adjustRightInd w:val="0"/>
        <w:spacing w:after="0" w:line="240" w:lineRule="auto"/>
        <w:jc w:val="both"/>
        <w:rPr>
          <w:rFonts w:ascii="Times New Roman" w:hAnsi="Times New Roman"/>
          <w:sz w:val="24"/>
          <w:szCs w:val="24"/>
        </w:rPr>
      </w:pPr>
      <w:r w:rsidRPr="005429D4">
        <w:rPr>
          <w:rFonts w:ascii="Times New Roman" w:hAnsi="Times New Roman"/>
          <w:sz w:val="24"/>
          <w:szCs w:val="24"/>
        </w:rPr>
        <w:t>23</w:t>
      </w:r>
      <w:r w:rsidR="00490991" w:rsidRPr="005429D4">
        <w:rPr>
          <w:rFonts w:ascii="Times New Roman" w:hAnsi="Times New Roman"/>
          <w:sz w:val="24"/>
          <w:szCs w:val="24"/>
        </w:rPr>
        <w:t>.</w:t>
      </w:r>
      <w:r w:rsidR="00490991" w:rsidRPr="005429D4">
        <w:rPr>
          <w:rFonts w:ascii="Times New Roman" w:hAnsi="Times New Roman"/>
          <w:sz w:val="24"/>
          <w:szCs w:val="24"/>
        </w:rPr>
        <w:tab/>
        <w:t>La réduction des risques de catastrophes reste donc un défi important, y compris en termes d’intégration dans les politiques nationales, locales et sectorielles de développement. Le défi environnemental résonne aussi bien au cœur des établissements humains : avec  un croît démographique naturel des plus élevés d’Afrique (3,6 %), l’urbanisation non maîtrisée charrie des problèmes critiques d’assainissement. Dans le cadre des instruments internationaux du secteur, le pays peut compter sur les importantes ressources du Fonds pour l’environnement mondial (FEM) et du Fonds de Copenhague pour le climat</w:t>
      </w:r>
      <w:r w:rsidR="005429D4" w:rsidRPr="005429D4">
        <w:rPr>
          <w:rFonts w:ascii="Times New Roman" w:hAnsi="Times New Roman"/>
          <w:sz w:val="24"/>
          <w:szCs w:val="24"/>
        </w:rPr>
        <w:t xml:space="preserve"> (Fonds Vert)</w:t>
      </w:r>
      <w:r w:rsidR="00490991" w:rsidRPr="005429D4">
        <w:rPr>
          <w:rFonts w:ascii="Times New Roman" w:hAnsi="Times New Roman"/>
          <w:sz w:val="24"/>
          <w:szCs w:val="24"/>
        </w:rPr>
        <w:t>.</w:t>
      </w:r>
    </w:p>
    <w:p w14:paraId="75BC185C" w14:textId="77777777" w:rsidR="00953544" w:rsidRPr="006B309F" w:rsidRDefault="00953544" w:rsidP="00B96F0F">
      <w:pPr>
        <w:autoSpaceDE w:val="0"/>
        <w:autoSpaceDN w:val="0"/>
        <w:adjustRightInd w:val="0"/>
        <w:spacing w:after="0" w:line="240" w:lineRule="auto"/>
        <w:jc w:val="both"/>
        <w:rPr>
          <w:rFonts w:ascii="Times New Roman" w:hAnsi="Times New Roman"/>
          <w:sz w:val="24"/>
          <w:szCs w:val="24"/>
        </w:rPr>
      </w:pPr>
    </w:p>
    <w:p w14:paraId="4BFF71F7" w14:textId="77777777" w:rsidR="00BA3DC6" w:rsidRPr="006B309F" w:rsidRDefault="00BA3DC6" w:rsidP="00B026AE">
      <w:pPr>
        <w:pStyle w:val="Titre1"/>
        <w:numPr>
          <w:ilvl w:val="0"/>
          <w:numId w:val="4"/>
        </w:numPr>
        <w:spacing w:before="0" w:line="240" w:lineRule="auto"/>
        <w:rPr>
          <w:color w:val="auto"/>
        </w:rPr>
      </w:pPr>
      <w:bookmarkStart w:id="74" w:name="_Toc499211592"/>
      <w:bookmarkStart w:id="75" w:name="_Toc499213865"/>
      <w:r w:rsidRPr="006B309F">
        <w:rPr>
          <w:color w:val="auto"/>
        </w:rPr>
        <w:t xml:space="preserve">Contenu </w:t>
      </w:r>
      <w:r w:rsidR="00D704EB" w:rsidRPr="006B309F">
        <w:rPr>
          <w:color w:val="auto"/>
        </w:rPr>
        <w:t xml:space="preserve">du </w:t>
      </w:r>
      <w:r w:rsidRPr="006B309F">
        <w:rPr>
          <w:color w:val="auto"/>
        </w:rPr>
        <w:t xml:space="preserve">programme </w:t>
      </w:r>
      <w:r w:rsidR="00D704EB" w:rsidRPr="006B309F">
        <w:rPr>
          <w:color w:val="auto"/>
        </w:rPr>
        <w:t>pays</w:t>
      </w:r>
      <w:bookmarkEnd w:id="74"/>
      <w:bookmarkEnd w:id="75"/>
    </w:p>
    <w:p w14:paraId="21C3E3FA" w14:textId="77777777" w:rsidR="00BA3DC6" w:rsidRPr="006B309F" w:rsidRDefault="00BA3DC6" w:rsidP="00B96F0F">
      <w:pPr>
        <w:spacing w:after="0" w:line="240" w:lineRule="auto"/>
        <w:jc w:val="both"/>
        <w:rPr>
          <w:rFonts w:ascii="Times New Roman" w:hAnsi="Times New Roman"/>
          <w:sz w:val="24"/>
          <w:szCs w:val="24"/>
        </w:rPr>
      </w:pPr>
    </w:p>
    <w:p w14:paraId="730DC017" w14:textId="77777777" w:rsidR="00BA3DC6" w:rsidRPr="006B309F" w:rsidRDefault="00BA3DC6" w:rsidP="00B026AE">
      <w:pPr>
        <w:pStyle w:val="Titre2"/>
        <w:numPr>
          <w:ilvl w:val="1"/>
          <w:numId w:val="4"/>
        </w:numPr>
        <w:spacing w:before="0"/>
        <w:rPr>
          <w:rFonts w:ascii="Times New Roman" w:hAnsi="Times New Roman"/>
          <w:color w:val="auto"/>
          <w:sz w:val="24"/>
          <w:szCs w:val="24"/>
        </w:rPr>
      </w:pPr>
      <w:bookmarkStart w:id="76" w:name="_Toc499211593"/>
      <w:bookmarkStart w:id="77" w:name="_Toc499213866"/>
      <w:r w:rsidRPr="006B309F">
        <w:rPr>
          <w:rFonts w:ascii="Times New Roman" w:hAnsi="Times New Roman"/>
          <w:color w:val="auto"/>
          <w:sz w:val="24"/>
          <w:szCs w:val="24"/>
        </w:rPr>
        <w:t>Contenu stratégique</w:t>
      </w:r>
      <w:bookmarkEnd w:id="76"/>
      <w:bookmarkEnd w:id="77"/>
    </w:p>
    <w:p w14:paraId="718F1D20" w14:textId="77777777" w:rsidR="00490991" w:rsidRPr="00490991" w:rsidRDefault="00490991" w:rsidP="00490991">
      <w:pPr>
        <w:spacing w:after="0" w:line="240" w:lineRule="auto"/>
        <w:jc w:val="both"/>
        <w:rPr>
          <w:rFonts w:ascii="Times New Roman" w:hAnsi="Times New Roman"/>
          <w:sz w:val="24"/>
          <w:szCs w:val="24"/>
        </w:rPr>
      </w:pPr>
    </w:p>
    <w:p w14:paraId="1A5D4EB0" w14:textId="77777777" w:rsidR="00490991" w:rsidRPr="006D47EF" w:rsidRDefault="002017E6" w:rsidP="00490991">
      <w:pPr>
        <w:spacing w:after="0" w:line="240" w:lineRule="auto"/>
        <w:jc w:val="both"/>
        <w:rPr>
          <w:rFonts w:ascii="Times New Roman" w:hAnsi="Times New Roman"/>
          <w:sz w:val="24"/>
          <w:szCs w:val="24"/>
        </w:rPr>
      </w:pPr>
      <w:r w:rsidRPr="006D47EF">
        <w:rPr>
          <w:rFonts w:ascii="Times New Roman" w:hAnsi="Times New Roman"/>
          <w:sz w:val="24"/>
          <w:szCs w:val="24"/>
        </w:rPr>
        <w:t>24</w:t>
      </w:r>
      <w:r w:rsidR="00490991" w:rsidRPr="006D47EF">
        <w:rPr>
          <w:rFonts w:ascii="Times New Roman" w:hAnsi="Times New Roman"/>
          <w:sz w:val="24"/>
          <w:szCs w:val="24"/>
        </w:rPr>
        <w:t>.</w:t>
      </w:r>
      <w:r w:rsidR="00490991" w:rsidRPr="006D47EF">
        <w:rPr>
          <w:rFonts w:ascii="Times New Roman" w:hAnsi="Times New Roman"/>
          <w:sz w:val="24"/>
          <w:szCs w:val="24"/>
        </w:rPr>
        <w:tab/>
        <w:t>Le programme 2015-2019 recouvre quatre domaines de concentration : Cohésion sociale et paix, avec comme résultat PNUAD/CPD poursuivi : "</w:t>
      </w:r>
      <w:r w:rsidR="00490991" w:rsidRPr="006D47EF">
        <w:rPr>
          <w:rFonts w:ascii="Times New Roman" w:hAnsi="Times New Roman"/>
          <w:i/>
          <w:sz w:val="24"/>
          <w:szCs w:val="24"/>
        </w:rPr>
        <w:t>D’ici à 2019 la cohésion sociale est facilitée par la justice transitionnelle, le dialogue entre communautés, la culture et l’éducation à la paix</w:t>
      </w:r>
      <w:r w:rsidR="00490991" w:rsidRPr="006D47EF">
        <w:rPr>
          <w:rFonts w:ascii="Times New Roman" w:hAnsi="Times New Roman"/>
          <w:sz w:val="24"/>
          <w:szCs w:val="24"/>
        </w:rPr>
        <w:t>" ; (ii) Réduction de la pauvreté et développement durable, avec comme résultat U</w:t>
      </w:r>
      <w:r w:rsidR="009C493D">
        <w:rPr>
          <w:rFonts w:ascii="Times New Roman" w:hAnsi="Times New Roman"/>
          <w:sz w:val="24"/>
          <w:szCs w:val="24"/>
        </w:rPr>
        <w:t>NDAF</w:t>
      </w:r>
      <w:r w:rsidR="00490991" w:rsidRPr="006D47EF">
        <w:rPr>
          <w:rFonts w:ascii="Times New Roman" w:hAnsi="Times New Roman"/>
          <w:sz w:val="24"/>
          <w:szCs w:val="24"/>
        </w:rPr>
        <w:t>/CPD poursuivi : "</w:t>
      </w:r>
      <w:r w:rsidR="00490991" w:rsidRPr="006D47EF">
        <w:rPr>
          <w:rFonts w:ascii="Times New Roman" w:hAnsi="Times New Roman"/>
          <w:i/>
          <w:sz w:val="24"/>
          <w:szCs w:val="24"/>
        </w:rPr>
        <w:t>D’ici à 2019, les populations vulnérables, en particulier les femmes et les jeunes, utilisent des capacités de production dans un environnement (naturel) sain qui est propice à la réduction de la pauvreté</w:t>
      </w:r>
      <w:r w:rsidR="00490991" w:rsidRPr="006D47EF">
        <w:rPr>
          <w:rFonts w:ascii="Times New Roman" w:hAnsi="Times New Roman"/>
          <w:sz w:val="24"/>
          <w:szCs w:val="24"/>
        </w:rPr>
        <w:t xml:space="preserve">" ; (iii) Gouvernance et Etat de droit, avec comme résultat stratégique </w:t>
      </w:r>
      <w:r w:rsidR="009C493D">
        <w:rPr>
          <w:rFonts w:ascii="Times New Roman" w:hAnsi="Times New Roman"/>
          <w:sz w:val="24"/>
          <w:szCs w:val="24"/>
        </w:rPr>
        <w:t>UNDAF</w:t>
      </w:r>
      <w:r w:rsidR="00490991" w:rsidRPr="006D47EF">
        <w:rPr>
          <w:rFonts w:ascii="Times New Roman" w:hAnsi="Times New Roman"/>
          <w:sz w:val="24"/>
          <w:szCs w:val="24"/>
        </w:rPr>
        <w:t>/CPD poursuivi : "</w:t>
      </w:r>
      <w:r w:rsidR="00490991" w:rsidRPr="006D47EF">
        <w:rPr>
          <w:rFonts w:ascii="Times New Roman" w:hAnsi="Times New Roman"/>
          <w:i/>
          <w:sz w:val="24"/>
          <w:szCs w:val="24"/>
        </w:rPr>
        <w:t>D’ici à 2019, l’Etat et les institutions nationales et locales remplissent plus efficacement leur mission de service public et les acteurs non étatiques participent à la vie de la nation et exercent un contrôle citoyen dans le respect des principes de la bonne gouvernance et de la primauté du droit</w:t>
      </w:r>
      <w:r w:rsidR="00490991" w:rsidRPr="006D47EF">
        <w:rPr>
          <w:rFonts w:ascii="Times New Roman" w:hAnsi="Times New Roman"/>
          <w:sz w:val="24"/>
          <w:szCs w:val="24"/>
        </w:rPr>
        <w:t xml:space="preserve">" ; et (iv) Accès à la santé, avec comme résultat </w:t>
      </w:r>
      <w:r w:rsidR="009C493D">
        <w:rPr>
          <w:rFonts w:ascii="Times New Roman" w:hAnsi="Times New Roman"/>
          <w:sz w:val="24"/>
          <w:szCs w:val="24"/>
        </w:rPr>
        <w:t>UNDAF</w:t>
      </w:r>
      <w:r w:rsidR="00490991" w:rsidRPr="006D47EF">
        <w:rPr>
          <w:rFonts w:ascii="Times New Roman" w:hAnsi="Times New Roman"/>
          <w:sz w:val="24"/>
          <w:szCs w:val="24"/>
        </w:rPr>
        <w:t>/CPD poursuivi :"</w:t>
      </w:r>
      <w:r w:rsidR="00490991" w:rsidRPr="006D47EF">
        <w:rPr>
          <w:rFonts w:ascii="Times New Roman" w:hAnsi="Times New Roman"/>
          <w:i/>
          <w:sz w:val="24"/>
          <w:szCs w:val="24"/>
        </w:rPr>
        <w:t xml:space="preserve">D’ici à 2019, les communautés, en particulier les plus vulnérables et celles touchées par la crise, pourront accéder à des soins de santé de </w:t>
      </w:r>
      <w:r w:rsidR="00490991" w:rsidRPr="006D47EF">
        <w:rPr>
          <w:rFonts w:ascii="Times New Roman" w:hAnsi="Times New Roman"/>
          <w:i/>
          <w:sz w:val="24"/>
          <w:szCs w:val="24"/>
        </w:rPr>
        <w:lastRenderedPageBreak/>
        <w:t>base de qualité et en bénéficier plus facilement et sur un pied d’égalité</w:t>
      </w:r>
      <w:r w:rsidR="00490991" w:rsidRPr="006D47EF">
        <w:rPr>
          <w:rFonts w:ascii="Times New Roman" w:hAnsi="Times New Roman"/>
          <w:sz w:val="24"/>
          <w:szCs w:val="24"/>
        </w:rPr>
        <w:t>."</w:t>
      </w:r>
      <w:r w:rsidRPr="006D47EF">
        <w:rPr>
          <w:rFonts w:ascii="Times New Roman" w:hAnsi="Times New Roman"/>
          <w:sz w:val="24"/>
          <w:szCs w:val="24"/>
        </w:rPr>
        <w:t xml:space="preserve"> Ces quatre résultats stratégiques sont traversés par </w:t>
      </w:r>
      <w:r w:rsidR="000A281A" w:rsidRPr="006D47EF">
        <w:rPr>
          <w:rFonts w:ascii="Times New Roman" w:hAnsi="Times New Roman"/>
          <w:sz w:val="24"/>
          <w:szCs w:val="24"/>
        </w:rPr>
        <w:t xml:space="preserve">les thématiques transversales qui sont de droit des éléments structurels de programmation au sein du SNU : les droits humains, le genre, le développement de capacités, notamment. </w:t>
      </w:r>
    </w:p>
    <w:p w14:paraId="08A0655F" w14:textId="77777777" w:rsidR="00490991" w:rsidRPr="006D47EF" w:rsidRDefault="00490991" w:rsidP="00490991">
      <w:pPr>
        <w:spacing w:after="0" w:line="240" w:lineRule="auto"/>
        <w:jc w:val="both"/>
        <w:rPr>
          <w:rFonts w:ascii="Times New Roman" w:hAnsi="Times New Roman"/>
          <w:sz w:val="24"/>
          <w:szCs w:val="24"/>
        </w:rPr>
      </w:pPr>
    </w:p>
    <w:p w14:paraId="0C5DA02B" w14:textId="77777777" w:rsidR="00490991" w:rsidRPr="006D47EF" w:rsidRDefault="002017E6" w:rsidP="00490991">
      <w:pPr>
        <w:spacing w:after="0" w:line="240" w:lineRule="auto"/>
        <w:jc w:val="both"/>
        <w:rPr>
          <w:rFonts w:ascii="Times New Roman" w:hAnsi="Times New Roman"/>
          <w:bCs/>
          <w:sz w:val="24"/>
          <w:szCs w:val="24"/>
        </w:rPr>
      </w:pPr>
      <w:r w:rsidRPr="006D47EF">
        <w:rPr>
          <w:rFonts w:ascii="Times New Roman" w:hAnsi="Times New Roman"/>
          <w:bCs/>
          <w:sz w:val="24"/>
          <w:szCs w:val="24"/>
        </w:rPr>
        <w:t>25</w:t>
      </w:r>
      <w:r w:rsidR="00490991" w:rsidRPr="006D47EF">
        <w:rPr>
          <w:rFonts w:ascii="Times New Roman" w:hAnsi="Times New Roman"/>
          <w:bCs/>
          <w:sz w:val="24"/>
          <w:szCs w:val="24"/>
        </w:rPr>
        <w:t>.</w:t>
      </w:r>
      <w:r w:rsidR="00490991" w:rsidRPr="006D47EF">
        <w:rPr>
          <w:rFonts w:ascii="Times New Roman" w:hAnsi="Times New Roman"/>
          <w:bCs/>
          <w:sz w:val="24"/>
          <w:szCs w:val="24"/>
        </w:rPr>
        <w:tab/>
        <w:t>En termes, d’interventions opérationnelles, sur la base des données communiquées par le Suivi-Evaluation du Bureau, le portefeuille se compose des Projets et programmes suivants :</w:t>
      </w:r>
    </w:p>
    <w:p w14:paraId="7ED63D00" w14:textId="77777777" w:rsidR="000442E1" w:rsidRPr="000442E1" w:rsidRDefault="000442E1" w:rsidP="000442E1">
      <w:pPr>
        <w:pStyle w:val="Titre1"/>
        <w:spacing w:before="0" w:line="240" w:lineRule="auto"/>
        <w:rPr>
          <w:rFonts w:ascii="Times New Roman" w:hAnsi="Times New Roman"/>
          <w:color w:val="auto"/>
          <w:sz w:val="24"/>
          <w:szCs w:val="24"/>
        </w:rPr>
      </w:pPr>
      <w:bookmarkStart w:id="78" w:name="_Toc499211594"/>
      <w:bookmarkStart w:id="79" w:name="_Toc499213867"/>
      <w:r w:rsidRPr="000442E1">
        <w:rPr>
          <w:rFonts w:ascii="Times New Roman" w:hAnsi="Times New Roman"/>
          <w:color w:val="auto"/>
          <w:sz w:val="24"/>
          <w:szCs w:val="24"/>
        </w:rPr>
        <w:t xml:space="preserve">Tableau </w:t>
      </w:r>
      <w:r>
        <w:rPr>
          <w:rFonts w:ascii="Times New Roman" w:hAnsi="Times New Roman"/>
          <w:color w:val="auto"/>
          <w:sz w:val="24"/>
          <w:szCs w:val="24"/>
        </w:rPr>
        <w:t>2</w:t>
      </w:r>
      <w:r w:rsidRPr="000442E1">
        <w:rPr>
          <w:rFonts w:ascii="Times New Roman" w:hAnsi="Times New Roman"/>
          <w:color w:val="auto"/>
          <w:sz w:val="24"/>
          <w:szCs w:val="24"/>
        </w:rPr>
        <w:t xml:space="preserve"> : </w:t>
      </w:r>
      <w:r>
        <w:rPr>
          <w:rFonts w:ascii="Times New Roman" w:hAnsi="Times New Roman"/>
          <w:color w:val="auto"/>
          <w:sz w:val="24"/>
          <w:szCs w:val="24"/>
        </w:rPr>
        <w:t>Vue d’ensemble du Portefeuille</w:t>
      </w:r>
      <w:bookmarkEnd w:id="78"/>
      <w:bookmarkEnd w:id="79"/>
    </w:p>
    <w:p w14:paraId="7BEF2FB8" w14:textId="77777777" w:rsidR="00490991" w:rsidRPr="006D47EF" w:rsidRDefault="00490991" w:rsidP="00490991">
      <w:pPr>
        <w:spacing w:after="0" w:line="240" w:lineRule="auto"/>
        <w:jc w:val="both"/>
        <w:rPr>
          <w:rFonts w:ascii="Times New Roman" w:hAnsi="Times New Roman"/>
          <w:sz w:val="24"/>
          <w:szCs w:val="24"/>
        </w:rPr>
      </w:pPr>
    </w:p>
    <w:tbl>
      <w:tblPr>
        <w:tblW w:w="7939" w:type="dxa"/>
        <w:jc w:val="center"/>
        <w:tblCellMar>
          <w:left w:w="70" w:type="dxa"/>
          <w:right w:w="70" w:type="dxa"/>
        </w:tblCellMar>
        <w:tblLook w:val="04A0" w:firstRow="1" w:lastRow="0" w:firstColumn="1" w:lastColumn="0" w:noHBand="0" w:noVBand="1"/>
      </w:tblPr>
      <w:tblGrid>
        <w:gridCol w:w="1985"/>
        <w:gridCol w:w="1418"/>
        <w:gridCol w:w="4536"/>
      </w:tblGrid>
      <w:tr w:rsidR="00452C63" w:rsidRPr="00771B89" w14:paraId="5E3119B3" w14:textId="77777777" w:rsidTr="000442E1">
        <w:trPr>
          <w:trHeight w:val="300"/>
          <w:tblHeader/>
          <w:jc w:val="center"/>
        </w:trPr>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2069677"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Clusters</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1C70701"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Codes</w:t>
            </w:r>
          </w:p>
        </w:tc>
        <w:tc>
          <w:tcPr>
            <w:tcW w:w="453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B649EE8"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Projets</w:t>
            </w:r>
          </w:p>
        </w:tc>
      </w:tr>
      <w:tr w:rsidR="00452C63" w:rsidRPr="00771B89" w14:paraId="329FBF7B" w14:textId="77777777" w:rsidTr="000442E1">
        <w:trPr>
          <w:trHeight w:val="300"/>
          <w:jc w:val="center"/>
        </w:trPr>
        <w:tc>
          <w:tcPr>
            <w:tcW w:w="1985" w:type="dxa"/>
            <w:vMerge w:val="restart"/>
            <w:tcBorders>
              <w:top w:val="nil"/>
              <w:left w:val="single" w:sz="4" w:space="0" w:color="auto"/>
              <w:right w:val="single" w:sz="4" w:space="0" w:color="auto"/>
            </w:tcBorders>
            <w:shd w:val="clear" w:color="auto" w:fill="F2F2F2" w:themeFill="background1" w:themeFillShade="F2"/>
            <w:noWrap/>
            <w:vAlign w:val="center"/>
            <w:hideMark/>
          </w:tcPr>
          <w:p w14:paraId="1CB3C5C4"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Fonds Mondial</w:t>
            </w:r>
          </w:p>
        </w:tc>
        <w:tc>
          <w:tcPr>
            <w:tcW w:w="1418" w:type="dxa"/>
            <w:tcBorders>
              <w:top w:val="nil"/>
              <w:left w:val="nil"/>
              <w:bottom w:val="single" w:sz="4" w:space="0" w:color="auto"/>
              <w:right w:val="single" w:sz="4" w:space="0" w:color="auto"/>
            </w:tcBorders>
            <w:shd w:val="clear" w:color="auto" w:fill="auto"/>
            <w:noWrap/>
            <w:vAlign w:val="center"/>
            <w:hideMark/>
          </w:tcPr>
          <w:p w14:paraId="37B6AC99"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00098996</w:t>
            </w:r>
          </w:p>
        </w:tc>
        <w:tc>
          <w:tcPr>
            <w:tcW w:w="4536" w:type="dxa"/>
            <w:tcBorders>
              <w:top w:val="nil"/>
              <w:left w:val="nil"/>
              <w:bottom w:val="single" w:sz="4" w:space="0" w:color="auto"/>
              <w:right w:val="single" w:sz="4" w:space="0" w:color="auto"/>
            </w:tcBorders>
            <w:shd w:val="clear" w:color="auto" w:fill="auto"/>
            <w:noWrap/>
            <w:vAlign w:val="center"/>
            <w:hideMark/>
          </w:tcPr>
          <w:p w14:paraId="76082C7D"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Strengthening of National Resp</w:t>
            </w:r>
          </w:p>
        </w:tc>
      </w:tr>
      <w:tr w:rsidR="00452C63" w:rsidRPr="00771B89" w14:paraId="69B1B69E"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3581A621"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49CF0EAA"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00092937</w:t>
            </w:r>
          </w:p>
        </w:tc>
        <w:tc>
          <w:tcPr>
            <w:tcW w:w="4536" w:type="dxa"/>
            <w:tcBorders>
              <w:top w:val="nil"/>
              <w:left w:val="nil"/>
              <w:bottom w:val="single" w:sz="4" w:space="0" w:color="auto"/>
              <w:right w:val="single" w:sz="4" w:space="0" w:color="auto"/>
            </w:tcBorders>
            <w:shd w:val="clear" w:color="auto" w:fill="auto"/>
            <w:noWrap/>
            <w:vAlign w:val="center"/>
            <w:hideMark/>
          </w:tcPr>
          <w:p w14:paraId="27725EF5"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Opérationnalisation unités</w:t>
            </w:r>
          </w:p>
        </w:tc>
      </w:tr>
      <w:tr w:rsidR="00452C63" w:rsidRPr="00145113" w14:paraId="5E18F6EF"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61B7AE87"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EAF56CB"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00084293</w:t>
            </w:r>
          </w:p>
        </w:tc>
        <w:tc>
          <w:tcPr>
            <w:tcW w:w="4536" w:type="dxa"/>
            <w:tcBorders>
              <w:top w:val="nil"/>
              <w:left w:val="nil"/>
              <w:bottom w:val="single" w:sz="4" w:space="0" w:color="auto"/>
              <w:right w:val="single" w:sz="4" w:space="0" w:color="auto"/>
            </w:tcBorders>
            <w:shd w:val="clear" w:color="auto" w:fill="auto"/>
            <w:noWrap/>
            <w:vAlign w:val="center"/>
            <w:hideMark/>
          </w:tcPr>
          <w:p w14:paraId="07A19D37" w14:textId="77777777" w:rsidR="00452C63" w:rsidRPr="00771B89" w:rsidRDefault="00452C63" w:rsidP="00490991">
            <w:pPr>
              <w:spacing w:after="0" w:line="240" w:lineRule="auto"/>
              <w:jc w:val="both"/>
              <w:rPr>
                <w:rFonts w:ascii="Times New Roman" w:hAnsi="Times New Roman"/>
                <w:sz w:val="20"/>
                <w:szCs w:val="20"/>
                <w:lang w:val="en-US"/>
              </w:rPr>
            </w:pPr>
            <w:r w:rsidRPr="00771B89">
              <w:rPr>
                <w:rFonts w:ascii="Times New Roman" w:hAnsi="Times New Roman"/>
                <w:sz w:val="20"/>
                <w:szCs w:val="20"/>
                <w:lang w:val="en-US"/>
              </w:rPr>
              <w:t>Fighting HIV /AIDS in Mali</w:t>
            </w:r>
          </w:p>
        </w:tc>
      </w:tr>
      <w:tr w:rsidR="00452C63" w:rsidRPr="00771B89" w14:paraId="491C109E" w14:textId="77777777" w:rsidTr="000442E1">
        <w:trPr>
          <w:trHeight w:val="300"/>
          <w:jc w:val="center"/>
        </w:trPr>
        <w:tc>
          <w:tcPr>
            <w:tcW w:w="1985"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14:paraId="7EC61240" w14:textId="77777777" w:rsidR="00452C63" w:rsidRPr="00145113" w:rsidRDefault="00452C63" w:rsidP="00490991">
            <w:pPr>
              <w:spacing w:after="0" w:line="240" w:lineRule="auto"/>
              <w:jc w:val="both"/>
              <w:rPr>
                <w:rFonts w:ascii="Times New Roman" w:hAnsi="Times New Roman"/>
                <w:sz w:val="20"/>
                <w:szCs w:val="20"/>
                <w:lang w:val="en-US"/>
              </w:rPr>
            </w:pPr>
          </w:p>
        </w:tc>
        <w:tc>
          <w:tcPr>
            <w:tcW w:w="1418" w:type="dxa"/>
            <w:tcBorders>
              <w:top w:val="nil"/>
              <w:left w:val="nil"/>
              <w:bottom w:val="single" w:sz="4" w:space="0" w:color="auto"/>
              <w:right w:val="single" w:sz="4" w:space="0" w:color="auto"/>
            </w:tcBorders>
            <w:shd w:val="clear" w:color="auto" w:fill="auto"/>
            <w:noWrap/>
            <w:vAlign w:val="center"/>
            <w:hideMark/>
          </w:tcPr>
          <w:p w14:paraId="0FB722E1"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00085760</w:t>
            </w:r>
          </w:p>
        </w:tc>
        <w:tc>
          <w:tcPr>
            <w:tcW w:w="4536" w:type="dxa"/>
            <w:tcBorders>
              <w:top w:val="nil"/>
              <w:left w:val="nil"/>
              <w:bottom w:val="single" w:sz="4" w:space="0" w:color="auto"/>
              <w:right w:val="single" w:sz="4" w:space="0" w:color="auto"/>
            </w:tcBorders>
            <w:shd w:val="clear" w:color="auto" w:fill="auto"/>
            <w:noWrap/>
            <w:vAlign w:val="center"/>
            <w:hideMark/>
          </w:tcPr>
          <w:p w14:paraId="7FC1CE80"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Appui Operationnel au CCM</w:t>
            </w:r>
          </w:p>
        </w:tc>
      </w:tr>
      <w:tr w:rsidR="00452C63" w:rsidRPr="00145113" w14:paraId="0B16F5CE" w14:textId="77777777" w:rsidTr="000442E1">
        <w:trPr>
          <w:trHeight w:val="300"/>
          <w:jc w:val="center"/>
        </w:trPr>
        <w:tc>
          <w:tcPr>
            <w:tcW w:w="1985" w:type="dxa"/>
            <w:vMerge w:val="restart"/>
            <w:tcBorders>
              <w:top w:val="nil"/>
              <w:left w:val="single" w:sz="4" w:space="0" w:color="auto"/>
              <w:right w:val="single" w:sz="4" w:space="0" w:color="auto"/>
            </w:tcBorders>
            <w:shd w:val="clear" w:color="auto" w:fill="F2F2F2" w:themeFill="background1" w:themeFillShade="F2"/>
            <w:noWrap/>
            <w:vAlign w:val="center"/>
            <w:hideMark/>
          </w:tcPr>
          <w:p w14:paraId="54B64AA6"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Environnement, changements climatiques, développement durable inclusif</w:t>
            </w:r>
          </w:p>
        </w:tc>
        <w:tc>
          <w:tcPr>
            <w:tcW w:w="1418" w:type="dxa"/>
            <w:tcBorders>
              <w:top w:val="nil"/>
              <w:left w:val="nil"/>
              <w:bottom w:val="single" w:sz="4" w:space="0" w:color="auto"/>
              <w:right w:val="single" w:sz="4" w:space="0" w:color="auto"/>
            </w:tcBorders>
            <w:shd w:val="clear" w:color="auto" w:fill="auto"/>
            <w:noWrap/>
            <w:vAlign w:val="center"/>
            <w:hideMark/>
          </w:tcPr>
          <w:p w14:paraId="705AA68E"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00081072</w:t>
            </w:r>
          </w:p>
        </w:tc>
        <w:tc>
          <w:tcPr>
            <w:tcW w:w="4536" w:type="dxa"/>
            <w:tcBorders>
              <w:top w:val="nil"/>
              <w:left w:val="nil"/>
              <w:bottom w:val="single" w:sz="4" w:space="0" w:color="auto"/>
              <w:right w:val="single" w:sz="4" w:space="0" w:color="auto"/>
            </w:tcBorders>
            <w:shd w:val="clear" w:color="auto" w:fill="auto"/>
            <w:noWrap/>
            <w:vAlign w:val="center"/>
            <w:hideMark/>
          </w:tcPr>
          <w:p w14:paraId="60B49723" w14:textId="77777777" w:rsidR="00452C63" w:rsidRPr="00771B89" w:rsidRDefault="00452C63" w:rsidP="00490991">
            <w:pPr>
              <w:spacing w:after="0" w:line="240" w:lineRule="auto"/>
              <w:jc w:val="both"/>
              <w:rPr>
                <w:rFonts w:ascii="Times New Roman" w:hAnsi="Times New Roman"/>
                <w:sz w:val="20"/>
                <w:szCs w:val="20"/>
                <w:lang w:val="en-US"/>
              </w:rPr>
            </w:pPr>
            <w:r w:rsidRPr="00771B89">
              <w:rPr>
                <w:rFonts w:ascii="Times New Roman" w:hAnsi="Times New Roman"/>
                <w:sz w:val="20"/>
                <w:szCs w:val="20"/>
                <w:lang w:val="en-US"/>
              </w:rPr>
              <w:t>Programm for Climate Change ad</w:t>
            </w:r>
          </w:p>
        </w:tc>
      </w:tr>
      <w:tr w:rsidR="00452C63" w:rsidRPr="00771B89" w14:paraId="39A884B3"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0AE09C62" w14:textId="77777777" w:rsidR="00452C63" w:rsidRPr="00145113" w:rsidRDefault="00452C63" w:rsidP="00490991">
            <w:pPr>
              <w:spacing w:after="0" w:line="240" w:lineRule="auto"/>
              <w:jc w:val="both"/>
              <w:rPr>
                <w:rFonts w:ascii="Times New Roman" w:hAnsi="Times New Roman"/>
                <w:sz w:val="20"/>
                <w:szCs w:val="20"/>
                <w:lang w:val="en-US"/>
              </w:rPr>
            </w:pPr>
          </w:p>
        </w:tc>
        <w:tc>
          <w:tcPr>
            <w:tcW w:w="1418" w:type="dxa"/>
            <w:tcBorders>
              <w:top w:val="nil"/>
              <w:left w:val="nil"/>
              <w:bottom w:val="single" w:sz="4" w:space="0" w:color="auto"/>
              <w:right w:val="single" w:sz="4" w:space="0" w:color="auto"/>
            </w:tcBorders>
            <w:shd w:val="clear" w:color="auto" w:fill="auto"/>
            <w:noWrap/>
            <w:vAlign w:val="center"/>
            <w:hideMark/>
          </w:tcPr>
          <w:p w14:paraId="65DC0615"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00091312</w:t>
            </w:r>
          </w:p>
        </w:tc>
        <w:tc>
          <w:tcPr>
            <w:tcW w:w="4536" w:type="dxa"/>
            <w:tcBorders>
              <w:top w:val="nil"/>
              <w:left w:val="nil"/>
              <w:bottom w:val="single" w:sz="4" w:space="0" w:color="auto"/>
              <w:right w:val="single" w:sz="4" w:space="0" w:color="auto"/>
            </w:tcBorders>
            <w:shd w:val="clear" w:color="auto" w:fill="auto"/>
            <w:noWrap/>
            <w:vAlign w:val="center"/>
            <w:hideMark/>
          </w:tcPr>
          <w:p w14:paraId="44E25375"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Renforcemt de la résilience de</w:t>
            </w:r>
          </w:p>
        </w:tc>
      </w:tr>
      <w:tr w:rsidR="00452C63" w:rsidRPr="00771B89" w14:paraId="7E3AAEA9"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10F78EA9"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0428B5C0"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00094957</w:t>
            </w:r>
          </w:p>
        </w:tc>
        <w:tc>
          <w:tcPr>
            <w:tcW w:w="4536" w:type="dxa"/>
            <w:tcBorders>
              <w:top w:val="nil"/>
              <w:left w:val="nil"/>
              <w:bottom w:val="single" w:sz="4" w:space="0" w:color="auto"/>
              <w:right w:val="single" w:sz="4" w:space="0" w:color="auto"/>
            </w:tcBorders>
            <w:shd w:val="clear" w:color="auto" w:fill="auto"/>
            <w:noWrap/>
            <w:vAlign w:val="center"/>
            <w:hideMark/>
          </w:tcPr>
          <w:p w14:paraId="28D13DC0"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Appui SNCC</w:t>
            </w:r>
          </w:p>
        </w:tc>
      </w:tr>
      <w:tr w:rsidR="00452C63" w:rsidRPr="00771B89" w14:paraId="6603BD4D"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2C4B8747"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68916843"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00097458</w:t>
            </w:r>
          </w:p>
        </w:tc>
        <w:tc>
          <w:tcPr>
            <w:tcW w:w="4536" w:type="dxa"/>
            <w:tcBorders>
              <w:top w:val="nil"/>
              <w:left w:val="nil"/>
              <w:bottom w:val="single" w:sz="4" w:space="0" w:color="auto"/>
              <w:right w:val="single" w:sz="4" w:space="0" w:color="auto"/>
            </w:tcBorders>
            <w:shd w:val="clear" w:color="auto" w:fill="auto"/>
            <w:noWrap/>
            <w:vAlign w:val="center"/>
            <w:hideMark/>
          </w:tcPr>
          <w:p w14:paraId="2D59B865"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Intégrat°jeunes Mopti,TBT,Gao</w:t>
            </w:r>
          </w:p>
        </w:tc>
      </w:tr>
      <w:tr w:rsidR="00452C63" w:rsidRPr="00771B89" w14:paraId="0232BD7F"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38821F2B"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72F2998C"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00077304</w:t>
            </w:r>
          </w:p>
        </w:tc>
        <w:tc>
          <w:tcPr>
            <w:tcW w:w="4536" w:type="dxa"/>
            <w:tcBorders>
              <w:top w:val="nil"/>
              <w:left w:val="nil"/>
              <w:bottom w:val="single" w:sz="4" w:space="0" w:color="auto"/>
              <w:right w:val="single" w:sz="4" w:space="0" w:color="auto"/>
            </w:tcBorders>
            <w:shd w:val="clear" w:color="auto" w:fill="auto"/>
            <w:noWrap/>
            <w:vAlign w:val="center"/>
            <w:hideMark/>
          </w:tcPr>
          <w:p w14:paraId="5FF98366"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Projet Appui à la restauration</w:t>
            </w:r>
          </w:p>
        </w:tc>
      </w:tr>
      <w:tr w:rsidR="00452C63" w:rsidRPr="00771B89" w14:paraId="3D440FAA"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6F9C51A7"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AF56D6D"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00103795</w:t>
            </w:r>
          </w:p>
        </w:tc>
        <w:tc>
          <w:tcPr>
            <w:tcW w:w="4536" w:type="dxa"/>
            <w:tcBorders>
              <w:top w:val="nil"/>
              <w:left w:val="nil"/>
              <w:bottom w:val="single" w:sz="4" w:space="0" w:color="auto"/>
              <w:right w:val="single" w:sz="4" w:space="0" w:color="auto"/>
            </w:tcBorders>
            <w:shd w:val="clear" w:color="auto" w:fill="auto"/>
            <w:noWrap/>
            <w:vAlign w:val="center"/>
            <w:hideMark/>
          </w:tcPr>
          <w:p w14:paraId="1473E5D0"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Program Réduction  effets Néfa</w:t>
            </w:r>
          </w:p>
        </w:tc>
      </w:tr>
      <w:tr w:rsidR="00452C63" w:rsidRPr="00771B89" w14:paraId="5C753804"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7719C1F3"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2327546"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00088621</w:t>
            </w:r>
          </w:p>
        </w:tc>
        <w:tc>
          <w:tcPr>
            <w:tcW w:w="4536" w:type="dxa"/>
            <w:tcBorders>
              <w:top w:val="nil"/>
              <w:left w:val="nil"/>
              <w:bottom w:val="single" w:sz="4" w:space="0" w:color="auto"/>
              <w:right w:val="single" w:sz="4" w:space="0" w:color="auto"/>
            </w:tcBorders>
            <w:shd w:val="clear" w:color="auto" w:fill="auto"/>
            <w:noWrap/>
            <w:vAlign w:val="center"/>
            <w:hideMark/>
          </w:tcPr>
          <w:p w14:paraId="54C9CAC8"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PEI Mali</w:t>
            </w:r>
          </w:p>
        </w:tc>
      </w:tr>
      <w:tr w:rsidR="00452C63" w:rsidRPr="00771B89" w14:paraId="330ACDBA"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17F2D7BC"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A4AF873"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00099106</w:t>
            </w:r>
          </w:p>
        </w:tc>
        <w:tc>
          <w:tcPr>
            <w:tcW w:w="4536" w:type="dxa"/>
            <w:tcBorders>
              <w:top w:val="nil"/>
              <w:left w:val="nil"/>
              <w:bottom w:val="single" w:sz="4" w:space="0" w:color="auto"/>
              <w:right w:val="single" w:sz="4" w:space="0" w:color="auto"/>
            </w:tcBorders>
            <w:shd w:val="clear" w:color="auto" w:fill="auto"/>
            <w:noWrap/>
            <w:vAlign w:val="center"/>
            <w:hideMark/>
          </w:tcPr>
          <w:p w14:paraId="092A339D"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Gestion des risques d'inondati</w:t>
            </w:r>
          </w:p>
        </w:tc>
      </w:tr>
      <w:tr w:rsidR="00452C63" w:rsidRPr="00771B89" w14:paraId="124120CC"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40831B2F"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00B69FE9"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00046427</w:t>
            </w:r>
          </w:p>
        </w:tc>
        <w:tc>
          <w:tcPr>
            <w:tcW w:w="4536" w:type="dxa"/>
            <w:tcBorders>
              <w:top w:val="nil"/>
              <w:left w:val="nil"/>
              <w:bottom w:val="single" w:sz="4" w:space="0" w:color="auto"/>
              <w:right w:val="single" w:sz="4" w:space="0" w:color="auto"/>
            </w:tcBorders>
            <w:shd w:val="clear" w:color="auto" w:fill="auto"/>
            <w:noWrap/>
            <w:vAlign w:val="center"/>
            <w:hideMark/>
          </w:tcPr>
          <w:p w14:paraId="79216C35"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PNUE:Renf.articul.politique</w:t>
            </w:r>
          </w:p>
        </w:tc>
      </w:tr>
      <w:tr w:rsidR="00452C63" w:rsidRPr="00771B89" w14:paraId="3DAE9015"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6793F492"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21A634D"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00075081</w:t>
            </w:r>
          </w:p>
        </w:tc>
        <w:tc>
          <w:tcPr>
            <w:tcW w:w="4536" w:type="dxa"/>
            <w:tcBorders>
              <w:top w:val="nil"/>
              <w:left w:val="nil"/>
              <w:bottom w:val="single" w:sz="4" w:space="0" w:color="auto"/>
              <w:right w:val="single" w:sz="4" w:space="0" w:color="auto"/>
            </w:tcBorders>
            <w:shd w:val="clear" w:color="auto" w:fill="auto"/>
            <w:noWrap/>
            <w:vAlign w:val="center"/>
            <w:hideMark/>
          </w:tcPr>
          <w:p w14:paraId="396047C8"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PAPAM appui environnemental</w:t>
            </w:r>
          </w:p>
        </w:tc>
      </w:tr>
      <w:tr w:rsidR="00452C63" w:rsidRPr="00771B89" w14:paraId="72302512"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6CDA59F5"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0FB9EE2A"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00105388</w:t>
            </w:r>
          </w:p>
        </w:tc>
        <w:tc>
          <w:tcPr>
            <w:tcW w:w="4536" w:type="dxa"/>
            <w:tcBorders>
              <w:top w:val="nil"/>
              <w:left w:val="nil"/>
              <w:bottom w:val="single" w:sz="4" w:space="0" w:color="auto"/>
              <w:right w:val="single" w:sz="4" w:space="0" w:color="auto"/>
            </w:tcBorders>
            <w:shd w:val="clear" w:color="auto" w:fill="auto"/>
            <w:noWrap/>
            <w:vAlign w:val="center"/>
            <w:hideMark/>
          </w:tcPr>
          <w:p w14:paraId="6AF272EF"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Améltion de la prodution agric</w:t>
            </w:r>
          </w:p>
        </w:tc>
      </w:tr>
      <w:tr w:rsidR="00452C63" w:rsidRPr="00771B89" w14:paraId="2C9CDB98"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3C0B1342"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0FEE9E3A"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00076446</w:t>
            </w:r>
          </w:p>
        </w:tc>
        <w:tc>
          <w:tcPr>
            <w:tcW w:w="4536" w:type="dxa"/>
            <w:tcBorders>
              <w:top w:val="nil"/>
              <w:left w:val="nil"/>
              <w:bottom w:val="single" w:sz="4" w:space="0" w:color="auto"/>
              <w:right w:val="single" w:sz="4" w:space="0" w:color="auto"/>
            </w:tcBorders>
            <w:shd w:val="clear" w:color="auto" w:fill="auto"/>
            <w:noWrap/>
            <w:vAlign w:val="center"/>
            <w:hideMark/>
          </w:tcPr>
          <w:p w14:paraId="5038C2FA"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Expansion et renforcement AP</w:t>
            </w:r>
          </w:p>
        </w:tc>
      </w:tr>
      <w:tr w:rsidR="00452C63" w:rsidRPr="00771B89" w14:paraId="7D7DE336"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18A129D7"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79CEEBDA"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00087699</w:t>
            </w:r>
          </w:p>
        </w:tc>
        <w:tc>
          <w:tcPr>
            <w:tcW w:w="4536" w:type="dxa"/>
            <w:tcBorders>
              <w:top w:val="nil"/>
              <w:left w:val="nil"/>
              <w:bottom w:val="single" w:sz="4" w:space="0" w:color="auto"/>
              <w:right w:val="single" w:sz="4" w:space="0" w:color="auto"/>
            </w:tcBorders>
            <w:shd w:val="clear" w:color="auto" w:fill="auto"/>
            <w:noWrap/>
            <w:vAlign w:val="center"/>
            <w:hideMark/>
          </w:tcPr>
          <w:p w14:paraId="123B06BB"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Troisième Communication nation</w:t>
            </w:r>
          </w:p>
        </w:tc>
      </w:tr>
      <w:tr w:rsidR="00452C63" w:rsidRPr="00771B89" w14:paraId="1F37318A"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6182800F"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66779996"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00013615</w:t>
            </w:r>
          </w:p>
        </w:tc>
        <w:tc>
          <w:tcPr>
            <w:tcW w:w="4536" w:type="dxa"/>
            <w:tcBorders>
              <w:top w:val="nil"/>
              <w:left w:val="nil"/>
              <w:bottom w:val="single" w:sz="4" w:space="0" w:color="auto"/>
              <w:right w:val="single" w:sz="4" w:space="0" w:color="auto"/>
            </w:tcBorders>
            <w:shd w:val="clear" w:color="auto" w:fill="auto"/>
            <w:noWrap/>
            <w:vAlign w:val="center"/>
            <w:hideMark/>
          </w:tcPr>
          <w:p w14:paraId="154BFD0A"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PENRAF</w:t>
            </w:r>
          </w:p>
        </w:tc>
      </w:tr>
      <w:tr w:rsidR="00452C63" w:rsidRPr="00771B89" w14:paraId="61D22117"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23744ADC"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F689797"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00075650</w:t>
            </w:r>
          </w:p>
        </w:tc>
        <w:tc>
          <w:tcPr>
            <w:tcW w:w="4536" w:type="dxa"/>
            <w:tcBorders>
              <w:top w:val="nil"/>
              <w:left w:val="nil"/>
              <w:bottom w:val="single" w:sz="4" w:space="0" w:color="auto"/>
              <w:right w:val="single" w:sz="4" w:space="0" w:color="auto"/>
            </w:tcBorders>
            <w:shd w:val="clear" w:color="auto" w:fill="auto"/>
            <w:noWrap/>
            <w:vAlign w:val="center"/>
            <w:hideMark/>
          </w:tcPr>
          <w:p w14:paraId="2A8C4224"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Amélioration ENV. actions</w:t>
            </w:r>
          </w:p>
        </w:tc>
      </w:tr>
      <w:tr w:rsidR="00452C63" w:rsidRPr="00771B89" w14:paraId="70EFCC5C"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554C4A2B"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6AC63327"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00099453</w:t>
            </w:r>
          </w:p>
        </w:tc>
        <w:tc>
          <w:tcPr>
            <w:tcW w:w="4536" w:type="dxa"/>
            <w:tcBorders>
              <w:top w:val="nil"/>
              <w:left w:val="nil"/>
              <w:bottom w:val="single" w:sz="4" w:space="0" w:color="auto"/>
              <w:right w:val="single" w:sz="4" w:space="0" w:color="auto"/>
            </w:tcBorders>
            <w:shd w:val="clear" w:color="auto" w:fill="auto"/>
            <w:noWrap/>
            <w:vAlign w:val="center"/>
            <w:hideMark/>
          </w:tcPr>
          <w:p w14:paraId="50A54FB6"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Appui Sécurité Humaine</w:t>
            </w:r>
          </w:p>
        </w:tc>
      </w:tr>
      <w:tr w:rsidR="00452C63" w:rsidRPr="00771B89" w14:paraId="3862E707"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3A7FDE0F"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676AA02"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00095678</w:t>
            </w:r>
          </w:p>
        </w:tc>
        <w:tc>
          <w:tcPr>
            <w:tcW w:w="4536" w:type="dxa"/>
            <w:tcBorders>
              <w:top w:val="nil"/>
              <w:left w:val="nil"/>
              <w:bottom w:val="single" w:sz="4" w:space="0" w:color="auto"/>
              <w:right w:val="single" w:sz="4" w:space="0" w:color="auto"/>
            </w:tcBorders>
            <w:shd w:val="clear" w:color="auto" w:fill="auto"/>
            <w:noWrap/>
            <w:vAlign w:val="center"/>
            <w:hideMark/>
          </w:tcPr>
          <w:p w14:paraId="2164F049"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Promotion produc d'Elecrticité</w:t>
            </w:r>
          </w:p>
        </w:tc>
      </w:tr>
      <w:tr w:rsidR="00452C63" w:rsidRPr="00771B89" w14:paraId="6744AA9B"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4545CE76"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220E5352"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00101136</w:t>
            </w:r>
          </w:p>
        </w:tc>
        <w:tc>
          <w:tcPr>
            <w:tcW w:w="4536" w:type="dxa"/>
            <w:tcBorders>
              <w:top w:val="nil"/>
              <w:left w:val="nil"/>
              <w:bottom w:val="single" w:sz="4" w:space="0" w:color="auto"/>
              <w:right w:val="single" w:sz="4" w:space="0" w:color="auto"/>
            </w:tcBorders>
            <w:shd w:val="clear" w:color="auto" w:fill="auto"/>
            <w:noWrap/>
            <w:vAlign w:val="center"/>
            <w:hideMark/>
          </w:tcPr>
          <w:p w14:paraId="1A9F2B16"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Conservation des éléphants du</w:t>
            </w:r>
          </w:p>
        </w:tc>
      </w:tr>
      <w:tr w:rsidR="00452C63" w:rsidRPr="00771B89" w14:paraId="07E44099"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5051DE50"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6FCA9361"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00087117</w:t>
            </w:r>
          </w:p>
        </w:tc>
        <w:tc>
          <w:tcPr>
            <w:tcW w:w="4536" w:type="dxa"/>
            <w:tcBorders>
              <w:top w:val="nil"/>
              <w:left w:val="nil"/>
              <w:bottom w:val="single" w:sz="4" w:space="0" w:color="auto"/>
              <w:right w:val="single" w:sz="4" w:space="0" w:color="auto"/>
            </w:tcBorders>
            <w:shd w:val="clear" w:color="auto" w:fill="auto"/>
            <w:noWrap/>
            <w:vAlign w:val="center"/>
            <w:hideMark/>
          </w:tcPr>
          <w:p w14:paraId="4984D4CB"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RC résilience CC et S A</w:t>
            </w:r>
          </w:p>
        </w:tc>
      </w:tr>
      <w:tr w:rsidR="00452C63" w:rsidRPr="00771B89" w14:paraId="5DAAC7E1"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5A8EE0AF"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64E6EC5"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00088030</w:t>
            </w:r>
          </w:p>
        </w:tc>
        <w:tc>
          <w:tcPr>
            <w:tcW w:w="4536" w:type="dxa"/>
            <w:tcBorders>
              <w:top w:val="nil"/>
              <w:left w:val="nil"/>
              <w:bottom w:val="single" w:sz="4" w:space="0" w:color="auto"/>
              <w:right w:val="single" w:sz="4" w:space="0" w:color="auto"/>
            </w:tcBorders>
            <w:shd w:val="clear" w:color="auto" w:fill="auto"/>
            <w:noWrap/>
            <w:vAlign w:val="center"/>
            <w:hideMark/>
          </w:tcPr>
          <w:p w14:paraId="79FC4332"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Projet conjoint jeunesse et ré</w:t>
            </w:r>
          </w:p>
        </w:tc>
      </w:tr>
      <w:tr w:rsidR="00452C63" w:rsidRPr="00771B89" w14:paraId="599FF40A"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7BC2E02C"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7E1EE53A"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00099461</w:t>
            </w:r>
          </w:p>
        </w:tc>
        <w:tc>
          <w:tcPr>
            <w:tcW w:w="4536" w:type="dxa"/>
            <w:tcBorders>
              <w:top w:val="nil"/>
              <w:left w:val="nil"/>
              <w:bottom w:val="single" w:sz="4" w:space="0" w:color="auto"/>
              <w:right w:val="single" w:sz="4" w:space="0" w:color="auto"/>
            </w:tcBorders>
            <w:shd w:val="clear" w:color="auto" w:fill="auto"/>
            <w:noWrap/>
            <w:vAlign w:val="center"/>
            <w:hideMark/>
          </w:tcPr>
          <w:p w14:paraId="024CDBFC"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Plates Formes</w:t>
            </w:r>
          </w:p>
        </w:tc>
      </w:tr>
      <w:tr w:rsidR="00452C63" w:rsidRPr="00771B89" w14:paraId="09CCB779"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686204E4"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136286D5"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00078299</w:t>
            </w:r>
          </w:p>
        </w:tc>
        <w:tc>
          <w:tcPr>
            <w:tcW w:w="4536" w:type="dxa"/>
            <w:tcBorders>
              <w:top w:val="nil"/>
              <w:left w:val="nil"/>
              <w:bottom w:val="single" w:sz="4" w:space="0" w:color="auto"/>
              <w:right w:val="single" w:sz="4" w:space="0" w:color="auto"/>
            </w:tcBorders>
            <w:shd w:val="clear" w:color="auto" w:fill="auto"/>
            <w:noWrap/>
            <w:vAlign w:val="center"/>
            <w:hideMark/>
          </w:tcPr>
          <w:p w14:paraId="45DB515A"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Prog. Appui Gest Env et Promot</w:t>
            </w:r>
          </w:p>
        </w:tc>
      </w:tr>
      <w:tr w:rsidR="00452C63" w:rsidRPr="00771B89" w14:paraId="65A49E23"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0DA76544"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69E4A00B"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00101533</w:t>
            </w:r>
          </w:p>
        </w:tc>
        <w:tc>
          <w:tcPr>
            <w:tcW w:w="4536" w:type="dxa"/>
            <w:tcBorders>
              <w:top w:val="nil"/>
              <w:left w:val="nil"/>
              <w:bottom w:val="single" w:sz="4" w:space="0" w:color="auto"/>
              <w:right w:val="single" w:sz="4" w:space="0" w:color="auto"/>
            </w:tcBorders>
            <w:shd w:val="clear" w:color="auto" w:fill="auto"/>
            <w:noWrap/>
            <w:vAlign w:val="center"/>
            <w:hideMark/>
          </w:tcPr>
          <w:p w14:paraId="02DCA4A2"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Génértion avtage  pr Env globa</w:t>
            </w:r>
          </w:p>
        </w:tc>
      </w:tr>
      <w:tr w:rsidR="00452C63" w:rsidRPr="00771B89" w14:paraId="5A75AC70"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775382E6"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9D1AEC2"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00081418</w:t>
            </w:r>
          </w:p>
        </w:tc>
        <w:tc>
          <w:tcPr>
            <w:tcW w:w="4536" w:type="dxa"/>
            <w:tcBorders>
              <w:top w:val="nil"/>
              <w:left w:val="nil"/>
              <w:bottom w:val="single" w:sz="4" w:space="0" w:color="auto"/>
              <w:right w:val="single" w:sz="4" w:space="0" w:color="auto"/>
            </w:tcBorders>
            <w:shd w:val="clear" w:color="auto" w:fill="auto"/>
            <w:noWrap/>
            <w:vAlign w:val="center"/>
            <w:hideMark/>
          </w:tcPr>
          <w:p w14:paraId="5C2A3665"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Promotion Production Utilisati</w:t>
            </w:r>
          </w:p>
        </w:tc>
      </w:tr>
      <w:tr w:rsidR="00452C63" w:rsidRPr="00771B89" w14:paraId="50AD40EB"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6F65262B"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16762587"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00091735</w:t>
            </w:r>
          </w:p>
        </w:tc>
        <w:tc>
          <w:tcPr>
            <w:tcW w:w="4536" w:type="dxa"/>
            <w:tcBorders>
              <w:top w:val="nil"/>
              <w:left w:val="nil"/>
              <w:bottom w:val="single" w:sz="4" w:space="0" w:color="auto"/>
              <w:right w:val="single" w:sz="4" w:space="0" w:color="auto"/>
            </w:tcBorders>
            <w:shd w:val="clear" w:color="auto" w:fill="auto"/>
            <w:noWrap/>
            <w:vAlign w:val="center"/>
            <w:hideMark/>
          </w:tcPr>
          <w:p w14:paraId="4D8A60B8"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Progr Appui Agriculture Durabl</w:t>
            </w:r>
          </w:p>
        </w:tc>
      </w:tr>
      <w:tr w:rsidR="00452C63" w:rsidRPr="00771B89" w14:paraId="7C663DA2"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21A05B8D"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1FE50472"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00079313</w:t>
            </w:r>
          </w:p>
        </w:tc>
        <w:tc>
          <w:tcPr>
            <w:tcW w:w="4536" w:type="dxa"/>
            <w:tcBorders>
              <w:top w:val="nil"/>
              <w:left w:val="nil"/>
              <w:bottom w:val="single" w:sz="4" w:space="0" w:color="auto"/>
              <w:right w:val="single" w:sz="4" w:space="0" w:color="auto"/>
            </w:tcBorders>
            <w:shd w:val="clear" w:color="auto" w:fill="auto"/>
            <w:noWrap/>
            <w:vAlign w:val="center"/>
            <w:hideMark/>
          </w:tcPr>
          <w:p w14:paraId="2FE8432F"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Plan de Gestion d' Elimination</w:t>
            </w:r>
          </w:p>
        </w:tc>
      </w:tr>
      <w:tr w:rsidR="00452C63" w:rsidRPr="00771B89" w14:paraId="3AE301FC"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79576EB4"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2A3EDD2A"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00062484</w:t>
            </w:r>
          </w:p>
        </w:tc>
        <w:tc>
          <w:tcPr>
            <w:tcW w:w="4536" w:type="dxa"/>
            <w:tcBorders>
              <w:top w:val="nil"/>
              <w:left w:val="nil"/>
              <w:bottom w:val="single" w:sz="4" w:space="0" w:color="auto"/>
              <w:right w:val="single" w:sz="4" w:space="0" w:color="auto"/>
            </w:tcBorders>
            <w:shd w:val="clear" w:color="auto" w:fill="auto"/>
            <w:noWrap/>
            <w:vAlign w:val="center"/>
            <w:hideMark/>
          </w:tcPr>
          <w:p w14:paraId="48B74BC8"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POVERTY REDUCTION AND WOMEN'S</w:t>
            </w:r>
          </w:p>
        </w:tc>
      </w:tr>
      <w:tr w:rsidR="00452C63" w:rsidRPr="00145113" w14:paraId="0B118B01"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31D00195"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13D96D39"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00074152</w:t>
            </w:r>
          </w:p>
        </w:tc>
        <w:tc>
          <w:tcPr>
            <w:tcW w:w="4536" w:type="dxa"/>
            <w:tcBorders>
              <w:top w:val="nil"/>
              <w:left w:val="nil"/>
              <w:bottom w:val="single" w:sz="4" w:space="0" w:color="auto"/>
              <w:right w:val="single" w:sz="4" w:space="0" w:color="auto"/>
            </w:tcBorders>
            <w:shd w:val="clear" w:color="auto" w:fill="auto"/>
            <w:noWrap/>
            <w:vAlign w:val="center"/>
            <w:hideMark/>
          </w:tcPr>
          <w:p w14:paraId="173FF11C" w14:textId="77777777" w:rsidR="00452C63" w:rsidRPr="00771B89" w:rsidRDefault="00452C63" w:rsidP="00490991">
            <w:pPr>
              <w:spacing w:after="0" w:line="240" w:lineRule="auto"/>
              <w:jc w:val="both"/>
              <w:rPr>
                <w:rFonts w:ascii="Times New Roman" w:hAnsi="Times New Roman"/>
                <w:sz w:val="20"/>
                <w:szCs w:val="20"/>
                <w:lang w:val="en-US"/>
              </w:rPr>
            </w:pPr>
            <w:r w:rsidRPr="00771B89">
              <w:rPr>
                <w:rFonts w:ascii="Times New Roman" w:hAnsi="Times New Roman"/>
                <w:sz w:val="20"/>
                <w:szCs w:val="20"/>
                <w:lang w:val="en-US"/>
              </w:rPr>
              <w:t>Addressing CC in the LDC's</w:t>
            </w:r>
          </w:p>
        </w:tc>
      </w:tr>
      <w:tr w:rsidR="00452C63" w:rsidRPr="00771B89" w14:paraId="50A51D25" w14:textId="77777777" w:rsidTr="000442E1">
        <w:trPr>
          <w:trHeight w:val="300"/>
          <w:jc w:val="center"/>
        </w:trPr>
        <w:tc>
          <w:tcPr>
            <w:tcW w:w="1985"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14:paraId="3B0E51F2" w14:textId="77777777" w:rsidR="00452C63" w:rsidRPr="00145113" w:rsidRDefault="00452C63" w:rsidP="00490991">
            <w:pPr>
              <w:spacing w:after="0" w:line="240" w:lineRule="auto"/>
              <w:jc w:val="both"/>
              <w:rPr>
                <w:rFonts w:ascii="Times New Roman" w:hAnsi="Times New Roman"/>
                <w:sz w:val="20"/>
                <w:szCs w:val="20"/>
                <w:lang w:val="en-US"/>
              </w:rPr>
            </w:pPr>
          </w:p>
        </w:tc>
        <w:tc>
          <w:tcPr>
            <w:tcW w:w="1418" w:type="dxa"/>
            <w:tcBorders>
              <w:top w:val="nil"/>
              <w:left w:val="nil"/>
              <w:bottom w:val="single" w:sz="4" w:space="0" w:color="auto"/>
              <w:right w:val="single" w:sz="4" w:space="0" w:color="auto"/>
            </w:tcBorders>
            <w:shd w:val="clear" w:color="auto" w:fill="auto"/>
            <w:noWrap/>
            <w:vAlign w:val="center"/>
            <w:hideMark/>
          </w:tcPr>
          <w:p w14:paraId="2F6A8DAD"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00085903</w:t>
            </w:r>
          </w:p>
        </w:tc>
        <w:tc>
          <w:tcPr>
            <w:tcW w:w="4536" w:type="dxa"/>
            <w:tcBorders>
              <w:top w:val="nil"/>
              <w:left w:val="nil"/>
              <w:bottom w:val="single" w:sz="4" w:space="0" w:color="auto"/>
              <w:right w:val="single" w:sz="4" w:space="0" w:color="auto"/>
            </w:tcBorders>
            <w:shd w:val="clear" w:color="auto" w:fill="auto"/>
            <w:noWrap/>
            <w:vAlign w:val="center"/>
            <w:hideMark/>
          </w:tcPr>
          <w:p w14:paraId="25C9FABE"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PARPPF Faguibine</w:t>
            </w:r>
          </w:p>
        </w:tc>
      </w:tr>
      <w:tr w:rsidR="00452C63" w:rsidRPr="00771B89" w14:paraId="0065AB1F" w14:textId="77777777" w:rsidTr="000442E1">
        <w:trPr>
          <w:trHeight w:val="300"/>
          <w:jc w:val="center"/>
        </w:trPr>
        <w:tc>
          <w:tcPr>
            <w:tcW w:w="1985" w:type="dxa"/>
            <w:vMerge w:val="restart"/>
            <w:tcBorders>
              <w:top w:val="nil"/>
              <w:left w:val="single" w:sz="4" w:space="0" w:color="auto"/>
              <w:right w:val="single" w:sz="4" w:space="0" w:color="auto"/>
            </w:tcBorders>
            <w:shd w:val="clear" w:color="auto" w:fill="F2F2F2" w:themeFill="background1" w:themeFillShade="F2"/>
            <w:noWrap/>
            <w:vAlign w:val="center"/>
            <w:hideMark/>
          </w:tcPr>
          <w:p w14:paraId="695BF146"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Gouvernance démocratique</w:t>
            </w:r>
          </w:p>
        </w:tc>
        <w:tc>
          <w:tcPr>
            <w:tcW w:w="1418" w:type="dxa"/>
            <w:tcBorders>
              <w:top w:val="nil"/>
              <w:left w:val="nil"/>
              <w:bottom w:val="single" w:sz="4" w:space="0" w:color="auto"/>
              <w:right w:val="single" w:sz="4" w:space="0" w:color="auto"/>
            </w:tcBorders>
            <w:shd w:val="clear" w:color="auto" w:fill="auto"/>
            <w:noWrap/>
            <w:vAlign w:val="center"/>
            <w:hideMark/>
          </w:tcPr>
          <w:p w14:paraId="07440CA9"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00088627</w:t>
            </w:r>
          </w:p>
        </w:tc>
        <w:tc>
          <w:tcPr>
            <w:tcW w:w="4536" w:type="dxa"/>
            <w:tcBorders>
              <w:top w:val="nil"/>
              <w:left w:val="nil"/>
              <w:bottom w:val="single" w:sz="4" w:space="0" w:color="auto"/>
              <w:right w:val="single" w:sz="4" w:space="0" w:color="auto"/>
            </w:tcBorders>
            <w:shd w:val="clear" w:color="auto" w:fill="auto"/>
            <w:noWrap/>
            <w:vAlign w:val="center"/>
            <w:hideMark/>
          </w:tcPr>
          <w:p w14:paraId="58A65708"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Restauration autorité Etat</w:t>
            </w:r>
          </w:p>
        </w:tc>
      </w:tr>
      <w:tr w:rsidR="00452C63" w:rsidRPr="00771B89" w14:paraId="459DDD7B"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5762763D"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775EE1EB"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00102307</w:t>
            </w:r>
          </w:p>
        </w:tc>
        <w:tc>
          <w:tcPr>
            <w:tcW w:w="4536" w:type="dxa"/>
            <w:tcBorders>
              <w:top w:val="nil"/>
              <w:left w:val="nil"/>
              <w:bottom w:val="single" w:sz="4" w:space="0" w:color="auto"/>
              <w:right w:val="single" w:sz="4" w:space="0" w:color="auto"/>
            </w:tcBorders>
            <w:shd w:val="clear" w:color="auto" w:fill="auto"/>
            <w:noWrap/>
            <w:vAlign w:val="center"/>
            <w:hideMark/>
          </w:tcPr>
          <w:p w14:paraId="0E0DE1D8"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Lutte contre les facteurs de c</w:t>
            </w:r>
          </w:p>
        </w:tc>
      </w:tr>
      <w:tr w:rsidR="00452C63" w:rsidRPr="00771B89" w14:paraId="0190D5DC"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5446927F"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26EF1AC"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00103012</w:t>
            </w:r>
          </w:p>
        </w:tc>
        <w:tc>
          <w:tcPr>
            <w:tcW w:w="4536" w:type="dxa"/>
            <w:tcBorders>
              <w:top w:val="nil"/>
              <w:left w:val="nil"/>
              <w:bottom w:val="single" w:sz="4" w:space="0" w:color="auto"/>
              <w:right w:val="single" w:sz="4" w:space="0" w:color="auto"/>
            </w:tcBorders>
            <w:shd w:val="clear" w:color="auto" w:fill="auto"/>
            <w:noWrap/>
            <w:vAlign w:val="center"/>
            <w:hideMark/>
          </w:tcPr>
          <w:p w14:paraId="653A1DA9"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RC services pénitentiaires</w:t>
            </w:r>
          </w:p>
        </w:tc>
      </w:tr>
      <w:tr w:rsidR="00452C63" w:rsidRPr="00771B89" w14:paraId="15277B83"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2C68F6E5"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1D47BD8"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00086940</w:t>
            </w:r>
          </w:p>
        </w:tc>
        <w:tc>
          <w:tcPr>
            <w:tcW w:w="4536" w:type="dxa"/>
            <w:tcBorders>
              <w:top w:val="nil"/>
              <w:left w:val="nil"/>
              <w:bottom w:val="single" w:sz="4" w:space="0" w:color="auto"/>
              <w:right w:val="single" w:sz="4" w:space="0" w:color="auto"/>
            </w:tcBorders>
            <w:shd w:val="clear" w:color="auto" w:fill="auto"/>
            <w:noWrap/>
            <w:vAlign w:val="center"/>
            <w:hideMark/>
          </w:tcPr>
          <w:p w14:paraId="5F9FEBD7"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Le projet d’appui au renforcement Coh sociale</w:t>
            </w:r>
          </w:p>
        </w:tc>
      </w:tr>
      <w:tr w:rsidR="00452C63" w:rsidRPr="00771B89" w14:paraId="31CF814C"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26BA135A"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4B853777"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00062962</w:t>
            </w:r>
          </w:p>
        </w:tc>
        <w:tc>
          <w:tcPr>
            <w:tcW w:w="4536" w:type="dxa"/>
            <w:tcBorders>
              <w:top w:val="nil"/>
              <w:left w:val="nil"/>
              <w:bottom w:val="single" w:sz="4" w:space="0" w:color="auto"/>
              <w:right w:val="single" w:sz="4" w:space="0" w:color="auto"/>
            </w:tcBorders>
            <w:shd w:val="clear" w:color="auto" w:fill="auto"/>
            <w:noWrap/>
            <w:vAlign w:val="center"/>
            <w:hideMark/>
          </w:tcPr>
          <w:p w14:paraId="50ADACEB"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TOKTEN Mali</w:t>
            </w:r>
          </w:p>
        </w:tc>
      </w:tr>
      <w:tr w:rsidR="00452C63" w:rsidRPr="00771B89" w14:paraId="0071999E"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00A016DB"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189985A9"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00094743</w:t>
            </w:r>
          </w:p>
        </w:tc>
        <w:tc>
          <w:tcPr>
            <w:tcW w:w="4536" w:type="dxa"/>
            <w:tcBorders>
              <w:top w:val="nil"/>
              <w:left w:val="nil"/>
              <w:bottom w:val="single" w:sz="4" w:space="0" w:color="auto"/>
              <w:right w:val="single" w:sz="4" w:space="0" w:color="auto"/>
            </w:tcBorders>
            <w:shd w:val="clear" w:color="auto" w:fill="auto"/>
            <w:noWrap/>
            <w:vAlign w:val="center"/>
            <w:hideMark/>
          </w:tcPr>
          <w:p w14:paraId="54A95D6A"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Renforcemt cap Ecole Nat Polic</w:t>
            </w:r>
          </w:p>
        </w:tc>
      </w:tr>
      <w:tr w:rsidR="00452C63" w:rsidRPr="00771B89" w14:paraId="1A4FA0AF"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211F05FC"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E35683E"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00098238</w:t>
            </w:r>
          </w:p>
        </w:tc>
        <w:tc>
          <w:tcPr>
            <w:tcW w:w="4536" w:type="dxa"/>
            <w:tcBorders>
              <w:top w:val="nil"/>
              <w:left w:val="nil"/>
              <w:bottom w:val="single" w:sz="4" w:space="0" w:color="auto"/>
              <w:right w:val="single" w:sz="4" w:space="0" w:color="auto"/>
            </w:tcBorders>
            <w:shd w:val="clear" w:color="auto" w:fill="auto"/>
            <w:noWrap/>
            <w:vAlign w:val="center"/>
            <w:hideMark/>
          </w:tcPr>
          <w:p w14:paraId="21ECF3BF"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Decentralisation et Gouvernanc</w:t>
            </w:r>
          </w:p>
        </w:tc>
      </w:tr>
      <w:tr w:rsidR="00452C63" w:rsidRPr="00771B89" w14:paraId="5F8565B3"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7BD4192F"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12D72872"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00098858</w:t>
            </w:r>
          </w:p>
        </w:tc>
        <w:tc>
          <w:tcPr>
            <w:tcW w:w="4536" w:type="dxa"/>
            <w:tcBorders>
              <w:top w:val="nil"/>
              <w:left w:val="nil"/>
              <w:bottom w:val="single" w:sz="4" w:space="0" w:color="auto"/>
              <w:right w:val="single" w:sz="4" w:space="0" w:color="auto"/>
            </w:tcBorders>
            <w:shd w:val="clear" w:color="auto" w:fill="auto"/>
            <w:noWrap/>
            <w:vAlign w:val="center"/>
            <w:hideMark/>
          </w:tcPr>
          <w:p w14:paraId="6337675E"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Projet Réinsertion socioéconom</w:t>
            </w:r>
          </w:p>
        </w:tc>
      </w:tr>
      <w:tr w:rsidR="00452C63" w:rsidRPr="00771B89" w14:paraId="0DC7B005"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1B9B7B17"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6CDECE2"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00093663</w:t>
            </w:r>
          </w:p>
        </w:tc>
        <w:tc>
          <w:tcPr>
            <w:tcW w:w="4536" w:type="dxa"/>
            <w:tcBorders>
              <w:top w:val="nil"/>
              <w:left w:val="nil"/>
              <w:bottom w:val="single" w:sz="4" w:space="0" w:color="auto"/>
              <w:right w:val="single" w:sz="4" w:space="0" w:color="auto"/>
            </w:tcBorders>
            <w:shd w:val="clear" w:color="auto" w:fill="auto"/>
            <w:noWrap/>
            <w:vAlign w:val="center"/>
            <w:hideMark/>
          </w:tcPr>
          <w:p w14:paraId="1505778A"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Appui au Renf. des Cap de Res</w:t>
            </w:r>
          </w:p>
        </w:tc>
      </w:tr>
      <w:tr w:rsidR="00452C63" w:rsidRPr="00145113" w14:paraId="6687D2B3"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40B85CD9"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7BCED109"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00099930</w:t>
            </w:r>
          </w:p>
        </w:tc>
        <w:tc>
          <w:tcPr>
            <w:tcW w:w="4536" w:type="dxa"/>
            <w:tcBorders>
              <w:top w:val="nil"/>
              <w:left w:val="nil"/>
              <w:bottom w:val="single" w:sz="4" w:space="0" w:color="auto"/>
              <w:right w:val="single" w:sz="4" w:space="0" w:color="auto"/>
            </w:tcBorders>
            <w:shd w:val="clear" w:color="auto" w:fill="auto"/>
            <w:noWrap/>
            <w:vAlign w:val="center"/>
            <w:hideMark/>
          </w:tcPr>
          <w:p w14:paraId="48364F2A" w14:textId="77777777" w:rsidR="00452C63" w:rsidRPr="00771B89" w:rsidRDefault="00452C63" w:rsidP="00490991">
            <w:pPr>
              <w:spacing w:after="0" w:line="240" w:lineRule="auto"/>
              <w:jc w:val="both"/>
              <w:rPr>
                <w:rFonts w:ascii="Times New Roman" w:hAnsi="Times New Roman"/>
                <w:sz w:val="20"/>
                <w:szCs w:val="20"/>
                <w:lang w:val="en-US"/>
              </w:rPr>
            </w:pPr>
            <w:r w:rsidRPr="00771B89">
              <w:rPr>
                <w:rFonts w:ascii="Times New Roman" w:hAnsi="Times New Roman"/>
                <w:sz w:val="20"/>
                <w:szCs w:val="20"/>
                <w:lang w:val="en-US"/>
              </w:rPr>
              <w:t>MLI Border management for stab</w:t>
            </w:r>
          </w:p>
        </w:tc>
      </w:tr>
      <w:tr w:rsidR="00452C63" w:rsidRPr="00145113" w14:paraId="0791378B"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03AB1212" w14:textId="77777777" w:rsidR="00452C63" w:rsidRPr="00145113" w:rsidRDefault="00452C63" w:rsidP="00490991">
            <w:pPr>
              <w:spacing w:after="0" w:line="240" w:lineRule="auto"/>
              <w:jc w:val="both"/>
              <w:rPr>
                <w:rFonts w:ascii="Times New Roman" w:hAnsi="Times New Roman"/>
                <w:sz w:val="20"/>
                <w:szCs w:val="20"/>
                <w:lang w:val="en-US"/>
              </w:rPr>
            </w:pPr>
          </w:p>
        </w:tc>
        <w:tc>
          <w:tcPr>
            <w:tcW w:w="1418" w:type="dxa"/>
            <w:tcBorders>
              <w:top w:val="nil"/>
              <w:left w:val="nil"/>
              <w:bottom w:val="single" w:sz="4" w:space="0" w:color="auto"/>
              <w:right w:val="single" w:sz="4" w:space="0" w:color="auto"/>
            </w:tcBorders>
            <w:shd w:val="clear" w:color="auto" w:fill="auto"/>
            <w:noWrap/>
            <w:vAlign w:val="center"/>
            <w:hideMark/>
          </w:tcPr>
          <w:p w14:paraId="54E0E560"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00095959</w:t>
            </w:r>
          </w:p>
        </w:tc>
        <w:tc>
          <w:tcPr>
            <w:tcW w:w="4536" w:type="dxa"/>
            <w:tcBorders>
              <w:top w:val="nil"/>
              <w:left w:val="nil"/>
              <w:bottom w:val="single" w:sz="4" w:space="0" w:color="auto"/>
              <w:right w:val="single" w:sz="4" w:space="0" w:color="auto"/>
            </w:tcBorders>
            <w:shd w:val="clear" w:color="auto" w:fill="auto"/>
            <w:noWrap/>
            <w:vAlign w:val="center"/>
            <w:hideMark/>
          </w:tcPr>
          <w:p w14:paraId="52CC6D7D" w14:textId="77777777" w:rsidR="00452C63" w:rsidRPr="00771B89" w:rsidRDefault="00452C63" w:rsidP="00490991">
            <w:pPr>
              <w:spacing w:after="0" w:line="240" w:lineRule="auto"/>
              <w:jc w:val="both"/>
              <w:rPr>
                <w:rFonts w:ascii="Times New Roman" w:hAnsi="Times New Roman"/>
                <w:sz w:val="20"/>
                <w:szCs w:val="20"/>
                <w:lang w:val="en-US"/>
              </w:rPr>
            </w:pPr>
            <w:r w:rsidRPr="00771B89">
              <w:rPr>
                <w:rFonts w:ascii="Times New Roman" w:hAnsi="Times New Roman"/>
                <w:sz w:val="20"/>
                <w:szCs w:val="20"/>
                <w:lang w:val="en-US"/>
              </w:rPr>
              <w:t>Border management and border c</w:t>
            </w:r>
          </w:p>
        </w:tc>
      </w:tr>
      <w:tr w:rsidR="00452C63" w:rsidRPr="00771B89" w14:paraId="555F22B4"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690C8EE2" w14:textId="77777777" w:rsidR="00452C63" w:rsidRPr="00145113" w:rsidRDefault="00452C63" w:rsidP="00490991">
            <w:pPr>
              <w:spacing w:after="0" w:line="240" w:lineRule="auto"/>
              <w:jc w:val="both"/>
              <w:rPr>
                <w:rFonts w:ascii="Times New Roman" w:hAnsi="Times New Roman"/>
                <w:sz w:val="20"/>
                <w:szCs w:val="20"/>
                <w:lang w:val="en-US"/>
              </w:rPr>
            </w:pPr>
          </w:p>
        </w:tc>
        <w:tc>
          <w:tcPr>
            <w:tcW w:w="1418" w:type="dxa"/>
            <w:tcBorders>
              <w:top w:val="nil"/>
              <w:left w:val="nil"/>
              <w:bottom w:val="single" w:sz="4" w:space="0" w:color="auto"/>
              <w:right w:val="single" w:sz="4" w:space="0" w:color="auto"/>
            </w:tcBorders>
            <w:shd w:val="clear" w:color="auto" w:fill="auto"/>
            <w:noWrap/>
            <w:vAlign w:val="center"/>
            <w:hideMark/>
          </w:tcPr>
          <w:p w14:paraId="21D26791"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00092016</w:t>
            </w:r>
          </w:p>
        </w:tc>
        <w:tc>
          <w:tcPr>
            <w:tcW w:w="4536" w:type="dxa"/>
            <w:tcBorders>
              <w:top w:val="nil"/>
              <w:left w:val="nil"/>
              <w:bottom w:val="single" w:sz="4" w:space="0" w:color="auto"/>
              <w:right w:val="single" w:sz="4" w:space="0" w:color="auto"/>
            </w:tcBorders>
            <w:shd w:val="clear" w:color="auto" w:fill="auto"/>
            <w:noWrap/>
            <w:vAlign w:val="center"/>
            <w:hideMark/>
          </w:tcPr>
          <w:p w14:paraId="1FDBFBFF"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Renforcement capacités EMP</w:t>
            </w:r>
          </w:p>
        </w:tc>
      </w:tr>
      <w:tr w:rsidR="00452C63" w:rsidRPr="00771B89" w14:paraId="509E299B"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3DC32EA7"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03E19FA7"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00105847</w:t>
            </w:r>
          </w:p>
        </w:tc>
        <w:tc>
          <w:tcPr>
            <w:tcW w:w="4536" w:type="dxa"/>
            <w:tcBorders>
              <w:top w:val="nil"/>
              <w:left w:val="nil"/>
              <w:bottom w:val="single" w:sz="4" w:space="0" w:color="auto"/>
              <w:right w:val="single" w:sz="4" w:space="0" w:color="auto"/>
            </w:tcBorders>
            <w:shd w:val="clear" w:color="auto" w:fill="auto"/>
            <w:noWrap/>
            <w:vAlign w:val="center"/>
            <w:hideMark/>
          </w:tcPr>
          <w:p w14:paraId="01B67B20"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Appui Autorités Intérimaires</w:t>
            </w:r>
          </w:p>
        </w:tc>
      </w:tr>
      <w:tr w:rsidR="00452C63" w:rsidRPr="00771B89" w14:paraId="0702EA4C"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5EAEF4E1"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78F536D9"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00092422</w:t>
            </w:r>
          </w:p>
        </w:tc>
        <w:tc>
          <w:tcPr>
            <w:tcW w:w="4536" w:type="dxa"/>
            <w:tcBorders>
              <w:top w:val="nil"/>
              <w:left w:val="nil"/>
              <w:bottom w:val="single" w:sz="4" w:space="0" w:color="auto"/>
              <w:right w:val="single" w:sz="4" w:space="0" w:color="auto"/>
            </w:tcBorders>
            <w:shd w:val="clear" w:color="auto" w:fill="auto"/>
            <w:noWrap/>
            <w:vAlign w:val="center"/>
            <w:hideMark/>
          </w:tcPr>
          <w:p w14:paraId="72461E3C"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App Celulle Consolidation Paix</w:t>
            </w:r>
          </w:p>
        </w:tc>
      </w:tr>
      <w:tr w:rsidR="00452C63" w:rsidRPr="00771B89" w14:paraId="337F6DE6"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15E31AE3"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448B2F8F"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00059548</w:t>
            </w:r>
          </w:p>
        </w:tc>
        <w:tc>
          <w:tcPr>
            <w:tcW w:w="4536" w:type="dxa"/>
            <w:tcBorders>
              <w:top w:val="nil"/>
              <w:left w:val="nil"/>
              <w:bottom w:val="single" w:sz="4" w:space="0" w:color="auto"/>
              <w:right w:val="single" w:sz="4" w:space="0" w:color="auto"/>
            </w:tcBorders>
            <w:shd w:val="clear" w:color="auto" w:fill="auto"/>
            <w:noWrap/>
            <w:vAlign w:val="center"/>
            <w:hideMark/>
          </w:tcPr>
          <w:p w14:paraId="2AAC6A86"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Renforcement Parlement</w:t>
            </w:r>
          </w:p>
        </w:tc>
      </w:tr>
      <w:tr w:rsidR="00452C63" w:rsidRPr="00771B89" w14:paraId="54C73C5D"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3AA7D484"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3909C20"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00081304</w:t>
            </w:r>
          </w:p>
        </w:tc>
        <w:tc>
          <w:tcPr>
            <w:tcW w:w="4536" w:type="dxa"/>
            <w:tcBorders>
              <w:top w:val="nil"/>
              <w:left w:val="nil"/>
              <w:bottom w:val="single" w:sz="4" w:space="0" w:color="auto"/>
              <w:right w:val="single" w:sz="4" w:space="0" w:color="auto"/>
            </w:tcBorders>
            <w:shd w:val="clear" w:color="auto" w:fill="auto"/>
            <w:noWrap/>
            <w:vAlign w:val="center"/>
            <w:hideMark/>
          </w:tcPr>
          <w:p w14:paraId="6DC25F19"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Programme Droits de l'Homme</w:t>
            </w:r>
          </w:p>
        </w:tc>
      </w:tr>
      <w:tr w:rsidR="00452C63" w:rsidRPr="00771B89" w14:paraId="3CB014E3" w14:textId="77777777" w:rsidTr="000442E1">
        <w:trPr>
          <w:trHeight w:val="300"/>
          <w:jc w:val="center"/>
        </w:trPr>
        <w:tc>
          <w:tcPr>
            <w:tcW w:w="1985"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14:paraId="7A63A668"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BF3CFD4"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00081302</w:t>
            </w:r>
          </w:p>
        </w:tc>
        <w:tc>
          <w:tcPr>
            <w:tcW w:w="4536" w:type="dxa"/>
            <w:tcBorders>
              <w:top w:val="nil"/>
              <w:left w:val="nil"/>
              <w:bottom w:val="single" w:sz="4" w:space="0" w:color="auto"/>
              <w:right w:val="single" w:sz="4" w:space="0" w:color="auto"/>
            </w:tcBorders>
            <w:shd w:val="clear" w:color="auto" w:fill="auto"/>
            <w:noWrap/>
            <w:vAlign w:val="center"/>
            <w:hideMark/>
          </w:tcPr>
          <w:p w14:paraId="3378CF29"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Projet Elections 2012-2014</w:t>
            </w:r>
          </w:p>
        </w:tc>
      </w:tr>
      <w:tr w:rsidR="00452C63" w:rsidRPr="00771B89" w14:paraId="4DCBA81F" w14:textId="77777777" w:rsidTr="000442E1">
        <w:trPr>
          <w:trHeight w:val="300"/>
          <w:jc w:val="center"/>
        </w:trPr>
        <w:tc>
          <w:tcPr>
            <w:tcW w:w="1985" w:type="dxa"/>
            <w:vMerge w:val="restart"/>
            <w:tcBorders>
              <w:top w:val="nil"/>
              <w:left w:val="single" w:sz="4" w:space="0" w:color="auto"/>
              <w:right w:val="single" w:sz="4" w:space="0" w:color="auto"/>
            </w:tcBorders>
            <w:shd w:val="clear" w:color="auto" w:fill="F2F2F2" w:themeFill="background1" w:themeFillShade="F2"/>
            <w:noWrap/>
            <w:vAlign w:val="center"/>
            <w:hideMark/>
          </w:tcPr>
          <w:p w14:paraId="4A1E1CC2"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Politiques et Stratégies</w:t>
            </w:r>
          </w:p>
        </w:tc>
        <w:tc>
          <w:tcPr>
            <w:tcW w:w="1418" w:type="dxa"/>
            <w:tcBorders>
              <w:top w:val="nil"/>
              <w:left w:val="nil"/>
              <w:bottom w:val="single" w:sz="4" w:space="0" w:color="auto"/>
              <w:right w:val="single" w:sz="4" w:space="0" w:color="auto"/>
            </w:tcBorders>
            <w:shd w:val="clear" w:color="auto" w:fill="auto"/>
            <w:noWrap/>
            <w:vAlign w:val="center"/>
            <w:hideMark/>
          </w:tcPr>
          <w:p w14:paraId="00422595"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00081861</w:t>
            </w:r>
          </w:p>
        </w:tc>
        <w:tc>
          <w:tcPr>
            <w:tcW w:w="4536" w:type="dxa"/>
            <w:tcBorders>
              <w:top w:val="nil"/>
              <w:left w:val="nil"/>
              <w:bottom w:val="single" w:sz="4" w:space="0" w:color="auto"/>
              <w:right w:val="single" w:sz="4" w:space="0" w:color="auto"/>
            </w:tcBorders>
            <w:shd w:val="clear" w:color="auto" w:fill="auto"/>
            <w:noWrap/>
            <w:vAlign w:val="center"/>
            <w:hideMark/>
          </w:tcPr>
          <w:p w14:paraId="04A87636"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Appui conjoint des PTF au Pool</w:t>
            </w:r>
          </w:p>
        </w:tc>
      </w:tr>
      <w:tr w:rsidR="00452C63" w:rsidRPr="00771B89" w14:paraId="1E53B9B8"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18FD7F72"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00F055D"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00087611</w:t>
            </w:r>
          </w:p>
        </w:tc>
        <w:tc>
          <w:tcPr>
            <w:tcW w:w="4536" w:type="dxa"/>
            <w:tcBorders>
              <w:top w:val="nil"/>
              <w:left w:val="nil"/>
              <w:bottom w:val="single" w:sz="4" w:space="0" w:color="auto"/>
              <w:right w:val="single" w:sz="4" w:space="0" w:color="auto"/>
            </w:tcBorders>
            <w:shd w:val="clear" w:color="auto" w:fill="auto"/>
            <w:noWrap/>
            <w:vAlign w:val="center"/>
            <w:hideMark/>
          </w:tcPr>
          <w:p w14:paraId="6B4DAF87"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Appui aux politiques et straté</w:t>
            </w:r>
          </w:p>
        </w:tc>
      </w:tr>
      <w:tr w:rsidR="00452C63" w:rsidRPr="00771B89" w14:paraId="5540D63A"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0D087C12"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198C892C"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00080710</w:t>
            </w:r>
          </w:p>
        </w:tc>
        <w:tc>
          <w:tcPr>
            <w:tcW w:w="4536" w:type="dxa"/>
            <w:tcBorders>
              <w:top w:val="nil"/>
              <w:left w:val="nil"/>
              <w:bottom w:val="single" w:sz="4" w:space="0" w:color="auto"/>
              <w:right w:val="single" w:sz="4" w:space="0" w:color="auto"/>
            </w:tcBorders>
            <w:shd w:val="clear" w:color="auto" w:fill="auto"/>
            <w:noWrap/>
            <w:vAlign w:val="center"/>
            <w:hideMark/>
          </w:tcPr>
          <w:p w14:paraId="3F770D2A"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Appui aux filières agro-alim</w:t>
            </w:r>
          </w:p>
        </w:tc>
      </w:tr>
      <w:tr w:rsidR="00452C63" w:rsidRPr="00771B89" w14:paraId="434D5A5D"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33676456"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2080F4FC"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00087654</w:t>
            </w:r>
          </w:p>
        </w:tc>
        <w:tc>
          <w:tcPr>
            <w:tcW w:w="4536" w:type="dxa"/>
            <w:tcBorders>
              <w:top w:val="nil"/>
              <w:left w:val="nil"/>
              <w:bottom w:val="single" w:sz="4" w:space="0" w:color="auto"/>
              <w:right w:val="single" w:sz="4" w:space="0" w:color="auto"/>
            </w:tcBorders>
            <w:shd w:val="clear" w:color="auto" w:fill="auto"/>
            <w:noWrap/>
            <w:vAlign w:val="center"/>
            <w:hideMark/>
          </w:tcPr>
          <w:p w14:paraId="0E4334CD"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Renforcement Efficacité Aide</w:t>
            </w:r>
          </w:p>
        </w:tc>
      </w:tr>
      <w:tr w:rsidR="00452C63" w:rsidRPr="00771B89" w14:paraId="06D24961"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09907CFA"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07173879"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00061547</w:t>
            </w:r>
          </w:p>
        </w:tc>
        <w:tc>
          <w:tcPr>
            <w:tcW w:w="4536" w:type="dxa"/>
            <w:tcBorders>
              <w:top w:val="nil"/>
              <w:left w:val="nil"/>
              <w:bottom w:val="single" w:sz="4" w:space="0" w:color="auto"/>
              <w:right w:val="single" w:sz="4" w:space="0" w:color="auto"/>
            </w:tcBorders>
            <w:shd w:val="clear" w:color="auto" w:fill="auto"/>
            <w:noWrap/>
            <w:vAlign w:val="center"/>
            <w:hideMark/>
          </w:tcPr>
          <w:p w14:paraId="20DE2F88"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Pool technique PTFs</w:t>
            </w:r>
          </w:p>
        </w:tc>
      </w:tr>
      <w:tr w:rsidR="00452C63" w:rsidRPr="00771B89" w14:paraId="700ADA25" w14:textId="77777777" w:rsidTr="000442E1">
        <w:trPr>
          <w:trHeight w:val="300"/>
          <w:jc w:val="center"/>
        </w:trPr>
        <w:tc>
          <w:tcPr>
            <w:tcW w:w="1985" w:type="dxa"/>
            <w:vMerge/>
            <w:tcBorders>
              <w:left w:val="single" w:sz="4" w:space="0" w:color="auto"/>
              <w:right w:val="single" w:sz="4" w:space="0" w:color="auto"/>
            </w:tcBorders>
            <w:shd w:val="clear" w:color="auto" w:fill="F2F2F2" w:themeFill="background1" w:themeFillShade="F2"/>
            <w:noWrap/>
            <w:vAlign w:val="center"/>
            <w:hideMark/>
          </w:tcPr>
          <w:p w14:paraId="4C55C0F7"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10D89C73"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00096654</w:t>
            </w:r>
          </w:p>
        </w:tc>
        <w:tc>
          <w:tcPr>
            <w:tcW w:w="4536" w:type="dxa"/>
            <w:tcBorders>
              <w:top w:val="nil"/>
              <w:left w:val="nil"/>
              <w:bottom w:val="single" w:sz="4" w:space="0" w:color="auto"/>
              <w:right w:val="single" w:sz="4" w:space="0" w:color="auto"/>
            </w:tcBorders>
            <w:shd w:val="clear" w:color="auto" w:fill="auto"/>
            <w:noWrap/>
            <w:vAlign w:val="center"/>
            <w:hideMark/>
          </w:tcPr>
          <w:p w14:paraId="60F69DA6"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Africa-Kazakhstan Partnership</w:t>
            </w:r>
          </w:p>
        </w:tc>
      </w:tr>
      <w:tr w:rsidR="00452C63" w:rsidRPr="00771B89" w14:paraId="3DED12F3" w14:textId="77777777" w:rsidTr="000442E1">
        <w:trPr>
          <w:trHeight w:val="300"/>
          <w:jc w:val="center"/>
        </w:trPr>
        <w:tc>
          <w:tcPr>
            <w:tcW w:w="1985"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14:paraId="6B5FAC68" w14:textId="77777777" w:rsidR="00452C63" w:rsidRPr="00771B89" w:rsidRDefault="00452C63" w:rsidP="0049099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066126F"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00062194</w:t>
            </w:r>
          </w:p>
        </w:tc>
        <w:tc>
          <w:tcPr>
            <w:tcW w:w="4536" w:type="dxa"/>
            <w:tcBorders>
              <w:top w:val="nil"/>
              <w:left w:val="nil"/>
              <w:bottom w:val="single" w:sz="4" w:space="0" w:color="auto"/>
              <w:right w:val="single" w:sz="4" w:space="0" w:color="auto"/>
            </w:tcBorders>
            <w:shd w:val="clear" w:color="auto" w:fill="auto"/>
            <w:noWrap/>
            <w:vAlign w:val="center"/>
            <w:hideMark/>
          </w:tcPr>
          <w:p w14:paraId="76DE0184" w14:textId="77777777" w:rsidR="00452C63" w:rsidRPr="00771B89" w:rsidRDefault="00452C63" w:rsidP="00490991">
            <w:pPr>
              <w:spacing w:after="0" w:line="240" w:lineRule="auto"/>
              <w:jc w:val="both"/>
              <w:rPr>
                <w:rFonts w:ascii="Times New Roman" w:hAnsi="Times New Roman"/>
                <w:sz w:val="20"/>
                <w:szCs w:val="20"/>
              </w:rPr>
            </w:pPr>
            <w:r w:rsidRPr="00771B89">
              <w:rPr>
                <w:rFonts w:ascii="Times New Roman" w:hAnsi="Times New Roman"/>
                <w:sz w:val="20"/>
                <w:szCs w:val="20"/>
              </w:rPr>
              <w:t>Renf. Cap. SHA</w:t>
            </w:r>
          </w:p>
        </w:tc>
      </w:tr>
    </w:tbl>
    <w:p w14:paraId="4AFCC0A1" w14:textId="77777777" w:rsidR="00490991" w:rsidRPr="006D47EF" w:rsidRDefault="00D8064C" w:rsidP="000442E1">
      <w:pPr>
        <w:spacing w:after="0" w:line="240" w:lineRule="auto"/>
        <w:jc w:val="center"/>
        <w:rPr>
          <w:rFonts w:ascii="Times New Roman" w:hAnsi="Times New Roman"/>
          <w:i/>
          <w:sz w:val="20"/>
          <w:szCs w:val="20"/>
        </w:rPr>
      </w:pPr>
      <w:r w:rsidRPr="006D47EF">
        <w:rPr>
          <w:rFonts w:ascii="Times New Roman" w:hAnsi="Times New Roman"/>
          <w:b/>
          <w:i/>
          <w:sz w:val="20"/>
          <w:szCs w:val="20"/>
          <w:u w:val="single"/>
        </w:rPr>
        <w:t>Source</w:t>
      </w:r>
      <w:r w:rsidR="00490991" w:rsidRPr="006D47EF">
        <w:rPr>
          <w:rFonts w:ascii="Times New Roman" w:hAnsi="Times New Roman"/>
          <w:i/>
          <w:sz w:val="20"/>
          <w:szCs w:val="20"/>
        </w:rPr>
        <w:t xml:space="preserve"> : </w:t>
      </w:r>
      <w:r w:rsidRPr="006D47EF">
        <w:rPr>
          <w:rFonts w:ascii="Times New Roman" w:hAnsi="Times New Roman"/>
          <w:i/>
          <w:sz w:val="20"/>
          <w:szCs w:val="20"/>
        </w:rPr>
        <w:t xml:space="preserve">PNUD/Mali, PMSU, Septembre </w:t>
      </w:r>
      <w:r w:rsidR="00490991" w:rsidRPr="006D47EF">
        <w:rPr>
          <w:rFonts w:ascii="Times New Roman" w:hAnsi="Times New Roman"/>
          <w:i/>
          <w:sz w:val="20"/>
          <w:szCs w:val="20"/>
        </w:rPr>
        <w:t>2017.</w:t>
      </w:r>
    </w:p>
    <w:p w14:paraId="5D76BDD9" w14:textId="77777777" w:rsidR="00BA3DC6" w:rsidRPr="006D47EF" w:rsidRDefault="00BA3DC6" w:rsidP="00B96F0F">
      <w:pPr>
        <w:spacing w:after="0" w:line="240" w:lineRule="auto"/>
        <w:jc w:val="both"/>
        <w:rPr>
          <w:rFonts w:ascii="Times New Roman" w:hAnsi="Times New Roman"/>
          <w:sz w:val="24"/>
          <w:szCs w:val="24"/>
        </w:rPr>
      </w:pPr>
    </w:p>
    <w:p w14:paraId="2F5E141C" w14:textId="77777777" w:rsidR="00BA3DC6" w:rsidRPr="006D47EF" w:rsidRDefault="00BA3DC6" w:rsidP="00B026AE">
      <w:pPr>
        <w:pStyle w:val="Titre2"/>
        <w:numPr>
          <w:ilvl w:val="1"/>
          <w:numId w:val="4"/>
        </w:numPr>
        <w:spacing w:before="0"/>
        <w:rPr>
          <w:rFonts w:ascii="Times New Roman" w:hAnsi="Times New Roman"/>
          <w:color w:val="auto"/>
          <w:sz w:val="24"/>
          <w:szCs w:val="24"/>
        </w:rPr>
      </w:pPr>
      <w:bookmarkStart w:id="80" w:name="_Toc499211595"/>
      <w:bookmarkStart w:id="81" w:name="_Toc499213868"/>
      <w:r w:rsidRPr="006D47EF">
        <w:rPr>
          <w:rFonts w:ascii="Times New Roman" w:hAnsi="Times New Roman"/>
          <w:color w:val="auto"/>
          <w:sz w:val="24"/>
          <w:szCs w:val="24"/>
        </w:rPr>
        <w:t>Cadre de mise en œuvre</w:t>
      </w:r>
      <w:bookmarkEnd w:id="80"/>
      <w:bookmarkEnd w:id="81"/>
      <w:r w:rsidRPr="006D47EF">
        <w:rPr>
          <w:rFonts w:ascii="Times New Roman" w:hAnsi="Times New Roman"/>
          <w:color w:val="auto"/>
          <w:sz w:val="24"/>
          <w:szCs w:val="24"/>
        </w:rPr>
        <w:t xml:space="preserve"> </w:t>
      </w:r>
    </w:p>
    <w:p w14:paraId="47364DB0" w14:textId="77777777" w:rsidR="00BB1D61" w:rsidRPr="006D47EF" w:rsidRDefault="00BB1D61" w:rsidP="00B96F0F">
      <w:pPr>
        <w:spacing w:after="0" w:line="240" w:lineRule="auto"/>
        <w:jc w:val="both"/>
        <w:rPr>
          <w:rFonts w:ascii="Times New Roman" w:hAnsi="Times New Roman"/>
          <w:sz w:val="24"/>
          <w:szCs w:val="24"/>
        </w:rPr>
      </w:pPr>
    </w:p>
    <w:p w14:paraId="094F38C6" w14:textId="77777777" w:rsidR="00BB1D61" w:rsidRPr="006D47EF" w:rsidRDefault="000A281A" w:rsidP="00BB1D61">
      <w:pPr>
        <w:spacing w:after="0" w:line="240" w:lineRule="auto"/>
        <w:jc w:val="both"/>
        <w:rPr>
          <w:rFonts w:ascii="Times New Roman" w:hAnsi="Times New Roman"/>
          <w:sz w:val="24"/>
          <w:szCs w:val="24"/>
        </w:rPr>
      </w:pPr>
      <w:r w:rsidRPr="006D47EF">
        <w:rPr>
          <w:rFonts w:ascii="Times New Roman" w:hAnsi="Times New Roman"/>
          <w:sz w:val="24"/>
          <w:szCs w:val="24"/>
        </w:rPr>
        <w:t>2</w:t>
      </w:r>
      <w:r w:rsidR="00ED158A">
        <w:rPr>
          <w:rFonts w:ascii="Times New Roman" w:hAnsi="Times New Roman"/>
          <w:sz w:val="24"/>
          <w:szCs w:val="24"/>
        </w:rPr>
        <w:t>6</w:t>
      </w:r>
      <w:r w:rsidR="00BB1D61" w:rsidRPr="006D47EF">
        <w:rPr>
          <w:rFonts w:ascii="Times New Roman" w:hAnsi="Times New Roman"/>
          <w:sz w:val="24"/>
          <w:szCs w:val="24"/>
        </w:rPr>
        <w:t>.</w:t>
      </w:r>
      <w:r w:rsidR="00BB1D61" w:rsidRPr="006D47EF">
        <w:rPr>
          <w:rFonts w:ascii="Times New Roman" w:hAnsi="Times New Roman"/>
          <w:sz w:val="24"/>
          <w:szCs w:val="24"/>
        </w:rPr>
        <w:tab/>
        <w:t>Le programme est globalement placé sous exécution nationale, avec toutefois la possibilité d’une exécution directe le cas échéant, dans le respect des procédures, compte tenu de la situation de crise du pays qui peut induire ici où là une détérioration des capacités stratégiques et techniques. Des micro-évaluations sont régulièrement réalisées par le Système pour apprécier le niveau des capacités des entités nationales et leur adresser un appui approprié. La planification et la mise en œuvre sont mobilisent un partenariat avec une entité nationale, relevant des pouvoirs publics ou des organisations de la société civile. La guidance stratégique est assurée dans le cade d’un Comité directeur tripartite (Gouvernement-PNUD-Partenaires financiers).</w:t>
      </w:r>
    </w:p>
    <w:p w14:paraId="3F41C39E" w14:textId="77777777" w:rsidR="00BB1D61" w:rsidRPr="006D47EF" w:rsidRDefault="00BB1D61" w:rsidP="00BB1D61">
      <w:pPr>
        <w:spacing w:after="0" w:line="240" w:lineRule="auto"/>
        <w:jc w:val="both"/>
        <w:rPr>
          <w:rFonts w:ascii="Times New Roman" w:hAnsi="Times New Roman"/>
          <w:sz w:val="24"/>
          <w:szCs w:val="24"/>
        </w:rPr>
      </w:pPr>
    </w:p>
    <w:p w14:paraId="58FA6D5F" w14:textId="77777777" w:rsidR="00BB1D61" w:rsidRPr="006D47EF" w:rsidRDefault="000A281A" w:rsidP="00BB1D61">
      <w:pPr>
        <w:spacing w:after="0" w:line="240" w:lineRule="auto"/>
        <w:jc w:val="both"/>
        <w:rPr>
          <w:rFonts w:ascii="Times New Roman" w:hAnsi="Times New Roman"/>
          <w:sz w:val="24"/>
          <w:szCs w:val="24"/>
        </w:rPr>
      </w:pPr>
      <w:r w:rsidRPr="006D47EF">
        <w:rPr>
          <w:rFonts w:ascii="Times New Roman" w:hAnsi="Times New Roman"/>
          <w:sz w:val="24"/>
          <w:szCs w:val="24"/>
        </w:rPr>
        <w:t>2</w:t>
      </w:r>
      <w:r w:rsidR="00ED158A">
        <w:rPr>
          <w:rFonts w:ascii="Times New Roman" w:hAnsi="Times New Roman"/>
          <w:sz w:val="24"/>
          <w:szCs w:val="24"/>
        </w:rPr>
        <w:t>7</w:t>
      </w:r>
      <w:r w:rsidR="00BB1D61" w:rsidRPr="006D47EF">
        <w:rPr>
          <w:rFonts w:ascii="Times New Roman" w:hAnsi="Times New Roman"/>
          <w:sz w:val="24"/>
          <w:szCs w:val="24"/>
        </w:rPr>
        <w:t>.</w:t>
      </w:r>
      <w:r w:rsidR="00BB1D61" w:rsidRPr="006D47EF">
        <w:rPr>
          <w:rFonts w:ascii="Times New Roman" w:hAnsi="Times New Roman"/>
          <w:sz w:val="24"/>
          <w:szCs w:val="24"/>
        </w:rPr>
        <w:tab/>
        <w:t>En appui à la mise en œuvre du programme, il est créé au sein du Bureau une Unité de gestion et de contrôle de la qualité. Elle promeut le contrôle de la qualité et le suivi et l’évaluation des résultats et, le cas échéant, propose des mesures de mitigation. Elle veille aussi à l’intégration de valeurs de référence et d’indicateurs en rapport avec les dimensions relatives à l’égalité des sexes, aux droits fondamentaux, aux jeunes, aux personnes handicapées et aux groupes les plus pauvres. Le suivi et l’évaluation du programme sont en principe alignés sur les mêmes exercices concernant le PNUAD et le CSCRP du Gouvernement. Le dispositif de monitoring est porté par a) des examens annuels; b) des réunions de suivi trimestrielles avec le Gouvernement et les partenaires; c) des réunions des groupes thématiques, des comités techniques et des comités directeurs du PNUAD; et d) des visites sur le terrain.</w:t>
      </w:r>
    </w:p>
    <w:p w14:paraId="1A42C1B6" w14:textId="77777777" w:rsidR="00BB1D61" w:rsidRPr="006D47EF" w:rsidRDefault="00BB1D61" w:rsidP="00BB1D61">
      <w:pPr>
        <w:spacing w:after="0" w:line="240" w:lineRule="auto"/>
        <w:jc w:val="both"/>
        <w:rPr>
          <w:rFonts w:ascii="Times New Roman" w:hAnsi="Times New Roman"/>
          <w:b/>
          <w:bCs/>
          <w:sz w:val="24"/>
          <w:szCs w:val="24"/>
        </w:rPr>
      </w:pPr>
    </w:p>
    <w:p w14:paraId="0E0E21B0" w14:textId="77777777" w:rsidR="00BA3DC6" w:rsidRPr="006D47EF" w:rsidRDefault="002017E6" w:rsidP="00B026AE">
      <w:pPr>
        <w:pStyle w:val="Titre2"/>
        <w:numPr>
          <w:ilvl w:val="1"/>
          <w:numId w:val="4"/>
        </w:numPr>
        <w:spacing w:before="0"/>
        <w:rPr>
          <w:rFonts w:ascii="Times New Roman" w:hAnsi="Times New Roman"/>
          <w:color w:val="auto"/>
          <w:sz w:val="24"/>
          <w:szCs w:val="24"/>
        </w:rPr>
      </w:pPr>
      <w:bookmarkStart w:id="82" w:name="_Toc499211596"/>
      <w:bookmarkStart w:id="83" w:name="_Toc499213869"/>
      <w:r w:rsidRPr="006D47EF">
        <w:rPr>
          <w:rFonts w:ascii="Times New Roman" w:hAnsi="Times New Roman"/>
          <w:color w:val="auto"/>
          <w:sz w:val="24"/>
          <w:szCs w:val="24"/>
        </w:rPr>
        <w:lastRenderedPageBreak/>
        <w:t>Risques anticipés sur le p</w:t>
      </w:r>
      <w:r w:rsidR="00BA3DC6" w:rsidRPr="006D47EF">
        <w:rPr>
          <w:rFonts w:ascii="Times New Roman" w:hAnsi="Times New Roman"/>
          <w:color w:val="auto"/>
          <w:sz w:val="24"/>
          <w:szCs w:val="24"/>
        </w:rPr>
        <w:t>rogrammation</w:t>
      </w:r>
      <w:bookmarkEnd w:id="82"/>
      <w:bookmarkEnd w:id="83"/>
    </w:p>
    <w:p w14:paraId="4F2F03C0" w14:textId="77777777" w:rsidR="00BA3DC6" w:rsidRPr="006D47EF" w:rsidRDefault="00BA3DC6" w:rsidP="00B96F0F">
      <w:pPr>
        <w:autoSpaceDE w:val="0"/>
        <w:autoSpaceDN w:val="0"/>
        <w:adjustRightInd w:val="0"/>
        <w:spacing w:after="0" w:line="240" w:lineRule="auto"/>
        <w:jc w:val="both"/>
        <w:rPr>
          <w:rFonts w:ascii="Times New Roman" w:hAnsi="Times New Roman"/>
          <w:sz w:val="24"/>
          <w:szCs w:val="24"/>
        </w:rPr>
      </w:pPr>
    </w:p>
    <w:p w14:paraId="59AFBA09" w14:textId="77777777" w:rsidR="002017E6" w:rsidRPr="006D47EF" w:rsidRDefault="000A281A" w:rsidP="002017E6">
      <w:pPr>
        <w:autoSpaceDE w:val="0"/>
        <w:autoSpaceDN w:val="0"/>
        <w:adjustRightInd w:val="0"/>
        <w:spacing w:after="0" w:line="240" w:lineRule="auto"/>
        <w:jc w:val="both"/>
        <w:rPr>
          <w:rFonts w:ascii="Times New Roman" w:hAnsi="Times New Roman"/>
          <w:sz w:val="24"/>
          <w:szCs w:val="24"/>
        </w:rPr>
      </w:pPr>
      <w:r w:rsidRPr="006D47EF">
        <w:rPr>
          <w:rFonts w:ascii="Times New Roman" w:hAnsi="Times New Roman"/>
          <w:sz w:val="24"/>
          <w:szCs w:val="24"/>
        </w:rPr>
        <w:t>2</w:t>
      </w:r>
      <w:r w:rsidR="000B5082">
        <w:rPr>
          <w:rFonts w:ascii="Times New Roman" w:hAnsi="Times New Roman"/>
          <w:sz w:val="24"/>
          <w:szCs w:val="24"/>
        </w:rPr>
        <w:t>8</w:t>
      </w:r>
      <w:r w:rsidR="002017E6" w:rsidRPr="006D47EF">
        <w:rPr>
          <w:rFonts w:ascii="Times New Roman" w:hAnsi="Times New Roman"/>
          <w:sz w:val="24"/>
          <w:szCs w:val="24"/>
        </w:rPr>
        <w:t>.</w:t>
      </w:r>
      <w:r w:rsidR="002017E6" w:rsidRPr="006D47EF">
        <w:rPr>
          <w:rFonts w:ascii="Times New Roman" w:hAnsi="Times New Roman"/>
          <w:sz w:val="24"/>
          <w:szCs w:val="24"/>
        </w:rPr>
        <w:tab/>
        <w:t>Le programme est assis sur un effort d’anticipation de risques et se propose de conforter sa visibilité sur son environnement et son contexte de mise en œuvre à moyen et long terme, en envisageant "</w:t>
      </w:r>
      <w:r w:rsidR="002017E6" w:rsidRPr="006D47EF">
        <w:rPr>
          <w:rFonts w:ascii="Times New Roman" w:hAnsi="Times New Roman"/>
          <w:i/>
          <w:sz w:val="24"/>
          <w:szCs w:val="24"/>
        </w:rPr>
        <w:t>Une analyse du développement dans une situation de co</w:t>
      </w:r>
      <w:r w:rsidR="002017E6" w:rsidRPr="006D47EF">
        <w:rPr>
          <w:rFonts w:ascii="Times New Roman" w:hAnsi="Times New Roman"/>
          <w:sz w:val="24"/>
          <w:szCs w:val="24"/>
        </w:rPr>
        <w:t xml:space="preserve">nflit". En tout état de cause le risque sécuritaire est dès le début une préoccupation de premier pour le programme. Est également envisagé, la possibilité que les partenaires du pays changent de priorités de coopération avec le Mali et que cela entraîne une difficulté dans la mobilisation des ressources du programme. Le risque sur la sécurité appelle de la part du programme une plus grande interface avec la MINUSMA, surtout pour la couverture des zones de conflits, tandis que le programme prévoit de gérer le risque sur les ressources par une stratégie de diversification des </w:t>
      </w:r>
      <w:r w:rsidR="002017E6" w:rsidRPr="00EA74DA">
        <w:rPr>
          <w:rFonts w:ascii="Times New Roman" w:hAnsi="Times New Roman"/>
          <w:sz w:val="24"/>
          <w:szCs w:val="24"/>
        </w:rPr>
        <w:t>partenaires</w:t>
      </w:r>
      <w:r w:rsidR="00394FF5" w:rsidRPr="00EA74DA">
        <w:rPr>
          <w:rFonts w:ascii="Times New Roman" w:hAnsi="Times New Roman"/>
          <w:sz w:val="24"/>
          <w:szCs w:val="24"/>
        </w:rPr>
        <w:t xml:space="preserve"> et une meilleure communication sur ses résultats</w:t>
      </w:r>
      <w:r w:rsidR="002017E6" w:rsidRPr="00EA74DA">
        <w:rPr>
          <w:rFonts w:ascii="Times New Roman" w:hAnsi="Times New Roman"/>
          <w:sz w:val="24"/>
          <w:szCs w:val="24"/>
        </w:rPr>
        <w:t>.</w:t>
      </w:r>
    </w:p>
    <w:p w14:paraId="4580CA94" w14:textId="77777777" w:rsidR="002017E6" w:rsidRPr="006D47EF" w:rsidRDefault="002017E6" w:rsidP="002017E6">
      <w:pPr>
        <w:autoSpaceDE w:val="0"/>
        <w:autoSpaceDN w:val="0"/>
        <w:adjustRightInd w:val="0"/>
        <w:spacing w:after="0" w:line="240" w:lineRule="auto"/>
        <w:jc w:val="both"/>
        <w:rPr>
          <w:rFonts w:ascii="Times New Roman" w:hAnsi="Times New Roman"/>
          <w:sz w:val="24"/>
          <w:szCs w:val="24"/>
        </w:rPr>
      </w:pPr>
    </w:p>
    <w:p w14:paraId="78E86B66" w14:textId="77777777" w:rsidR="002017E6" w:rsidRPr="006D47EF" w:rsidRDefault="002017E6" w:rsidP="00B026AE">
      <w:pPr>
        <w:pStyle w:val="Titre2"/>
        <w:numPr>
          <w:ilvl w:val="1"/>
          <w:numId w:val="4"/>
        </w:numPr>
        <w:spacing w:before="0"/>
        <w:rPr>
          <w:rFonts w:ascii="Times New Roman" w:hAnsi="Times New Roman"/>
          <w:color w:val="auto"/>
          <w:sz w:val="24"/>
          <w:szCs w:val="24"/>
        </w:rPr>
      </w:pPr>
      <w:r w:rsidRPr="006D47EF">
        <w:rPr>
          <w:rFonts w:ascii="Times New Roman" w:hAnsi="Times New Roman"/>
          <w:sz w:val="24"/>
          <w:szCs w:val="24"/>
        </w:rPr>
        <w:t xml:space="preserve"> </w:t>
      </w:r>
      <w:bookmarkStart w:id="84" w:name="_Toc499211597"/>
      <w:bookmarkStart w:id="85" w:name="_Toc499213870"/>
      <w:r w:rsidRPr="006D47EF">
        <w:rPr>
          <w:rFonts w:ascii="Times New Roman" w:hAnsi="Times New Roman"/>
          <w:color w:val="auto"/>
          <w:sz w:val="24"/>
          <w:szCs w:val="24"/>
        </w:rPr>
        <w:t>Programmation budgétaire</w:t>
      </w:r>
      <w:bookmarkEnd w:id="84"/>
      <w:bookmarkEnd w:id="85"/>
    </w:p>
    <w:p w14:paraId="076D2DE1" w14:textId="77777777" w:rsidR="002017E6" w:rsidRPr="006D47EF" w:rsidRDefault="002017E6" w:rsidP="002017E6">
      <w:pPr>
        <w:autoSpaceDE w:val="0"/>
        <w:autoSpaceDN w:val="0"/>
        <w:adjustRightInd w:val="0"/>
        <w:spacing w:after="0" w:line="240" w:lineRule="auto"/>
        <w:jc w:val="both"/>
        <w:rPr>
          <w:rFonts w:ascii="Times New Roman" w:hAnsi="Times New Roman"/>
          <w:sz w:val="24"/>
          <w:szCs w:val="24"/>
        </w:rPr>
      </w:pPr>
    </w:p>
    <w:p w14:paraId="0285D41A" w14:textId="77777777" w:rsidR="002017E6" w:rsidRPr="006D47EF" w:rsidRDefault="002017E6" w:rsidP="002017E6">
      <w:pPr>
        <w:autoSpaceDE w:val="0"/>
        <w:autoSpaceDN w:val="0"/>
        <w:adjustRightInd w:val="0"/>
        <w:spacing w:after="0" w:line="240" w:lineRule="auto"/>
        <w:jc w:val="both"/>
        <w:rPr>
          <w:rFonts w:ascii="Times New Roman" w:hAnsi="Times New Roman"/>
          <w:sz w:val="24"/>
          <w:szCs w:val="24"/>
        </w:rPr>
      </w:pPr>
    </w:p>
    <w:p w14:paraId="6326A83C" w14:textId="77777777" w:rsidR="002017E6" w:rsidRDefault="000B5082" w:rsidP="002017E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29</w:t>
      </w:r>
      <w:r w:rsidR="002017E6" w:rsidRPr="006D47EF">
        <w:rPr>
          <w:rFonts w:ascii="Times New Roman" w:hAnsi="Times New Roman"/>
          <w:sz w:val="24"/>
          <w:szCs w:val="24"/>
        </w:rPr>
        <w:t>.</w:t>
      </w:r>
      <w:r w:rsidR="002017E6" w:rsidRPr="006D47EF">
        <w:rPr>
          <w:rFonts w:ascii="Times New Roman" w:hAnsi="Times New Roman"/>
          <w:sz w:val="24"/>
          <w:szCs w:val="24"/>
        </w:rPr>
        <w:tab/>
      </w:r>
      <w:bookmarkStart w:id="86" w:name="_Toc403368964"/>
      <w:r w:rsidR="002017E6" w:rsidRPr="006D47EF">
        <w:rPr>
          <w:rFonts w:ascii="Times New Roman" w:hAnsi="Times New Roman"/>
          <w:sz w:val="24"/>
          <w:szCs w:val="24"/>
        </w:rPr>
        <w:t xml:space="preserve">La programmation budgétaire actée dans le cadre des résultats et des ressources, annexé au CPD alloue au Programme un </w:t>
      </w:r>
      <w:r w:rsidR="002017E6" w:rsidRPr="006D47EF">
        <w:rPr>
          <w:rFonts w:ascii="Times New Roman" w:hAnsi="Times New Roman"/>
          <w:bCs/>
          <w:iCs/>
          <w:sz w:val="24"/>
          <w:szCs w:val="24"/>
        </w:rPr>
        <w:t>budget prévisionnel total de 187,443 millions  USD</w:t>
      </w:r>
      <w:r w:rsidR="002017E6" w:rsidRPr="006D47EF">
        <w:rPr>
          <w:rFonts w:ascii="Times New Roman" w:hAnsi="Times New Roman"/>
          <w:sz w:val="24"/>
          <w:szCs w:val="24"/>
        </w:rPr>
        <w:t>. L</w:t>
      </w:r>
      <w:r w:rsidR="002017E6" w:rsidRPr="006D47EF">
        <w:rPr>
          <w:rFonts w:ascii="Times New Roman" w:hAnsi="Times New Roman"/>
          <w:bCs/>
          <w:iCs/>
          <w:sz w:val="24"/>
          <w:szCs w:val="24"/>
        </w:rPr>
        <w:t>a contribution du PNUD sur ses ressources ordinaires s’élève à 31,941 millions de dollar, soit 17% du devis-programme, pour 83% de ressources à mobiliser auprès des partenaires.</w:t>
      </w:r>
      <w:r w:rsidR="002017E6" w:rsidRPr="006D47EF">
        <w:rPr>
          <w:rFonts w:ascii="Times New Roman" w:hAnsi="Times New Roman"/>
          <w:sz w:val="24"/>
          <w:szCs w:val="24"/>
        </w:rPr>
        <w:t xml:space="preserve"> Le tableau ci-dessous fait le point de la répartition du budget par résultats stratégiques et sources.</w:t>
      </w:r>
    </w:p>
    <w:p w14:paraId="5D10E7E1" w14:textId="77777777" w:rsidR="000442E1" w:rsidRPr="006D47EF" w:rsidRDefault="000442E1" w:rsidP="002017E6">
      <w:pPr>
        <w:autoSpaceDE w:val="0"/>
        <w:autoSpaceDN w:val="0"/>
        <w:adjustRightInd w:val="0"/>
        <w:spacing w:after="0" w:line="240" w:lineRule="auto"/>
        <w:jc w:val="both"/>
        <w:rPr>
          <w:rFonts w:ascii="Times New Roman" w:hAnsi="Times New Roman"/>
          <w:sz w:val="24"/>
          <w:szCs w:val="24"/>
        </w:rPr>
      </w:pPr>
    </w:p>
    <w:p w14:paraId="6C9C8AA9" w14:textId="77777777" w:rsidR="000442E1" w:rsidRPr="000442E1" w:rsidRDefault="000442E1" w:rsidP="000442E1">
      <w:pPr>
        <w:pStyle w:val="Titre1"/>
        <w:spacing w:before="0" w:line="240" w:lineRule="auto"/>
        <w:rPr>
          <w:rFonts w:ascii="Times New Roman" w:hAnsi="Times New Roman"/>
          <w:color w:val="auto"/>
          <w:sz w:val="24"/>
          <w:szCs w:val="24"/>
        </w:rPr>
      </w:pPr>
      <w:bookmarkStart w:id="87" w:name="_Toc499211598"/>
      <w:bookmarkStart w:id="88" w:name="_Toc499213871"/>
      <w:r w:rsidRPr="000442E1">
        <w:rPr>
          <w:rFonts w:ascii="Times New Roman" w:hAnsi="Times New Roman"/>
          <w:color w:val="auto"/>
          <w:sz w:val="24"/>
          <w:szCs w:val="24"/>
        </w:rPr>
        <w:t xml:space="preserve">Tableau </w:t>
      </w:r>
      <w:r w:rsidR="005E0CC4">
        <w:rPr>
          <w:rFonts w:ascii="Times New Roman" w:hAnsi="Times New Roman"/>
          <w:color w:val="auto"/>
          <w:sz w:val="24"/>
          <w:szCs w:val="24"/>
        </w:rPr>
        <w:t>3</w:t>
      </w:r>
      <w:r w:rsidRPr="000442E1">
        <w:rPr>
          <w:rFonts w:ascii="Times New Roman" w:hAnsi="Times New Roman"/>
          <w:color w:val="auto"/>
          <w:sz w:val="24"/>
          <w:szCs w:val="24"/>
        </w:rPr>
        <w:t xml:space="preserve"> : </w:t>
      </w:r>
      <w:r w:rsidR="005E0CC4">
        <w:rPr>
          <w:rFonts w:ascii="Times New Roman" w:hAnsi="Times New Roman"/>
          <w:color w:val="auto"/>
          <w:sz w:val="24"/>
          <w:szCs w:val="24"/>
        </w:rPr>
        <w:t>Budget prévisionnel du Programme</w:t>
      </w:r>
      <w:bookmarkEnd w:id="87"/>
      <w:bookmarkEnd w:id="88"/>
    </w:p>
    <w:p w14:paraId="4C807320" w14:textId="77777777" w:rsidR="002017E6" w:rsidRPr="006D47EF" w:rsidRDefault="002017E6" w:rsidP="002017E6">
      <w:pPr>
        <w:autoSpaceDE w:val="0"/>
        <w:autoSpaceDN w:val="0"/>
        <w:adjustRightInd w:val="0"/>
        <w:spacing w:after="0" w:line="240" w:lineRule="auto"/>
        <w:jc w:val="both"/>
        <w:rPr>
          <w:rFonts w:ascii="Times New Roman" w:hAnsi="Times New Roman"/>
          <w:sz w:val="24"/>
          <w:szCs w:val="24"/>
        </w:rPr>
      </w:pPr>
    </w:p>
    <w:tbl>
      <w:tblPr>
        <w:tblStyle w:val="Grilledutableau"/>
        <w:tblW w:w="0" w:type="auto"/>
        <w:tblLook w:val="04A0" w:firstRow="1" w:lastRow="0" w:firstColumn="1" w:lastColumn="0" w:noHBand="0" w:noVBand="1"/>
      </w:tblPr>
      <w:tblGrid>
        <w:gridCol w:w="528"/>
        <w:gridCol w:w="2592"/>
        <w:gridCol w:w="1502"/>
        <w:gridCol w:w="1490"/>
        <w:gridCol w:w="1484"/>
        <w:gridCol w:w="1464"/>
      </w:tblGrid>
      <w:tr w:rsidR="002017E6" w:rsidRPr="006D47EF" w14:paraId="62431241" w14:textId="77777777" w:rsidTr="00781AC7">
        <w:tc>
          <w:tcPr>
            <w:tcW w:w="534" w:type="dxa"/>
            <w:vMerge w:val="restart"/>
            <w:shd w:val="clear" w:color="auto" w:fill="D9D9D9" w:themeFill="background1" w:themeFillShade="D9"/>
            <w:vAlign w:val="center"/>
          </w:tcPr>
          <w:p w14:paraId="76CD64AB" w14:textId="77777777" w:rsidR="002017E6" w:rsidRPr="006D47EF" w:rsidRDefault="002017E6" w:rsidP="002017E6">
            <w:pPr>
              <w:autoSpaceDE w:val="0"/>
              <w:autoSpaceDN w:val="0"/>
              <w:adjustRightInd w:val="0"/>
              <w:spacing w:after="0" w:line="240" w:lineRule="auto"/>
              <w:jc w:val="both"/>
              <w:rPr>
                <w:rFonts w:ascii="Times New Roman" w:hAnsi="Times New Roman"/>
                <w:b w:val="0"/>
                <w:sz w:val="20"/>
                <w:szCs w:val="20"/>
              </w:rPr>
            </w:pPr>
            <w:r w:rsidRPr="006D47EF">
              <w:rPr>
                <w:rFonts w:ascii="Times New Roman" w:hAnsi="Times New Roman"/>
                <w:b w:val="0"/>
                <w:sz w:val="20"/>
                <w:szCs w:val="20"/>
              </w:rPr>
              <w:t>N°</w:t>
            </w:r>
          </w:p>
        </w:tc>
        <w:tc>
          <w:tcPr>
            <w:tcW w:w="2654" w:type="dxa"/>
            <w:vMerge w:val="restart"/>
            <w:shd w:val="clear" w:color="auto" w:fill="D9D9D9" w:themeFill="background1" w:themeFillShade="D9"/>
            <w:vAlign w:val="center"/>
          </w:tcPr>
          <w:p w14:paraId="409BF05A" w14:textId="77777777" w:rsidR="002017E6" w:rsidRPr="006D47EF" w:rsidRDefault="002017E6" w:rsidP="002017E6">
            <w:pPr>
              <w:autoSpaceDE w:val="0"/>
              <w:autoSpaceDN w:val="0"/>
              <w:adjustRightInd w:val="0"/>
              <w:spacing w:after="0" w:line="240" w:lineRule="auto"/>
              <w:jc w:val="both"/>
              <w:rPr>
                <w:rFonts w:ascii="Times New Roman" w:hAnsi="Times New Roman"/>
                <w:b w:val="0"/>
                <w:sz w:val="20"/>
                <w:szCs w:val="20"/>
              </w:rPr>
            </w:pPr>
            <w:r w:rsidRPr="006D47EF">
              <w:rPr>
                <w:rFonts w:ascii="Times New Roman" w:hAnsi="Times New Roman"/>
                <w:b w:val="0"/>
                <w:sz w:val="20"/>
                <w:szCs w:val="20"/>
              </w:rPr>
              <w:t>Axes Programmatiques</w:t>
            </w:r>
          </w:p>
        </w:tc>
        <w:tc>
          <w:tcPr>
            <w:tcW w:w="6098" w:type="dxa"/>
            <w:gridSpan w:val="4"/>
            <w:shd w:val="clear" w:color="auto" w:fill="D9D9D9" w:themeFill="background1" w:themeFillShade="D9"/>
            <w:vAlign w:val="center"/>
          </w:tcPr>
          <w:p w14:paraId="39608CD4" w14:textId="77777777" w:rsidR="002017E6" w:rsidRPr="006D47EF" w:rsidRDefault="002017E6" w:rsidP="002017E6">
            <w:pPr>
              <w:autoSpaceDE w:val="0"/>
              <w:autoSpaceDN w:val="0"/>
              <w:adjustRightInd w:val="0"/>
              <w:spacing w:after="0" w:line="240" w:lineRule="auto"/>
              <w:jc w:val="center"/>
              <w:rPr>
                <w:rFonts w:ascii="Times New Roman" w:hAnsi="Times New Roman"/>
                <w:b w:val="0"/>
                <w:sz w:val="20"/>
                <w:szCs w:val="20"/>
              </w:rPr>
            </w:pPr>
            <w:r w:rsidRPr="006D47EF">
              <w:rPr>
                <w:rFonts w:ascii="Times New Roman" w:hAnsi="Times New Roman"/>
                <w:b w:val="0"/>
                <w:sz w:val="20"/>
                <w:szCs w:val="20"/>
              </w:rPr>
              <w:t>Ressources projetées</w:t>
            </w:r>
          </w:p>
          <w:p w14:paraId="48077C94" w14:textId="77777777" w:rsidR="002017E6" w:rsidRPr="006D47EF" w:rsidRDefault="002017E6" w:rsidP="002017E6">
            <w:pPr>
              <w:autoSpaceDE w:val="0"/>
              <w:autoSpaceDN w:val="0"/>
              <w:adjustRightInd w:val="0"/>
              <w:spacing w:after="0" w:line="240" w:lineRule="auto"/>
              <w:jc w:val="center"/>
              <w:rPr>
                <w:rFonts w:ascii="Times New Roman" w:hAnsi="Times New Roman"/>
                <w:b w:val="0"/>
                <w:sz w:val="20"/>
                <w:szCs w:val="20"/>
              </w:rPr>
            </w:pPr>
            <w:r w:rsidRPr="006D47EF">
              <w:rPr>
                <w:rFonts w:ascii="Times New Roman" w:hAnsi="Times New Roman"/>
                <w:b w:val="0"/>
                <w:sz w:val="20"/>
                <w:szCs w:val="20"/>
              </w:rPr>
              <w:t>(En USD)</w:t>
            </w:r>
          </w:p>
        </w:tc>
      </w:tr>
      <w:tr w:rsidR="002017E6" w:rsidRPr="006D47EF" w14:paraId="75E37580" w14:textId="77777777" w:rsidTr="00781AC7">
        <w:tc>
          <w:tcPr>
            <w:tcW w:w="534" w:type="dxa"/>
            <w:vMerge/>
            <w:shd w:val="clear" w:color="auto" w:fill="D9D9D9" w:themeFill="background1" w:themeFillShade="D9"/>
            <w:vAlign w:val="center"/>
          </w:tcPr>
          <w:p w14:paraId="4220354F" w14:textId="77777777" w:rsidR="002017E6" w:rsidRPr="006D47EF" w:rsidRDefault="002017E6" w:rsidP="002017E6">
            <w:pPr>
              <w:autoSpaceDE w:val="0"/>
              <w:autoSpaceDN w:val="0"/>
              <w:adjustRightInd w:val="0"/>
              <w:spacing w:after="0" w:line="240" w:lineRule="auto"/>
              <w:jc w:val="both"/>
              <w:rPr>
                <w:rFonts w:ascii="Times New Roman" w:hAnsi="Times New Roman"/>
                <w:b w:val="0"/>
                <w:sz w:val="20"/>
                <w:szCs w:val="20"/>
              </w:rPr>
            </w:pPr>
          </w:p>
        </w:tc>
        <w:tc>
          <w:tcPr>
            <w:tcW w:w="2654" w:type="dxa"/>
            <w:vMerge/>
            <w:shd w:val="clear" w:color="auto" w:fill="D9D9D9" w:themeFill="background1" w:themeFillShade="D9"/>
            <w:vAlign w:val="center"/>
          </w:tcPr>
          <w:p w14:paraId="68A9EE8A" w14:textId="77777777" w:rsidR="002017E6" w:rsidRPr="006D47EF" w:rsidRDefault="002017E6" w:rsidP="002017E6">
            <w:pPr>
              <w:autoSpaceDE w:val="0"/>
              <w:autoSpaceDN w:val="0"/>
              <w:adjustRightInd w:val="0"/>
              <w:spacing w:after="0" w:line="240" w:lineRule="auto"/>
              <w:jc w:val="both"/>
              <w:rPr>
                <w:rFonts w:ascii="Times New Roman" w:hAnsi="Times New Roman"/>
                <w:b w:val="0"/>
                <w:sz w:val="20"/>
                <w:szCs w:val="20"/>
              </w:rPr>
            </w:pPr>
          </w:p>
        </w:tc>
        <w:tc>
          <w:tcPr>
            <w:tcW w:w="1530" w:type="dxa"/>
            <w:shd w:val="clear" w:color="auto" w:fill="D9D9D9" w:themeFill="background1" w:themeFillShade="D9"/>
            <w:vAlign w:val="center"/>
          </w:tcPr>
          <w:p w14:paraId="5A3111FA" w14:textId="77777777" w:rsidR="002017E6" w:rsidRPr="006D47EF" w:rsidRDefault="002017E6" w:rsidP="002017E6">
            <w:pPr>
              <w:autoSpaceDE w:val="0"/>
              <w:autoSpaceDN w:val="0"/>
              <w:adjustRightInd w:val="0"/>
              <w:spacing w:after="0" w:line="240" w:lineRule="auto"/>
              <w:jc w:val="both"/>
              <w:rPr>
                <w:rFonts w:ascii="Times New Roman" w:hAnsi="Times New Roman"/>
                <w:b w:val="0"/>
                <w:sz w:val="20"/>
                <w:szCs w:val="20"/>
              </w:rPr>
            </w:pPr>
            <w:r w:rsidRPr="006D47EF">
              <w:rPr>
                <w:rFonts w:ascii="Times New Roman" w:hAnsi="Times New Roman"/>
                <w:b w:val="0"/>
                <w:sz w:val="20"/>
                <w:szCs w:val="20"/>
              </w:rPr>
              <w:t>Ordinaires</w:t>
            </w:r>
          </w:p>
        </w:tc>
        <w:tc>
          <w:tcPr>
            <w:tcW w:w="1530" w:type="dxa"/>
            <w:shd w:val="clear" w:color="auto" w:fill="D9D9D9" w:themeFill="background1" w:themeFillShade="D9"/>
            <w:vAlign w:val="center"/>
          </w:tcPr>
          <w:p w14:paraId="278B889A" w14:textId="77777777" w:rsidR="002017E6" w:rsidRPr="006D47EF" w:rsidRDefault="002017E6" w:rsidP="002017E6">
            <w:pPr>
              <w:autoSpaceDE w:val="0"/>
              <w:autoSpaceDN w:val="0"/>
              <w:adjustRightInd w:val="0"/>
              <w:spacing w:after="0" w:line="240" w:lineRule="auto"/>
              <w:jc w:val="both"/>
              <w:rPr>
                <w:rFonts w:ascii="Times New Roman" w:hAnsi="Times New Roman"/>
                <w:b w:val="0"/>
                <w:sz w:val="20"/>
                <w:szCs w:val="20"/>
              </w:rPr>
            </w:pPr>
            <w:r w:rsidRPr="006D47EF">
              <w:rPr>
                <w:rFonts w:ascii="Times New Roman" w:hAnsi="Times New Roman"/>
                <w:b w:val="0"/>
                <w:sz w:val="20"/>
                <w:szCs w:val="20"/>
              </w:rPr>
              <w:t>Autres</w:t>
            </w:r>
          </w:p>
        </w:tc>
        <w:tc>
          <w:tcPr>
            <w:tcW w:w="1524" w:type="dxa"/>
            <w:shd w:val="clear" w:color="auto" w:fill="D9D9D9" w:themeFill="background1" w:themeFillShade="D9"/>
            <w:vAlign w:val="center"/>
          </w:tcPr>
          <w:p w14:paraId="2F043B30" w14:textId="77777777" w:rsidR="002017E6" w:rsidRPr="006D47EF" w:rsidRDefault="002017E6" w:rsidP="002017E6">
            <w:pPr>
              <w:autoSpaceDE w:val="0"/>
              <w:autoSpaceDN w:val="0"/>
              <w:adjustRightInd w:val="0"/>
              <w:spacing w:after="0" w:line="240" w:lineRule="auto"/>
              <w:jc w:val="both"/>
              <w:rPr>
                <w:rFonts w:ascii="Times New Roman" w:hAnsi="Times New Roman"/>
                <w:b w:val="0"/>
                <w:sz w:val="20"/>
                <w:szCs w:val="20"/>
              </w:rPr>
            </w:pPr>
            <w:r w:rsidRPr="006D47EF">
              <w:rPr>
                <w:rFonts w:ascii="Times New Roman" w:hAnsi="Times New Roman"/>
                <w:b w:val="0"/>
                <w:sz w:val="20"/>
                <w:szCs w:val="20"/>
              </w:rPr>
              <w:t>Total</w:t>
            </w:r>
          </w:p>
        </w:tc>
        <w:tc>
          <w:tcPr>
            <w:tcW w:w="1514" w:type="dxa"/>
            <w:shd w:val="clear" w:color="auto" w:fill="D9D9D9" w:themeFill="background1" w:themeFillShade="D9"/>
            <w:vAlign w:val="center"/>
          </w:tcPr>
          <w:p w14:paraId="505F5F9A" w14:textId="77777777" w:rsidR="002017E6" w:rsidRPr="006D47EF" w:rsidRDefault="002017E6" w:rsidP="002017E6">
            <w:pPr>
              <w:autoSpaceDE w:val="0"/>
              <w:autoSpaceDN w:val="0"/>
              <w:adjustRightInd w:val="0"/>
              <w:spacing w:after="0" w:line="240" w:lineRule="auto"/>
              <w:jc w:val="both"/>
              <w:rPr>
                <w:rFonts w:ascii="Times New Roman" w:hAnsi="Times New Roman"/>
                <w:b w:val="0"/>
                <w:sz w:val="20"/>
                <w:szCs w:val="20"/>
              </w:rPr>
            </w:pPr>
            <w:r w:rsidRPr="006D47EF">
              <w:rPr>
                <w:rFonts w:ascii="Times New Roman" w:hAnsi="Times New Roman"/>
                <w:b w:val="0"/>
                <w:sz w:val="20"/>
                <w:szCs w:val="20"/>
              </w:rPr>
              <w:t>En %</w:t>
            </w:r>
          </w:p>
        </w:tc>
      </w:tr>
      <w:tr w:rsidR="002017E6" w:rsidRPr="006D47EF" w14:paraId="0C2845F6" w14:textId="77777777" w:rsidTr="00781AC7">
        <w:tc>
          <w:tcPr>
            <w:tcW w:w="534" w:type="dxa"/>
            <w:shd w:val="clear" w:color="auto" w:fill="D9D9D9" w:themeFill="background1" w:themeFillShade="D9"/>
            <w:vAlign w:val="center"/>
          </w:tcPr>
          <w:p w14:paraId="321FB88C" w14:textId="77777777" w:rsidR="002017E6" w:rsidRPr="006D47EF" w:rsidRDefault="002017E6" w:rsidP="002017E6">
            <w:pPr>
              <w:autoSpaceDE w:val="0"/>
              <w:autoSpaceDN w:val="0"/>
              <w:adjustRightInd w:val="0"/>
              <w:spacing w:after="0" w:line="240" w:lineRule="auto"/>
              <w:jc w:val="both"/>
              <w:rPr>
                <w:rFonts w:ascii="Times New Roman" w:hAnsi="Times New Roman"/>
                <w:b w:val="0"/>
                <w:sz w:val="20"/>
                <w:szCs w:val="20"/>
              </w:rPr>
            </w:pPr>
            <w:r w:rsidRPr="006D47EF">
              <w:rPr>
                <w:rFonts w:ascii="Times New Roman" w:hAnsi="Times New Roman"/>
                <w:b w:val="0"/>
                <w:sz w:val="20"/>
                <w:szCs w:val="20"/>
              </w:rPr>
              <w:t>1.</w:t>
            </w:r>
          </w:p>
        </w:tc>
        <w:tc>
          <w:tcPr>
            <w:tcW w:w="2654" w:type="dxa"/>
            <w:vAlign w:val="center"/>
          </w:tcPr>
          <w:p w14:paraId="05F78EE1" w14:textId="77777777" w:rsidR="002017E6" w:rsidRPr="006D47EF" w:rsidRDefault="002017E6" w:rsidP="002017E6">
            <w:pPr>
              <w:autoSpaceDE w:val="0"/>
              <w:autoSpaceDN w:val="0"/>
              <w:adjustRightInd w:val="0"/>
              <w:spacing w:after="0" w:line="240" w:lineRule="auto"/>
              <w:rPr>
                <w:rFonts w:ascii="Times New Roman" w:hAnsi="Times New Roman"/>
                <w:b w:val="0"/>
                <w:sz w:val="20"/>
                <w:szCs w:val="20"/>
              </w:rPr>
            </w:pPr>
            <w:r w:rsidRPr="006D47EF">
              <w:rPr>
                <w:rFonts w:ascii="Times New Roman" w:hAnsi="Times New Roman"/>
                <w:sz w:val="20"/>
                <w:szCs w:val="20"/>
              </w:rPr>
              <w:t>Résultat 1</w:t>
            </w:r>
            <w:r w:rsidRPr="006D47EF">
              <w:rPr>
                <w:rFonts w:ascii="Times New Roman" w:hAnsi="Times New Roman"/>
                <w:b w:val="0"/>
                <w:sz w:val="20"/>
                <w:szCs w:val="20"/>
              </w:rPr>
              <w:t> : D’ici à 2019, la cohésion sociale est facilitée par la justice transitionnelle, le dialogue entre communautés, la culture et l’éducation à la paix.</w:t>
            </w:r>
          </w:p>
        </w:tc>
        <w:tc>
          <w:tcPr>
            <w:tcW w:w="1530" w:type="dxa"/>
            <w:vAlign w:val="center"/>
          </w:tcPr>
          <w:p w14:paraId="0531142D" w14:textId="77777777" w:rsidR="002017E6" w:rsidRPr="006D47EF" w:rsidRDefault="002017E6" w:rsidP="002017E6">
            <w:pPr>
              <w:autoSpaceDE w:val="0"/>
              <w:autoSpaceDN w:val="0"/>
              <w:adjustRightInd w:val="0"/>
              <w:spacing w:after="0" w:line="240" w:lineRule="auto"/>
              <w:jc w:val="both"/>
              <w:rPr>
                <w:rFonts w:ascii="Times New Roman" w:hAnsi="Times New Roman"/>
                <w:b w:val="0"/>
                <w:sz w:val="20"/>
                <w:szCs w:val="20"/>
              </w:rPr>
            </w:pPr>
            <w:r w:rsidRPr="006D47EF">
              <w:rPr>
                <w:rFonts w:ascii="Times New Roman" w:hAnsi="Times New Roman"/>
                <w:b w:val="0"/>
                <w:sz w:val="20"/>
                <w:szCs w:val="20"/>
              </w:rPr>
              <w:t>6 943 000</w:t>
            </w:r>
          </w:p>
        </w:tc>
        <w:tc>
          <w:tcPr>
            <w:tcW w:w="1530" w:type="dxa"/>
            <w:vAlign w:val="center"/>
          </w:tcPr>
          <w:p w14:paraId="46DFABEF" w14:textId="77777777" w:rsidR="002017E6" w:rsidRPr="006D47EF" w:rsidRDefault="002017E6" w:rsidP="002017E6">
            <w:pPr>
              <w:autoSpaceDE w:val="0"/>
              <w:autoSpaceDN w:val="0"/>
              <w:adjustRightInd w:val="0"/>
              <w:spacing w:after="0" w:line="240" w:lineRule="auto"/>
              <w:jc w:val="both"/>
              <w:rPr>
                <w:rFonts w:ascii="Times New Roman" w:hAnsi="Times New Roman"/>
                <w:b w:val="0"/>
                <w:sz w:val="20"/>
                <w:szCs w:val="20"/>
              </w:rPr>
            </w:pPr>
            <w:r w:rsidRPr="006D47EF">
              <w:rPr>
                <w:rFonts w:ascii="Times New Roman" w:hAnsi="Times New Roman"/>
                <w:b w:val="0"/>
                <w:sz w:val="20"/>
                <w:szCs w:val="20"/>
              </w:rPr>
              <w:t>18 000 000</w:t>
            </w:r>
          </w:p>
        </w:tc>
        <w:tc>
          <w:tcPr>
            <w:tcW w:w="1524" w:type="dxa"/>
            <w:vAlign w:val="center"/>
          </w:tcPr>
          <w:p w14:paraId="0DD3C266" w14:textId="77777777" w:rsidR="002017E6" w:rsidRPr="006D47EF" w:rsidRDefault="002017E6" w:rsidP="002017E6">
            <w:pPr>
              <w:autoSpaceDE w:val="0"/>
              <w:autoSpaceDN w:val="0"/>
              <w:adjustRightInd w:val="0"/>
              <w:spacing w:after="0" w:line="240" w:lineRule="auto"/>
              <w:jc w:val="both"/>
              <w:rPr>
                <w:rFonts w:ascii="Times New Roman" w:hAnsi="Times New Roman"/>
                <w:b w:val="0"/>
                <w:sz w:val="20"/>
                <w:szCs w:val="20"/>
              </w:rPr>
            </w:pPr>
            <w:r w:rsidRPr="006D47EF">
              <w:rPr>
                <w:rFonts w:ascii="Times New Roman" w:hAnsi="Times New Roman"/>
                <w:b w:val="0"/>
                <w:sz w:val="20"/>
                <w:szCs w:val="20"/>
              </w:rPr>
              <w:t>24 943 000</w:t>
            </w:r>
          </w:p>
        </w:tc>
        <w:tc>
          <w:tcPr>
            <w:tcW w:w="1514" w:type="dxa"/>
            <w:vAlign w:val="center"/>
          </w:tcPr>
          <w:p w14:paraId="0FD57CFA" w14:textId="77777777" w:rsidR="002017E6" w:rsidRPr="006D47EF" w:rsidRDefault="002017E6" w:rsidP="002017E6">
            <w:pPr>
              <w:autoSpaceDE w:val="0"/>
              <w:autoSpaceDN w:val="0"/>
              <w:adjustRightInd w:val="0"/>
              <w:spacing w:after="0" w:line="240" w:lineRule="auto"/>
              <w:jc w:val="both"/>
              <w:rPr>
                <w:rFonts w:ascii="Times New Roman" w:hAnsi="Times New Roman"/>
                <w:b w:val="0"/>
                <w:sz w:val="20"/>
                <w:szCs w:val="20"/>
              </w:rPr>
            </w:pPr>
            <w:r w:rsidRPr="006D47EF">
              <w:rPr>
                <w:rFonts w:ascii="Times New Roman" w:hAnsi="Times New Roman"/>
                <w:b w:val="0"/>
                <w:sz w:val="20"/>
                <w:szCs w:val="20"/>
              </w:rPr>
              <w:t>13%</w:t>
            </w:r>
          </w:p>
        </w:tc>
      </w:tr>
      <w:tr w:rsidR="002017E6" w:rsidRPr="006D47EF" w14:paraId="27932AF1" w14:textId="77777777" w:rsidTr="00781AC7">
        <w:tc>
          <w:tcPr>
            <w:tcW w:w="534" w:type="dxa"/>
            <w:shd w:val="clear" w:color="auto" w:fill="D9D9D9" w:themeFill="background1" w:themeFillShade="D9"/>
            <w:vAlign w:val="center"/>
          </w:tcPr>
          <w:p w14:paraId="00109842" w14:textId="77777777" w:rsidR="002017E6" w:rsidRPr="006D47EF" w:rsidRDefault="002017E6" w:rsidP="002017E6">
            <w:pPr>
              <w:autoSpaceDE w:val="0"/>
              <w:autoSpaceDN w:val="0"/>
              <w:adjustRightInd w:val="0"/>
              <w:spacing w:after="0" w:line="240" w:lineRule="auto"/>
              <w:jc w:val="both"/>
              <w:rPr>
                <w:rFonts w:ascii="Times New Roman" w:hAnsi="Times New Roman"/>
                <w:b w:val="0"/>
                <w:sz w:val="20"/>
                <w:szCs w:val="20"/>
              </w:rPr>
            </w:pPr>
            <w:r w:rsidRPr="006D47EF">
              <w:rPr>
                <w:rFonts w:ascii="Times New Roman" w:hAnsi="Times New Roman"/>
                <w:b w:val="0"/>
                <w:sz w:val="20"/>
                <w:szCs w:val="20"/>
              </w:rPr>
              <w:t>2.</w:t>
            </w:r>
          </w:p>
        </w:tc>
        <w:tc>
          <w:tcPr>
            <w:tcW w:w="2654" w:type="dxa"/>
            <w:vAlign w:val="center"/>
          </w:tcPr>
          <w:p w14:paraId="17ADBDB2" w14:textId="77777777" w:rsidR="002017E6" w:rsidRPr="006D47EF" w:rsidRDefault="002017E6" w:rsidP="002017E6">
            <w:pPr>
              <w:autoSpaceDE w:val="0"/>
              <w:autoSpaceDN w:val="0"/>
              <w:adjustRightInd w:val="0"/>
              <w:spacing w:after="0" w:line="240" w:lineRule="auto"/>
              <w:rPr>
                <w:rFonts w:ascii="Times New Roman" w:hAnsi="Times New Roman"/>
                <w:b w:val="0"/>
                <w:sz w:val="20"/>
                <w:szCs w:val="20"/>
              </w:rPr>
            </w:pPr>
            <w:r w:rsidRPr="006D47EF">
              <w:rPr>
                <w:rFonts w:ascii="Times New Roman" w:hAnsi="Times New Roman"/>
                <w:sz w:val="20"/>
                <w:szCs w:val="20"/>
              </w:rPr>
              <w:t>Résultat 2</w:t>
            </w:r>
            <w:r w:rsidRPr="006D47EF">
              <w:rPr>
                <w:rFonts w:ascii="Times New Roman" w:hAnsi="Times New Roman"/>
                <w:b w:val="0"/>
                <w:sz w:val="20"/>
                <w:szCs w:val="20"/>
              </w:rPr>
              <w:t xml:space="preserve"> : "D’ici à 2019, les populations vulnérables, en particulier les femmes et les jeunes, utilisent des capacités de production dans un environnement (naturel) sain qui est propice à la réduction de la pauvreté."</w:t>
            </w:r>
          </w:p>
        </w:tc>
        <w:tc>
          <w:tcPr>
            <w:tcW w:w="1530" w:type="dxa"/>
            <w:vAlign w:val="center"/>
          </w:tcPr>
          <w:p w14:paraId="7F532576" w14:textId="77777777" w:rsidR="002017E6" w:rsidRPr="006D47EF" w:rsidRDefault="002017E6" w:rsidP="002017E6">
            <w:pPr>
              <w:autoSpaceDE w:val="0"/>
              <w:autoSpaceDN w:val="0"/>
              <w:adjustRightInd w:val="0"/>
              <w:spacing w:after="0" w:line="240" w:lineRule="auto"/>
              <w:jc w:val="both"/>
              <w:rPr>
                <w:rFonts w:ascii="Times New Roman" w:hAnsi="Times New Roman"/>
                <w:b w:val="0"/>
                <w:sz w:val="20"/>
                <w:szCs w:val="20"/>
              </w:rPr>
            </w:pPr>
            <w:r w:rsidRPr="006D47EF">
              <w:rPr>
                <w:rFonts w:ascii="Times New Roman" w:hAnsi="Times New Roman"/>
                <w:b w:val="0"/>
                <w:sz w:val="20"/>
                <w:szCs w:val="20"/>
              </w:rPr>
              <w:t>13 500 000</w:t>
            </w:r>
          </w:p>
        </w:tc>
        <w:tc>
          <w:tcPr>
            <w:tcW w:w="1530" w:type="dxa"/>
            <w:vAlign w:val="center"/>
          </w:tcPr>
          <w:p w14:paraId="33D11886" w14:textId="77777777" w:rsidR="002017E6" w:rsidRPr="006D47EF" w:rsidRDefault="002017E6" w:rsidP="002017E6">
            <w:pPr>
              <w:autoSpaceDE w:val="0"/>
              <w:autoSpaceDN w:val="0"/>
              <w:adjustRightInd w:val="0"/>
              <w:spacing w:after="0" w:line="240" w:lineRule="auto"/>
              <w:jc w:val="both"/>
              <w:rPr>
                <w:rFonts w:ascii="Times New Roman" w:hAnsi="Times New Roman"/>
                <w:b w:val="0"/>
                <w:sz w:val="20"/>
                <w:szCs w:val="20"/>
              </w:rPr>
            </w:pPr>
            <w:r w:rsidRPr="006D47EF">
              <w:rPr>
                <w:rFonts w:ascii="Times New Roman" w:hAnsi="Times New Roman"/>
                <w:b w:val="0"/>
                <w:sz w:val="20"/>
                <w:szCs w:val="20"/>
              </w:rPr>
              <w:t>57 500 000</w:t>
            </w:r>
          </w:p>
        </w:tc>
        <w:tc>
          <w:tcPr>
            <w:tcW w:w="1524" w:type="dxa"/>
            <w:vAlign w:val="center"/>
          </w:tcPr>
          <w:p w14:paraId="77A6894B" w14:textId="77777777" w:rsidR="002017E6" w:rsidRPr="006D47EF" w:rsidRDefault="002017E6" w:rsidP="002017E6">
            <w:pPr>
              <w:autoSpaceDE w:val="0"/>
              <w:autoSpaceDN w:val="0"/>
              <w:adjustRightInd w:val="0"/>
              <w:spacing w:after="0" w:line="240" w:lineRule="auto"/>
              <w:jc w:val="both"/>
              <w:rPr>
                <w:rFonts w:ascii="Times New Roman" w:hAnsi="Times New Roman"/>
                <w:b w:val="0"/>
                <w:sz w:val="20"/>
                <w:szCs w:val="20"/>
              </w:rPr>
            </w:pPr>
            <w:r w:rsidRPr="006D47EF">
              <w:rPr>
                <w:rFonts w:ascii="Times New Roman" w:hAnsi="Times New Roman"/>
                <w:b w:val="0"/>
                <w:sz w:val="20"/>
                <w:szCs w:val="20"/>
              </w:rPr>
              <w:t>71 000 000</w:t>
            </w:r>
          </w:p>
        </w:tc>
        <w:tc>
          <w:tcPr>
            <w:tcW w:w="1514" w:type="dxa"/>
            <w:vAlign w:val="center"/>
          </w:tcPr>
          <w:p w14:paraId="4AEE006D" w14:textId="77777777" w:rsidR="002017E6" w:rsidRPr="006D47EF" w:rsidRDefault="002017E6" w:rsidP="002017E6">
            <w:pPr>
              <w:autoSpaceDE w:val="0"/>
              <w:autoSpaceDN w:val="0"/>
              <w:adjustRightInd w:val="0"/>
              <w:spacing w:after="0" w:line="240" w:lineRule="auto"/>
              <w:jc w:val="both"/>
              <w:rPr>
                <w:rFonts w:ascii="Times New Roman" w:hAnsi="Times New Roman"/>
                <w:b w:val="0"/>
                <w:sz w:val="20"/>
                <w:szCs w:val="20"/>
              </w:rPr>
            </w:pPr>
            <w:r w:rsidRPr="006D47EF">
              <w:rPr>
                <w:rFonts w:ascii="Times New Roman" w:hAnsi="Times New Roman"/>
                <w:b w:val="0"/>
                <w:sz w:val="20"/>
                <w:szCs w:val="20"/>
              </w:rPr>
              <w:t>38%</w:t>
            </w:r>
          </w:p>
        </w:tc>
      </w:tr>
      <w:tr w:rsidR="002017E6" w:rsidRPr="006D47EF" w14:paraId="14FA1A36" w14:textId="77777777" w:rsidTr="00781AC7">
        <w:tc>
          <w:tcPr>
            <w:tcW w:w="534" w:type="dxa"/>
            <w:shd w:val="clear" w:color="auto" w:fill="D9D9D9" w:themeFill="background1" w:themeFillShade="D9"/>
            <w:vAlign w:val="center"/>
          </w:tcPr>
          <w:p w14:paraId="53E3351E" w14:textId="77777777" w:rsidR="002017E6" w:rsidRPr="006D47EF" w:rsidRDefault="002017E6" w:rsidP="002017E6">
            <w:pPr>
              <w:autoSpaceDE w:val="0"/>
              <w:autoSpaceDN w:val="0"/>
              <w:adjustRightInd w:val="0"/>
              <w:spacing w:after="0" w:line="240" w:lineRule="auto"/>
              <w:jc w:val="both"/>
              <w:rPr>
                <w:rFonts w:ascii="Times New Roman" w:hAnsi="Times New Roman"/>
                <w:b w:val="0"/>
                <w:sz w:val="20"/>
                <w:szCs w:val="20"/>
              </w:rPr>
            </w:pPr>
          </w:p>
        </w:tc>
        <w:tc>
          <w:tcPr>
            <w:tcW w:w="2654" w:type="dxa"/>
            <w:vAlign w:val="center"/>
          </w:tcPr>
          <w:p w14:paraId="4E79AA5F" w14:textId="77777777" w:rsidR="002017E6" w:rsidRPr="006D47EF" w:rsidRDefault="002017E6" w:rsidP="002017E6">
            <w:pPr>
              <w:autoSpaceDE w:val="0"/>
              <w:autoSpaceDN w:val="0"/>
              <w:adjustRightInd w:val="0"/>
              <w:spacing w:after="0" w:line="240" w:lineRule="auto"/>
              <w:rPr>
                <w:rFonts w:ascii="Times New Roman" w:hAnsi="Times New Roman"/>
                <w:b w:val="0"/>
                <w:sz w:val="20"/>
                <w:szCs w:val="20"/>
              </w:rPr>
            </w:pPr>
            <w:r w:rsidRPr="006D47EF">
              <w:rPr>
                <w:rFonts w:ascii="Times New Roman" w:hAnsi="Times New Roman"/>
                <w:sz w:val="20"/>
                <w:szCs w:val="20"/>
              </w:rPr>
              <w:t>Résultat 3</w:t>
            </w:r>
            <w:r w:rsidRPr="006D47EF">
              <w:rPr>
                <w:rFonts w:ascii="Times New Roman" w:hAnsi="Times New Roman"/>
                <w:b w:val="0"/>
                <w:sz w:val="20"/>
                <w:szCs w:val="20"/>
              </w:rPr>
              <w:t xml:space="preserve"> : "D’ici 2019, l’État et les institutions nationales et locales remplissent plus efficacement leur mission de service public et les acteurs non étatiques participent à la vie de la nation et exercent un contrôle citoyen dans le respect des principes de la bonne gouvernance et de la primauté du droit."</w:t>
            </w:r>
          </w:p>
        </w:tc>
        <w:tc>
          <w:tcPr>
            <w:tcW w:w="1530" w:type="dxa"/>
            <w:vAlign w:val="center"/>
          </w:tcPr>
          <w:p w14:paraId="2C89DCA0" w14:textId="77777777" w:rsidR="002017E6" w:rsidRPr="006D47EF" w:rsidRDefault="002017E6" w:rsidP="002017E6">
            <w:pPr>
              <w:autoSpaceDE w:val="0"/>
              <w:autoSpaceDN w:val="0"/>
              <w:adjustRightInd w:val="0"/>
              <w:spacing w:after="0" w:line="240" w:lineRule="auto"/>
              <w:jc w:val="both"/>
              <w:rPr>
                <w:rFonts w:ascii="Times New Roman" w:hAnsi="Times New Roman"/>
                <w:b w:val="0"/>
                <w:sz w:val="20"/>
                <w:szCs w:val="20"/>
              </w:rPr>
            </w:pPr>
            <w:r w:rsidRPr="006D47EF">
              <w:rPr>
                <w:rFonts w:ascii="Times New Roman" w:hAnsi="Times New Roman"/>
                <w:b w:val="0"/>
                <w:sz w:val="20"/>
                <w:szCs w:val="20"/>
              </w:rPr>
              <w:t>11 500 000</w:t>
            </w:r>
          </w:p>
        </w:tc>
        <w:tc>
          <w:tcPr>
            <w:tcW w:w="1530" w:type="dxa"/>
            <w:vAlign w:val="center"/>
          </w:tcPr>
          <w:p w14:paraId="3FE19EFF" w14:textId="77777777" w:rsidR="002017E6" w:rsidRPr="00EA74DA" w:rsidRDefault="00394FF5" w:rsidP="002017E6">
            <w:pPr>
              <w:autoSpaceDE w:val="0"/>
              <w:autoSpaceDN w:val="0"/>
              <w:adjustRightInd w:val="0"/>
              <w:spacing w:after="0" w:line="240" w:lineRule="auto"/>
              <w:jc w:val="both"/>
              <w:rPr>
                <w:rFonts w:ascii="Times New Roman" w:hAnsi="Times New Roman"/>
                <w:b w:val="0"/>
                <w:sz w:val="20"/>
                <w:szCs w:val="20"/>
              </w:rPr>
            </w:pPr>
            <w:r w:rsidRPr="00EA74DA">
              <w:rPr>
                <w:rFonts w:ascii="Times New Roman" w:hAnsi="Times New Roman"/>
                <w:b w:val="0"/>
                <w:sz w:val="20"/>
                <w:szCs w:val="20"/>
              </w:rPr>
              <w:t>50 5</w:t>
            </w:r>
            <w:r w:rsidR="002017E6" w:rsidRPr="00EA74DA">
              <w:rPr>
                <w:rFonts w:ascii="Times New Roman" w:hAnsi="Times New Roman"/>
                <w:b w:val="0"/>
                <w:sz w:val="20"/>
                <w:szCs w:val="20"/>
              </w:rPr>
              <w:t>00 000</w:t>
            </w:r>
          </w:p>
        </w:tc>
        <w:tc>
          <w:tcPr>
            <w:tcW w:w="1524" w:type="dxa"/>
            <w:vAlign w:val="center"/>
          </w:tcPr>
          <w:p w14:paraId="4D9D714E" w14:textId="77777777" w:rsidR="002017E6" w:rsidRPr="00EA74DA" w:rsidRDefault="00394FF5" w:rsidP="002017E6">
            <w:pPr>
              <w:autoSpaceDE w:val="0"/>
              <w:autoSpaceDN w:val="0"/>
              <w:adjustRightInd w:val="0"/>
              <w:spacing w:after="0" w:line="240" w:lineRule="auto"/>
              <w:jc w:val="both"/>
              <w:rPr>
                <w:rFonts w:ascii="Times New Roman" w:hAnsi="Times New Roman"/>
                <w:b w:val="0"/>
                <w:sz w:val="20"/>
                <w:szCs w:val="20"/>
              </w:rPr>
            </w:pPr>
            <w:r w:rsidRPr="00EA74DA">
              <w:rPr>
                <w:rFonts w:ascii="Times New Roman" w:hAnsi="Times New Roman"/>
                <w:b w:val="0"/>
                <w:sz w:val="20"/>
                <w:szCs w:val="20"/>
              </w:rPr>
              <w:t>62 0</w:t>
            </w:r>
            <w:r w:rsidR="002017E6" w:rsidRPr="00EA74DA">
              <w:rPr>
                <w:rFonts w:ascii="Times New Roman" w:hAnsi="Times New Roman"/>
                <w:b w:val="0"/>
                <w:sz w:val="20"/>
                <w:szCs w:val="20"/>
              </w:rPr>
              <w:t>00 000</w:t>
            </w:r>
          </w:p>
        </w:tc>
        <w:tc>
          <w:tcPr>
            <w:tcW w:w="1514" w:type="dxa"/>
            <w:vAlign w:val="center"/>
          </w:tcPr>
          <w:p w14:paraId="2C10A0EB" w14:textId="77777777" w:rsidR="002017E6" w:rsidRPr="006D47EF" w:rsidRDefault="002017E6" w:rsidP="002017E6">
            <w:pPr>
              <w:autoSpaceDE w:val="0"/>
              <w:autoSpaceDN w:val="0"/>
              <w:adjustRightInd w:val="0"/>
              <w:spacing w:after="0" w:line="240" w:lineRule="auto"/>
              <w:jc w:val="both"/>
              <w:rPr>
                <w:rFonts w:ascii="Times New Roman" w:hAnsi="Times New Roman"/>
                <w:b w:val="0"/>
                <w:sz w:val="20"/>
                <w:szCs w:val="20"/>
              </w:rPr>
            </w:pPr>
            <w:r w:rsidRPr="006D47EF">
              <w:rPr>
                <w:rFonts w:ascii="Times New Roman" w:hAnsi="Times New Roman"/>
                <w:b w:val="0"/>
                <w:sz w:val="20"/>
                <w:szCs w:val="20"/>
              </w:rPr>
              <w:t>33%</w:t>
            </w:r>
          </w:p>
        </w:tc>
      </w:tr>
      <w:tr w:rsidR="002017E6" w:rsidRPr="006D47EF" w14:paraId="04D98172" w14:textId="77777777" w:rsidTr="00781AC7">
        <w:tc>
          <w:tcPr>
            <w:tcW w:w="534" w:type="dxa"/>
            <w:shd w:val="clear" w:color="auto" w:fill="D9D9D9" w:themeFill="background1" w:themeFillShade="D9"/>
            <w:vAlign w:val="center"/>
          </w:tcPr>
          <w:p w14:paraId="59CC3DFE" w14:textId="77777777" w:rsidR="002017E6" w:rsidRPr="006D47EF" w:rsidRDefault="002017E6" w:rsidP="002017E6">
            <w:pPr>
              <w:autoSpaceDE w:val="0"/>
              <w:autoSpaceDN w:val="0"/>
              <w:adjustRightInd w:val="0"/>
              <w:spacing w:after="0" w:line="240" w:lineRule="auto"/>
              <w:jc w:val="both"/>
              <w:rPr>
                <w:rFonts w:ascii="Times New Roman" w:hAnsi="Times New Roman"/>
                <w:b w:val="0"/>
                <w:sz w:val="20"/>
                <w:szCs w:val="20"/>
              </w:rPr>
            </w:pPr>
          </w:p>
        </w:tc>
        <w:tc>
          <w:tcPr>
            <w:tcW w:w="2654" w:type="dxa"/>
            <w:vAlign w:val="center"/>
          </w:tcPr>
          <w:p w14:paraId="0B7311D8" w14:textId="77777777" w:rsidR="002017E6" w:rsidRPr="006D47EF" w:rsidRDefault="002017E6" w:rsidP="002017E6">
            <w:pPr>
              <w:autoSpaceDE w:val="0"/>
              <w:autoSpaceDN w:val="0"/>
              <w:adjustRightInd w:val="0"/>
              <w:spacing w:after="0" w:line="240" w:lineRule="auto"/>
              <w:rPr>
                <w:rFonts w:ascii="Times New Roman" w:hAnsi="Times New Roman"/>
                <w:b w:val="0"/>
                <w:sz w:val="20"/>
                <w:szCs w:val="20"/>
              </w:rPr>
            </w:pPr>
            <w:r w:rsidRPr="006D47EF">
              <w:rPr>
                <w:rFonts w:ascii="Times New Roman" w:hAnsi="Times New Roman"/>
                <w:sz w:val="20"/>
                <w:szCs w:val="20"/>
              </w:rPr>
              <w:t>Résultat 4</w:t>
            </w:r>
            <w:r w:rsidRPr="006D47EF">
              <w:rPr>
                <w:rFonts w:ascii="Times New Roman" w:hAnsi="Times New Roman"/>
                <w:b w:val="0"/>
                <w:sz w:val="20"/>
                <w:szCs w:val="20"/>
              </w:rPr>
              <w:t xml:space="preserve"> : "D’ici à 2019, les communautés, en </w:t>
            </w:r>
            <w:r w:rsidRPr="006D47EF">
              <w:rPr>
                <w:rFonts w:ascii="Times New Roman" w:hAnsi="Times New Roman"/>
                <w:b w:val="0"/>
                <w:sz w:val="20"/>
                <w:szCs w:val="20"/>
              </w:rPr>
              <w:lastRenderedPageBreak/>
              <w:t>particulier les plus vulnérables et celles touchées par la crise, pourront accéder à des soins de santé de base de qualité et en bénéficier plus facilement et sur un pied d’égalité."</w:t>
            </w:r>
          </w:p>
        </w:tc>
        <w:tc>
          <w:tcPr>
            <w:tcW w:w="1530" w:type="dxa"/>
            <w:vAlign w:val="center"/>
          </w:tcPr>
          <w:p w14:paraId="58803368" w14:textId="77777777" w:rsidR="002017E6" w:rsidRPr="006D47EF" w:rsidRDefault="002017E6" w:rsidP="002017E6">
            <w:pPr>
              <w:autoSpaceDE w:val="0"/>
              <w:autoSpaceDN w:val="0"/>
              <w:adjustRightInd w:val="0"/>
              <w:spacing w:after="0" w:line="240" w:lineRule="auto"/>
              <w:jc w:val="both"/>
              <w:rPr>
                <w:rFonts w:ascii="Times New Roman" w:hAnsi="Times New Roman"/>
                <w:b w:val="0"/>
                <w:sz w:val="20"/>
                <w:szCs w:val="20"/>
              </w:rPr>
            </w:pPr>
          </w:p>
        </w:tc>
        <w:tc>
          <w:tcPr>
            <w:tcW w:w="1530" w:type="dxa"/>
            <w:vAlign w:val="center"/>
          </w:tcPr>
          <w:p w14:paraId="4940EF80" w14:textId="77777777" w:rsidR="002017E6" w:rsidRPr="006D47EF" w:rsidRDefault="002017E6" w:rsidP="002017E6">
            <w:pPr>
              <w:autoSpaceDE w:val="0"/>
              <w:autoSpaceDN w:val="0"/>
              <w:adjustRightInd w:val="0"/>
              <w:spacing w:after="0" w:line="240" w:lineRule="auto"/>
              <w:jc w:val="both"/>
              <w:rPr>
                <w:rFonts w:ascii="Times New Roman" w:hAnsi="Times New Roman"/>
                <w:b w:val="0"/>
                <w:sz w:val="20"/>
                <w:szCs w:val="20"/>
              </w:rPr>
            </w:pPr>
            <w:r w:rsidRPr="006D47EF">
              <w:rPr>
                <w:rFonts w:ascii="Times New Roman" w:hAnsi="Times New Roman"/>
                <w:b w:val="0"/>
                <w:sz w:val="20"/>
                <w:szCs w:val="20"/>
              </w:rPr>
              <w:t>30 000 000</w:t>
            </w:r>
          </w:p>
        </w:tc>
        <w:tc>
          <w:tcPr>
            <w:tcW w:w="1524" w:type="dxa"/>
            <w:vAlign w:val="center"/>
          </w:tcPr>
          <w:p w14:paraId="5B30EFB8" w14:textId="77777777" w:rsidR="002017E6" w:rsidRPr="006D47EF" w:rsidRDefault="002017E6" w:rsidP="002017E6">
            <w:pPr>
              <w:autoSpaceDE w:val="0"/>
              <w:autoSpaceDN w:val="0"/>
              <w:adjustRightInd w:val="0"/>
              <w:spacing w:after="0" w:line="240" w:lineRule="auto"/>
              <w:jc w:val="both"/>
              <w:rPr>
                <w:rFonts w:ascii="Times New Roman" w:hAnsi="Times New Roman"/>
                <w:b w:val="0"/>
                <w:sz w:val="20"/>
                <w:szCs w:val="20"/>
              </w:rPr>
            </w:pPr>
            <w:r w:rsidRPr="006D47EF">
              <w:rPr>
                <w:rFonts w:ascii="Times New Roman" w:hAnsi="Times New Roman"/>
                <w:b w:val="0"/>
                <w:sz w:val="20"/>
                <w:szCs w:val="20"/>
              </w:rPr>
              <w:t>30 000 000</w:t>
            </w:r>
          </w:p>
        </w:tc>
        <w:tc>
          <w:tcPr>
            <w:tcW w:w="1514" w:type="dxa"/>
            <w:vAlign w:val="center"/>
          </w:tcPr>
          <w:p w14:paraId="7F694719" w14:textId="77777777" w:rsidR="002017E6" w:rsidRPr="006D47EF" w:rsidRDefault="002017E6" w:rsidP="002017E6">
            <w:pPr>
              <w:autoSpaceDE w:val="0"/>
              <w:autoSpaceDN w:val="0"/>
              <w:adjustRightInd w:val="0"/>
              <w:spacing w:after="0" w:line="240" w:lineRule="auto"/>
              <w:jc w:val="both"/>
              <w:rPr>
                <w:rFonts w:ascii="Times New Roman" w:hAnsi="Times New Roman"/>
                <w:b w:val="0"/>
                <w:sz w:val="20"/>
                <w:szCs w:val="20"/>
              </w:rPr>
            </w:pPr>
            <w:r w:rsidRPr="006D47EF">
              <w:rPr>
                <w:rFonts w:ascii="Times New Roman" w:hAnsi="Times New Roman"/>
                <w:b w:val="0"/>
                <w:sz w:val="20"/>
                <w:szCs w:val="20"/>
              </w:rPr>
              <w:t>16%</w:t>
            </w:r>
          </w:p>
        </w:tc>
      </w:tr>
      <w:tr w:rsidR="002017E6" w:rsidRPr="002017E6" w14:paraId="18D017A0" w14:textId="77777777" w:rsidTr="00781AC7">
        <w:tc>
          <w:tcPr>
            <w:tcW w:w="534" w:type="dxa"/>
            <w:shd w:val="clear" w:color="auto" w:fill="D9D9D9" w:themeFill="background1" w:themeFillShade="D9"/>
            <w:vAlign w:val="center"/>
          </w:tcPr>
          <w:p w14:paraId="2747B387" w14:textId="77777777" w:rsidR="002017E6" w:rsidRPr="006D47EF" w:rsidRDefault="002017E6" w:rsidP="002017E6">
            <w:pPr>
              <w:autoSpaceDE w:val="0"/>
              <w:autoSpaceDN w:val="0"/>
              <w:adjustRightInd w:val="0"/>
              <w:spacing w:after="0" w:line="240" w:lineRule="auto"/>
              <w:jc w:val="both"/>
              <w:rPr>
                <w:rFonts w:ascii="Times New Roman" w:hAnsi="Times New Roman"/>
                <w:b w:val="0"/>
                <w:sz w:val="20"/>
                <w:szCs w:val="20"/>
              </w:rPr>
            </w:pPr>
            <w:r w:rsidRPr="006D47EF">
              <w:rPr>
                <w:rFonts w:ascii="Times New Roman" w:hAnsi="Times New Roman"/>
                <w:b w:val="0"/>
                <w:sz w:val="20"/>
                <w:szCs w:val="20"/>
              </w:rPr>
              <w:t>3.</w:t>
            </w:r>
          </w:p>
        </w:tc>
        <w:tc>
          <w:tcPr>
            <w:tcW w:w="2654" w:type="dxa"/>
            <w:vAlign w:val="center"/>
          </w:tcPr>
          <w:p w14:paraId="04BF15F7" w14:textId="77777777" w:rsidR="002017E6" w:rsidRPr="006D47EF" w:rsidRDefault="002017E6" w:rsidP="002017E6">
            <w:pPr>
              <w:autoSpaceDE w:val="0"/>
              <w:autoSpaceDN w:val="0"/>
              <w:adjustRightInd w:val="0"/>
              <w:spacing w:after="0" w:line="240" w:lineRule="auto"/>
              <w:rPr>
                <w:rFonts w:ascii="Times New Roman" w:hAnsi="Times New Roman"/>
                <w:b w:val="0"/>
                <w:sz w:val="20"/>
                <w:szCs w:val="20"/>
              </w:rPr>
            </w:pPr>
            <w:r w:rsidRPr="006D47EF">
              <w:rPr>
                <w:rFonts w:ascii="Times New Roman" w:hAnsi="Times New Roman"/>
                <w:b w:val="0"/>
                <w:sz w:val="20"/>
                <w:szCs w:val="20"/>
              </w:rPr>
              <w:t>Programme Pays</w:t>
            </w:r>
          </w:p>
        </w:tc>
        <w:tc>
          <w:tcPr>
            <w:tcW w:w="1530" w:type="dxa"/>
            <w:vAlign w:val="center"/>
          </w:tcPr>
          <w:p w14:paraId="31BA68FE" w14:textId="77777777" w:rsidR="002017E6" w:rsidRPr="006D47EF" w:rsidRDefault="002017E6" w:rsidP="002017E6">
            <w:pPr>
              <w:autoSpaceDE w:val="0"/>
              <w:autoSpaceDN w:val="0"/>
              <w:adjustRightInd w:val="0"/>
              <w:spacing w:after="0" w:line="240" w:lineRule="auto"/>
              <w:jc w:val="both"/>
              <w:rPr>
                <w:rFonts w:ascii="Times New Roman" w:hAnsi="Times New Roman"/>
                <w:b w:val="0"/>
                <w:sz w:val="20"/>
                <w:szCs w:val="20"/>
              </w:rPr>
            </w:pPr>
            <w:r w:rsidRPr="006D47EF">
              <w:rPr>
                <w:rFonts w:ascii="Times New Roman" w:hAnsi="Times New Roman"/>
                <w:b w:val="0"/>
                <w:sz w:val="20"/>
                <w:szCs w:val="20"/>
              </w:rPr>
              <w:t>31 943 000</w:t>
            </w:r>
          </w:p>
        </w:tc>
        <w:tc>
          <w:tcPr>
            <w:tcW w:w="1530" w:type="dxa"/>
            <w:vAlign w:val="center"/>
          </w:tcPr>
          <w:p w14:paraId="575A9DF5" w14:textId="77777777" w:rsidR="002017E6" w:rsidRPr="00EA74DA" w:rsidRDefault="002017E6" w:rsidP="00394FF5">
            <w:pPr>
              <w:autoSpaceDE w:val="0"/>
              <w:autoSpaceDN w:val="0"/>
              <w:adjustRightInd w:val="0"/>
              <w:spacing w:after="0" w:line="240" w:lineRule="auto"/>
              <w:jc w:val="both"/>
              <w:rPr>
                <w:rFonts w:ascii="Times New Roman" w:hAnsi="Times New Roman"/>
                <w:b w:val="0"/>
                <w:sz w:val="20"/>
                <w:szCs w:val="20"/>
              </w:rPr>
            </w:pPr>
            <w:r w:rsidRPr="00EA74DA">
              <w:rPr>
                <w:rFonts w:ascii="Times New Roman" w:hAnsi="Times New Roman"/>
                <w:b w:val="0"/>
                <w:sz w:val="20"/>
                <w:szCs w:val="20"/>
              </w:rPr>
              <w:t>15</w:t>
            </w:r>
            <w:r w:rsidR="00394FF5" w:rsidRPr="00EA74DA">
              <w:rPr>
                <w:rFonts w:ascii="Times New Roman" w:hAnsi="Times New Roman"/>
                <w:b w:val="0"/>
                <w:sz w:val="20"/>
                <w:szCs w:val="20"/>
              </w:rPr>
              <w:t>6</w:t>
            </w:r>
            <w:r w:rsidRPr="00EA74DA">
              <w:rPr>
                <w:rFonts w:ascii="Times New Roman" w:hAnsi="Times New Roman"/>
                <w:b w:val="0"/>
                <w:sz w:val="20"/>
                <w:szCs w:val="20"/>
              </w:rPr>
              <w:t> </w:t>
            </w:r>
            <w:r w:rsidR="00394FF5" w:rsidRPr="00EA74DA">
              <w:rPr>
                <w:rFonts w:ascii="Times New Roman" w:hAnsi="Times New Roman"/>
                <w:b w:val="0"/>
                <w:sz w:val="20"/>
                <w:szCs w:val="20"/>
              </w:rPr>
              <w:t>0</w:t>
            </w:r>
            <w:r w:rsidRPr="00EA74DA">
              <w:rPr>
                <w:rFonts w:ascii="Times New Roman" w:hAnsi="Times New Roman"/>
                <w:b w:val="0"/>
                <w:sz w:val="20"/>
                <w:szCs w:val="20"/>
              </w:rPr>
              <w:t>00 000</w:t>
            </w:r>
          </w:p>
        </w:tc>
        <w:tc>
          <w:tcPr>
            <w:tcW w:w="1524" w:type="dxa"/>
            <w:vAlign w:val="center"/>
          </w:tcPr>
          <w:p w14:paraId="4A6A96FF" w14:textId="77777777" w:rsidR="002017E6" w:rsidRPr="00EA74DA" w:rsidRDefault="00394FF5" w:rsidP="002017E6">
            <w:pPr>
              <w:autoSpaceDE w:val="0"/>
              <w:autoSpaceDN w:val="0"/>
              <w:adjustRightInd w:val="0"/>
              <w:spacing w:after="0" w:line="240" w:lineRule="auto"/>
              <w:jc w:val="both"/>
              <w:rPr>
                <w:rFonts w:ascii="Times New Roman" w:hAnsi="Times New Roman"/>
                <w:b w:val="0"/>
                <w:sz w:val="20"/>
                <w:szCs w:val="20"/>
              </w:rPr>
            </w:pPr>
            <w:r w:rsidRPr="00EA74DA">
              <w:rPr>
                <w:rFonts w:ascii="Times New Roman" w:hAnsi="Times New Roman"/>
                <w:b w:val="0"/>
                <w:sz w:val="20"/>
                <w:szCs w:val="20"/>
              </w:rPr>
              <w:t>187 9</w:t>
            </w:r>
            <w:r w:rsidR="002017E6" w:rsidRPr="00EA74DA">
              <w:rPr>
                <w:rFonts w:ascii="Times New Roman" w:hAnsi="Times New Roman"/>
                <w:b w:val="0"/>
                <w:sz w:val="20"/>
                <w:szCs w:val="20"/>
              </w:rPr>
              <w:t>43 000</w:t>
            </w:r>
          </w:p>
        </w:tc>
        <w:tc>
          <w:tcPr>
            <w:tcW w:w="1514" w:type="dxa"/>
            <w:vAlign w:val="center"/>
          </w:tcPr>
          <w:p w14:paraId="762F8A0D" w14:textId="77777777" w:rsidR="002017E6" w:rsidRPr="006D47EF" w:rsidRDefault="002017E6" w:rsidP="002017E6">
            <w:pPr>
              <w:autoSpaceDE w:val="0"/>
              <w:autoSpaceDN w:val="0"/>
              <w:adjustRightInd w:val="0"/>
              <w:spacing w:after="0" w:line="240" w:lineRule="auto"/>
              <w:jc w:val="both"/>
              <w:rPr>
                <w:rFonts w:ascii="Times New Roman" w:hAnsi="Times New Roman"/>
                <w:b w:val="0"/>
                <w:sz w:val="20"/>
                <w:szCs w:val="20"/>
              </w:rPr>
            </w:pPr>
            <w:r w:rsidRPr="006D47EF">
              <w:rPr>
                <w:rFonts w:ascii="Times New Roman" w:hAnsi="Times New Roman"/>
                <w:b w:val="0"/>
                <w:sz w:val="20"/>
                <w:szCs w:val="20"/>
              </w:rPr>
              <w:t>100%</w:t>
            </w:r>
          </w:p>
        </w:tc>
      </w:tr>
    </w:tbl>
    <w:p w14:paraId="02271531" w14:textId="77777777" w:rsidR="002017E6" w:rsidRPr="006D47EF" w:rsidRDefault="002017E6" w:rsidP="002017E6">
      <w:pPr>
        <w:autoSpaceDE w:val="0"/>
        <w:autoSpaceDN w:val="0"/>
        <w:adjustRightInd w:val="0"/>
        <w:spacing w:after="0" w:line="240" w:lineRule="auto"/>
        <w:jc w:val="both"/>
        <w:rPr>
          <w:rFonts w:ascii="Times New Roman" w:hAnsi="Times New Roman"/>
          <w:i/>
          <w:sz w:val="20"/>
          <w:szCs w:val="20"/>
        </w:rPr>
      </w:pPr>
      <w:r w:rsidRPr="006D47EF">
        <w:rPr>
          <w:rFonts w:ascii="Times New Roman" w:hAnsi="Times New Roman"/>
          <w:i/>
          <w:sz w:val="20"/>
          <w:szCs w:val="20"/>
          <w:u w:val="single"/>
        </w:rPr>
        <w:t>Source</w:t>
      </w:r>
      <w:r w:rsidRPr="006D47EF">
        <w:rPr>
          <w:rFonts w:ascii="Times New Roman" w:hAnsi="Times New Roman"/>
          <w:i/>
          <w:sz w:val="20"/>
          <w:szCs w:val="20"/>
        </w:rPr>
        <w:t> : PNUD, Bamako, CPD 2015-2019</w:t>
      </w:r>
    </w:p>
    <w:bookmarkEnd w:id="86"/>
    <w:p w14:paraId="3064B7E4" w14:textId="77777777" w:rsidR="002017E6" w:rsidRPr="002017E6" w:rsidRDefault="002017E6" w:rsidP="00B96F0F">
      <w:pPr>
        <w:autoSpaceDE w:val="0"/>
        <w:autoSpaceDN w:val="0"/>
        <w:adjustRightInd w:val="0"/>
        <w:spacing w:after="0" w:line="240" w:lineRule="auto"/>
        <w:rPr>
          <w:rFonts w:ascii="Times New Roman" w:hAnsi="Times New Roman"/>
          <w:sz w:val="20"/>
          <w:szCs w:val="20"/>
          <w:highlight w:val="green"/>
        </w:rPr>
      </w:pPr>
    </w:p>
    <w:p w14:paraId="22EF7D6C" w14:textId="77777777" w:rsidR="00BA3DC6" w:rsidRPr="006D47EF" w:rsidRDefault="00BA3DC6" w:rsidP="00B026AE">
      <w:pPr>
        <w:pStyle w:val="Titre2"/>
        <w:numPr>
          <w:ilvl w:val="1"/>
          <w:numId w:val="4"/>
        </w:numPr>
        <w:spacing w:before="0"/>
        <w:rPr>
          <w:rFonts w:ascii="Times New Roman" w:hAnsi="Times New Roman"/>
          <w:color w:val="auto"/>
          <w:sz w:val="24"/>
          <w:szCs w:val="24"/>
        </w:rPr>
      </w:pPr>
      <w:bookmarkStart w:id="89" w:name="_Toc348488293"/>
      <w:bookmarkStart w:id="90" w:name="_Toc499211599"/>
      <w:bookmarkStart w:id="91" w:name="_Toc499213872"/>
      <w:r w:rsidRPr="006D47EF">
        <w:rPr>
          <w:rFonts w:ascii="Times New Roman" w:hAnsi="Times New Roman"/>
          <w:color w:val="auto"/>
          <w:sz w:val="24"/>
          <w:szCs w:val="24"/>
        </w:rPr>
        <w:t>Modifications intervenues en cours de mise en œuvre</w:t>
      </w:r>
      <w:bookmarkEnd w:id="89"/>
      <w:bookmarkEnd w:id="90"/>
      <w:bookmarkEnd w:id="91"/>
    </w:p>
    <w:p w14:paraId="58AB6FAD" w14:textId="77777777" w:rsidR="00BA3DC6" w:rsidRPr="006D47EF" w:rsidRDefault="00BA3DC6" w:rsidP="00B96F0F">
      <w:pPr>
        <w:autoSpaceDE w:val="0"/>
        <w:autoSpaceDN w:val="0"/>
        <w:adjustRightInd w:val="0"/>
        <w:spacing w:after="0" w:line="240" w:lineRule="auto"/>
        <w:jc w:val="both"/>
        <w:rPr>
          <w:rFonts w:ascii="Times New Roman" w:hAnsi="Times New Roman"/>
          <w:sz w:val="24"/>
          <w:szCs w:val="24"/>
        </w:rPr>
      </w:pPr>
    </w:p>
    <w:p w14:paraId="43E818B6" w14:textId="77777777" w:rsidR="00BA3DC6" w:rsidRPr="006B309F" w:rsidRDefault="00795741" w:rsidP="00B96F0F">
      <w:pPr>
        <w:spacing w:after="0" w:line="240" w:lineRule="auto"/>
        <w:jc w:val="both"/>
        <w:rPr>
          <w:rFonts w:ascii="Times New Roman" w:hAnsi="Times New Roman"/>
          <w:sz w:val="24"/>
          <w:szCs w:val="24"/>
        </w:rPr>
      </w:pPr>
      <w:r w:rsidRPr="006D47EF">
        <w:rPr>
          <w:rFonts w:ascii="Times New Roman" w:hAnsi="Times New Roman"/>
          <w:sz w:val="24"/>
          <w:szCs w:val="24"/>
        </w:rPr>
        <w:t>3</w:t>
      </w:r>
      <w:r w:rsidR="000B5082">
        <w:rPr>
          <w:rFonts w:ascii="Times New Roman" w:hAnsi="Times New Roman"/>
          <w:sz w:val="24"/>
          <w:szCs w:val="24"/>
        </w:rPr>
        <w:t>0</w:t>
      </w:r>
      <w:r w:rsidR="00FA6BA0" w:rsidRPr="006D47EF">
        <w:rPr>
          <w:rFonts w:ascii="Times New Roman" w:hAnsi="Times New Roman"/>
          <w:sz w:val="24"/>
          <w:szCs w:val="24"/>
        </w:rPr>
        <w:t>.</w:t>
      </w:r>
      <w:r w:rsidR="00FA6BA0" w:rsidRPr="006D47EF">
        <w:rPr>
          <w:rFonts w:ascii="Times New Roman" w:hAnsi="Times New Roman"/>
          <w:sz w:val="24"/>
          <w:szCs w:val="24"/>
        </w:rPr>
        <w:tab/>
        <w:t xml:space="preserve">Aucune modification formelle </w:t>
      </w:r>
      <w:r w:rsidR="00BA3DC6" w:rsidRPr="006D47EF">
        <w:rPr>
          <w:rFonts w:ascii="Times New Roman" w:hAnsi="Times New Roman"/>
          <w:sz w:val="24"/>
          <w:szCs w:val="24"/>
        </w:rPr>
        <w:t>n’</w:t>
      </w:r>
      <w:r w:rsidR="00FA6BA0" w:rsidRPr="006D47EF">
        <w:rPr>
          <w:rFonts w:ascii="Times New Roman" w:hAnsi="Times New Roman"/>
          <w:sz w:val="24"/>
          <w:szCs w:val="24"/>
        </w:rPr>
        <w:t xml:space="preserve">a été apportée au </w:t>
      </w:r>
      <w:r w:rsidR="00BA3DC6" w:rsidRPr="006D47EF">
        <w:rPr>
          <w:rFonts w:ascii="Times New Roman" w:hAnsi="Times New Roman"/>
          <w:sz w:val="24"/>
          <w:szCs w:val="24"/>
        </w:rPr>
        <w:t>programme</w:t>
      </w:r>
      <w:r w:rsidR="004F7E75" w:rsidRPr="006D47EF">
        <w:rPr>
          <w:rFonts w:ascii="Times New Roman" w:hAnsi="Times New Roman"/>
          <w:sz w:val="24"/>
          <w:szCs w:val="24"/>
        </w:rPr>
        <w:t xml:space="preserve"> dans la période </w:t>
      </w:r>
      <w:r w:rsidR="0016412B" w:rsidRPr="006D47EF">
        <w:rPr>
          <w:rFonts w:ascii="Times New Roman" w:hAnsi="Times New Roman"/>
          <w:sz w:val="24"/>
          <w:szCs w:val="24"/>
        </w:rPr>
        <w:t>en</w:t>
      </w:r>
      <w:r w:rsidR="004F7E75" w:rsidRPr="006D47EF">
        <w:rPr>
          <w:rFonts w:ascii="Times New Roman" w:hAnsi="Times New Roman"/>
          <w:sz w:val="24"/>
          <w:szCs w:val="24"/>
        </w:rPr>
        <w:t xml:space="preserve"> évaluation</w:t>
      </w:r>
      <w:r w:rsidR="00FA6BA0" w:rsidRPr="006D47EF">
        <w:rPr>
          <w:rFonts w:ascii="Times New Roman" w:hAnsi="Times New Roman"/>
          <w:sz w:val="24"/>
          <w:szCs w:val="24"/>
        </w:rPr>
        <w:t xml:space="preserve">, si l’on entend par là un avenant au programme faisant l’objet d’une signature </w:t>
      </w:r>
      <w:r w:rsidR="002017E6" w:rsidRPr="006D47EF">
        <w:rPr>
          <w:rFonts w:ascii="Times New Roman" w:hAnsi="Times New Roman"/>
          <w:sz w:val="24"/>
          <w:szCs w:val="24"/>
        </w:rPr>
        <w:t>nouvelle de la part des parties</w:t>
      </w:r>
      <w:r w:rsidR="00FA6BA0" w:rsidRPr="006D47EF">
        <w:rPr>
          <w:rFonts w:ascii="Times New Roman" w:hAnsi="Times New Roman"/>
          <w:sz w:val="24"/>
          <w:szCs w:val="24"/>
        </w:rPr>
        <w:t>.</w:t>
      </w:r>
    </w:p>
    <w:p w14:paraId="3A08E84B" w14:textId="77777777" w:rsidR="00BA3DC6" w:rsidRPr="006B309F" w:rsidRDefault="00BA3DC6" w:rsidP="00B96F0F">
      <w:pPr>
        <w:spacing w:after="0" w:line="240" w:lineRule="auto"/>
        <w:jc w:val="both"/>
        <w:rPr>
          <w:rFonts w:ascii="Times New Roman" w:hAnsi="Times New Roman"/>
          <w:sz w:val="24"/>
          <w:szCs w:val="24"/>
        </w:rPr>
      </w:pPr>
    </w:p>
    <w:p w14:paraId="02C4477D" w14:textId="77777777" w:rsidR="00BA3DC6" w:rsidRPr="006B309F" w:rsidRDefault="00BA3DC6" w:rsidP="00B026AE">
      <w:pPr>
        <w:pStyle w:val="Titre1"/>
        <w:numPr>
          <w:ilvl w:val="0"/>
          <w:numId w:val="4"/>
        </w:numPr>
        <w:spacing w:before="0" w:line="240" w:lineRule="auto"/>
        <w:rPr>
          <w:color w:val="auto"/>
        </w:rPr>
      </w:pPr>
      <w:bookmarkStart w:id="92" w:name="_Toc499211600"/>
      <w:bookmarkStart w:id="93" w:name="_Toc499213873"/>
      <w:r w:rsidRPr="006B309F">
        <w:rPr>
          <w:color w:val="auto"/>
        </w:rPr>
        <w:t>Evaluation de performances</w:t>
      </w:r>
      <w:bookmarkEnd w:id="92"/>
      <w:bookmarkEnd w:id="93"/>
    </w:p>
    <w:p w14:paraId="3EF72967" w14:textId="77777777" w:rsidR="00BA3DC6" w:rsidRPr="006B309F" w:rsidRDefault="00BA3DC6" w:rsidP="00B96F0F">
      <w:pPr>
        <w:spacing w:after="0" w:line="240" w:lineRule="auto"/>
      </w:pPr>
    </w:p>
    <w:p w14:paraId="2AFC2798" w14:textId="77777777" w:rsidR="00BA3DC6" w:rsidRPr="006B309F" w:rsidRDefault="00BA3DC6" w:rsidP="00B96F0F">
      <w:pPr>
        <w:pStyle w:val="Titre2"/>
        <w:spacing w:before="0"/>
        <w:rPr>
          <w:color w:val="auto"/>
          <w:sz w:val="24"/>
          <w:szCs w:val="24"/>
        </w:rPr>
      </w:pPr>
      <w:bookmarkStart w:id="94" w:name="_Toc406445172"/>
      <w:bookmarkStart w:id="95" w:name="_Toc499211601"/>
      <w:bookmarkStart w:id="96" w:name="_Toc499213874"/>
      <w:r w:rsidRPr="006B309F">
        <w:rPr>
          <w:color w:val="auto"/>
          <w:sz w:val="24"/>
          <w:szCs w:val="24"/>
        </w:rPr>
        <w:t>3.1. Pertinence</w:t>
      </w:r>
      <w:bookmarkEnd w:id="94"/>
      <w:bookmarkEnd w:id="95"/>
      <w:bookmarkEnd w:id="96"/>
    </w:p>
    <w:p w14:paraId="2687AE2A" w14:textId="77777777" w:rsidR="00BA3DC6" w:rsidRPr="006B309F" w:rsidRDefault="00BA3DC6" w:rsidP="00B96F0F">
      <w:pPr>
        <w:spacing w:after="0" w:line="240" w:lineRule="auto"/>
        <w:jc w:val="both"/>
        <w:rPr>
          <w:rFonts w:ascii="Times New Roman" w:hAnsi="Times New Roman"/>
          <w:sz w:val="24"/>
          <w:szCs w:val="24"/>
        </w:rPr>
      </w:pPr>
    </w:p>
    <w:p w14:paraId="3E3140B9" w14:textId="77777777" w:rsidR="00BA3DC6" w:rsidRPr="006B309F" w:rsidRDefault="00BA3DC6" w:rsidP="00B026AE">
      <w:pPr>
        <w:pStyle w:val="Titre3"/>
        <w:numPr>
          <w:ilvl w:val="2"/>
          <w:numId w:val="4"/>
        </w:numPr>
        <w:spacing w:before="0" w:line="240" w:lineRule="auto"/>
        <w:rPr>
          <w:rFonts w:ascii="Times New Roman" w:hAnsi="Times New Roman"/>
          <w:color w:val="auto"/>
          <w:sz w:val="24"/>
          <w:szCs w:val="24"/>
        </w:rPr>
      </w:pPr>
      <w:bookmarkStart w:id="97" w:name="_Toc499211602"/>
      <w:bookmarkStart w:id="98" w:name="_Toc499213875"/>
      <w:r w:rsidRPr="006B309F">
        <w:rPr>
          <w:rFonts w:ascii="Times New Roman" w:hAnsi="Times New Roman"/>
          <w:color w:val="auto"/>
          <w:sz w:val="24"/>
          <w:szCs w:val="24"/>
        </w:rPr>
        <w:t>Pertinence stratégique : alignement sur les priorités de développement du pays</w:t>
      </w:r>
      <w:bookmarkEnd w:id="97"/>
      <w:bookmarkEnd w:id="98"/>
    </w:p>
    <w:p w14:paraId="028CCD48" w14:textId="77777777" w:rsidR="00BA3DC6" w:rsidRPr="006B309F" w:rsidRDefault="00BA3DC6" w:rsidP="00B96F0F">
      <w:pPr>
        <w:spacing w:after="0" w:line="240" w:lineRule="auto"/>
        <w:jc w:val="both"/>
        <w:rPr>
          <w:rFonts w:ascii="Times New Roman" w:hAnsi="Times New Roman"/>
          <w:sz w:val="24"/>
          <w:szCs w:val="24"/>
        </w:rPr>
      </w:pPr>
    </w:p>
    <w:p w14:paraId="6EABEEFD" w14:textId="77777777" w:rsidR="00BA3DC6" w:rsidRPr="006B309F" w:rsidRDefault="00795741" w:rsidP="00B96F0F">
      <w:pPr>
        <w:spacing w:after="0" w:line="240" w:lineRule="auto"/>
        <w:jc w:val="both"/>
        <w:rPr>
          <w:rFonts w:ascii="Times New Roman" w:hAnsi="Times New Roman"/>
          <w:sz w:val="24"/>
          <w:szCs w:val="24"/>
        </w:rPr>
      </w:pPr>
      <w:r w:rsidRPr="006B309F">
        <w:rPr>
          <w:rFonts w:ascii="Times New Roman" w:hAnsi="Times New Roman"/>
          <w:sz w:val="24"/>
          <w:szCs w:val="24"/>
        </w:rPr>
        <w:t>3</w:t>
      </w:r>
      <w:r w:rsidR="000B5082">
        <w:rPr>
          <w:rFonts w:ascii="Times New Roman" w:hAnsi="Times New Roman"/>
          <w:sz w:val="24"/>
          <w:szCs w:val="24"/>
        </w:rPr>
        <w:t>1</w:t>
      </w:r>
      <w:r w:rsidR="00BA3DC6" w:rsidRPr="006B309F">
        <w:rPr>
          <w:rFonts w:ascii="Times New Roman" w:hAnsi="Times New Roman"/>
          <w:sz w:val="24"/>
          <w:szCs w:val="24"/>
        </w:rPr>
        <w:t>.</w:t>
      </w:r>
      <w:r w:rsidR="00BA3DC6" w:rsidRPr="006B309F">
        <w:rPr>
          <w:rFonts w:ascii="Times New Roman" w:hAnsi="Times New Roman"/>
          <w:sz w:val="24"/>
          <w:szCs w:val="24"/>
        </w:rPr>
        <w:tab/>
        <w:t>L</w:t>
      </w:r>
      <w:r w:rsidR="00A14D33" w:rsidRPr="006B309F">
        <w:rPr>
          <w:rFonts w:ascii="Times New Roman" w:hAnsi="Times New Roman"/>
          <w:sz w:val="24"/>
          <w:szCs w:val="24"/>
        </w:rPr>
        <w:t xml:space="preserve">e programme est aligné sur les </w:t>
      </w:r>
      <w:r w:rsidR="00BA3DC6" w:rsidRPr="006B309F">
        <w:rPr>
          <w:rFonts w:ascii="Times New Roman" w:hAnsi="Times New Roman"/>
          <w:sz w:val="24"/>
          <w:szCs w:val="24"/>
        </w:rPr>
        <w:t xml:space="preserve">stratégies de développement de la République </w:t>
      </w:r>
      <w:r w:rsidR="00A14D33" w:rsidRPr="006B309F">
        <w:rPr>
          <w:rFonts w:ascii="Times New Roman" w:hAnsi="Times New Roman"/>
          <w:sz w:val="24"/>
          <w:szCs w:val="24"/>
        </w:rPr>
        <w:t>d</w:t>
      </w:r>
      <w:r w:rsidR="00781AC7">
        <w:rPr>
          <w:rFonts w:ascii="Times New Roman" w:hAnsi="Times New Roman"/>
          <w:sz w:val="24"/>
          <w:szCs w:val="24"/>
        </w:rPr>
        <w:t>u Mali</w:t>
      </w:r>
      <w:r w:rsidR="00BA3DC6" w:rsidRPr="006B309F">
        <w:rPr>
          <w:rFonts w:ascii="Times New Roman" w:hAnsi="Times New Roman"/>
          <w:sz w:val="24"/>
          <w:szCs w:val="24"/>
        </w:rPr>
        <w:t>, qu’il s’agisse des instruments internationaux auxquels le pays a souscrit, comme les Objectifs du Millénaire pour le Développement</w:t>
      </w:r>
      <w:r w:rsidR="00A14D33" w:rsidRPr="006B309F">
        <w:rPr>
          <w:rFonts w:ascii="Times New Roman" w:hAnsi="Times New Roman"/>
          <w:sz w:val="24"/>
          <w:szCs w:val="24"/>
        </w:rPr>
        <w:t xml:space="preserve"> (en vigueur au moment de sa formulation, et </w:t>
      </w:r>
      <w:r w:rsidR="004F7E75" w:rsidRPr="006B309F">
        <w:rPr>
          <w:rFonts w:ascii="Times New Roman" w:hAnsi="Times New Roman"/>
          <w:sz w:val="24"/>
          <w:szCs w:val="24"/>
        </w:rPr>
        <w:t xml:space="preserve">durant </w:t>
      </w:r>
      <w:r w:rsidR="00A14D33" w:rsidRPr="006B309F">
        <w:rPr>
          <w:rFonts w:ascii="Times New Roman" w:hAnsi="Times New Roman"/>
          <w:sz w:val="24"/>
          <w:szCs w:val="24"/>
        </w:rPr>
        <w:t>l</w:t>
      </w:r>
      <w:r w:rsidR="00781AC7">
        <w:rPr>
          <w:rFonts w:ascii="Times New Roman" w:hAnsi="Times New Roman"/>
          <w:sz w:val="24"/>
          <w:szCs w:val="24"/>
        </w:rPr>
        <w:t>a premièr</w:t>
      </w:r>
      <w:r w:rsidR="00A14D33" w:rsidRPr="006B309F">
        <w:rPr>
          <w:rFonts w:ascii="Times New Roman" w:hAnsi="Times New Roman"/>
          <w:sz w:val="24"/>
          <w:szCs w:val="24"/>
        </w:rPr>
        <w:t>e année du cycle !)</w:t>
      </w:r>
      <w:r w:rsidR="00BA3DC6" w:rsidRPr="006B309F">
        <w:rPr>
          <w:rFonts w:ascii="Times New Roman" w:hAnsi="Times New Roman"/>
          <w:sz w:val="24"/>
          <w:szCs w:val="24"/>
        </w:rPr>
        <w:t xml:space="preserve">, ou des outils de programmation qui les opérationnalisent dans les politiques nationales. En tant que cadre d’amélioration de la gouvernance, </w:t>
      </w:r>
      <w:r w:rsidR="00A14D33" w:rsidRPr="006B309F">
        <w:rPr>
          <w:rFonts w:ascii="Times New Roman" w:hAnsi="Times New Roman"/>
          <w:sz w:val="24"/>
          <w:szCs w:val="24"/>
        </w:rPr>
        <w:t xml:space="preserve">et de promotion d’une croissance inclusive dans le cadre d’un développement durable, le CPD </w:t>
      </w:r>
      <w:r w:rsidR="00BA3DC6" w:rsidRPr="006B309F">
        <w:rPr>
          <w:rFonts w:ascii="Times New Roman" w:hAnsi="Times New Roman"/>
          <w:sz w:val="24"/>
          <w:szCs w:val="24"/>
        </w:rPr>
        <w:t>ser</w:t>
      </w:r>
      <w:r w:rsidR="00781AC7">
        <w:rPr>
          <w:rFonts w:ascii="Times New Roman" w:hAnsi="Times New Roman"/>
          <w:sz w:val="24"/>
          <w:szCs w:val="24"/>
        </w:rPr>
        <w:t>vai</w:t>
      </w:r>
      <w:r w:rsidR="00BA3DC6" w:rsidRPr="006B309F">
        <w:rPr>
          <w:rFonts w:ascii="Times New Roman" w:hAnsi="Times New Roman"/>
          <w:sz w:val="24"/>
          <w:szCs w:val="24"/>
        </w:rPr>
        <w:t xml:space="preserve">t de manière transversale la totalité des </w:t>
      </w:r>
      <w:r w:rsidR="00A14D33" w:rsidRPr="006B309F">
        <w:rPr>
          <w:rFonts w:ascii="Times New Roman" w:hAnsi="Times New Roman"/>
          <w:sz w:val="24"/>
          <w:szCs w:val="24"/>
        </w:rPr>
        <w:t xml:space="preserve">huit </w:t>
      </w:r>
      <w:r w:rsidR="00781AC7">
        <w:rPr>
          <w:rFonts w:ascii="Times New Roman" w:hAnsi="Times New Roman"/>
          <w:sz w:val="24"/>
          <w:szCs w:val="24"/>
        </w:rPr>
        <w:t>OMD, mais reste également en phase avec les Objectifs de Développement Durable. Du reste, dans le cadre même du programme, le Bureau accompagne le pays dans la priorisation et l’internationalisation des ODD.</w:t>
      </w:r>
    </w:p>
    <w:p w14:paraId="54FC43B7" w14:textId="77777777" w:rsidR="00BA3DC6" w:rsidRPr="006B309F" w:rsidRDefault="00BA3DC6" w:rsidP="00B96F0F">
      <w:pPr>
        <w:spacing w:after="0" w:line="240" w:lineRule="auto"/>
        <w:jc w:val="both"/>
        <w:rPr>
          <w:rFonts w:ascii="Times New Roman" w:hAnsi="Times New Roman"/>
          <w:sz w:val="24"/>
          <w:szCs w:val="24"/>
        </w:rPr>
      </w:pPr>
    </w:p>
    <w:p w14:paraId="6CBEB24C" w14:textId="77777777" w:rsidR="0079781C" w:rsidRPr="006B309F" w:rsidRDefault="00795741" w:rsidP="00B96F0F">
      <w:pPr>
        <w:spacing w:after="0" w:line="240" w:lineRule="auto"/>
        <w:jc w:val="both"/>
        <w:rPr>
          <w:rFonts w:ascii="Times New Roman" w:hAnsi="Times New Roman"/>
          <w:sz w:val="24"/>
          <w:szCs w:val="24"/>
        </w:rPr>
      </w:pPr>
      <w:r w:rsidRPr="006B309F">
        <w:rPr>
          <w:rFonts w:ascii="Times New Roman" w:hAnsi="Times New Roman"/>
          <w:sz w:val="24"/>
          <w:szCs w:val="24"/>
        </w:rPr>
        <w:t>3</w:t>
      </w:r>
      <w:r w:rsidR="000B5082">
        <w:rPr>
          <w:rFonts w:ascii="Times New Roman" w:hAnsi="Times New Roman"/>
          <w:sz w:val="24"/>
          <w:szCs w:val="24"/>
        </w:rPr>
        <w:t>2</w:t>
      </w:r>
      <w:r w:rsidR="00BA3DC6" w:rsidRPr="006B309F">
        <w:rPr>
          <w:rFonts w:ascii="Times New Roman" w:hAnsi="Times New Roman"/>
          <w:sz w:val="24"/>
          <w:szCs w:val="24"/>
        </w:rPr>
        <w:t>.</w:t>
      </w:r>
      <w:r w:rsidR="00BA3DC6" w:rsidRPr="006B309F">
        <w:rPr>
          <w:rFonts w:ascii="Times New Roman" w:hAnsi="Times New Roman"/>
          <w:sz w:val="24"/>
          <w:szCs w:val="24"/>
        </w:rPr>
        <w:tab/>
        <w:t>L</w:t>
      </w:r>
      <w:r w:rsidR="00A14D33" w:rsidRPr="006B309F">
        <w:rPr>
          <w:rFonts w:ascii="Times New Roman" w:hAnsi="Times New Roman"/>
          <w:sz w:val="24"/>
          <w:szCs w:val="24"/>
        </w:rPr>
        <w:t xml:space="preserve">e CPD </w:t>
      </w:r>
      <w:r w:rsidR="00BA3DC6" w:rsidRPr="006B309F">
        <w:rPr>
          <w:rFonts w:ascii="Times New Roman" w:hAnsi="Times New Roman"/>
          <w:sz w:val="24"/>
          <w:szCs w:val="24"/>
        </w:rPr>
        <w:t>est également en phase avec l</w:t>
      </w:r>
      <w:r w:rsidR="00A14D33" w:rsidRPr="006B309F">
        <w:rPr>
          <w:rFonts w:ascii="Times New Roman" w:hAnsi="Times New Roman"/>
          <w:sz w:val="24"/>
          <w:szCs w:val="24"/>
        </w:rPr>
        <w:t>e</w:t>
      </w:r>
      <w:r w:rsidR="002333ED">
        <w:rPr>
          <w:rFonts w:ascii="Times New Roman" w:hAnsi="Times New Roman"/>
          <w:sz w:val="24"/>
          <w:szCs w:val="24"/>
        </w:rPr>
        <w:t>s cadres stratégiques qui organisent les politiques de développement au Mali, notamment le référentiel principal qu’est le Cadre Stratégique pour la Relance Economique et le Développement Durable (CSRDD</w:t>
      </w:r>
      <w:r w:rsidR="00502041">
        <w:rPr>
          <w:rFonts w:ascii="Times New Roman" w:hAnsi="Times New Roman"/>
          <w:sz w:val="24"/>
          <w:szCs w:val="24"/>
        </w:rPr>
        <w:t> : 2016-2018</w:t>
      </w:r>
      <w:r w:rsidR="002333ED">
        <w:rPr>
          <w:rFonts w:ascii="Times New Roman" w:hAnsi="Times New Roman"/>
          <w:sz w:val="24"/>
          <w:szCs w:val="24"/>
        </w:rPr>
        <w:t xml:space="preserve">). </w:t>
      </w:r>
      <w:r w:rsidR="00956580">
        <w:rPr>
          <w:rFonts w:ascii="Times New Roman" w:hAnsi="Times New Roman"/>
          <w:sz w:val="24"/>
          <w:szCs w:val="24"/>
        </w:rPr>
        <w:t>Héritier</w:t>
      </w:r>
      <w:r w:rsidR="002333ED">
        <w:rPr>
          <w:rFonts w:ascii="Times New Roman" w:hAnsi="Times New Roman"/>
          <w:sz w:val="24"/>
          <w:szCs w:val="24"/>
        </w:rPr>
        <w:t xml:space="preserve"> de générations précédentes d’outils de planification nationale, comme </w:t>
      </w:r>
      <w:r w:rsidR="00956580">
        <w:rPr>
          <w:rFonts w:ascii="Times New Roman" w:hAnsi="Times New Roman"/>
          <w:sz w:val="24"/>
          <w:szCs w:val="24"/>
        </w:rPr>
        <w:t xml:space="preserve">le </w:t>
      </w:r>
      <w:r w:rsidR="00502041">
        <w:rPr>
          <w:rFonts w:ascii="Times New Roman" w:hAnsi="Times New Roman"/>
          <w:sz w:val="24"/>
          <w:szCs w:val="24"/>
        </w:rPr>
        <w:t xml:space="preserve">Cadre Stratégique pour la </w:t>
      </w:r>
      <w:r w:rsidR="00502041" w:rsidRPr="00EA74DA">
        <w:rPr>
          <w:rFonts w:ascii="Times New Roman" w:hAnsi="Times New Roman"/>
          <w:sz w:val="24"/>
          <w:szCs w:val="24"/>
        </w:rPr>
        <w:t>Croissance et la Réduction de la Pauvreté (</w:t>
      </w:r>
      <w:r w:rsidR="00956580" w:rsidRPr="00EA74DA">
        <w:rPr>
          <w:rFonts w:ascii="Times New Roman" w:hAnsi="Times New Roman"/>
          <w:sz w:val="24"/>
          <w:szCs w:val="24"/>
        </w:rPr>
        <w:t>CSCRP</w:t>
      </w:r>
      <w:r w:rsidR="00502041" w:rsidRPr="00EA74DA">
        <w:rPr>
          <w:rFonts w:ascii="Times New Roman" w:hAnsi="Times New Roman"/>
          <w:sz w:val="24"/>
          <w:szCs w:val="24"/>
        </w:rPr>
        <w:t> : 2013-2017)</w:t>
      </w:r>
      <w:r w:rsidR="00956580" w:rsidRPr="00EA74DA">
        <w:rPr>
          <w:rFonts w:ascii="Times New Roman" w:hAnsi="Times New Roman"/>
          <w:sz w:val="24"/>
          <w:szCs w:val="24"/>
        </w:rPr>
        <w:t>, le Plan pour la Relance Durable du Mali (PRED : 2013-2014), le Programme d’Actions du Gouvernement (PAG : 2013-2018), ou encore le Programme de Développement Accéléré des Régions du Nord, et l’Accord pour la Paix et la R</w:t>
      </w:r>
      <w:r w:rsidR="00EE61B0" w:rsidRPr="00EA74DA">
        <w:rPr>
          <w:rFonts w:ascii="Times New Roman" w:hAnsi="Times New Roman"/>
          <w:sz w:val="24"/>
          <w:szCs w:val="24"/>
        </w:rPr>
        <w:t>éconciliation</w:t>
      </w:r>
      <w:r w:rsidR="00956580" w:rsidRPr="00EA74DA">
        <w:rPr>
          <w:rFonts w:ascii="Times New Roman" w:hAnsi="Times New Roman"/>
          <w:sz w:val="24"/>
          <w:szCs w:val="24"/>
        </w:rPr>
        <w:t xml:space="preserve"> au</w:t>
      </w:r>
      <w:r w:rsidR="00956580">
        <w:rPr>
          <w:rFonts w:ascii="Times New Roman" w:hAnsi="Times New Roman"/>
          <w:sz w:val="24"/>
          <w:szCs w:val="24"/>
        </w:rPr>
        <w:t xml:space="preserve"> Mali, </w:t>
      </w:r>
      <w:r w:rsidR="002333ED">
        <w:rPr>
          <w:rFonts w:ascii="Times New Roman" w:hAnsi="Times New Roman"/>
          <w:sz w:val="24"/>
          <w:szCs w:val="24"/>
        </w:rPr>
        <w:t>qu’il a absorbés, le CSRDD est articulé sur Trois Axes stratégiques</w:t>
      </w:r>
      <w:r w:rsidR="009F7614">
        <w:rPr>
          <w:rFonts w:ascii="Times New Roman" w:hAnsi="Times New Roman"/>
          <w:sz w:val="24"/>
          <w:szCs w:val="24"/>
        </w:rPr>
        <w:t xml:space="preserve"> : </w:t>
      </w:r>
      <w:r w:rsidR="002333ED">
        <w:rPr>
          <w:rFonts w:ascii="Times New Roman" w:hAnsi="Times New Roman"/>
          <w:sz w:val="24"/>
          <w:szCs w:val="24"/>
        </w:rPr>
        <w:t>(i) Crois</w:t>
      </w:r>
      <w:r w:rsidR="009F7614">
        <w:rPr>
          <w:rFonts w:ascii="Times New Roman" w:hAnsi="Times New Roman"/>
          <w:sz w:val="24"/>
          <w:szCs w:val="24"/>
        </w:rPr>
        <w:t>s</w:t>
      </w:r>
      <w:r w:rsidR="002333ED">
        <w:rPr>
          <w:rFonts w:ascii="Times New Roman" w:hAnsi="Times New Roman"/>
          <w:sz w:val="24"/>
          <w:szCs w:val="24"/>
        </w:rPr>
        <w:t>ance économique inclusive et durable ; (ii)</w:t>
      </w:r>
      <w:r w:rsidR="009F7614">
        <w:rPr>
          <w:rFonts w:ascii="Times New Roman" w:hAnsi="Times New Roman"/>
          <w:sz w:val="24"/>
          <w:szCs w:val="24"/>
        </w:rPr>
        <w:t xml:space="preserve"> Développement social et Accès aux services sociaux de base ; et (iii) Développement institutionnel et Gouvernance. Les quatre effets poursuivis par le CPD rentrent parfaitement dans les priorités nationales couvertes </w:t>
      </w:r>
      <w:r w:rsidR="00956580">
        <w:rPr>
          <w:rFonts w:ascii="Times New Roman" w:hAnsi="Times New Roman"/>
          <w:sz w:val="24"/>
          <w:szCs w:val="24"/>
        </w:rPr>
        <w:t xml:space="preserve">par les </w:t>
      </w:r>
      <w:r w:rsidR="0079781C" w:rsidRPr="006B309F">
        <w:rPr>
          <w:rFonts w:ascii="Times New Roman" w:hAnsi="Times New Roman"/>
          <w:sz w:val="24"/>
          <w:szCs w:val="24"/>
        </w:rPr>
        <w:t xml:space="preserve">3 Axes </w:t>
      </w:r>
      <w:r w:rsidR="00502041">
        <w:rPr>
          <w:rFonts w:ascii="Times New Roman" w:hAnsi="Times New Roman"/>
          <w:sz w:val="24"/>
          <w:szCs w:val="24"/>
        </w:rPr>
        <w:t>rappelés ci-dessus.</w:t>
      </w:r>
    </w:p>
    <w:p w14:paraId="6ACB003F" w14:textId="77777777" w:rsidR="00A14D33" w:rsidRPr="006B309F" w:rsidRDefault="00A14D33" w:rsidP="00B96F0F">
      <w:pPr>
        <w:spacing w:after="0" w:line="240" w:lineRule="auto"/>
        <w:jc w:val="both"/>
        <w:rPr>
          <w:rFonts w:ascii="Times New Roman" w:hAnsi="Times New Roman"/>
          <w:sz w:val="24"/>
          <w:szCs w:val="24"/>
        </w:rPr>
      </w:pPr>
    </w:p>
    <w:p w14:paraId="08D56DCC" w14:textId="77777777" w:rsidR="00BA3DC6" w:rsidRPr="006B309F" w:rsidRDefault="00795741" w:rsidP="00B96F0F">
      <w:pPr>
        <w:spacing w:after="0" w:line="240" w:lineRule="auto"/>
        <w:jc w:val="both"/>
        <w:rPr>
          <w:rFonts w:ascii="Times New Roman" w:hAnsi="Times New Roman"/>
          <w:sz w:val="24"/>
          <w:szCs w:val="24"/>
        </w:rPr>
      </w:pPr>
      <w:r w:rsidRPr="006B309F">
        <w:rPr>
          <w:rFonts w:ascii="Times New Roman" w:hAnsi="Times New Roman"/>
          <w:sz w:val="24"/>
          <w:szCs w:val="24"/>
        </w:rPr>
        <w:t>3</w:t>
      </w:r>
      <w:r w:rsidR="000B5082">
        <w:rPr>
          <w:rFonts w:ascii="Times New Roman" w:hAnsi="Times New Roman"/>
          <w:sz w:val="24"/>
          <w:szCs w:val="24"/>
        </w:rPr>
        <w:t>3</w:t>
      </w:r>
      <w:r w:rsidR="00C9419B" w:rsidRPr="006B309F">
        <w:rPr>
          <w:rFonts w:ascii="Times New Roman" w:hAnsi="Times New Roman"/>
          <w:sz w:val="24"/>
          <w:szCs w:val="24"/>
        </w:rPr>
        <w:t>.</w:t>
      </w:r>
      <w:r w:rsidR="00BA3DC6" w:rsidRPr="006B309F">
        <w:rPr>
          <w:rFonts w:ascii="Times New Roman" w:hAnsi="Times New Roman"/>
          <w:sz w:val="24"/>
          <w:szCs w:val="24"/>
        </w:rPr>
        <w:tab/>
        <w:t>Enfin, l</w:t>
      </w:r>
      <w:r w:rsidR="00060697" w:rsidRPr="006B309F">
        <w:rPr>
          <w:rFonts w:ascii="Times New Roman" w:hAnsi="Times New Roman"/>
          <w:sz w:val="24"/>
          <w:szCs w:val="24"/>
        </w:rPr>
        <w:t>e p</w:t>
      </w:r>
      <w:r w:rsidR="00BA3DC6" w:rsidRPr="006B309F">
        <w:rPr>
          <w:rFonts w:ascii="Times New Roman" w:hAnsi="Times New Roman"/>
          <w:sz w:val="24"/>
          <w:szCs w:val="24"/>
        </w:rPr>
        <w:t>rogramme est en phase avec le Plan Stratégique du PNUD et avec le Plan cadre pour l’assistance au développement (</w:t>
      </w:r>
      <w:r w:rsidR="009C493D">
        <w:rPr>
          <w:rFonts w:ascii="Times New Roman" w:hAnsi="Times New Roman"/>
          <w:sz w:val="24"/>
          <w:szCs w:val="24"/>
        </w:rPr>
        <w:t>UNDAF</w:t>
      </w:r>
      <w:r w:rsidR="00BA3DC6" w:rsidRPr="006B309F">
        <w:rPr>
          <w:rFonts w:ascii="Times New Roman" w:hAnsi="Times New Roman"/>
          <w:sz w:val="24"/>
          <w:szCs w:val="24"/>
        </w:rPr>
        <w:t xml:space="preserve">) au niveau local. </w:t>
      </w:r>
      <w:r w:rsidR="00502041">
        <w:rPr>
          <w:rFonts w:ascii="Times New Roman" w:hAnsi="Times New Roman"/>
          <w:sz w:val="24"/>
          <w:szCs w:val="24"/>
        </w:rPr>
        <w:t>Succédant à celui d</w:t>
      </w:r>
      <w:r w:rsidR="00ED7FB6" w:rsidRPr="006B309F">
        <w:rPr>
          <w:rFonts w:ascii="Times New Roman" w:hAnsi="Times New Roman"/>
          <w:sz w:val="24"/>
          <w:szCs w:val="24"/>
        </w:rPr>
        <w:t>e 2008, l</w:t>
      </w:r>
      <w:r w:rsidR="00BA3DC6" w:rsidRPr="006B309F">
        <w:rPr>
          <w:rFonts w:ascii="Times New Roman" w:hAnsi="Times New Roman"/>
          <w:sz w:val="24"/>
          <w:szCs w:val="24"/>
        </w:rPr>
        <w:t>e Plan Stratégique 2014-2017</w:t>
      </w:r>
      <w:r w:rsidR="00ED7FB6" w:rsidRPr="006B309F">
        <w:rPr>
          <w:rFonts w:ascii="Times New Roman" w:hAnsi="Times New Roman"/>
          <w:sz w:val="24"/>
          <w:szCs w:val="24"/>
        </w:rPr>
        <w:t xml:space="preserve"> du PNUD,</w:t>
      </w:r>
      <w:r w:rsidR="00502041">
        <w:rPr>
          <w:rFonts w:ascii="Times New Roman" w:hAnsi="Times New Roman"/>
          <w:sz w:val="24"/>
          <w:szCs w:val="24"/>
        </w:rPr>
        <w:t xml:space="preserve"> qui a servi d’ancrage au cycle du CPD,</w:t>
      </w:r>
      <w:r w:rsidR="00ED7FB6" w:rsidRPr="006B309F">
        <w:rPr>
          <w:rFonts w:ascii="Times New Roman" w:hAnsi="Times New Roman"/>
          <w:sz w:val="24"/>
          <w:szCs w:val="24"/>
        </w:rPr>
        <w:t xml:space="preserve"> a</w:t>
      </w:r>
      <w:r w:rsidR="00502041">
        <w:rPr>
          <w:rFonts w:ascii="Times New Roman" w:hAnsi="Times New Roman"/>
          <w:sz w:val="24"/>
          <w:szCs w:val="24"/>
        </w:rPr>
        <w:t xml:space="preserve">vait </w:t>
      </w:r>
      <w:r w:rsidR="00BA3DC6" w:rsidRPr="006B309F">
        <w:rPr>
          <w:rFonts w:ascii="Times New Roman" w:hAnsi="Times New Roman"/>
          <w:sz w:val="24"/>
          <w:szCs w:val="24"/>
        </w:rPr>
        <w:t>pour but "</w:t>
      </w:r>
      <w:r w:rsidR="00BA3DC6" w:rsidRPr="006B309F">
        <w:rPr>
          <w:rFonts w:ascii="Times New Roman" w:hAnsi="Times New Roman"/>
          <w:i/>
          <w:sz w:val="24"/>
          <w:szCs w:val="24"/>
        </w:rPr>
        <w:t>d’aider les pays à assurer simultanément l’élimination de la pauvreté et une réduction sensible des inégalités et de l’exclusion</w:t>
      </w:r>
      <w:r w:rsidR="00ED7FB6" w:rsidRPr="006B309F">
        <w:rPr>
          <w:rFonts w:ascii="Times New Roman" w:hAnsi="Times New Roman"/>
          <w:sz w:val="24"/>
          <w:szCs w:val="24"/>
        </w:rPr>
        <w:t>". Il déclin</w:t>
      </w:r>
      <w:r w:rsidR="00502041">
        <w:rPr>
          <w:rFonts w:ascii="Times New Roman" w:hAnsi="Times New Roman"/>
          <w:sz w:val="24"/>
          <w:szCs w:val="24"/>
        </w:rPr>
        <w:t>ait</w:t>
      </w:r>
      <w:r w:rsidR="00BA3DC6" w:rsidRPr="006B309F">
        <w:rPr>
          <w:rFonts w:ascii="Times New Roman" w:hAnsi="Times New Roman"/>
          <w:sz w:val="24"/>
          <w:szCs w:val="24"/>
        </w:rPr>
        <w:t xml:space="preserve"> </w:t>
      </w:r>
      <w:r w:rsidR="00E11BEB" w:rsidRPr="006B309F">
        <w:rPr>
          <w:rFonts w:ascii="Times New Roman" w:hAnsi="Times New Roman"/>
          <w:sz w:val="24"/>
          <w:szCs w:val="24"/>
        </w:rPr>
        <w:t xml:space="preserve">sept </w:t>
      </w:r>
      <w:r w:rsidR="00BA3DC6" w:rsidRPr="006B309F">
        <w:rPr>
          <w:rFonts w:ascii="Times New Roman" w:hAnsi="Times New Roman"/>
          <w:sz w:val="24"/>
          <w:szCs w:val="24"/>
        </w:rPr>
        <w:t>Résultats attendus auxquels l</w:t>
      </w:r>
      <w:r w:rsidR="00060697" w:rsidRPr="006B309F">
        <w:rPr>
          <w:rFonts w:ascii="Times New Roman" w:hAnsi="Times New Roman"/>
          <w:sz w:val="24"/>
          <w:szCs w:val="24"/>
        </w:rPr>
        <w:t>e</w:t>
      </w:r>
      <w:r w:rsidR="00E11BEB" w:rsidRPr="006B309F">
        <w:rPr>
          <w:rFonts w:ascii="Times New Roman" w:hAnsi="Times New Roman"/>
          <w:sz w:val="24"/>
          <w:szCs w:val="24"/>
        </w:rPr>
        <w:t>s axes du</w:t>
      </w:r>
      <w:r w:rsidR="009C493D">
        <w:rPr>
          <w:rFonts w:ascii="Times New Roman" w:hAnsi="Times New Roman"/>
          <w:sz w:val="24"/>
          <w:szCs w:val="24"/>
        </w:rPr>
        <w:t xml:space="preserve"> </w:t>
      </w:r>
      <w:r w:rsidR="00060697" w:rsidRPr="006B309F">
        <w:rPr>
          <w:rFonts w:ascii="Times New Roman" w:hAnsi="Times New Roman"/>
          <w:sz w:val="24"/>
          <w:szCs w:val="24"/>
        </w:rPr>
        <w:t>CPD</w:t>
      </w:r>
      <w:r w:rsidR="00BA3DC6" w:rsidRPr="006B309F">
        <w:rPr>
          <w:rFonts w:ascii="Times New Roman" w:hAnsi="Times New Roman"/>
          <w:sz w:val="24"/>
          <w:szCs w:val="24"/>
        </w:rPr>
        <w:t xml:space="preserve"> </w:t>
      </w:r>
      <w:r w:rsidR="00E11BEB" w:rsidRPr="006B309F">
        <w:rPr>
          <w:rFonts w:ascii="Times New Roman" w:hAnsi="Times New Roman"/>
          <w:sz w:val="24"/>
          <w:szCs w:val="24"/>
        </w:rPr>
        <w:t>concour</w:t>
      </w:r>
      <w:r w:rsidR="00502041">
        <w:rPr>
          <w:rFonts w:ascii="Times New Roman" w:hAnsi="Times New Roman"/>
          <w:sz w:val="24"/>
          <w:szCs w:val="24"/>
        </w:rPr>
        <w:t>ai</w:t>
      </w:r>
      <w:r w:rsidR="00E11BEB" w:rsidRPr="006B309F">
        <w:rPr>
          <w:rFonts w:ascii="Times New Roman" w:hAnsi="Times New Roman"/>
          <w:sz w:val="24"/>
          <w:szCs w:val="24"/>
        </w:rPr>
        <w:t xml:space="preserve">ent solidairement, avec des possibilités d’impact plus ou moins marquées selon les </w:t>
      </w:r>
      <w:r w:rsidR="00E11BEB" w:rsidRPr="006B309F">
        <w:rPr>
          <w:rFonts w:ascii="Times New Roman" w:hAnsi="Times New Roman"/>
          <w:sz w:val="24"/>
          <w:szCs w:val="24"/>
        </w:rPr>
        <w:lastRenderedPageBreak/>
        <w:t>résultat</w:t>
      </w:r>
      <w:r w:rsidR="00502041">
        <w:rPr>
          <w:rFonts w:ascii="Times New Roman" w:hAnsi="Times New Roman"/>
          <w:sz w:val="24"/>
          <w:szCs w:val="24"/>
        </w:rPr>
        <w:t>s considérés.</w:t>
      </w:r>
      <w:r w:rsidR="00ED7FB6" w:rsidRPr="006B309F">
        <w:rPr>
          <w:rFonts w:ascii="Times New Roman" w:hAnsi="Times New Roman"/>
          <w:sz w:val="24"/>
          <w:szCs w:val="24"/>
        </w:rPr>
        <w:t xml:space="preserve"> </w:t>
      </w:r>
      <w:r w:rsidR="009C493D">
        <w:rPr>
          <w:rFonts w:ascii="Times New Roman" w:hAnsi="Times New Roman"/>
          <w:sz w:val="24"/>
          <w:szCs w:val="24"/>
        </w:rPr>
        <w:t>Quant à l’UNDAF</w:t>
      </w:r>
      <w:r w:rsidR="00517167">
        <w:rPr>
          <w:rFonts w:ascii="Times New Roman" w:hAnsi="Times New Roman"/>
          <w:sz w:val="24"/>
          <w:szCs w:val="24"/>
        </w:rPr>
        <w:t>+</w:t>
      </w:r>
      <w:r w:rsidR="00BA3DC6" w:rsidRPr="006B309F">
        <w:rPr>
          <w:rFonts w:ascii="Times New Roman" w:hAnsi="Times New Roman"/>
          <w:sz w:val="24"/>
          <w:szCs w:val="24"/>
        </w:rPr>
        <w:t xml:space="preserve"> 201</w:t>
      </w:r>
      <w:r w:rsidR="00517167">
        <w:rPr>
          <w:rFonts w:ascii="Times New Roman" w:hAnsi="Times New Roman"/>
          <w:sz w:val="24"/>
          <w:szCs w:val="24"/>
        </w:rPr>
        <w:t>5</w:t>
      </w:r>
      <w:r w:rsidR="00BA3DC6" w:rsidRPr="006B309F">
        <w:rPr>
          <w:rFonts w:ascii="Times New Roman" w:hAnsi="Times New Roman"/>
          <w:sz w:val="24"/>
          <w:szCs w:val="24"/>
        </w:rPr>
        <w:t>-201</w:t>
      </w:r>
      <w:r w:rsidR="00517167">
        <w:rPr>
          <w:rFonts w:ascii="Times New Roman" w:hAnsi="Times New Roman"/>
          <w:sz w:val="24"/>
          <w:szCs w:val="24"/>
        </w:rPr>
        <w:t>9</w:t>
      </w:r>
      <w:r w:rsidR="00BA3DC6" w:rsidRPr="006B309F">
        <w:rPr>
          <w:rFonts w:ascii="Times New Roman" w:hAnsi="Times New Roman"/>
          <w:sz w:val="24"/>
          <w:szCs w:val="24"/>
        </w:rPr>
        <w:t xml:space="preserve">, </w:t>
      </w:r>
      <w:r w:rsidR="00517167">
        <w:rPr>
          <w:rFonts w:ascii="Times New Roman" w:hAnsi="Times New Roman"/>
          <w:sz w:val="24"/>
          <w:szCs w:val="24"/>
        </w:rPr>
        <w:t>le programme y puise directement ses quatre Résultats stratégiques</w:t>
      </w:r>
      <w:r w:rsidR="00060697" w:rsidRPr="006B309F">
        <w:rPr>
          <w:rFonts w:ascii="Times New Roman" w:hAnsi="Times New Roman"/>
          <w:sz w:val="24"/>
          <w:szCs w:val="24"/>
        </w:rPr>
        <w:t>.</w:t>
      </w:r>
    </w:p>
    <w:p w14:paraId="7EE1D6CA" w14:textId="77777777" w:rsidR="00BA3DC6" w:rsidRPr="006B309F" w:rsidRDefault="00BA3DC6" w:rsidP="00B96F0F">
      <w:pPr>
        <w:spacing w:after="0" w:line="240" w:lineRule="auto"/>
        <w:jc w:val="both"/>
        <w:rPr>
          <w:rFonts w:ascii="Times New Roman" w:hAnsi="Times New Roman"/>
          <w:sz w:val="24"/>
          <w:szCs w:val="24"/>
        </w:rPr>
      </w:pPr>
    </w:p>
    <w:p w14:paraId="38F9FF9D" w14:textId="77777777" w:rsidR="00BA3DC6" w:rsidRPr="006B309F" w:rsidRDefault="00BA3DC6" w:rsidP="00B026AE">
      <w:pPr>
        <w:pStyle w:val="Paragraphedeliste"/>
        <w:numPr>
          <w:ilvl w:val="2"/>
          <w:numId w:val="4"/>
        </w:numPr>
        <w:spacing w:after="0" w:line="240" w:lineRule="auto"/>
        <w:jc w:val="both"/>
        <w:rPr>
          <w:rFonts w:ascii="Times New Roman" w:hAnsi="Times New Roman"/>
          <w:b/>
          <w:sz w:val="24"/>
          <w:szCs w:val="24"/>
        </w:rPr>
      </w:pPr>
      <w:bookmarkStart w:id="99" w:name="_Toc499211603"/>
      <w:bookmarkStart w:id="100" w:name="_Toc499213876"/>
      <w:r w:rsidRPr="006B309F">
        <w:rPr>
          <w:rStyle w:val="Titre3Car"/>
          <w:rFonts w:ascii="Times New Roman" w:eastAsia="Calibri" w:hAnsi="Times New Roman"/>
          <w:color w:val="auto"/>
          <w:sz w:val="24"/>
          <w:szCs w:val="24"/>
        </w:rPr>
        <w:t>Pertinence opérationnelle : qualité des approches et contenus spécifiques mis en</w:t>
      </w:r>
      <w:bookmarkEnd w:id="99"/>
      <w:bookmarkEnd w:id="100"/>
      <w:r w:rsidRPr="006B309F">
        <w:rPr>
          <w:rFonts w:ascii="Times New Roman" w:hAnsi="Times New Roman"/>
          <w:b/>
          <w:sz w:val="24"/>
          <w:szCs w:val="24"/>
        </w:rPr>
        <w:t xml:space="preserve"> œuvre </w:t>
      </w:r>
    </w:p>
    <w:p w14:paraId="69D00A2A" w14:textId="77777777" w:rsidR="00BA3DC6" w:rsidRPr="006B309F" w:rsidRDefault="00BA3DC6" w:rsidP="00B96F0F">
      <w:pPr>
        <w:spacing w:after="0" w:line="240" w:lineRule="auto"/>
        <w:jc w:val="both"/>
        <w:rPr>
          <w:rFonts w:ascii="Times New Roman" w:hAnsi="Times New Roman"/>
          <w:sz w:val="24"/>
          <w:szCs w:val="24"/>
        </w:rPr>
      </w:pPr>
    </w:p>
    <w:p w14:paraId="6D22EF2E" w14:textId="77777777" w:rsidR="00A05C34" w:rsidRDefault="00795741" w:rsidP="00B96F0F">
      <w:pPr>
        <w:spacing w:after="0" w:line="240" w:lineRule="auto"/>
        <w:jc w:val="both"/>
        <w:rPr>
          <w:rFonts w:ascii="Times New Roman" w:hAnsi="Times New Roman"/>
          <w:sz w:val="24"/>
          <w:szCs w:val="24"/>
        </w:rPr>
      </w:pPr>
      <w:r w:rsidRPr="006B309F">
        <w:rPr>
          <w:rFonts w:ascii="Times New Roman" w:hAnsi="Times New Roman"/>
          <w:sz w:val="24"/>
          <w:szCs w:val="24"/>
        </w:rPr>
        <w:t>3</w:t>
      </w:r>
      <w:r w:rsidR="000B5082">
        <w:rPr>
          <w:rFonts w:ascii="Times New Roman" w:hAnsi="Times New Roman"/>
          <w:sz w:val="24"/>
          <w:szCs w:val="24"/>
        </w:rPr>
        <w:t>4</w:t>
      </w:r>
      <w:r w:rsidR="00C9419B" w:rsidRPr="006B309F">
        <w:rPr>
          <w:rFonts w:ascii="Times New Roman" w:hAnsi="Times New Roman"/>
          <w:sz w:val="24"/>
          <w:szCs w:val="24"/>
        </w:rPr>
        <w:t>.</w:t>
      </w:r>
      <w:r w:rsidR="00BA3DC6" w:rsidRPr="006B309F">
        <w:rPr>
          <w:rFonts w:ascii="Times New Roman" w:hAnsi="Times New Roman"/>
          <w:sz w:val="24"/>
          <w:szCs w:val="24"/>
        </w:rPr>
        <w:tab/>
        <w:t xml:space="preserve">Le programme étant parfaitement aligné sur ses différents référentiels de droit (instruments nationaux et internationaux de programmation et de cadrage du développement du pays), la question de la pertinence des approches et des contenus spécifiques qu’il recouvre dans sa mise en œuvre </w:t>
      </w:r>
      <w:r w:rsidR="00517167">
        <w:rPr>
          <w:rFonts w:ascii="Times New Roman" w:hAnsi="Times New Roman"/>
          <w:sz w:val="24"/>
          <w:szCs w:val="24"/>
        </w:rPr>
        <w:t xml:space="preserve">n’en </w:t>
      </w:r>
      <w:r w:rsidR="00BA3DC6" w:rsidRPr="006B309F">
        <w:rPr>
          <w:rFonts w:ascii="Times New Roman" w:hAnsi="Times New Roman"/>
          <w:sz w:val="24"/>
          <w:szCs w:val="24"/>
        </w:rPr>
        <w:t xml:space="preserve">reste </w:t>
      </w:r>
      <w:r w:rsidR="00517167">
        <w:rPr>
          <w:rFonts w:ascii="Times New Roman" w:hAnsi="Times New Roman"/>
          <w:sz w:val="24"/>
          <w:szCs w:val="24"/>
        </w:rPr>
        <w:t>moins digne d’intérêt</w:t>
      </w:r>
      <w:r w:rsidR="00BA3DC6" w:rsidRPr="006B309F">
        <w:rPr>
          <w:rFonts w:ascii="Times New Roman" w:hAnsi="Times New Roman"/>
          <w:sz w:val="24"/>
          <w:szCs w:val="24"/>
        </w:rPr>
        <w:t>. Des entretiens</w:t>
      </w:r>
      <w:r w:rsidR="004F7E75" w:rsidRPr="006B309F">
        <w:rPr>
          <w:rFonts w:ascii="Times New Roman" w:hAnsi="Times New Roman"/>
          <w:sz w:val="24"/>
          <w:szCs w:val="24"/>
        </w:rPr>
        <w:t xml:space="preserve"> réalisés sur le terrain, avec </w:t>
      </w:r>
      <w:r w:rsidR="00BA3DC6" w:rsidRPr="006B309F">
        <w:rPr>
          <w:rFonts w:ascii="Times New Roman" w:hAnsi="Times New Roman"/>
          <w:sz w:val="24"/>
          <w:szCs w:val="24"/>
        </w:rPr>
        <w:t>différentes catégories d’acteurs, il ressort globalement que le programme</w:t>
      </w:r>
      <w:r w:rsidR="00206ACF" w:rsidRPr="006B309F">
        <w:rPr>
          <w:rFonts w:ascii="Times New Roman" w:hAnsi="Times New Roman"/>
          <w:sz w:val="24"/>
          <w:szCs w:val="24"/>
        </w:rPr>
        <w:t xml:space="preserve"> </w:t>
      </w:r>
      <w:r w:rsidR="00BA3DC6" w:rsidRPr="006B309F">
        <w:rPr>
          <w:rFonts w:ascii="Times New Roman" w:hAnsi="Times New Roman"/>
          <w:sz w:val="24"/>
          <w:szCs w:val="24"/>
        </w:rPr>
        <w:t>s’efforce d’apporte</w:t>
      </w:r>
      <w:r w:rsidR="00006904" w:rsidRPr="006B309F">
        <w:rPr>
          <w:rFonts w:ascii="Times New Roman" w:hAnsi="Times New Roman"/>
          <w:sz w:val="24"/>
          <w:szCs w:val="24"/>
        </w:rPr>
        <w:t>r</w:t>
      </w:r>
      <w:r w:rsidR="00BA3DC6" w:rsidRPr="006B309F">
        <w:rPr>
          <w:rFonts w:ascii="Times New Roman" w:hAnsi="Times New Roman"/>
          <w:sz w:val="24"/>
          <w:szCs w:val="24"/>
        </w:rPr>
        <w:t xml:space="preserve"> des réponses à des problèmes vécus par les bénéficiaires, institutionnels et personnes physiques. </w:t>
      </w:r>
      <w:r w:rsidR="00206ACF" w:rsidRPr="006B309F">
        <w:rPr>
          <w:rFonts w:ascii="Times New Roman" w:hAnsi="Times New Roman"/>
          <w:sz w:val="24"/>
          <w:szCs w:val="24"/>
        </w:rPr>
        <w:t>Dans le domaine de la gouvernance, le programme apport</w:t>
      </w:r>
      <w:r w:rsidR="00517167">
        <w:rPr>
          <w:rFonts w:ascii="Times New Roman" w:hAnsi="Times New Roman"/>
          <w:sz w:val="24"/>
          <w:szCs w:val="24"/>
        </w:rPr>
        <w:t>e</w:t>
      </w:r>
      <w:r w:rsidR="00206ACF" w:rsidRPr="006B309F">
        <w:rPr>
          <w:rFonts w:ascii="Times New Roman" w:hAnsi="Times New Roman"/>
          <w:sz w:val="24"/>
          <w:szCs w:val="24"/>
        </w:rPr>
        <w:t xml:space="preserve"> au pays un appui décisif en l’aidant à </w:t>
      </w:r>
      <w:r w:rsidR="00517167">
        <w:rPr>
          <w:rFonts w:ascii="Times New Roman" w:hAnsi="Times New Roman"/>
          <w:sz w:val="24"/>
          <w:szCs w:val="24"/>
        </w:rPr>
        <w:t xml:space="preserve">restaurer les capacités et la présence </w:t>
      </w:r>
      <w:r w:rsidR="00517167" w:rsidRPr="00EA74DA">
        <w:rPr>
          <w:rFonts w:ascii="Times New Roman" w:hAnsi="Times New Roman"/>
          <w:sz w:val="24"/>
          <w:szCs w:val="24"/>
        </w:rPr>
        <w:t>sur le territoire national d’institutions nationales fragilisées par la crise</w:t>
      </w:r>
      <w:r w:rsidR="00206ACF" w:rsidRPr="00EA74DA">
        <w:rPr>
          <w:rFonts w:ascii="Times New Roman" w:hAnsi="Times New Roman"/>
          <w:sz w:val="24"/>
          <w:szCs w:val="24"/>
        </w:rPr>
        <w:t xml:space="preserve">. </w:t>
      </w:r>
      <w:r w:rsidR="00517167" w:rsidRPr="00EA74DA">
        <w:rPr>
          <w:rFonts w:ascii="Times New Roman" w:hAnsi="Times New Roman"/>
          <w:sz w:val="24"/>
          <w:szCs w:val="24"/>
        </w:rPr>
        <w:t>La même crise a fortement entamé les</w:t>
      </w:r>
      <w:r w:rsidR="00517167">
        <w:rPr>
          <w:rFonts w:ascii="Times New Roman" w:hAnsi="Times New Roman"/>
          <w:sz w:val="24"/>
          <w:szCs w:val="24"/>
        </w:rPr>
        <w:t xml:space="preserve"> capacités de résilience des populations surtout au Nord, rendant particulièrement opportunes les actions de développement inclusif durable que le programme promeut en leur faveur.</w:t>
      </w:r>
    </w:p>
    <w:p w14:paraId="703EB690" w14:textId="77777777" w:rsidR="00517167" w:rsidRPr="006B309F" w:rsidRDefault="00517167" w:rsidP="00B96F0F">
      <w:pPr>
        <w:spacing w:after="0" w:line="240" w:lineRule="auto"/>
        <w:jc w:val="both"/>
        <w:rPr>
          <w:rFonts w:ascii="Times New Roman" w:hAnsi="Times New Roman"/>
          <w:sz w:val="24"/>
          <w:szCs w:val="24"/>
        </w:rPr>
      </w:pPr>
    </w:p>
    <w:p w14:paraId="30EEA015" w14:textId="77777777" w:rsidR="00586CEA" w:rsidRDefault="00795741" w:rsidP="00B96F0F">
      <w:pPr>
        <w:spacing w:after="0" w:line="240" w:lineRule="auto"/>
        <w:jc w:val="both"/>
        <w:rPr>
          <w:rFonts w:ascii="Times New Roman" w:hAnsi="Times New Roman"/>
          <w:sz w:val="24"/>
          <w:szCs w:val="24"/>
        </w:rPr>
      </w:pPr>
      <w:r w:rsidRPr="006B309F">
        <w:rPr>
          <w:rFonts w:ascii="Times New Roman" w:hAnsi="Times New Roman"/>
          <w:sz w:val="24"/>
          <w:szCs w:val="24"/>
        </w:rPr>
        <w:t>3</w:t>
      </w:r>
      <w:r w:rsidR="000B5082">
        <w:rPr>
          <w:rFonts w:ascii="Times New Roman" w:hAnsi="Times New Roman"/>
          <w:sz w:val="24"/>
          <w:szCs w:val="24"/>
        </w:rPr>
        <w:t>5</w:t>
      </w:r>
      <w:r w:rsidRPr="006B309F">
        <w:rPr>
          <w:rFonts w:ascii="Times New Roman" w:hAnsi="Times New Roman"/>
          <w:sz w:val="24"/>
          <w:szCs w:val="24"/>
        </w:rPr>
        <w:t>.</w:t>
      </w:r>
      <w:r w:rsidR="00A05C34" w:rsidRPr="006B309F">
        <w:rPr>
          <w:rFonts w:ascii="Times New Roman" w:hAnsi="Times New Roman"/>
          <w:sz w:val="24"/>
          <w:szCs w:val="24"/>
        </w:rPr>
        <w:tab/>
        <w:t xml:space="preserve">La pertinence opérationnelle du programme ressort souffrir seulement de quelques points de </w:t>
      </w:r>
      <w:r w:rsidR="00BA3DC6" w:rsidRPr="006B309F">
        <w:rPr>
          <w:rFonts w:ascii="Times New Roman" w:hAnsi="Times New Roman"/>
          <w:sz w:val="24"/>
          <w:szCs w:val="24"/>
        </w:rPr>
        <w:t>restrictio</w:t>
      </w:r>
      <w:r w:rsidR="00586CEA">
        <w:rPr>
          <w:rFonts w:ascii="Times New Roman" w:hAnsi="Times New Roman"/>
          <w:sz w:val="24"/>
          <w:szCs w:val="24"/>
        </w:rPr>
        <w:t>n, notamment l’approche projet parcellaire mise e avant dans certains segments du portefeuille. Dans la composante Environnement et Développement inclusif durable, par exemple, le programme met en œuvre, avec le même partenaire national, l’AEDD, pas moins de 7 projets spécifiques qui poursuivent pourtant les mêmes objectifs stratégiques.</w:t>
      </w:r>
    </w:p>
    <w:p w14:paraId="4D802383" w14:textId="77777777" w:rsidR="009C639F" w:rsidRPr="006B309F" w:rsidRDefault="00586CEA" w:rsidP="00B96F0F">
      <w:pPr>
        <w:spacing w:after="0" w:line="240" w:lineRule="auto"/>
        <w:jc w:val="both"/>
        <w:rPr>
          <w:rFonts w:ascii="Times New Roman" w:hAnsi="Times New Roman"/>
          <w:sz w:val="24"/>
          <w:szCs w:val="24"/>
        </w:rPr>
      </w:pPr>
      <w:r w:rsidRPr="006B309F">
        <w:rPr>
          <w:rFonts w:ascii="Times New Roman" w:hAnsi="Times New Roman"/>
          <w:sz w:val="24"/>
          <w:szCs w:val="24"/>
        </w:rPr>
        <w:t xml:space="preserve"> </w:t>
      </w:r>
    </w:p>
    <w:p w14:paraId="47DF4948" w14:textId="77777777" w:rsidR="00BA3DC6" w:rsidRPr="006B309F" w:rsidRDefault="00BA3DC6" w:rsidP="00B026AE">
      <w:pPr>
        <w:pStyle w:val="Titre3"/>
        <w:numPr>
          <w:ilvl w:val="2"/>
          <w:numId w:val="4"/>
        </w:numPr>
        <w:spacing w:before="0" w:line="240" w:lineRule="auto"/>
        <w:rPr>
          <w:rFonts w:ascii="Times New Roman" w:hAnsi="Times New Roman"/>
          <w:color w:val="auto"/>
          <w:sz w:val="24"/>
          <w:szCs w:val="24"/>
        </w:rPr>
      </w:pPr>
      <w:bookmarkStart w:id="101" w:name="_Toc499211604"/>
      <w:bookmarkStart w:id="102" w:name="_Toc499213877"/>
      <w:r w:rsidRPr="006B309F">
        <w:rPr>
          <w:rFonts w:ascii="Times New Roman" w:hAnsi="Times New Roman"/>
          <w:color w:val="auto"/>
          <w:sz w:val="24"/>
          <w:szCs w:val="24"/>
          <w:lang w:eastAsia="fr-FR"/>
        </w:rPr>
        <w:t>Pertinence logique : qualité du cadre de résultats et des ressources</w:t>
      </w:r>
      <w:bookmarkEnd w:id="101"/>
      <w:bookmarkEnd w:id="102"/>
    </w:p>
    <w:p w14:paraId="5C0B3030" w14:textId="77777777" w:rsidR="00BA3DC6" w:rsidRPr="006B309F" w:rsidRDefault="00BA3DC6" w:rsidP="00B96F0F">
      <w:pPr>
        <w:spacing w:after="0" w:line="240" w:lineRule="auto"/>
        <w:jc w:val="both"/>
        <w:rPr>
          <w:rFonts w:ascii="Times New Roman" w:hAnsi="Times New Roman"/>
          <w:sz w:val="24"/>
          <w:szCs w:val="24"/>
        </w:rPr>
      </w:pPr>
    </w:p>
    <w:p w14:paraId="344483E5" w14:textId="77777777" w:rsidR="00E35C82" w:rsidRDefault="00454255" w:rsidP="00B96F0F">
      <w:pPr>
        <w:spacing w:after="0" w:line="240" w:lineRule="auto"/>
        <w:jc w:val="both"/>
        <w:rPr>
          <w:rFonts w:ascii="Times New Roman" w:hAnsi="Times New Roman"/>
          <w:sz w:val="24"/>
          <w:szCs w:val="24"/>
        </w:rPr>
      </w:pPr>
      <w:r>
        <w:rPr>
          <w:rFonts w:ascii="Times New Roman" w:hAnsi="Times New Roman"/>
          <w:sz w:val="24"/>
          <w:szCs w:val="24"/>
        </w:rPr>
        <w:t>3</w:t>
      </w:r>
      <w:r w:rsidR="000B5082">
        <w:rPr>
          <w:rFonts w:ascii="Times New Roman" w:hAnsi="Times New Roman"/>
          <w:sz w:val="24"/>
          <w:szCs w:val="24"/>
        </w:rPr>
        <w:t>6</w:t>
      </w:r>
      <w:r w:rsidR="00BA3DC6" w:rsidRPr="006B309F">
        <w:rPr>
          <w:rFonts w:ascii="Times New Roman" w:hAnsi="Times New Roman"/>
          <w:sz w:val="24"/>
          <w:szCs w:val="24"/>
        </w:rPr>
        <w:t>.</w:t>
      </w:r>
      <w:r w:rsidR="00BA3DC6" w:rsidRPr="006B309F">
        <w:rPr>
          <w:rFonts w:ascii="Times New Roman" w:hAnsi="Times New Roman"/>
          <w:sz w:val="24"/>
          <w:szCs w:val="24"/>
        </w:rPr>
        <w:tab/>
      </w:r>
      <w:r w:rsidR="009C517E" w:rsidRPr="006B309F">
        <w:rPr>
          <w:rFonts w:ascii="Times New Roman" w:hAnsi="Times New Roman"/>
          <w:sz w:val="24"/>
          <w:szCs w:val="24"/>
        </w:rPr>
        <w:t xml:space="preserve">Le </w:t>
      </w:r>
      <w:r w:rsidR="00586CEA">
        <w:rPr>
          <w:rFonts w:ascii="Times New Roman" w:hAnsi="Times New Roman"/>
          <w:sz w:val="24"/>
          <w:szCs w:val="24"/>
        </w:rPr>
        <w:t xml:space="preserve">programme </w:t>
      </w:r>
      <w:r w:rsidR="009C517E" w:rsidRPr="006B309F">
        <w:rPr>
          <w:rFonts w:ascii="Times New Roman" w:hAnsi="Times New Roman"/>
          <w:sz w:val="24"/>
          <w:szCs w:val="24"/>
        </w:rPr>
        <w:t xml:space="preserve">est doté d’une matrice valant cadre de mise en adéquation </w:t>
      </w:r>
      <w:r w:rsidR="009F73AA" w:rsidRPr="006B309F">
        <w:rPr>
          <w:rFonts w:ascii="Times New Roman" w:hAnsi="Times New Roman"/>
          <w:sz w:val="24"/>
          <w:szCs w:val="24"/>
        </w:rPr>
        <w:t>des résultats et des ressources</w:t>
      </w:r>
      <w:r w:rsidR="009C517E" w:rsidRPr="006B309F">
        <w:rPr>
          <w:rFonts w:ascii="Times New Roman" w:hAnsi="Times New Roman"/>
          <w:sz w:val="24"/>
          <w:szCs w:val="24"/>
        </w:rPr>
        <w:t xml:space="preserve">. </w:t>
      </w:r>
      <w:r w:rsidR="00586CEA">
        <w:rPr>
          <w:rFonts w:ascii="Times New Roman" w:hAnsi="Times New Roman"/>
          <w:sz w:val="24"/>
          <w:szCs w:val="24"/>
        </w:rPr>
        <w:t>Quatre (04) Résultats et On</w:t>
      </w:r>
      <w:r w:rsidR="009C493D">
        <w:rPr>
          <w:rFonts w:ascii="Times New Roman" w:hAnsi="Times New Roman"/>
          <w:sz w:val="24"/>
          <w:szCs w:val="24"/>
        </w:rPr>
        <w:t>z</w:t>
      </w:r>
      <w:r w:rsidR="00586CEA">
        <w:rPr>
          <w:rFonts w:ascii="Times New Roman" w:hAnsi="Times New Roman"/>
          <w:sz w:val="24"/>
          <w:szCs w:val="24"/>
        </w:rPr>
        <w:t>e (produits), assortis d’indicateurs de mesure, eux-mêmes analysés en valeurs de référence et cibles à atteindre, décrivent les apports de substance que le programme se propose de faire à l’environnement.</w:t>
      </w:r>
      <w:r w:rsidR="00E35C82">
        <w:rPr>
          <w:rFonts w:ascii="Times New Roman" w:hAnsi="Times New Roman"/>
          <w:sz w:val="24"/>
          <w:szCs w:val="24"/>
        </w:rPr>
        <w:t xml:space="preserve"> Les tableaux ci-dessous analyse</w:t>
      </w:r>
      <w:r w:rsidR="00E35932">
        <w:rPr>
          <w:rFonts w:ascii="Times New Roman" w:hAnsi="Times New Roman"/>
          <w:sz w:val="24"/>
          <w:szCs w:val="24"/>
        </w:rPr>
        <w:t>nt</w:t>
      </w:r>
      <w:r w:rsidR="00E35C82">
        <w:rPr>
          <w:rFonts w:ascii="Times New Roman" w:hAnsi="Times New Roman"/>
          <w:sz w:val="24"/>
          <w:szCs w:val="24"/>
        </w:rPr>
        <w:t xml:space="preserve"> la qualité technique de ces instruments de programmation.</w:t>
      </w:r>
    </w:p>
    <w:p w14:paraId="4384B598" w14:textId="77777777" w:rsidR="005E0CC4" w:rsidRDefault="005E0CC4" w:rsidP="005E0CC4">
      <w:pPr>
        <w:pStyle w:val="Titre1"/>
        <w:spacing w:before="0" w:line="240" w:lineRule="auto"/>
        <w:rPr>
          <w:rFonts w:ascii="Times New Roman" w:hAnsi="Times New Roman"/>
          <w:color w:val="auto"/>
          <w:sz w:val="24"/>
          <w:szCs w:val="24"/>
        </w:rPr>
      </w:pPr>
    </w:p>
    <w:p w14:paraId="5537540C" w14:textId="77777777" w:rsidR="005E0CC4" w:rsidRPr="000442E1" w:rsidRDefault="005E0CC4" w:rsidP="005E0CC4">
      <w:pPr>
        <w:pStyle w:val="Titre1"/>
        <w:spacing w:before="0" w:line="240" w:lineRule="auto"/>
        <w:rPr>
          <w:rFonts w:ascii="Times New Roman" w:hAnsi="Times New Roman"/>
          <w:color w:val="auto"/>
          <w:sz w:val="24"/>
          <w:szCs w:val="24"/>
        </w:rPr>
      </w:pPr>
      <w:bookmarkStart w:id="103" w:name="_Toc499211605"/>
      <w:bookmarkStart w:id="104" w:name="_Toc499213878"/>
      <w:r w:rsidRPr="000442E1">
        <w:rPr>
          <w:rFonts w:ascii="Times New Roman" w:hAnsi="Times New Roman"/>
          <w:color w:val="auto"/>
          <w:sz w:val="24"/>
          <w:szCs w:val="24"/>
        </w:rPr>
        <w:t xml:space="preserve">Tableau </w:t>
      </w:r>
      <w:r>
        <w:rPr>
          <w:rFonts w:ascii="Times New Roman" w:hAnsi="Times New Roman"/>
          <w:color w:val="auto"/>
          <w:sz w:val="24"/>
          <w:szCs w:val="24"/>
        </w:rPr>
        <w:t>4</w:t>
      </w:r>
      <w:r w:rsidRPr="000442E1">
        <w:rPr>
          <w:rFonts w:ascii="Times New Roman" w:hAnsi="Times New Roman"/>
          <w:color w:val="auto"/>
          <w:sz w:val="24"/>
          <w:szCs w:val="24"/>
        </w:rPr>
        <w:t xml:space="preserve"> : </w:t>
      </w:r>
      <w:r>
        <w:rPr>
          <w:rFonts w:ascii="Times New Roman" w:hAnsi="Times New Roman"/>
          <w:color w:val="auto"/>
          <w:sz w:val="24"/>
          <w:szCs w:val="24"/>
        </w:rPr>
        <w:t>Robustesse logique des résultats</w:t>
      </w:r>
      <w:bookmarkEnd w:id="103"/>
      <w:bookmarkEnd w:id="104"/>
    </w:p>
    <w:p w14:paraId="46A0234E" w14:textId="77777777" w:rsidR="00E35C82" w:rsidRPr="006B309F" w:rsidRDefault="00E35C82" w:rsidP="00E35C82">
      <w:pPr>
        <w:spacing w:after="0" w:line="240" w:lineRule="auto"/>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827"/>
        <w:gridCol w:w="2126"/>
        <w:gridCol w:w="1985"/>
      </w:tblGrid>
      <w:tr w:rsidR="00E35C82" w:rsidRPr="006B309F" w14:paraId="627C47F9" w14:textId="77777777" w:rsidTr="007E5253">
        <w:trPr>
          <w:tblHeader/>
        </w:trPr>
        <w:tc>
          <w:tcPr>
            <w:tcW w:w="10632" w:type="dxa"/>
            <w:gridSpan w:val="4"/>
            <w:shd w:val="clear" w:color="auto" w:fill="F2F2F2" w:themeFill="background1" w:themeFillShade="F2"/>
            <w:vAlign w:val="center"/>
          </w:tcPr>
          <w:p w14:paraId="0877441A" w14:textId="77777777" w:rsidR="00E35C82" w:rsidRPr="006B309F" w:rsidRDefault="00E35C82" w:rsidP="00E35C82">
            <w:pPr>
              <w:spacing w:after="0" w:line="240" w:lineRule="auto"/>
              <w:jc w:val="center"/>
              <w:rPr>
                <w:rFonts w:ascii="Times New Roman" w:hAnsi="Times New Roman"/>
                <w:sz w:val="20"/>
                <w:szCs w:val="20"/>
              </w:rPr>
            </w:pPr>
            <w:r w:rsidRPr="006B309F">
              <w:rPr>
                <w:rFonts w:ascii="Times New Roman" w:hAnsi="Times New Roman"/>
                <w:sz w:val="20"/>
                <w:szCs w:val="20"/>
              </w:rPr>
              <w:t xml:space="preserve">Analyse de la robustesse logique des </w:t>
            </w:r>
            <w:r>
              <w:rPr>
                <w:rFonts w:ascii="Times New Roman" w:hAnsi="Times New Roman"/>
                <w:sz w:val="20"/>
                <w:szCs w:val="20"/>
              </w:rPr>
              <w:t>Résultats</w:t>
            </w:r>
            <w:r w:rsidRPr="006B309F">
              <w:rPr>
                <w:rFonts w:ascii="Times New Roman" w:hAnsi="Times New Roman"/>
                <w:sz w:val="20"/>
                <w:szCs w:val="20"/>
              </w:rPr>
              <w:t xml:space="preserve"> </w:t>
            </w:r>
          </w:p>
        </w:tc>
      </w:tr>
      <w:tr w:rsidR="00E35C82" w:rsidRPr="006B309F" w14:paraId="7B8A6ED3" w14:textId="77777777" w:rsidTr="007E5253">
        <w:trPr>
          <w:tblHeader/>
        </w:trPr>
        <w:tc>
          <w:tcPr>
            <w:tcW w:w="6521" w:type="dxa"/>
            <w:gridSpan w:val="2"/>
            <w:vMerge w:val="restart"/>
            <w:shd w:val="clear" w:color="auto" w:fill="F2F2F2" w:themeFill="background1" w:themeFillShade="F2"/>
            <w:vAlign w:val="center"/>
          </w:tcPr>
          <w:p w14:paraId="54E213F1" w14:textId="77777777" w:rsidR="00E35C82" w:rsidRPr="006B309F" w:rsidRDefault="00E35C82" w:rsidP="00E35C82">
            <w:pPr>
              <w:spacing w:after="0" w:line="240" w:lineRule="auto"/>
              <w:jc w:val="center"/>
              <w:rPr>
                <w:rFonts w:ascii="Times New Roman" w:hAnsi="Times New Roman"/>
                <w:sz w:val="20"/>
                <w:szCs w:val="20"/>
              </w:rPr>
            </w:pPr>
            <w:r>
              <w:rPr>
                <w:rFonts w:ascii="Times New Roman" w:hAnsi="Times New Roman"/>
                <w:sz w:val="20"/>
                <w:szCs w:val="20"/>
              </w:rPr>
              <w:t>Résultats</w:t>
            </w:r>
            <w:r w:rsidR="007E5253">
              <w:rPr>
                <w:rFonts w:ascii="Times New Roman" w:hAnsi="Times New Roman"/>
                <w:sz w:val="20"/>
                <w:szCs w:val="20"/>
              </w:rPr>
              <w:t>/Indicateurs de résultats</w:t>
            </w:r>
          </w:p>
        </w:tc>
        <w:tc>
          <w:tcPr>
            <w:tcW w:w="4111" w:type="dxa"/>
            <w:gridSpan w:val="2"/>
            <w:shd w:val="clear" w:color="auto" w:fill="F2F2F2" w:themeFill="background1" w:themeFillShade="F2"/>
            <w:vAlign w:val="center"/>
          </w:tcPr>
          <w:p w14:paraId="0023E164" w14:textId="77777777" w:rsidR="00E35C82" w:rsidRPr="006B309F" w:rsidRDefault="00E35C82" w:rsidP="00110195">
            <w:pPr>
              <w:spacing w:after="0" w:line="240" w:lineRule="auto"/>
              <w:jc w:val="center"/>
              <w:rPr>
                <w:rFonts w:ascii="Times New Roman" w:hAnsi="Times New Roman"/>
                <w:sz w:val="20"/>
                <w:szCs w:val="20"/>
              </w:rPr>
            </w:pPr>
            <w:r w:rsidRPr="006B309F">
              <w:rPr>
                <w:rFonts w:ascii="Times New Roman" w:hAnsi="Times New Roman"/>
                <w:sz w:val="20"/>
                <w:szCs w:val="20"/>
              </w:rPr>
              <w:t>Evaluation Cadre de mesure du Résultat</w:t>
            </w:r>
          </w:p>
        </w:tc>
      </w:tr>
      <w:tr w:rsidR="00237D59" w:rsidRPr="006B309F" w14:paraId="54EA90BD" w14:textId="77777777" w:rsidTr="007E5253">
        <w:trPr>
          <w:trHeight w:val="930"/>
          <w:tblHeader/>
        </w:trPr>
        <w:tc>
          <w:tcPr>
            <w:tcW w:w="6521" w:type="dxa"/>
            <w:gridSpan w:val="2"/>
            <w:vMerge/>
            <w:shd w:val="clear" w:color="auto" w:fill="F2F2F2" w:themeFill="background1" w:themeFillShade="F2"/>
            <w:vAlign w:val="center"/>
          </w:tcPr>
          <w:p w14:paraId="08CA8905" w14:textId="77777777" w:rsidR="00237D59" w:rsidRPr="006B309F" w:rsidRDefault="00237D59" w:rsidP="00110195">
            <w:pPr>
              <w:spacing w:after="0" w:line="240" w:lineRule="auto"/>
              <w:rPr>
                <w:rFonts w:ascii="Times New Roman" w:hAnsi="Times New Roman"/>
                <w:sz w:val="20"/>
                <w:szCs w:val="20"/>
              </w:rPr>
            </w:pPr>
          </w:p>
        </w:tc>
        <w:tc>
          <w:tcPr>
            <w:tcW w:w="2126" w:type="dxa"/>
            <w:shd w:val="clear" w:color="auto" w:fill="F2F2F2" w:themeFill="background1" w:themeFillShade="F2"/>
            <w:vAlign w:val="center"/>
          </w:tcPr>
          <w:p w14:paraId="5CF74A20" w14:textId="77777777" w:rsidR="00237D59" w:rsidRPr="006B309F" w:rsidRDefault="007E5253" w:rsidP="00110195">
            <w:pPr>
              <w:spacing w:after="0" w:line="240" w:lineRule="auto"/>
              <w:jc w:val="center"/>
              <w:rPr>
                <w:rFonts w:ascii="Times New Roman" w:hAnsi="Times New Roman"/>
                <w:sz w:val="20"/>
                <w:szCs w:val="20"/>
              </w:rPr>
            </w:pPr>
            <w:r>
              <w:rPr>
                <w:rFonts w:ascii="Times New Roman" w:hAnsi="Times New Roman"/>
                <w:iCs/>
                <w:sz w:val="20"/>
                <w:szCs w:val="20"/>
              </w:rPr>
              <w:t>Indicateurs</w:t>
            </w:r>
          </w:p>
        </w:tc>
        <w:tc>
          <w:tcPr>
            <w:tcW w:w="1985" w:type="dxa"/>
            <w:shd w:val="clear" w:color="auto" w:fill="F2F2F2" w:themeFill="background1" w:themeFillShade="F2"/>
            <w:vAlign w:val="center"/>
          </w:tcPr>
          <w:p w14:paraId="15E38824" w14:textId="77777777" w:rsidR="00237D59" w:rsidRPr="006B309F" w:rsidRDefault="007E5253" w:rsidP="0007661E">
            <w:pPr>
              <w:spacing w:after="0" w:line="240" w:lineRule="auto"/>
              <w:rPr>
                <w:rFonts w:ascii="Times New Roman" w:hAnsi="Times New Roman"/>
                <w:sz w:val="20"/>
                <w:szCs w:val="20"/>
              </w:rPr>
            </w:pPr>
            <w:r>
              <w:rPr>
                <w:rFonts w:ascii="Times New Roman" w:hAnsi="Times New Roman"/>
                <w:sz w:val="20"/>
                <w:szCs w:val="20"/>
              </w:rPr>
              <w:t>Résultats</w:t>
            </w:r>
          </w:p>
        </w:tc>
      </w:tr>
      <w:tr w:rsidR="00237D59" w:rsidRPr="006B309F" w14:paraId="09127273" w14:textId="77777777" w:rsidTr="007E5253">
        <w:tc>
          <w:tcPr>
            <w:tcW w:w="2694" w:type="dxa"/>
            <w:vMerge w:val="restart"/>
            <w:shd w:val="clear" w:color="auto" w:fill="F2F2F2" w:themeFill="background1" w:themeFillShade="F2"/>
            <w:vAlign w:val="center"/>
          </w:tcPr>
          <w:p w14:paraId="45BF7D53" w14:textId="77777777" w:rsidR="00237D59" w:rsidRPr="006B309F" w:rsidRDefault="00237D59" w:rsidP="00E35C82">
            <w:pPr>
              <w:spacing w:after="0" w:line="240" w:lineRule="auto"/>
              <w:rPr>
                <w:rFonts w:ascii="Times New Roman" w:hAnsi="Times New Roman"/>
                <w:sz w:val="20"/>
                <w:szCs w:val="20"/>
              </w:rPr>
            </w:pPr>
            <w:r>
              <w:rPr>
                <w:rFonts w:ascii="Times New Roman" w:hAnsi="Times New Roman"/>
                <w:sz w:val="18"/>
                <w:szCs w:val="18"/>
              </w:rPr>
              <w:t>"</w:t>
            </w:r>
            <w:r w:rsidRPr="008B075F">
              <w:rPr>
                <w:rFonts w:ascii="Times New Roman" w:hAnsi="Times New Roman"/>
                <w:sz w:val="18"/>
                <w:szCs w:val="18"/>
              </w:rPr>
              <w:t>D’ici à 2019, la cohésion sociale est facilitée par la justice transitionnelle, le dialogue entre communautés, la culture et l’éducation à la paix</w:t>
            </w:r>
            <w:r>
              <w:rPr>
                <w:rFonts w:ascii="Times New Roman" w:hAnsi="Times New Roman"/>
                <w:sz w:val="18"/>
                <w:szCs w:val="18"/>
              </w:rPr>
              <w:t>."</w:t>
            </w:r>
          </w:p>
        </w:tc>
        <w:tc>
          <w:tcPr>
            <w:tcW w:w="3827" w:type="dxa"/>
            <w:shd w:val="clear" w:color="auto" w:fill="auto"/>
            <w:vAlign w:val="center"/>
          </w:tcPr>
          <w:p w14:paraId="5E37AABF" w14:textId="77777777" w:rsidR="00237D59" w:rsidRPr="008B075F" w:rsidRDefault="00237D59" w:rsidP="00E35C82">
            <w:pPr>
              <w:spacing w:after="0" w:line="240" w:lineRule="auto"/>
              <w:rPr>
                <w:rFonts w:ascii="Times New Roman" w:hAnsi="Times New Roman"/>
                <w:sz w:val="18"/>
                <w:szCs w:val="18"/>
              </w:rPr>
            </w:pPr>
            <w:r w:rsidRPr="008B075F">
              <w:rPr>
                <w:rFonts w:ascii="Times New Roman" w:hAnsi="Times New Roman"/>
                <w:sz w:val="18"/>
                <w:szCs w:val="18"/>
              </w:rPr>
              <w:t>Nombre de cas d’insécurité dans le nord (en rapport avec le conflit armé, le terrorisme, la criminalité et la guerre, par région)</w:t>
            </w:r>
          </w:p>
          <w:p w14:paraId="189E5A2D" w14:textId="77777777" w:rsidR="00237D59" w:rsidRPr="005A7E88" w:rsidRDefault="00237D59" w:rsidP="00D76EFA">
            <w:pPr>
              <w:pStyle w:val="Paragraphedeliste"/>
              <w:numPr>
                <w:ilvl w:val="0"/>
                <w:numId w:val="22"/>
              </w:numPr>
              <w:spacing w:after="0" w:line="240" w:lineRule="auto"/>
              <w:rPr>
                <w:rFonts w:ascii="Times New Roman" w:hAnsi="Times New Roman"/>
                <w:sz w:val="18"/>
                <w:szCs w:val="18"/>
              </w:rPr>
            </w:pPr>
            <w:r w:rsidRPr="005A7E88">
              <w:rPr>
                <w:rFonts w:ascii="Times New Roman" w:hAnsi="Times New Roman"/>
                <w:sz w:val="18"/>
                <w:szCs w:val="18"/>
              </w:rPr>
              <w:t>Réf : Conflit ouvert et actes terroristes (2013)</w:t>
            </w:r>
          </w:p>
          <w:p w14:paraId="0DF61C55" w14:textId="77777777" w:rsidR="00237D59" w:rsidRPr="005A7E88" w:rsidRDefault="00237D59" w:rsidP="00D76EFA">
            <w:pPr>
              <w:pStyle w:val="Paragraphedeliste"/>
              <w:numPr>
                <w:ilvl w:val="0"/>
                <w:numId w:val="22"/>
              </w:numPr>
              <w:spacing w:after="0" w:line="240" w:lineRule="auto"/>
              <w:rPr>
                <w:rFonts w:ascii="Times New Roman" w:hAnsi="Times New Roman"/>
                <w:sz w:val="18"/>
                <w:szCs w:val="18"/>
              </w:rPr>
            </w:pPr>
            <w:r w:rsidRPr="005A7E88">
              <w:rPr>
                <w:rFonts w:ascii="Times New Roman" w:hAnsi="Times New Roman"/>
                <w:sz w:val="18"/>
                <w:szCs w:val="18"/>
              </w:rPr>
              <w:t>Cible : Stabilisation et réconciliation</w:t>
            </w:r>
          </w:p>
        </w:tc>
        <w:tc>
          <w:tcPr>
            <w:tcW w:w="2126" w:type="dxa"/>
            <w:shd w:val="clear" w:color="auto" w:fill="auto"/>
            <w:vAlign w:val="center"/>
          </w:tcPr>
          <w:p w14:paraId="35A9B442" w14:textId="77777777" w:rsidR="00237D59" w:rsidRPr="007E5253" w:rsidRDefault="00237D59" w:rsidP="00385C97">
            <w:pPr>
              <w:spacing w:after="0" w:line="240" w:lineRule="auto"/>
              <w:rPr>
                <w:rFonts w:ascii="Times New Roman" w:hAnsi="Times New Roman"/>
                <w:sz w:val="20"/>
                <w:szCs w:val="20"/>
              </w:rPr>
            </w:pPr>
            <w:r w:rsidRPr="007E5253">
              <w:rPr>
                <w:rFonts w:ascii="Times New Roman" w:hAnsi="Times New Roman"/>
                <w:sz w:val="20"/>
                <w:szCs w:val="20"/>
              </w:rPr>
              <w:t>Indicateur non mesurable et non sensible au genre</w:t>
            </w:r>
          </w:p>
        </w:tc>
        <w:tc>
          <w:tcPr>
            <w:tcW w:w="1985" w:type="dxa"/>
            <w:vMerge w:val="restart"/>
            <w:shd w:val="clear" w:color="auto" w:fill="auto"/>
            <w:vAlign w:val="center"/>
          </w:tcPr>
          <w:p w14:paraId="4A75177A" w14:textId="77777777" w:rsidR="00237D59" w:rsidRPr="007E5253" w:rsidRDefault="00237D59" w:rsidP="00237D59">
            <w:pPr>
              <w:spacing w:after="0" w:line="240" w:lineRule="auto"/>
              <w:rPr>
                <w:rFonts w:ascii="Times New Roman" w:hAnsi="Times New Roman"/>
                <w:sz w:val="20"/>
                <w:szCs w:val="20"/>
              </w:rPr>
            </w:pPr>
            <w:r w:rsidRPr="007E5253">
              <w:rPr>
                <w:rFonts w:ascii="Times New Roman" w:hAnsi="Times New Roman"/>
                <w:sz w:val="20"/>
                <w:szCs w:val="20"/>
              </w:rPr>
              <w:t xml:space="preserve">Résultat </w:t>
            </w:r>
            <w:r w:rsidR="003B7F14" w:rsidRPr="007E5253">
              <w:rPr>
                <w:rFonts w:ascii="Times New Roman" w:hAnsi="Times New Roman"/>
                <w:sz w:val="20"/>
                <w:szCs w:val="20"/>
              </w:rPr>
              <w:t xml:space="preserve">pertinent au fond, mais techniquement </w:t>
            </w:r>
            <w:r w:rsidRPr="007E5253">
              <w:rPr>
                <w:rFonts w:ascii="Times New Roman" w:hAnsi="Times New Roman"/>
                <w:sz w:val="20"/>
                <w:szCs w:val="20"/>
              </w:rPr>
              <w:t>large, voire vague, non mesurable et non sensible au genre !</w:t>
            </w:r>
          </w:p>
        </w:tc>
      </w:tr>
      <w:tr w:rsidR="00237D59" w:rsidRPr="006B309F" w14:paraId="04D280C5" w14:textId="77777777" w:rsidTr="007E5253">
        <w:tc>
          <w:tcPr>
            <w:tcW w:w="2694" w:type="dxa"/>
            <w:vMerge/>
            <w:shd w:val="clear" w:color="auto" w:fill="F2F2F2" w:themeFill="background1" w:themeFillShade="F2"/>
            <w:vAlign w:val="center"/>
          </w:tcPr>
          <w:p w14:paraId="23BD5210" w14:textId="77777777" w:rsidR="00237D59" w:rsidRPr="006B309F" w:rsidRDefault="00237D59" w:rsidP="00E35C82">
            <w:pPr>
              <w:spacing w:after="0" w:line="240" w:lineRule="auto"/>
              <w:rPr>
                <w:rFonts w:ascii="Times New Roman" w:hAnsi="Times New Roman"/>
                <w:sz w:val="20"/>
                <w:szCs w:val="20"/>
              </w:rPr>
            </w:pPr>
          </w:p>
        </w:tc>
        <w:tc>
          <w:tcPr>
            <w:tcW w:w="3827" w:type="dxa"/>
            <w:shd w:val="clear" w:color="auto" w:fill="auto"/>
            <w:vAlign w:val="center"/>
          </w:tcPr>
          <w:p w14:paraId="3101F0B4" w14:textId="77777777" w:rsidR="00237D59" w:rsidRDefault="00237D59" w:rsidP="00E35C82">
            <w:pPr>
              <w:spacing w:after="0" w:line="240" w:lineRule="auto"/>
              <w:rPr>
                <w:rFonts w:ascii="Times New Roman" w:hAnsi="Times New Roman"/>
                <w:sz w:val="18"/>
                <w:szCs w:val="18"/>
              </w:rPr>
            </w:pPr>
            <w:r w:rsidRPr="008B075F">
              <w:rPr>
                <w:rFonts w:ascii="Times New Roman" w:hAnsi="Times New Roman"/>
                <w:sz w:val="18"/>
                <w:szCs w:val="18"/>
              </w:rPr>
              <w:t>Degré de mise en œuvre de l’accord général de paix</w:t>
            </w:r>
          </w:p>
          <w:p w14:paraId="327BE868" w14:textId="77777777" w:rsidR="00237D59" w:rsidRPr="005A7E88" w:rsidRDefault="00237D59" w:rsidP="00D76EFA">
            <w:pPr>
              <w:pStyle w:val="Paragraphedeliste"/>
              <w:numPr>
                <w:ilvl w:val="0"/>
                <w:numId w:val="23"/>
              </w:numPr>
              <w:spacing w:after="0" w:line="240" w:lineRule="auto"/>
              <w:rPr>
                <w:rFonts w:ascii="Times New Roman" w:hAnsi="Times New Roman"/>
                <w:sz w:val="18"/>
                <w:szCs w:val="18"/>
              </w:rPr>
            </w:pPr>
            <w:r w:rsidRPr="005A7E88">
              <w:rPr>
                <w:rFonts w:ascii="Times New Roman" w:hAnsi="Times New Roman"/>
                <w:sz w:val="18"/>
                <w:szCs w:val="18"/>
              </w:rPr>
              <w:t>Réf : Non disponible</w:t>
            </w:r>
          </w:p>
          <w:p w14:paraId="568FAE67" w14:textId="77777777" w:rsidR="00237D59" w:rsidRPr="005A7E88" w:rsidRDefault="00237D59" w:rsidP="00D76EFA">
            <w:pPr>
              <w:pStyle w:val="Paragraphedeliste"/>
              <w:numPr>
                <w:ilvl w:val="0"/>
                <w:numId w:val="23"/>
              </w:numPr>
              <w:spacing w:after="0" w:line="240" w:lineRule="auto"/>
              <w:rPr>
                <w:rFonts w:ascii="Times New Roman" w:hAnsi="Times New Roman"/>
                <w:sz w:val="18"/>
                <w:szCs w:val="18"/>
              </w:rPr>
            </w:pPr>
            <w:r w:rsidRPr="005A7E88">
              <w:rPr>
                <w:rFonts w:ascii="Times New Roman" w:hAnsi="Times New Roman"/>
                <w:sz w:val="18"/>
                <w:szCs w:val="18"/>
              </w:rPr>
              <w:t>Cible : A déterminer</w:t>
            </w:r>
          </w:p>
        </w:tc>
        <w:tc>
          <w:tcPr>
            <w:tcW w:w="2126" w:type="dxa"/>
            <w:shd w:val="clear" w:color="auto" w:fill="auto"/>
            <w:vAlign w:val="center"/>
          </w:tcPr>
          <w:p w14:paraId="61229057" w14:textId="77777777" w:rsidR="00237D59" w:rsidRPr="007E5253" w:rsidRDefault="00237D59" w:rsidP="003B7F14">
            <w:pPr>
              <w:spacing w:after="0" w:line="240" w:lineRule="auto"/>
              <w:rPr>
                <w:rFonts w:ascii="Times New Roman" w:hAnsi="Times New Roman"/>
                <w:sz w:val="20"/>
                <w:szCs w:val="20"/>
              </w:rPr>
            </w:pPr>
            <w:r w:rsidRPr="007E5253">
              <w:rPr>
                <w:rFonts w:ascii="Times New Roman" w:hAnsi="Times New Roman"/>
                <w:sz w:val="20"/>
                <w:szCs w:val="20"/>
              </w:rPr>
              <w:t>Référence et cible non déterminés ; indicateur non sensible au genre</w:t>
            </w:r>
          </w:p>
        </w:tc>
        <w:tc>
          <w:tcPr>
            <w:tcW w:w="1985" w:type="dxa"/>
            <w:vMerge/>
            <w:shd w:val="clear" w:color="auto" w:fill="auto"/>
            <w:vAlign w:val="center"/>
          </w:tcPr>
          <w:p w14:paraId="06083B2A" w14:textId="77777777" w:rsidR="00237D59" w:rsidRPr="007E5253" w:rsidRDefault="00237D59" w:rsidP="00E35C82">
            <w:pPr>
              <w:spacing w:after="0" w:line="240" w:lineRule="auto"/>
              <w:rPr>
                <w:rFonts w:ascii="Times New Roman" w:hAnsi="Times New Roman"/>
                <w:sz w:val="20"/>
                <w:szCs w:val="20"/>
              </w:rPr>
            </w:pPr>
          </w:p>
        </w:tc>
      </w:tr>
      <w:tr w:rsidR="00237D59" w:rsidRPr="006B309F" w14:paraId="293664B4" w14:textId="77777777" w:rsidTr="007E5253">
        <w:tc>
          <w:tcPr>
            <w:tcW w:w="2694" w:type="dxa"/>
            <w:vMerge/>
            <w:shd w:val="clear" w:color="auto" w:fill="F2F2F2" w:themeFill="background1" w:themeFillShade="F2"/>
            <w:vAlign w:val="center"/>
          </w:tcPr>
          <w:p w14:paraId="1AA2B61F" w14:textId="77777777" w:rsidR="00237D59" w:rsidRPr="006B309F" w:rsidRDefault="00237D59" w:rsidP="00E35C82">
            <w:pPr>
              <w:spacing w:after="0" w:line="240" w:lineRule="auto"/>
              <w:rPr>
                <w:rFonts w:ascii="Times New Roman" w:hAnsi="Times New Roman"/>
                <w:sz w:val="20"/>
                <w:szCs w:val="20"/>
              </w:rPr>
            </w:pPr>
          </w:p>
        </w:tc>
        <w:tc>
          <w:tcPr>
            <w:tcW w:w="3827" w:type="dxa"/>
            <w:shd w:val="clear" w:color="auto" w:fill="auto"/>
            <w:vAlign w:val="center"/>
          </w:tcPr>
          <w:p w14:paraId="6F3191B6" w14:textId="77777777" w:rsidR="00237D59" w:rsidRDefault="00237D59" w:rsidP="00E35C82">
            <w:pPr>
              <w:spacing w:after="0" w:line="240" w:lineRule="auto"/>
              <w:rPr>
                <w:rFonts w:ascii="Times New Roman" w:hAnsi="Times New Roman"/>
                <w:sz w:val="18"/>
                <w:szCs w:val="18"/>
              </w:rPr>
            </w:pPr>
            <w:r w:rsidRPr="008B075F">
              <w:rPr>
                <w:rFonts w:ascii="Times New Roman" w:hAnsi="Times New Roman"/>
                <w:sz w:val="18"/>
                <w:szCs w:val="18"/>
              </w:rPr>
              <w:t>Nombre de violations du droit international humanitaire et des droits fondamentaux en rapport avec le conflit</w:t>
            </w:r>
          </w:p>
          <w:p w14:paraId="5BAFD3C6" w14:textId="77777777" w:rsidR="00237D59" w:rsidRPr="005A7E88" w:rsidRDefault="00237D59" w:rsidP="00D76EFA">
            <w:pPr>
              <w:pStyle w:val="Paragraphedeliste"/>
              <w:numPr>
                <w:ilvl w:val="0"/>
                <w:numId w:val="24"/>
              </w:numPr>
              <w:spacing w:after="0" w:line="240" w:lineRule="auto"/>
              <w:rPr>
                <w:rFonts w:ascii="Times New Roman" w:hAnsi="Times New Roman"/>
                <w:sz w:val="18"/>
                <w:szCs w:val="18"/>
              </w:rPr>
            </w:pPr>
            <w:r w:rsidRPr="005A7E88">
              <w:rPr>
                <w:rFonts w:ascii="Times New Roman" w:hAnsi="Times New Roman"/>
                <w:sz w:val="18"/>
                <w:szCs w:val="18"/>
              </w:rPr>
              <w:t>Réf : 112 (2012-2014)</w:t>
            </w:r>
          </w:p>
          <w:p w14:paraId="035C3910" w14:textId="77777777" w:rsidR="00237D59" w:rsidRPr="005A7E88" w:rsidRDefault="00237D59" w:rsidP="00D76EFA">
            <w:pPr>
              <w:pStyle w:val="Paragraphedeliste"/>
              <w:numPr>
                <w:ilvl w:val="0"/>
                <w:numId w:val="24"/>
              </w:numPr>
              <w:spacing w:after="0" w:line="240" w:lineRule="auto"/>
              <w:rPr>
                <w:rFonts w:ascii="Times New Roman" w:hAnsi="Times New Roman"/>
                <w:sz w:val="18"/>
                <w:szCs w:val="18"/>
              </w:rPr>
            </w:pPr>
            <w:r w:rsidRPr="005A7E88">
              <w:rPr>
                <w:rFonts w:ascii="Times New Roman" w:hAnsi="Times New Roman"/>
                <w:sz w:val="18"/>
                <w:szCs w:val="18"/>
              </w:rPr>
              <w:lastRenderedPageBreak/>
              <w:t>Cible : 0</w:t>
            </w:r>
          </w:p>
        </w:tc>
        <w:tc>
          <w:tcPr>
            <w:tcW w:w="2126" w:type="dxa"/>
            <w:shd w:val="clear" w:color="auto" w:fill="auto"/>
            <w:vAlign w:val="center"/>
          </w:tcPr>
          <w:p w14:paraId="0405BE08" w14:textId="77777777" w:rsidR="00237D59" w:rsidRPr="007E5253" w:rsidRDefault="00237D59" w:rsidP="00110195">
            <w:pPr>
              <w:spacing w:after="0" w:line="240" w:lineRule="auto"/>
              <w:rPr>
                <w:rFonts w:ascii="Times New Roman" w:hAnsi="Times New Roman"/>
                <w:sz w:val="20"/>
                <w:szCs w:val="20"/>
              </w:rPr>
            </w:pPr>
            <w:r w:rsidRPr="007E5253">
              <w:rPr>
                <w:rFonts w:ascii="Times New Roman" w:hAnsi="Times New Roman"/>
                <w:sz w:val="20"/>
                <w:szCs w:val="20"/>
              </w:rPr>
              <w:lastRenderedPageBreak/>
              <w:t>Indicateur</w:t>
            </w:r>
            <w:r w:rsidR="003B7F14" w:rsidRPr="007E5253">
              <w:rPr>
                <w:rFonts w:ascii="Times New Roman" w:hAnsi="Times New Roman"/>
                <w:sz w:val="20"/>
                <w:szCs w:val="20"/>
              </w:rPr>
              <w:t>s mesurables, mais non sensible</w:t>
            </w:r>
            <w:r w:rsidRPr="007E5253">
              <w:rPr>
                <w:rFonts w:ascii="Times New Roman" w:hAnsi="Times New Roman"/>
                <w:sz w:val="20"/>
                <w:szCs w:val="20"/>
              </w:rPr>
              <w:t xml:space="preserve"> au genre</w:t>
            </w:r>
          </w:p>
        </w:tc>
        <w:tc>
          <w:tcPr>
            <w:tcW w:w="1985" w:type="dxa"/>
            <w:vMerge/>
            <w:shd w:val="clear" w:color="auto" w:fill="auto"/>
            <w:vAlign w:val="center"/>
          </w:tcPr>
          <w:p w14:paraId="6B57FA9E" w14:textId="77777777" w:rsidR="00237D59" w:rsidRPr="007E5253" w:rsidRDefault="00237D59" w:rsidP="00E35C82">
            <w:pPr>
              <w:spacing w:after="0" w:line="240" w:lineRule="auto"/>
              <w:rPr>
                <w:rFonts w:ascii="Times New Roman" w:hAnsi="Times New Roman"/>
                <w:sz w:val="20"/>
                <w:szCs w:val="20"/>
              </w:rPr>
            </w:pPr>
          </w:p>
        </w:tc>
      </w:tr>
      <w:tr w:rsidR="00237D59" w:rsidRPr="006B309F" w14:paraId="326065BD" w14:textId="77777777" w:rsidTr="007E5253">
        <w:tc>
          <w:tcPr>
            <w:tcW w:w="2694" w:type="dxa"/>
            <w:vMerge/>
            <w:shd w:val="clear" w:color="auto" w:fill="F2F2F2" w:themeFill="background1" w:themeFillShade="F2"/>
            <w:vAlign w:val="center"/>
          </w:tcPr>
          <w:p w14:paraId="26C2170C" w14:textId="77777777" w:rsidR="00237D59" w:rsidRPr="006B309F" w:rsidRDefault="00237D59" w:rsidP="00E35C82">
            <w:pPr>
              <w:spacing w:after="0" w:line="240" w:lineRule="auto"/>
              <w:rPr>
                <w:rFonts w:ascii="Times New Roman" w:hAnsi="Times New Roman"/>
                <w:sz w:val="20"/>
                <w:szCs w:val="20"/>
              </w:rPr>
            </w:pPr>
          </w:p>
        </w:tc>
        <w:tc>
          <w:tcPr>
            <w:tcW w:w="3827" w:type="dxa"/>
            <w:shd w:val="clear" w:color="auto" w:fill="auto"/>
            <w:vAlign w:val="center"/>
          </w:tcPr>
          <w:p w14:paraId="7EFAF009" w14:textId="77777777" w:rsidR="00237D59" w:rsidRDefault="00237D59" w:rsidP="00E35C82">
            <w:pPr>
              <w:spacing w:after="0" w:line="240" w:lineRule="auto"/>
              <w:rPr>
                <w:rFonts w:ascii="Times New Roman" w:hAnsi="Times New Roman"/>
                <w:sz w:val="18"/>
                <w:szCs w:val="18"/>
              </w:rPr>
            </w:pPr>
            <w:r w:rsidRPr="008B075F">
              <w:rPr>
                <w:rFonts w:ascii="Times New Roman" w:hAnsi="Times New Roman"/>
                <w:sz w:val="18"/>
                <w:szCs w:val="18"/>
              </w:rPr>
              <w:t>Nombre d’incidents impliquant une violation grave des droits des enfants touchés par un conflit armé</w:t>
            </w:r>
          </w:p>
          <w:p w14:paraId="7BD790D0" w14:textId="77777777" w:rsidR="00237D59" w:rsidRPr="005A7E88" w:rsidRDefault="00237D59" w:rsidP="00D76EFA">
            <w:pPr>
              <w:pStyle w:val="Paragraphedeliste"/>
              <w:numPr>
                <w:ilvl w:val="0"/>
                <w:numId w:val="25"/>
              </w:numPr>
              <w:spacing w:after="0" w:line="240" w:lineRule="auto"/>
              <w:rPr>
                <w:rFonts w:ascii="Times New Roman" w:hAnsi="Times New Roman"/>
                <w:sz w:val="18"/>
                <w:szCs w:val="18"/>
              </w:rPr>
            </w:pPr>
            <w:r w:rsidRPr="005A7E88">
              <w:rPr>
                <w:rFonts w:ascii="Times New Roman" w:hAnsi="Times New Roman"/>
                <w:sz w:val="18"/>
                <w:szCs w:val="18"/>
              </w:rPr>
              <w:t>Réf : 32</w:t>
            </w:r>
          </w:p>
          <w:p w14:paraId="17DB6C08" w14:textId="77777777" w:rsidR="00237D59" w:rsidRPr="005A7E88" w:rsidRDefault="00237D59" w:rsidP="00D76EFA">
            <w:pPr>
              <w:pStyle w:val="Paragraphedeliste"/>
              <w:numPr>
                <w:ilvl w:val="0"/>
                <w:numId w:val="25"/>
              </w:numPr>
              <w:spacing w:after="0" w:line="240" w:lineRule="auto"/>
              <w:rPr>
                <w:rFonts w:ascii="Times New Roman" w:hAnsi="Times New Roman"/>
                <w:sz w:val="18"/>
                <w:szCs w:val="18"/>
              </w:rPr>
            </w:pPr>
            <w:r w:rsidRPr="005A7E88">
              <w:rPr>
                <w:rFonts w:ascii="Times New Roman" w:hAnsi="Times New Roman"/>
                <w:sz w:val="18"/>
                <w:szCs w:val="18"/>
              </w:rPr>
              <w:t>Cible : 0</w:t>
            </w:r>
          </w:p>
        </w:tc>
        <w:tc>
          <w:tcPr>
            <w:tcW w:w="2126" w:type="dxa"/>
            <w:shd w:val="clear" w:color="auto" w:fill="auto"/>
            <w:vAlign w:val="center"/>
          </w:tcPr>
          <w:p w14:paraId="57CC3B1B" w14:textId="77777777" w:rsidR="00237D59" w:rsidRPr="007E5253" w:rsidRDefault="00237D59" w:rsidP="003B7F14">
            <w:pPr>
              <w:spacing w:after="0" w:line="240" w:lineRule="auto"/>
              <w:rPr>
                <w:rFonts w:ascii="Times New Roman" w:hAnsi="Times New Roman"/>
                <w:sz w:val="20"/>
                <w:szCs w:val="20"/>
              </w:rPr>
            </w:pPr>
            <w:r w:rsidRPr="007E5253">
              <w:rPr>
                <w:rFonts w:ascii="Times New Roman" w:hAnsi="Times New Roman"/>
                <w:sz w:val="20"/>
                <w:szCs w:val="20"/>
              </w:rPr>
              <w:t>Indicateur mesurable, mais non sensible au genre</w:t>
            </w:r>
          </w:p>
        </w:tc>
        <w:tc>
          <w:tcPr>
            <w:tcW w:w="1985" w:type="dxa"/>
            <w:vMerge/>
            <w:shd w:val="clear" w:color="auto" w:fill="auto"/>
            <w:vAlign w:val="center"/>
          </w:tcPr>
          <w:p w14:paraId="51047098" w14:textId="77777777" w:rsidR="00237D59" w:rsidRPr="007E5253" w:rsidRDefault="00237D59" w:rsidP="00E35C82">
            <w:pPr>
              <w:spacing w:after="0" w:line="240" w:lineRule="auto"/>
              <w:rPr>
                <w:rFonts w:ascii="Times New Roman" w:hAnsi="Times New Roman"/>
                <w:sz w:val="20"/>
                <w:szCs w:val="20"/>
              </w:rPr>
            </w:pPr>
          </w:p>
        </w:tc>
      </w:tr>
      <w:tr w:rsidR="00237D59" w:rsidRPr="006B309F" w14:paraId="1040E36B" w14:textId="77777777" w:rsidTr="007E5253">
        <w:tc>
          <w:tcPr>
            <w:tcW w:w="2694" w:type="dxa"/>
            <w:vMerge/>
            <w:shd w:val="clear" w:color="auto" w:fill="F2F2F2" w:themeFill="background1" w:themeFillShade="F2"/>
            <w:vAlign w:val="center"/>
          </w:tcPr>
          <w:p w14:paraId="372BDA6E" w14:textId="77777777" w:rsidR="00237D59" w:rsidRPr="006B309F" w:rsidRDefault="00237D59" w:rsidP="00E35C82">
            <w:pPr>
              <w:spacing w:after="0" w:line="240" w:lineRule="auto"/>
              <w:rPr>
                <w:rFonts w:ascii="Times New Roman" w:hAnsi="Times New Roman"/>
                <w:bCs/>
                <w:sz w:val="20"/>
                <w:szCs w:val="20"/>
              </w:rPr>
            </w:pPr>
          </w:p>
        </w:tc>
        <w:tc>
          <w:tcPr>
            <w:tcW w:w="3827" w:type="dxa"/>
            <w:shd w:val="clear" w:color="auto" w:fill="auto"/>
            <w:vAlign w:val="center"/>
          </w:tcPr>
          <w:p w14:paraId="28676E7A" w14:textId="77777777" w:rsidR="00237D59" w:rsidRDefault="00237D59" w:rsidP="00E35C82">
            <w:pPr>
              <w:spacing w:after="0" w:line="240" w:lineRule="auto"/>
              <w:rPr>
                <w:rFonts w:ascii="Times New Roman" w:hAnsi="Times New Roman"/>
                <w:sz w:val="18"/>
                <w:szCs w:val="18"/>
              </w:rPr>
            </w:pPr>
            <w:r w:rsidRPr="005A7E88">
              <w:rPr>
                <w:rFonts w:ascii="Times New Roman" w:hAnsi="Times New Roman"/>
                <w:sz w:val="18"/>
                <w:szCs w:val="18"/>
              </w:rPr>
              <w:t>Nombre de réfugiés et de personnes déplacées à l’intérieur du pays (ventilé par statut de réfugié et de personne déplacée et par région)</w:t>
            </w:r>
          </w:p>
          <w:p w14:paraId="230600DC" w14:textId="77777777" w:rsidR="00237D59" w:rsidRPr="005A7E88" w:rsidRDefault="00237D59" w:rsidP="00D76EFA">
            <w:pPr>
              <w:pStyle w:val="Paragraphedeliste"/>
              <w:numPr>
                <w:ilvl w:val="0"/>
                <w:numId w:val="26"/>
              </w:numPr>
              <w:spacing w:after="0" w:line="240" w:lineRule="auto"/>
              <w:rPr>
                <w:rFonts w:ascii="Times New Roman" w:hAnsi="Times New Roman"/>
                <w:sz w:val="18"/>
                <w:szCs w:val="18"/>
              </w:rPr>
            </w:pPr>
            <w:r w:rsidRPr="005A7E88">
              <w:rPr>
                <w:rFonts w:ascii="Times New Roman" w:hAnsi="Times New Roman"/>
                <w:sz w:val="18"/>
                <w:szCs w:val="18"/>
              </w:rPr>
              <w:t>Réf : 140 033 réfugiés et 126 249 personnes déplacées (au 31ier Juillet 2014)</w:t>
            </w:r>
          </w:p>
          <w:p w14:paraId="385BB6CA" w14:textId="77777777" w:rsidR="00237D59" w:rsidRPr="005A7E88" w:rsidRDefault="00237D59" w:rsidP="00D76EFA">
            <w:pPr>
              <w:pStyle w:val="Paragraphedeliste"/>
              <w:numPr>
                <w:ilvl w:val="0"/>
                <w:numId w:val="26"/>
              </w:numPr>
              <w:spacing w:after="0" w:line="240" w:lineRule="auto"/>
              <w:rPr>
                <w:rFonts w:ascii="Times New Roman" w:hAnsi="Times New Roman"/>
                <w:sz w:val="18"/>
                <w:szCs w:val="18"/>
              </w:rPr>
            </w:pPr>
            <w:r w:rsidRPr="005A7E88">
              <w:rPr>
                <w:rFonts w:ascii="Times New Roman" w:hAnsi="Times New Roman"/>
                <w:sz w:val="18"/>
                <w:szCs w:val="18"/>
              </w:rPr>
              <w:t>Cible : 0</w:t>
            </w:r>
          </w:p>
        </w:tc>
        <w:tc>
          <w:tcPr>
            <w:tcW w:w="2126" w:type="dxa"/>
            <w:shd w:val="clear" w:color="auto" w:fill="auto"/>
            <w:vAlign w:val="center"/>
          </w:tcPr>
          <w:p w14:paraId="31802612" w14:textId="77777777" w:rsidR="00237D59" w:rsidRPr="007E5253" w:rsidRDefault="00237D59" w:rsidP="003B7F14">
            <w:pPr>
              <w:spacing w:after="0" w:line="240" w:lineRule="auto"/>
              <w:rPr>
                <w:rFonts w:ascii="Times New Roman" w:hAnsi="Times New Roman"/>
                <w:sz w:val="20"/>
                <w:szCs w:val="20"/>
              </w:rPr>
            </w:pPr>
            <w:r w:rsidRPr="007E5253">
              <w:rPr>
                <w:rFonts w:ascii="Times New Roman" w:hAnsi="Times New Roman"/>
                <w:sz w:val="20"/>
                <w:szCs w:val="20"/>
              </w:rPr>
              <w:t>Indicateur mesurable, mais non sensible au genre</w:t>
            </w:r>
          </w:p>
        </w:tc>
        <w:tc>
          <w:tcPr>
            <w:tcW w:w="1985" w:type="dxa"/>
            <w:vMerge/>
            <w:shd w:val="clear" w:color="auto" w:fill="auto"/>
            <w:vAlign w:val="center"/>
          </w:tcPr>
          <w:p w14:paraId="1C414D58" w14:textId="77777777" w:rsidR="00237D59" w:rsidRPr="007E5253" w:rsidRDefault="00237D59" w:rsidP="00E35C82">
            <w:pPr>
              <w:spacing w:after="0" w:line="240" w:lineRule="auto"/>
              <w:rPr>
                <w:rFonts w:ascii="Times New Roman" w:hAnsi="Times New Roman"/>
                <w:sz w:val="20"/>
                <w:szCs w:val="20"/>
              </w:rPr>
            </w:pPr>
          </w:p>
        </w:tc>
      </w:tr>
      <w:tr w:rsidR="00237D59" w:rsidRPr="006B309F" w14:paraId="72FB429A" w14:textId="77777777" w:rsidTr="007E5253">
        <w:tc>
          <w:tcPr>
            <w:tcW w:w="2694" w:type="dxa"/>
            <w:vMerge w:val="restart"/>
            <w:shd w:val="clear" w:color="auto" w:fill="F2F2F2" w:themeFill="background1" w:themeFillShade="F2"/>
            <w:vAlign w:val="center"/>
          </w:tcPr>
          <w:p w14:paraId="24612710" w14:textId="77777777" w:rsidR="00237D59" w:rsidRPr="006B309F" w:rsidRDefault="00237D59" w:rsidP="00785315">
            <w:pPr>
              <w:spacing w:after="0" w:line="240" w:lineRule="auto"/>
              <w:rPr>
                <w:rFonts w:ascii="Times New Roman" w:hAnsi="Times New Roman"/>
                <w:bCs/>
                <w:sz w:val="20"/>
                <w:szCs w:val="20"/>
              </w:rPr>
            </w:pPr>
            <w:r>
              <w:rPr>
                <w:rFonts w:ascii="Times New Roman" w:hAnsi="Times New Roman"/>
                <w:sz w:val="18"/>
                <w:szCs w:val="18"/>
              </w:rPr>
              <w:t xml:space="preserve">"D’ici </w:t>
            </w:r>
            <w:r w:rsidRPr="0031553B">
              <w:rPr>
                <w:rFonts w:ascii="Times New Roman" w:hAnsi="Times New Roman"/>
                <w:sz w:val="18"/>
                <w:szCs w:val="18"/>
              </w:rPr>
              <w:t>à 2019, les populations vulnérables, en particulier les femmes et les jeunes, utilisent des capacités de production dans un environnement (naturel) sain qui est propice à la réduction de la pauvreté</w:t>
            </w:r>
            <w:r>
              <w:rPr>
                <w:rFonts w:ascii="Times New Roman" w:hAnsi="Times New Roman"/>
                <w:sz w:val="18"/>
                <w:szCs w:val="18"/>
              </w:rPr>
              <w:t>."</w:t>
            </w:r>
          </w:p>
        </w:tc>
        <w:tc>
          <w:tcPr>
            <w:tcW w:w="3827" w:type="dxa"/>
            <w:shd w:val="clear" w:color="auto" w:fill="auto"/>
            <w:vAlign w:val="center"/>
          </w:tcPr>
          <w:p w14:paraId="3E244437" w14:textId="77777777" w:rsidR="00237D59" w:rsidRDefault="00237D59" w:rsidP="00785315">
            <w:pPr>
              <w:spacing w:after="0" w:line="240" w:lineRule="auto"/>
              <w:rPr>
                <w:rFonts w:ascii="Times New Roman" w:eastAsia="Times New Roman" w:hAnsi="Times New Roman"/>
                <w:sz w:val="18"/>
                <w:szCs w:val="18"/>
              </w:rPr>
            </w:pPr>
            <w:r w:rsidRPr="0031553B">
              <w:rPr>
                <w:rFonts w:ascii="Times New Roman" w:eastAsia="Times New Roman" w:hAnsi="Times New Roman"/>
                <w:sz w:val="18"/>
                <w:szCs w:val="18"/>
              </w:rPr>
              <w:t>Taux de chômage</w:t>
            </w:r>
          </w:p>
          <w:p w14:paraId="1059BCB0" w14:textId="77777777" w:rsidR="00237D59" w:rsidRPr="00CC779B" w:rsidRDefault="00237D59" w:rsidP="00D76EFA">
            <w:pPr>
              <w:pStyle w:val="Paragraphedeliste"/>
              <w:numPr>
                <w:ilvl w:val="0"/>
                <w:numId w:val="27"/>
              </w:numPr>
              <w:spacing w:after="0" w:line="240" w:lineRule="auto"/>
              <w:rPr>
                <w:rFonts w:ascii="Times New Roman" w:eastAsia="Times New Roman" w:hAnsi="Times New Roman"/>
                <w:sz w:val="18"/>
                <w:szCs w:val="18"/>
              </w:rPr>
            </w:pPr>
            <w:r w:rsidRPr="00CC779B">
              <w:rPr>
                <w:rFonts w:ascii="Times New Roman" w:eastAsia="Times New Roman" w:hAnsi="Times New Roman"/>
                <w:sz w:val="18"/>
                <w:szCs w:val="18"/>
              </w:rPr>
              <w:t>Réf : 13,5 % (estimation)</w:t>
            </w:r>
          </w:p>
          <w:p w14:paraId="5DA86315" w14:textId="77777777" w:rsidR="00237D59" w:rsidRPr="00CC779B" w:rsidRDefault="00237D59" w:rsidP="00D76EFA">
            <w:pPr>
              <w:pStyle w:val="Paragraphedeliste"/>
              <w:numPr>
                <w:ilvl w:val="0"/>
                <w:numId w:val="27"/>
              </w:numPr>
              <w:spacing w:after="0" w:line="240" w:lineRule="auto"/>
              <w:rPr>
                <w:rFonts w:ascii="Times New Roman" w:eastAsia="Times New Roman" w:hAnsi="Times New Roman"/>
                <w:sz w:val="18"/>
                <w:szCs w:val="18"/>
              </w:rPr>
            </w:pPr>
            <w:r w:rsidRPr="00CC779B">
              <w:rPr>
                <w:rFonts w:ascii="Times New Roman" w:eastAsia="Times New Roman" w:hAnsi="Times New Roman"/>
                <w:sz w:val="18"/>
                <w:szCs w:val="18"/>
              </w:rPr>
              <w:t xml:space="preserve">Cible : </w:t>
            </w:r>
            <w:r w:rsidRPr="00CC779B">
              <w:rPr>
                <w:rFonts w:eastAsia="Times New Roman"/>
                <w:sz w:val="17"/>
              </w:rPr>
              <w:t>Réduction de 2 % par</w:t>
            </w:r>
            <w:r w:rsidRPr="00CC779B">
              <w:rPr>
                <w:rFonts w:eastAsia="Times New Roman"/>
                <w:b/>
                <w:sz w:val="17"/>
              </w:rPr>
              <w:t xml:space="preserve"> </w:t>
            </w:r>
            <w:r w:rsidRPr="00CC779B">
              <w:rPr>
                <w:rFonts w:eastAsia="Times New Roman"/>
                <w:sz w:val="17"/>
              </w:rPr>
              <w:t>an</w:t>
            </w:r>
          </w:p>
        </w:tc>
        <w:tc>
          <w:tcPr>
            <w:tcW w:w="2126" w:type="dxa"/>
            <w:shd w:val="clear" w:color="auto" w:fill="auto"/>
            <w:vAlign w:val="center"/>
          </w:tcPr>
          <w:p w14:paraId="1FEE10D8" w14:textId="77777777" w:rsidR="00237D59" w:rsidRPr="007E5253" w:rsidRDefault="00237D59" w:rsidP="003B7F14">
            <w:pPr>
              <w:spacing w:after="0" w:line="240" w:lineRule="auto"/>
              <w:rPr>
                <w:rFonts w:ascii="Times New Roman" w:hAnsi="Times New Roman"/>
                <w:sz w:val="20"/>
                <w:szCs w:val="20"/>
              </w:rPr>
            </w:pPr>
            <w:r w:rsidRPr="007E5253">
              <w:rPr>
                <w:rFonts w:ascii="Times New Roman" w:hAnsi="Times New Roman"/>
                <w:sz w:val="20"/>
                <w:szCs w:val="20"/>
              </w:rPr>
              <w:t>Indicateur mesurable, mais non sensible au genre</w:t>
            </w:r>
          </w:p>
        </w:tc>
        <w:tc>
          <w:tcPr>
            <w:tcW w:w="1985" w:type="dxa"/>
            <w:vMerge w:val="restart"/>
            <w:shd w:val="clear" w:color="auto" w:fill="auto"/>
            <w:vAlign w:val="center"/>
          </w:tcPr>
          <w:p w14:paraId="0B08FDBF" w14:textId="77777777" w:rsidR="00237D59" w:rsidRPr="007E5253" w:rsidRDefault="00237D59" w:rsidP="00237D59">
            <w:pPr>
              <w:spacing w:after="0" w:line="240" w:lineRule="auto"/>
              <w:rPr>
                <w:rFonts w:ascii="Times New Roman" w:hAnsi="Times New Roman"/>
                <w:sz w:val="20"/>
                <w:szCs w:val="20"/>
              </w:rPr>
            </w:pPr>
            <w:r w:rsidRPr="007E5253">
              <w:rPr>
                <w:rFonts w:ascii="Times New Roman" w:hAnsi="Times New Roman"/>
                <w:sz w:val="20"/>
                <w:szCs w:val="20"/>
              </w:rPr>
              <w:t xml:space="preserve">Résultat </w:t>
            </w:r>
            <w:r w:rsidR="003B7F14" w:rsidRPr="007E5253">
              <w:rPr>
                <w:rFonts w:ascii="Times New Roman" w:hAnsi="Times New Roman"/>
                <w:sz w:val="20"/>
                <w:szCs w:val="20"/>
              </w:rPr>
              <w:t xml:space="preserve">pertinent au fond, mas techniquement </w:t>
            </w:r>
            <w:r w:rsidRPr="007E5253">
              <w:rPr>
                <w:rFonts w:ascii="Times New Roman" w:hAnsi="Times New Roman"/>
                <w:sz w:val="20"/>
                <w:szCs w:val="20"/>
              </w:rPr>
              <w:t>large, voire vague, non mesurable, mais sensible au genre !</w:t>
            </w:r>
          </w:p>
        </w:tc>
      </w:tr>
      <w:tr w:rsidR="00237D59" w:rsidRPr="006B309F" w14:paraId="0708149E" w14:textId="77777777" w:rsidTr="007E5253">
        <w:tc>
          <w:tcPr>
            <w:tcW w:w="2694" w:type="dxa"/>
            <w:vMerge/>
            <w:shd w:val="clear" w:color="auto" w:fill="F2F2F2" w:themeFill="background1" w:themeFillShade="F2"/>
            <w:vAlign w:val="center"/>
          </w:tcPr>
          <w:p w14:paraId="2C371352" w14:textId="77777777" w:rsidR="00237D59" w:rsidRPr="006B309F" w:rsidRDefault="00237D59" w:rsidP="00785315">
            <w:pPr>
              <w:spacing w:after="0" w:line="240" w:lineRule="auto"/>
              <w:rPr>
                <w:rFonts w:ascii="Times New Roman" w:hAnsi="Times New Roman"/>
                <w:bCs/>
                <w:sz w:val="20"/>
                <w:szCs w:val="20"/>
              </w:rPr>
            </w:pPr>
          </w:p>
        </w:tc>
        <w:tc>
          <w:tcPr>
            <w:tcW w:w="3827" w:type="dxa"/>
            <w:shd w:val="clear" w:color="auto" w:fill="auto"/>
            <w:vAlign w:val="center"/>
          </w:tcPr>
          <w:p w14:paraId="57ECF08D" w14:textId="77777777" w:rsidR="00237D59" w:rsidRDefault="00237D59" w:rsidP="00785315">
            <w:pPr>
              <w:spacing w:after="0" w:line="240" w:lineRule="auto"/>
              <w:rPr>
                <w:rFonts w:ascii="Times New Roman" w:eastAsia="Times New Roman" w:hAnsi="Times New Roman"/>
                <w:sz w:val="18"/>
                <w:szCs w:val="18"/>
              </w:rPr>
            </w:pPr>
            <w:r w:rsidRPr="0031553B">
              <w:rPr>
                <w:rFonts w:ascii="Times New Roman" w:eastAsia="Times New Roman" w:hAnsi="Times New Roman"/>
                <w:sz w:val="18"/>
                <w:szCs w:val="18"/>
              </w:rPr>
              <w:t>Taux de croissance</w:t>
            </w:r>
          </w:p>
          <w:p w14:paraId="37D5412B" w14:textId="77777777" w:rsidR="00237D59" w:rsidRPr="00CC779B" w:rsidRDefault="00237D59" w:rsidP="00D76EFA">
            <w:pPr>
              <w:pStyle w:val="Paragraphedeliste"/>
              <w:numPr>
                <w:ilvl w:val="0"/>
                <w:numId w:val="28"/>
              </w:numPr>
              <w:spacing w:after="0" w:line="240" w:lineRule="auto"/>
              <w:rPr>
                <w:rFonts w:ascii="Times New Roman" w:eastAsia="Times New Roman" w:hAnsi="Times New Roman"/>
                <w:sz w:val="18"/>
                <w:szCs w:val="18"/>
              </w:rPr>
            </w:pPr>
            <w:r w:rsidRPr="00CC779B">
              <w:rPr>
                <w:rFonts w:ascii="Times New Roman" w:eastAsia="Times New Roman" w:hAnsi="Times New Roman"/>
                <w:sz w:val="18"/>
                <w:szCs w:val="18"/>
              </w:rPr>
              <w:t>Réf : 1,7% (2013)</w:t>
            </w:r>
          </w:p>
          <w:p w14:paraId="0B31D056" w14:textId="77777777" w:rsidR="00237D59" w:rsidRPr="00CC779B" w:rsidRDefault="00237D59" w:rsidP="00D76EFA">
            <w:pPr>
              <w:pStyle w:val="Paragraphedeliste"/>
              <w:numPr>
                <w:ilvl w:val="0"/>
                <w:numId w:val="28"/>
              </w:numPr>
              <w:spacing w:after="0" w:line="240" w:lineRule="auto"/>
              <w:rPr>
                <w:rFonts w:ascii="Times New Roman" w:eastAsia="Times New Roman" w:hAnsi="Times New Roman"/>
                <w:sz w:val="18"/>
                <w:szCs w:val="18"/>
              </w:rPr>
            </w:pPr>
            <w:r w:rsidRPr="00CC779B">
              <w:rPr>
                <w:rFonts w:ascii="Times New Roman" w:eastAsia="Times New Roman" w:hAnsi="Times New Roman"/>
                <w:sz w:val="18"/>
                <w:szCs w:val="18"/>
              </w:rPr>
              <w:t>Cible : 7 %</w:t>
            </w:r>
          </w:p>
        </w:tc>
        <w:tc>
          <w:tcPr>
            <w:tcW w:w="2126" w:type="dxa"/>
            <w:shd w:val="clear" w:color="auto" w:fill="auto"/>
            <w:vAlign w:val="center"/>
          </w:tcPr>
          <w:p w14:paraId="1112322F" w14:textId="77777777" w:rsidR="00237D59" w:rsidRPr="007E5253" w:rsidRDefault="00237D59" w:rsidP="00785315">
            <w:pPr>
              <w:spacing w:after="0" w:line="240" w:lineRule="auto"/>
              <w:rPr>
                <w:rFonts w:ascii="Times New Roman" w:hAnsi="Times New Roman"/>
                <w:sz w:val="20"/>
                <w:szCs w:val="20"/>
              </w:rPr>
            </w:pPr>
            <w:r w:rsidRPr="007E5253">
              <w:rPr>
                <w:rFonts w:ascii="Times New Roman" w:hAnsi="Times New Roman"/>
                <w:sz w:val="20"/>
                <w:szCs w:val="20"/>
              </w:rPr>
              <w:t>Indicateur mesurable, mais non sensibles au genre</w:t>
            </w:r>
          </w:p>
        </w:tc>
        <w:tc>
          <w:tcPr>
            <w:tcW w:w="1985" w:type="dxa"/>
            <w:vMerge/>
            <w:shd w:val="clear" w:color="auto" w:fill="auto"/>
            <w:vAlign w:val="center"/>
          </w:tcPr>
          <w:p w14:paraId="021BFEBC" w14:textId="77777777" w:rsidR="00237D59" w:rsidRPr="007E5253" w:rsidRDefault="00237D59" w:rsidP="00785315">
            <w:pPr>
              <w:spacing w:after="0" w:line="240" w:lineRule="auto"/>
              <w:rPr>
                <w:rFonts w:ascii="Times New Roman" w:hAnsi="Times New Roman"/>
                <w:sz w:val="20"/>
                <w:szCs w:val="20"/>
              </w:rPr>
            </w:pPr>
          </w:p>
        </w:tc>
      </w:tr>
      <w:tr w:rsidR="00237D59" w:rsidRPr="006B309F" w14:paraId="6C56D468" w14:textId="77777777" w:rsidTr="007E5253">
        <w:tc>
          <w:tcPr>
            <w:tcW w:w="2694" w:type="dxa"/>
            <w:vMerge/>
            <w:shd w:val="clear" w:color="auto" w:fill="F2F2F2" w:themeFill="background1" w:themeFillShade="F2"/>
            <w:vAlign w:val="center"/>
          </w:tcPr>
          <w:p w14:paraId="5C0BAC38" w14:textId="77777777" w:rsidR="00237D59" w:rsidRPr="006B309F" w:rsidRDefault="00237D59" w:rsidP="00785315">
            <w:pPr>
              <w:spacing w:after="0" w:line="240" w:lineRule="auto"/>
              <w:rPr>
                <w:rFonts w:ascii="Times New Roman" w:hAnsi="Times New Roman"/>
                <w:bCs/>
                <w:sz w:val="20"/>
                <w:szCs w:val="20"/>
              </w:rPr>
            </w:pPr>
          </w:p>
        </w:tc>
        <w:tc>
          <w:tcPr>
            <w:tcW w:w="3827" w:type="dxa"/>
            <w:shd w:val="clear" w:color="auto" w:fill="auto"/>
            <w:vAlign w:val="center"/>
          </w:tcPr>
          <w:p w14:paraId="46DAC15E" w14:textId="77777777" w:rsidR="00237D59" w:rsidRDefault="00237D59" w:rsidP="00785315">
            <w:pPr>
              <w:spacing w:after="0" w:line="240" w:lineRule="auto"/>
              <w:rPr>
                <w:rFonts w:ascii="Times New Roman" w:eastAsia="Times New Roman" w:hAnsi="Times New Roman"/>
                <w:sz w:val="18"/>
                <w:szCs w:val="18"/>
              </w:rPr>
            </w:pPr>
            <w:r w:rsidRPr="0031553B">
              <w:rPr>
                <w:rFonts w:ascii="Times New Roman" w:eastAsia="Times New Roman" w:hAnsi="Times New Roman"/>
                <w:sz w:val="18"/>
                <w:szCs w:val="18"/>
              </w:rPr>
              <w:t>Taux de pauvreté</w:t>
            </w:r>
          </w:p>
          <w:p w14:paraId="51390651" w14:textId="77777777" w:rsidR="00237D59" w:rsidRPr="00CC779B" w:rsidRDefault="00237D59" w:rsidP="00D76EFA">
            <w:pPr>
              <w:pStyle w:val="Paragraphedeliste"/>
              <w:numPr>
                <w:ilvl w:val="0"/>
                <w:numId w:val="29"/>
              </w:numPr>
              <w:spacing w:after="0" w:line="240" w:lineRule="auto"/>
              <w:rPr>
                <w:rFonts w:ascii="Times New Roman" w:eastAsia="Times New Roman" w:hAnsi="Times New Roman"/>
                <w:sz w:val="18"/>
                <w:szCs w:val="18"/>
              </w:rPr>
            </w:pPr>
            <w:r w:rsidRPr="00CC779B">
              <w:rPr>
                <w:rFonts w:ascii="Times New Roman" w:eastAsia="Times New Roman" w:hAnsi="Times New Roman"/>
                <w:sz w:val="18"/>
                <w:szCs w:val="18"/>
              </w:rPr>
              <w:t>Réf : 43,6 %</w:t>
            </w:r>
          </w:p>
          <w:p w14:paraId="13B44318" w14:textId="77777777" w:rsidR="00237D59" w:rsidRPr="00CC779B" w:rsidRDefault="00237D59" w:rsidP="00D76EFA">
            <w:pPr>
              <w:pStyle w:val="Paragraphedeliste"/>
              <w:numPr>
                <w:ilvl w:val="0"/>
                <w:numId w:val="29"/>
              </w:numPr>
              <w:spacing w:after="0" w:line="240" w:lineRule="auto"/>
              <w:rPr>
                <w:rFonts w:ascii="Times New Roman" w:eastAsia="Times New Roman" w:hAnsi="Times New Roman"/>
                <w:sz w:val="18"/>
                <w:szCs w:val="18"/>
              </w:rPr>
            </w:pPr>
            <w:r w:rsidRPr="00CC779B">
              <w:rPr>
                <w:rFonts w:ascii="Times New Roman" w:eastAsia="Times New Roman" w:hAnsi="Times New Roman"/>
                <w:sz w:val="18"/>
                <w:szCs w:val="18"/>
              </w:rPr>
              <w:t>Cible : 21%</w:t>
            </w:r>
          </w:p>
        </w:tc>
        <w:tc>
          <w:tcPr>
            <w:tcW w:w="2126" w:type="dxa"/>
            <w:shd w:val="clear" w:color="auto" w:fill="auto"/>
            <w:vAlign w:val="center"/>
          </w:tcPr>
          <w:p w14:paraId="057EB841" w14:textId="77777777" w:rsidR="00237D59" w:rsidRPr="007E5253" w:rsidRDefault="00237D59" w:rsidP="003B7F14">
            <w:pPr>
              <w:spacing w:after="0" w:line="240" w:lineRule="auto"/>
              <w:rPr>
                <w:rFonts w:ascii="Times New Roman" w:hAnsi="Times New Roman"/>
                <w:sz w:val="20"/>
                <w:szCs w:val="20"/>
              </w:rPr>
            </w:pPr>
            <w:r w:rsidRPr="007E5253">
              <w:rPr>
                <w:rFonts w:ascii="Times New Roman" w:hAnsi="Times New Roman"/>
                <w:sz w:val="20"/>
                <w:szCs w:val="20"/>
              </w:rPr>
              <w:t>Indicateur mesurable, mais non sensible au genre</w:t>
            </w:r>
          </w:p>
        </w:tc>
        <w:tc>
          <w:tcPr>
            <w:tcW w:w="1985" w:type="dxa"/>
            <w:vMerge/>
            <w:shd w:val="clear" w:color="auto" w:fill="auto"/>
            <w:vAlign w:val="center"/>
          </w:tcPr>
          <w:p w14:paraId="696F427E" w14:textId="77777777" w:rsidR="00237D59" w:rsidRPr="007E5253" w:rsidRDefault="00237D59" w:rsidP="00785315">
            <w:pPr>
              <w:spacing w:after="0" w:line="240" w:lineRule="auto"/>
              <w:rPr>
                <w:rFonts w:ascii="Times New Roman" w:hAnsi="Times New Roman"/>
                <w:sz w:val="20"/>
                <w:szCs w:val="20"/>
              </w:rPr>
            </w:pPr>
          </w:p>
        </w:tc>
      </w:tr>
      <w:tr w:rsidR="00237D59" w:rsidRPr="006B309F" w14:paraId="3D296896" w14:textId="77777777" w:rsidTr="007E5253">
        <w:tc>
          <w:tcPr>
            <w:tcW w:w="2694" w:type="dxa"/>
            <w:vMerge/>
            <w:shd w:val="clear" w:color="auto" w:fill="F2F2F2" w:themeFill="background1" w:themeFillShade="F2"/>
            <w:vAlign w:val="center"/>
          </w:tcPr>
          <w:p w14:paraId="5A1F848E" w14:textId="77777777" w:rsidR="00237D59" w:rsidRPr="006B309F" w:rsidRDefault="00237D59" w:rsidP="00785315">
            <w:pPr>
              <w:spacing w:after="0" w:line="240" w:lineRule="auto"/>
              <w:rPr>
                <w:rFonts w:ascii="Times New Roman" w:hAnsi="Times New Roman"/>
                <w:bCs/>
                <w:sz w:val="20"/>
                <w:szCs w:val="20"/>
              </w:rPr>
            </w:pPr>
          </w:p>
        </w:tc>
        <w:tc>
          <w:tcPr>
            <w:tcW w:w="3827" w:type="dxa"/>
            <w:shd w:val="clear" w:color="auto" w:fill="auto"/>
            <w:vAlign w:val="center"/>
          </w:tcPr>
          <w:p w14:paraId="062D0F49" w14:textId="77777777" w:rsidR="00237D59" w:rsidRDefault="00237D59" w:rsidP="00785315">
            <w:pPr>
              <w:spacing w:after="0" w:line="240" w:lineRule="auto"/>
              <w:rPr>
                <w:rFonts w:ascii="Times New Roman" w:eastAsia="Times New Roman" w:hAnsi="Times New Roman"/>
                <w:sz w:val="18"/>
                <w:szCs w:val="18"/>
              </w:rPr>
            </w:pPr>
            <w:r w:rsidRPr="0031553B">
              <w:rPr>
                <w:rFonts w:ascii="Times New Roman" w:eastAsia="Times New Roman" w:hAnsi="Times New Roman"/>
                <w:sz w:val="18"/>
                <w:szCs w:val="18"/>
              </w:rPr>
              <w:t>Part du budget national</w:t>
            </w:r>
          </w:p>
          <w:p w14:paraId="09B012E1" w14:textId="77777777" w:rsidR="00237D59" w:rsidRPr="00CC779B" w:rsidRDefault="00237D59" w:rsidP="00D76EFA">
            <w:pPr>
              <w:pStyle w:val="Paragraphedeliste"/>
              <w:numPr>
                <w:ilvl w:val="0"/>
                <w:numId w:val="30"/>
              </w:numPr>
              <w:spacing w:after="0" w:line="240" w:lineRule="auto"/>
              <w:rPr>
                <w:rFonts w:ascii="Times New Roman" w:eastAsia="Times New Roman" w:hAnsi="Times New Roman"/>
                <w:sz w:val="18"/>
                <w:szCs w:val="18"/>
              </w:rPr>
            </w:pPr>
            <w:r w:rsidRPr="00CC779B">
              <w:rPr>
                <w:rFonts w:ascii="Times New Roman" w:eastAsia="Times New Roman" w:hAnsi="Times New Roman"/>
                <w:sz w:val="18"/>
                <w:szCs w:val="18"/>
              </w:rPr>
              <w:t>Réf : 1%</w:t>
            </w:r>
          </w:p>
          <w:p w14:paraId="42D0ED6C" w14:textId="77777777" w:rsidR="00237D59" w:rsidRPr="00CC779B" w:rsidRDefault="00237D59" w:rsidP="00D76EFA">
            <w:pPr>
              <w:pStyle w:val="Paragraphedeliste"/>
              <w:numPr>
                <w:ilvl w:val="0"/>
                <w:numId w:val="30"/>
              </w:numPr>
              <w:spacing w:after="0" w:line="240" w:lineRule="auto"/>
              <w:rPr>
                <w:rFonts w:ascii="Times New Roman" w:eastAsia="Times New Roman" w:hAnsi="Times New Roman"/>
                <w:sz w:val="18"/>
                <w:szCs w:val="18"/>
              </w:rPr>
            </w:pPr>
            <w:r w:rsidRPr="00CC779B">
              <w:rPr>
                <w:rFonts w:ascii="Times New Roman" w:eastAsia="Times New Roman" w:hAnsi="Times New Roman"/>
                <w:sz w:val="18"/>
                <w:szCs w:val="18"/>
              </w:rPr>
              <w:t>Cible : 4,8%</w:t>
            </w:r>
          </w:p>
        </w:tc>
        <w:tc>
          <w:tcPr>
            <w:tcW w:w="2126" w:type="dxa"/>
            <w:shd w:val="clear" w:color="auto" w:fill="auto"/>
            <w:vAlign w:val="center"/>
          </w:tcPr>
          <w:p w14:paraId="64311E1A" w14:textId="77777777" w:rsidR="00237D59" w:rsidRPr="007E5253" w:rsidRDefault="00237D59" w:rsidP="00110195">
            <w:pPr>
              <w:spacing w:after="0" w:line="240" w:lineRule="auto"/>
              <w:rPr>
                <w:rFonts w:ascii="Times New Roman" w:hAnsi="Times New Roman"/>
                <w:sz w:val="20"/>
                <w:szCs w:val="20"/>
              </w:rPr>
            </w:pPr>
            <w:r w:rsidRPr="007E5253">
              <w:rPr>
                <w:rFonts w:ascii="Times New Roman" w:hAnsi="Times New Roman"/>
                <w:sz w:val="20"/>
                <w:szCs w:val="20"/>
              </w:rPr>
              <w:t>Indicateur mesurable, mais non sensible au genre</w:t>
            </w:r>
          </w:p>
        </w:tc>
        <w:tc>
          <w:tcPr>
            <w:tcW w:w="1985" w:type="dxa"/>
            <w:vMerge/>
            <w:shd w:val="clear" w:color="auto" w:fill="auto"/>
            <w:vAlign w:val="center"/>
          </w:tcPr>
          <w:p w14:paraId="4B5CAB6E" w14:textId="77777777" w:rsidR="00237D59" w:rsidRPr="007E5253" w:rsidRDefault="00237D59" w:rsidP="00785315">
            <w:pPr>
              <w:spacing w:after="0" w:line="240" w:lineRule="auto"/>
              <w:rPr>
                <w:rFonts w:ascii="Times New Roman" w:hAnsi="Times New Roman"/>
                <w:sz w:val="20"/>
                <w:szCs w:val="20"/>
              </w:rPr>
            </w:pPr>
          </w:p>
        </w:tc>
      </w:tr>
      <w:tr w:rsidR="00237D59" w:rsidRPr="006B309F" w14:paraId="2728997F" w14:textId="77777777" w:rsidTr="007E5253">
        <w:tc>
          <w:tcPr>
            <w:tcW w:w="2694" w:type="dxa"/>
            <w:vMerge/>
            <w:shd w:val="clear" w:color="auto" w:fill="F2F2F2" w:themeFill="background1" w:themeFillShade="F2"/>
            <w:vAlign w:val="center"/>
          </w:tcPr>
          <w:p w14:paraId="789E2339" w14:textId="77777777" w:rsidR="00237D59" w:rsidRPr="006B309F" w:rsidRDefault="00237D59" w:rsidP="00785315">
            <w:pPr>
              <w:spacing w:after="0" w:line="240" w:lineRule="auto"/>
              <w:rPr>
                <w:rFonts w:ascii="Times New Roman" w:hAnsi="Times New Roman"/>
                <w:bCs/>
                <w:sz w:val="20"/>
                <w:szCs w:val="20"/>
              </w:rPr>
            </w:pPr>
          </w:p>
        </w:tc>
        <w:tc>
          <w:tcPr>
            <w:tcW w:w="3827" w:type="dxa"/>
            <w:shd w:val="clear" w:color="auto" w:fill="auto"/>
            <w:vAlign w:val="center"/>
          </w:tcPr>
          <w:p w14:paraId="65BA2EA7" w14:textId="77777777" w:rsidR="00237D59" w:rsidRDefault="00237D59" w:rsidP="00785315">
            <w:pPr>
              <w:spacing w:after="0" w:line="240" w:lineRule="auto"/>
              <w:ind w:right="340"/>
              <w:rPr>
                <w:rFonts w:ascii="Times New Roman" w:eastAsia="Times New Roman" w:hAnsi="Times New Roman"/>
                <w:sz w:val="18"/>
                <w:szCs w:val="18"/>
              </w:rPr>
            </w:pPr>
            <w:r w:rsidRPr="0031553B">
              <w:rPr>
                <w:rFonts w:ascii="Times New Roman" w:eastAsia="Times New Roman" w:hAnsi="Times New Roman"/>
                <w:sz w:val="18"/>
                <w:szCs w:val="18"/>
              </w:rPr>
              <w:t>Classement Doing Business (objectif à déterminer)</w:t>
            </w:r>
          </w:p>
          <w:p w14:paraId="329C9AB4" w14:textId="77777777" w:rsidR="00237D59" w:rsidRPr="00CC779B" w:rsidRDefault="00237D59" w:rsidP="00D76EFA">
            <w:pPr>
              <w:pStyle w:val="Paragraphedeliste"/>
              <w:numPr>
                <w:ilvl w:val="0"/>
                <w:numId w:val="31"/>
              </w:numPr>
              <w:spacing w:after="0" w:line="240" w:lineRule="auto"/>
              <w:ind w:right="340"/>
              <w:rPr>
                <w:rFonts w:ascii="Times New Roman" w:eastAsia="Times New Roman" w:hAnsi="Times New Roman"/>
                <w:sz w:val="18"/>
                <w:szCs w:val="18"/>
              </w:rPr>
            </w:pPr>
            <w:r w:rsidRPr="00CC779B">
              <w:rPr>
                <w:rFonts w:ascii="Times New Roman" w:eastAsia="Times New Roman" w:hAnsi="Times New Roman"/>
                <w:sz w:val="18"/>
                <w:szCs w:val="18"/>
              </w:rPr>
              <w:t>Réf : Non disponible</w:t>
            </w:r>
          </w:p>
          <w:p w14:paraId="3CE7C3A8" w14:textId="77777777" w:rsidR="00237D59" w:rsidRPr="00CC779B" w:rsidRDefault="00237D59" w:rsidP="00D76EFA">
            <w:pPr>
              <w:pStyle w:val="Paragraphedeliste"/>
              <w:numPr>
                <w:ilvl w:val="0"/>
                <w:numId w:val="31"/>
              </w:numPr>
              <w:spacing w:after="0" w:line="240" w:lineRule="auto"/>
              <w:ind w:right="340"/>
              <w:rPr>
                <w:rFonts w:ascii="Times New Roman" w:eastAsia="Times New Roman" w:hAnsi="Times New Roman"/>
                <w:sz w:val="18"/>
                <w:szCs w:val="18"/>
              </w:rPr>
            </w:pPr>
            <w:r w:rsidRPr="00CC779B">
              <w:rPr>
                <w:rFonts w:ascii="Times New Roman" w:eastAsia="Times New Roman" w:hAnsi="Times New Roman"/>
                <w:sz w:val="18"/>
                <w:szCs w:val="18"/>
              </w:rPr>
              <w:t>Cible : Non déterminé</w:t>
            </w:r>
          </w:p>
        </w:tc>
        <w:tc>
          <w:tcPr>
            <w:tcW w:w="2126" w:type="dxa"/>
            <w:shd w:val="clear" w:color="auto" w:fill="auto"/>
            <w:vAlign w:val="center"/>
          </w:tcPr>
          <w:p w14:paraId="2249DCD3" w14:textId="77777777" w:rsidR="00237D59" w:rsidRPr="007E5253" w:rsidRDefault="003B7F14" w:rsidP="00110195">
            <w:pPr>
              <w:spacing w:after="0" w:line="240" w:lineRule="auto"/>
              <w:rPr>
                <w:rFonts w:ascii="Times New Roman" w:hAnsi="Times New Roman"/>
                <w:sz w:val="20"/>
                <w:szCs w:val="20"/>
              </w:rPr>
            </w:pPr>
            <w:r w:rsidRPr="007E5253">
              <w:rPr>
                <w:rFonts w:ascii="Times New Roman" w:hAnsi="Times New Roman"/>
                <w:sz w:val="20"/>
                <w:szCs w:val="20"/>
              </w:rPr>
              <w:t>Indicateur mesurable mais non sensible au genre</w:t>
            </w:r>
            <w:r w:rsidR="00237D59" w:rsidRPr="007E5253">
              <w:rPr>
                <w:rFonts w:ascii="Times New Roman" w:hAnsi="Times New Roman"/>
                <w:sz w:val="20"/>
                <w:szCs w:val="20"/>
              </w:rPr>
              <w:t> ; Référence et cible non déterminés</w:t>
            </w:r>
          </w:p>
        </w:tc>
        <w:tc>
          <w:tcPr>
            <w:tcW w:w="1985" w:type="dxa"/>
            <w:vMerge/>
            <w:shd w:val="clear" w:color="auto" w:fill="auto"/>
            <w:vAlign w:val="center"/>
          </w:tcPr>
          <w:p w14:paraId="06A9477F" w14:textId="77777777" w:rsidR="00237D59" w:rsidRPr="007E5253" w:rsidRDefault="00237D59" w:rsidP="00785315">
            <w:pPr>
              <w:spacing w:after="0" w:line="240" w:lineRule="auto"/>
              <w:rPr>
                <w:rFonts w:ascii="Times New Roman" w:hAnsi="Times New Roman"/>
                <w:sz w:val="20"/>
                <w:szCs w:val="20"/>
              </w:rPr>
            </w:pPr>
          </w:p>
        </w:tc>
      </w:tr>
      <w:tr w:rsidR="00237D59" w:rsidRPr="006B309F" w14:paraId="68BBE3E8" w14:textId="77777777" w:rsidTr="007E5253">
        <w:tc>
          <w:tcPr>
            <w:tcW w:w="2694" w:type="dxa"/>
            <w:vMerge/>
            <w:shd w:val="clear" w:color="auto" w:fill="F2F2F2" w:themeFill="background1" w:themeFillShade="F2"/>
            <w:vAlign w:val="center"/>
          </w:tcPr>
          <w:p w14:paraId="5B95661E" w14:textId="77777777" w:rsidR="00237D59" w:rsidRPr="006B309F" w:rsidRDefault="00237D59" w:rsidP="00785315">
            <w:pPr>
              <w:spacing w:after="0" w:line="240" w:lineRule="auto"/>
              <w:rPr>
                <w:rFonts w:ascii="Times New Roman" w:hAnsi="Times New Roman"/>
                <w:bCs/>
                <w:sz w:val="20"/>
                <w:szCs w:val="20"/>
              </w:rPr>
            </w:pPr>
          </w:p>
        </w:tc>
        <w:tc>
          <w:tcPr>
            <w:tcW w:w="3827" w:type="dxa"/>
            <w:shd w:val="clear" w:color="auto" w:fill="auto"/>
            <w:vAlign w:val="center"/>
          </w:tcPr>
          <w:p w14:paraId="0D7B6398" w14:textId="77777777" w:rsidR="00237D59" w:rsidRDefault="00237D59" w:rsidP="00785315">
            <w:pPr>
              <w:spacing w:after="0" w:line="240" w:lineRule="auto"/>
              <w:rPr>
                <w:rFonts w:ascii="Times New Roman" w:eastAsia="Times New Roman" w:hAnsi="Times New Roman"/>
                <w:sz w:val="18"/>
                <w:szCs w:val="18"/>
              </w:rPr>
            </w:pPr>
            <w:r w:rsidRPr="0031553B">
              <w:rPr>
                <w:rFonts w:ascii="Times New Roman" w:eastAsia="Times New Roman" w:hAnsi="Times New Roman"/>
                <w:sz w:val="18"/>
                <w:szCs w:val="18"/>
              </w:rPr>
              <w:t>Taux d’insécurité alimentaire</w:t>
            </w:r>
          </w:p>
          <w:p w14:paraId="51A877C3" w14:textId="77777777" w:rsidR="00237D59" w:rsidRPr="00CC779B" w:rsidRDefault="00237D59" w:rsidP="00D76EFA">
            <w:pPr>
              <w:pStyle w:val="Paragraphedeliste"/>
              <w:numPr>
                <w:ilvl w:val="0"/>
                <w:numId w:val="32"/>
              </w:numPr>
              <w:spacing w:after="0" w:line="240" w:lineRule="auto"/>
              <w:rPr>
                <w:rFonts w:ascii="Times New Roman" w:eastAsia="Times New Roman" w:hAnsi="Times New Roman"/>
                <w:sz w:val="18"/>
                <w:szCs w:val="18"/>
              </w:rPr>
            </w:pPr>
            <w:r w:rsidRPr="00CC779B">
              <w:rPr>
                <w:rFonts w:ascii="Times New Roman" w:eastAsia="Times New Roman" w:hAnsi="Times New Roman"/>
                <w:sz w:val="18"/>
                <w:szCs w:val="18"/>
              </w:rPr>
              <w:t>Réf : 29%</w:t>
            </w:r>
          </w:p>
          <w:p w14:paraId="470760DC" w14:textId="77777777" w:rsidR="00237D59" w:rsidRPr="00CC779B" w:rsidRDefault="00237D59" w:rsidP="00D76EFA">
            <w:pPr>
              <w:pStyle w:val="Paragraphedeliste"/>
              <w:numPr>
                <w:ilvl w:val="0"/>
                <w:numId w:val="32"/>
              </w:numPr>
              <w:spacing w:after="0" w:line="240" w:lineRule="auto"/>
              <w:rPr>
                <w:rFonts w:ascii="Times New Roman" w:hAnsi="Times New Roman"/>
                <w:sz w:val="18"/>
                <w:szCs w:val="18"/>
              </w:rPr>
            </w:pPr>
            <w:r w:rsidRPr="00CC779B">
              <w:rPr>
                <w:rFonts w:ascii="Times New Roman" w:eastAsia="Times New Roman" w:hAnsi="Times New Roman"/>
                <w:sz w:val="18"/>
                <w:szCs w:val="18"/>
              </w:rPr>
              <w:t>Cible : 14%</w:t>
            </w:r>
          </w:p>
        </w:tc>
        <w:tc>
          <w:tcPr>
            <w:tcW w:w="2126" w:type="dxa"/>
            <w:shd w:val="clear" w:color="auto" w:fill="auto"/>
            <w:vAlign w:val="center"/>
          </w:tcPr>
          <w:p w14:paraId="011BBCC8" w14:textId="77777777" w:rsidR="00237D59" w:rsidRPr="007E5253" w:rsidRDefault="00237D59" w:rsidP="003B7F14">
            <w:pPr>
              <w:spacing w:after="0" w:line="240" w:lineRule="auto"/>
              <w:rPr>
                <w:rFonts w:ascii="Times New Roman" w:hAnsi="Times New Roman"/>
                <w:sz w:val="20"/>
                <w:szCs w:val="20"/>
              </w:rPr>
            </w:pPr>
            <w:r w:rsidRPr="007E5253">
              <w:rPr>
                <w:rFonts w:ascii="Times New Roman" w:hAnsi="Times New Roman"/>
                <w:sz w:val="20"/>
                <w:szCs w:val="20"/>
              </w:rPr>
              <w:t>Indicateur mesurable, mais non sensible au genre</w:t>
            </w:r>
          </w:p>
        </w:tc>
        <w:tc>
          <w:tcPr>
            <w:tcW w:w="1985" w:type="dxa"/>
            <w:vMerge/>
            <w:shd w:val="clear" w:color="auto" w:fill="auto"/>
            <w:vAlign w:val="center"/>
          </w:tcPr>
          <w:p w14:paraId="2025E481" w14:textId="77777777" w:rsidR="00237D59" w:rsidRPr="007E5253" w:rsidRDefault="00237D59" w:rsidP="00785315">
            <w:pPr>
              <w:spacing w:after="0" w:line="240" w:lineRule="auto"/>
              <w:rPr>
                <w:rFonts w:ascii="Times New Roman" w:hAnsi="Times New Roman"/>
                <w:sz w:val="20"/>
                <w:szCs w:val="20"/>
              </w:rPr>
            </w:pPr>
          </w:p>
        </w:tc>
      </w:tr>
      <w:tr w:rsidR="00237D59" w:rsidRPr="006B309F" w14:paraId="132BAC17" w14:textId="77777777" w:rsidTr="007E5253">
        <w:tc>
          <w:tcPr>
            <w:tcW w:w="2694" w:type="dxa"/>
            <w:vMerge w:val="restart"/>
            <w:shd w:val="clear" w:color="auto" w:fill="F2F2F2" w:themeFill="background1" w:themeFillShade="F2"/>
            <w:vAlign w:val="center"/>
          </w:tcPr>
          <w:p w14:paraId="0B2325B8" w14:textId="77777777" w:rsidR="00237D59" w:rsidRPr="006B309F" w:rsidRDefault="00237D59" w:rsidP="00E35932">
            <w:pPr>
              <w:spacing w:after="0" w:line="240" w:lineRule="auto"/>
              <w:rPr>
                <w:rFonts w:ascii="Times New Roman" w:hAnsi="Times New Roman"/>
                <w:bCs/>
                <w:sz w:val="20"/>
                <w:szCs w:val="20"/>
              </w:rPr>
            </w:pPr>
            <w:r>
              <w:rPr>
                <w:rFonts w:ascii="Times New Roman" w:hAnsi="Times New Roman"/>
                <w:sz w:val="18"/>
                <w:szCs w:val="18"/>
              </w:rPr>
              <w:t>"</w:t>
            </w:r>
            <w:r w:rsidRPr="00297AA0">
              <w:rPr>
                <w:rFonts w:ascii="Times New Roman" w:hAnsi="Times New Roman"/>
                <w:sz w:val="18"/>
                <w:szCs w:val="18"/>
              </w:rPr>
              <w:t>D’ici 2019, l’État et les institutions nationa</w:t>
            </w:r>
            <w:r>
              <w:rPr>
                <w:rFonts w:ascii="Times New Roman" w:hAnsi="Times New Roman"/>
                <w:sz w:val="18"/>
                <w:szCs w:val="18"/>
              </w:rPr>
              <w:t xml:space="preserve">les et locales remplissent plus </w:t>
            </w:r>
            <w:r w:rsidR="003B7F14">
              <w:rPr>
                <w:rFonts w:ascii="Times New Roman" w:hAnsi="Times New Roman"/>
                <w:sz w:val="18"/>
                <w:szCs w:val="18"/>
              </w:rPr>
              <w:t>eff</w:t>
            </w:r>
            <w:r w:rsidRPr="00E35932">
              <w:rPr>
                <w:rFonts w:ascii="Times New Roman" w:hAnsi="Times New Roman"/>
                <w:sz w:val="18"/>
                <w:szCs w:val="18"/>
              </w:rPr>
              <w:t>icacement</w:t>
            </w:r>
            <w:r>
              <w:rPr>
                <w:rFonts w:ascii="Times New Roman" w:hAnsi="Times New Roman"/>
                <w:sz w:val="18"/>
                <w:szCs w:val="18"/>
              </w:rPr>
              <w:t xml:space="preserve"> </w:t>
            </w:r>
            <w:r w:rsidRPr="00297AA0">
              <w:rPr>
                <w:rFonts w:ascii="Times New Roman" w:hAnsi="Times New Roman"/>
                <w:sz w:val="18"/>
                <w:szCs w:val="18"/>
              </w:rPr>
              <w:t>leur mission de service public et les acteurs non étatiques participent à la vie de la nation et exercent un contrôle citoyen dans le respect des principes de la bonne gouvernance et de la primauté du droit</w:t>
            </w:r>
            <w:r>
              <w:rPr>
                <w:rFonts w:ascii="Times New Roman" w:hAnsi="Times New Roman"/>
                <w:sz w:val="18"/>
                <w:szCs w:val="18"/>
              </w:rPr>
              <w:t>."</w:t>
            </w:r>
          </w:p>
        </w:tc>
        <w:tc>
          <w:tcPr>
            <w:tcW w:w="3827" w:type="dxa"/>
            <w:shd w:val="clear" w:color="auto" w:fill="auto"/>
            <w:vAlign w:val="center"/>
          </w:tcPr>
          <w:p w14:paraId="5E6ACB53" w14:textId="77777777" w:rsidR="00237D59" w:rsidRDefault="00237D59" w:rsidP="00785315">
            <w:pPr>
              <w:spacing w:after="0" w:line="240" w:lineRule="auto"/>
              <w:rPr>
                <w:rFonts w:ascii="Times New Roman" w:eastAsia="Times New Roman" w:hAnsi="Times New Roman"/>
                <w:sz w:val="18"/>
                <w:szCs w:val="18"/>
              </w:rPr>
            </w:pPr>
            <w:r w:rsidRPr="00297AA0">
              <w:rPr>
                <w:rFonts w:ascii="Times New Roman" w:eastAsia="Times New Roman" w:hAnsi="Times New Roman"/>
                <w:sz w:val="18"/>
                <w:szCs w:val="18"/>
              </w:rPr>
              <w:t>Index Ibrahim (Score)</w:t>
            </w:r>
          </w:p>
          <w:p w14:paraId="420713EE" w14:textId="77777777" w:rsidR="00237D59" w:rsidRPr="0047344C" w:rsidRDefault="00237D59" w:rsidP="00D76EFA">
            <w:pPr>
              <w:pStyle w:val="Paragraphedeliste"/>
              <w:numPr>
                <w:ilvl w:val="0"/>
                <w:numId w:val="33"/>
              </w:numPr>
              <w:spacing w:after="0" w:line="240" w:lineRule="auto"/>
              <w:rPr>
                <w:rFonts w:ascii="Times New Roman" w:eastAsia="Times New Roman" w:hAnsi="Times New Roman"/>
                <w:sz w:val="18"/>
                <w:szCs w:val="18"/>
              </w:rPr>
            </w:pPr>
            <w:r w:rsidRPr="0047344C">
              <w:rPr>
                <w:rFonts w:ascii="Times New Roman" w:eastAsia="Times New Roman" w:hAnsi="Times New Roman"/>
                <w:sz w:val="18"/>
                <w:szCs w:val="18"/>
              </w:rPr>
              <w:t>Réf : 50,7 (2013)</w:t>
            </w:r>
          </w:p>
          <w:p w14:paraId="24947711" w14:textId="77777777" w:rsidR="00237D59" w:rsidRPr="0047344C" w:rsidRDefault="00237D59" w:rsidP="00D76EFA">
            <w:pPr>
              <w:pStyle w:val="Paragraphedeliste"/>
              <w:numPr>
                <w:ilvl w:val="0"/>
                <w:numId w:val="33"/>
              </w:numPr>
              <w:spacing w:after="0" w:line="240" w:lineRule="auto"/>
              <w:rPr>
                <w:rFonts w:ascii="Times New Roman" w:eastAsia="Times New Roman" w:hAnsi="Times New Roman"/>
                <w:sz w:val="18"/>
                <w:szCs w:val="18"/>
              </w:rPr>
            </w:pPr>
            <w:r w:rsidRPr="0047344C">
              <w:rPr>
                <w:rFonts w:ascii="Times New Roman" w:eastAsia="Times New Roman" w:hAnsi="Times New Roman"/>
                <w:sz w:val="18"/>
                <w:szCs w:val="18"/>
              </w:rPr>
              <w:t>Cible : 55</w:t>
            </w:r>
          </w:p>
        </w:tc>
        <w:tc>
          <w:tcPr>
            <w:tcW w:w="2126" w:type="dxa"/>
            <w:shd w:val="clear" w:color="auto" w:fill="auto"/>
            <w:vAlign w:val="center"/>
          </w:tcPr>
          <w:p w14:paraId="6EA88656" w14:textId="77777777" w:rsidR="00237D59" w:rsidRPr="007E5253" w:rsidRDefault="00237D59" w:rsidP="003B7F14">
            <w:pPr>
              <w:spacing w:after="0" w:line="240" w:lineRule="auto"/>
              <w:rPr>
                <w:rFonts w:ascii="Times New Roman" w:hAnsi="Times New Roman"/>
                <w:sz w:val="20"/>
                <w:szCs w:val="20"/>
              </w:rPr>
            </w:pPr>
            <w:r w:rsidRPr="007E5253">
              <w:rPr>
                <w:rFonts w:ascii="Times New Roman" w:hAnsi="Times New Roman"/>
                <w:sz w:val="20"/>
                <w:szCs w:val="20"/>
              </w:rPr>
              <w:t>Indicateur mesurable, mais non sensible au genre</w:t>
            </w:r>
          </w:p>
        </w:tc>
        <w:tc>
          <w:tcPr>
            <w:tcW w:w="1985" w:type="dxa"/>
            <w:vMerge w:val="restart"/>
            <w:shd w:val="clear" w:color="auto" w:fill="auto"/>
            <w:vAlign w:val="center"/>
          </w:tcPr>
          <w:p w14:paraId="5236962A" w14:textId="77777777" w:rsidR="00237D59" w:rsidRPr="007E5253" w:rsidRDefault="00237D59" w:rsidP="005773E9">
            <w:pPr>
              <w:spacing w:after="0" w:line="240" w:lineRule="auto"/>
              <w:rPr>
                <w:rFonts w:ascii="Times New Roman" w:hAnsi="Times New Roman"/>
                <w:sz w:val="20"/>
                <w:szCs w:val="20"/>
              </w:rPr>
            </w:pPr>
            <w:r w:rsidRPr="007E5253">
              <w:rPr>
                <w:rFonts w:ascii="Times New Roman" w:hAnsi="Times New Roman"/>
                <w:sz w:val="20"/>
                <w:szCs w:val="20"/>
              </w:rPr>
              <w:t xml:space="preserve">Résultat </w:t>
            </w:r>
            <w:r w:rsidR="003B7F14" w:rsidRPr="007E5253">
              <w:rPr>
                <w:rFonts w:ascii="Times New Roman" w:hAnsi="Times New Roman"/>
                <w:sz w:val="20"/>
                <w:szCs w:val="20"/>
              </w:rPr>
              <w:t xml:space="preserve">pertinent au fond, mais techniquement </w:t>
            </w:r>
            <w:r w:rsidRPr="007E5253">
              <w:rPr>
                <w:rFonts w:ascii="Times New Roman" w:hAnsi="Times New Roman"/>
                <w:sz w:val="20"/>
                <w:szCs w:val="20"/>
              </w:rPr>
              <w:t>large, voire vague, non mesurable et non sensible au genre !</w:t>
            </w:r>
          </w:p>
        </w:tc>
      </w:tr>
      <w:tr w:rsidR="00237D59" w:rsidRPr="006B309F" w14:paraId="0EF8BE1F" w14:textId="77777777" w:rsidTr="007E5253">
        <w:tc>
          <w:tcPr>
            <w:tcW w:w="2694" w:type="dxa"/>
            <w:vMerge/>
            <w:shd w:val="clear" w:color="auto" w:fill="F2F2F2" w:themeFill="background1" w:themeFillShade="F2"/>
            <w:vAlign w:val="center"/>
          </w:tcPr>
          <w:p w14:paraId="0D75B83D" w14:textId="77777777" w:rsidR="00237D59" w:rsidRPr="006B309F" w:rsidRDefault="00237D59" w:rsidP="00785315">
            <w:pPr>
              <w:spacing w:after="0" w:line="240" w:lineRule="auto"/>
              <w:rPr>
                <w:rFonts w:ascii="Times New Roman" w:hAnsi="Times New Roman"/>
                <w:bCs/>
                <w:sz w:val="20"/>
                <w:szCs w:val="20"/>
              </w:rPr>
            </w:pPr>
          </w:p>
        </w:tc>
        <w:tc>
          <w:tcPr>
            <w:tcW w:w="3827" w:type="dxa"/>
            <w:shd w:val="clear" w:color="auto" w:fill="auto"/>
            <w:vAlign w:val="center"/>
          </w:tcPr>
          <w:p w14:paraId="7829B361" w14:textId="77777777" w:rsidR="00237D59" w:rsidRDefault="00237D59" w:rsidP="00785315">
            <w:pPr>
              <w:spacing w:after="0" w:line="240" w:lineRule="auto"/>
              <w:rPr>
                <w:rFonts w:ascii="Times New Roman" w:eastAsia="Times New Roman" w:hAnsi="Times New Roman"/>
                <w:sz w:val="18"/>
                <w:szCs w:val="18"/>
              </w:rPr>
            </w:pPr>
            <w:r w:rsidRPr="00297AA0">
              <w:rPr>
                <w:rFonts w:ascii="Times New Roman" w:eastAsia="Times New Roman" w:hAnsi="Times New Roman"/>
                <w:sz w:val="18"/>
                <w:szCs w:val="18"/>
              </w:rPr>
              <w:t>Pourcentage de la population en faveur du processus démocratique</w:t>
            </w:r>
          </w:p>
          <w:p w14:paraId="72D38B6B" w14:textId="77777777" w:rsidR="00237D59" w:rsidRPr="0047344C" w:rsidRDefault="00237D59" w:rsidP="00D76EFA">
            <w:pPr>
              <w:pStyle w:val="Paragraphedeliste"/>
              <w:numPr>
                <w:ilvl w:val="0"/>
                <w:numId w:val="34"/>
              </w:numPr>
              <w:spacing w:after="0" w:line="240" w:lineRule="auto"/>
              <w:rPr>
                <w:rFonts w:ascii="Times New Roman" w:eastAsia="Times New Roman" w:hAnsi="Times New Roman"/>
                <w:sz w:val="18"/>
                <w:szCs w:val="18"/>
              </w:rPr>
            </w:pPr>
            <w:r w:rsidRPr="0047344C">
              <w:rPr>
                <w:rFonts w:ascii="Times New Roman" w:eastAsia="Times New Roman" w:hAnsi="Times New Roman"/>
                <w:sz w:val="18"/>
                <w:szCs w:val="18"/>
              </w:rPr>
              <w:t>Réf :</w:t>
            </w:r>
            <w:r>
              <w:rPr>
                <w:rFonts w:ascii="Times New Roman" w:eastAsia="Times New Roman" w:hAnsi="Times New Roman"/>
                <w:sz w:val="18"/>
                <w:szCs w:val="18"/>
              </w:rPr>
              <w:t xml:space="preserve"> Non disponible</w:t>
            </w:r>
          </w:p>
          <w:p w14:paraId="38987963" w14:textId="77777777" w:rsidR="00237D59" w:rsidRPr="0047344C" w:rsidRDefault="00237D59" w:rsidP="00D76EFA">
            <w:pPr>
              <w:pStyle w:val="Paragraphedeliste"/>
              <w:numPr>
                <w:ilvl w:val="0"/>
                <w:numId w:val="34"/>
              </w:numPr>
              <w:spacing w:after="0" w:line="240" w:lineRule="auto"/>
              <w:rPr>
                <w:rFonts w:ascii="Times New Roman" w:eastAsia="Times New Roman" w:hAnsi="Times New Roman"/>
                <w:sz w:val="18"/>
                <w:szCs w:val="18"/>
              </w:rPr>
            </w:pPr>
            <w:r w:rsidRPr="0047344C">
              <w:rPr>
                <w:rFonts w:ascii="Times New Roman" w:eastAsia="Times New Roman" w:hAnsi="Times New Roman"/>
                <w:sz w:val="18"/>
                <w:szCs w:val="18"/>
              </w:rPr>
              <w:t>Cible :</w:t>
            </w:r>
            <w:r>
              <w:rPr>
                <w:rFonts w:ascii="Times New Roman" w:eastAsia="Times New Roman" w:hAnsi="Times New Roman"/>
                <w:sz w:val="18"/>
                <w:szCs w:val="18"/>
              </w:rPr>
              <w:t xml:space="preserve"> Non déterminé</w:t>
            </w:r>
          </w:p>
        </w:tc>
        <w:tc>
          <w:tcPr>
            <w:tcW w:w="2126" w:type="dxa"/>
            <w:shd w:val="clear" w:color="auto" w:fill="auto"/>
            <w:vAlign w:val="center"/>
          </w:tcPr>
          <w:p w14:paraId="4C75ABFF" w14:textId="77777777" w:rsidR="00237D59" w:rsidRPr="007E5253" w:rsidRDefault="003B7F14" w:rsidP="00110195">
            <w:pPr>
              <w:spacing w:after="0" w:line="240" w:lineRule="auto"/>
              <w:rPr>
                <w:rFonts w:ascii="Times New Roman" w:hAnsi="Times New Roman"/>
                <w:sz w:val="20"/>
                <w:szCs w:val="20"/>
              </w:rPr>
            </w:pPr>
            <w:r w:rsidRPr="007E5253">
              <w:rPr>
                <w:rFonts w:ascii="Times New Roman" w:hAnsi="Times New Roman"/>
                <w:sz w:val="20"/>
                <w:szCs w:val="20"/>
              </w:rPr>
              <w:t xml:space="preserve">Indicateur mesurable, mais non sensible au genre </w:t>
            </w:r>
            <w:r w:rsidR="00237D59" w:rsidRPr="007E5253">
              <w:rPr>
                <w:rFonts w:ascii="Times New Roman" w:hAnsi="Times New Roman"/>
                <w:sz w:val="20"/>
                <w:szCs w:val="20"/>
              </w:rPr>
              <w:t>; Référence et cible non déterminés</w:t>
            </w:r>
          </w:p>
        </w:tc>
        <w:tc>
          <w:tcPr>
            <w:tcW w:w="1985" w:type="dxa"/>
            <w:vMerge/>
            <w:shd w:val="clear" w:color="auto" w:fill="auto"/>
            <w:vAlign w:val="center"/>
          </w:tcPr>
          <w:p w14:paraId="59543817" w14:textId="77777777" w:rsidR="00237D59" w:rsidRPr="007E5253" w:rsidRDefault="00237D59" w:rsidP="00785315">
            <w:pPr>
              <w:spacing w:after="0" w:line="240" w:lineRule="auto"/>
              <w:rPr>
                <w:rFonts w:ascii="Times New Roman" w:hAnsi="Times New Roman"/>
                <w:sz w:val="20"/>
                <w:szCs w:val="20"/>
              </w:rPr>
            </w:pPr>
          </w:p>
        </w:tc>
      </w:tr>
      <w:tr w:rsidR="00237D59" w:rsidRPr="006B309F" w14:paraId="63D1A245" w14:textId="77777777" w:rsidTr="007E5253">
        <w:tc>
          <w:tcPr>
            <w:tcW w:w="2694" w:type="dxa"/>
            <w:vMerge/>
            <w:shd w:val="clear" w:color="auto" w:fill="F2F2F2" w:themeFill="background1" w:themeFillShade="F2"/>
            <w:vAlign w:val="center"/>
          </w:tcPr>
          <w:p w14:paraId="77A27716" w14:textId="77777777" w:rsidR="00237D59" w:rsidRPr="006B309F" w:rsidRDefault="00237D59" w:rsidP="00785315">
            <w:pPr>
              <w:spacing w:after="0" w:line="240" w:lineRule="auto"/>
              <w:rPr>
                <w:rFonts w:ascii="Times New Roman" w:hAnsi="Times New Roman"/>
                <w:bCs/>
                <w:sz w:val="20"/>
                <w:szCs w:val="20"/>
              </w:rPr>
            </w:pPr>
          </w:p>
        </w:tc>
        <w:tc>
          <w:tcPr>
            <w:tcW w:w="3827" w:type="dxa"/>
            <w:shd w:val="clear" w:color="auto" w:fill="auto"/>
            <w:vAlign w:val="center"/>
          </w:tcPr>
          <w:p w14:paraId="2EBF804D" w14:textId="77777777" w:rsidR="00237D59" w:rsidRDefault="00237D59" w:rsidP="00785315">
            <w:pPr>
              <w:spacing w:after="0" w:line="240" w:lineRule="auto"/>
              <w:rPr>
                <w:rFonts w:ascii="Times New Roman" w:eastAsia="Times New Roman" w:hAnsi="Times New Roman"/>
                <w:sz w:val="18"/>
                <w:szCs w:val="18"/>
              </w:rPr>
            </w:pPr>
            <w:r w:rsidRPr="00297AA0">
              <w:rPr>
                <w:rFonts w:ascii="Times New Roman" w:eastAsia="Times New Roman" w:hAnsi="Times New Roman"/>
                <w:sz w:val="18"/>
                <w:szCs w:val="18"/>
              </w:rPr>
              <w:t>Pourcentage de cas traités de violation des droits fondamentaux (par âge, sexe et région)</w:t>
            </w:r>
          </w:p>
          <w:p w14:paraId="03A9E6D0" w14:textId="77777777" w:rsidR="00237D59" w:rsidRPr="0047344C" w:rsidRDefault="00237D59" w:rsidP="00D76EFA">
            <w:pPr>
              <w:pStyle w:val="Paragraphedeliste"/>
              <w:numPr>
                <w:ilvl w:val="0"/>
                <w:numId w:val="35"/>
              </w:numPr>
              <w:spacing w:after="0" w:line="240" w:lineRule="auto"/>
              <w:rPr>
                <w:rFonts w:ascii="Times New Roman" w:eastAsia="Times New Roman" w:hAnsi="Times New Roman"/>
                <w:sz w:val="18"/>
                <w:szCs w:val="18"/>
              </w:rPr>
            </w:pPr>
            <w:r w:rsidRPr="0047344C">
              <w:rPr>
                <w:rFonts w:ascii="Times New Roman" w:eastAsia="Times New Roman" w:hAnsi="Times New Roman"/>
                <w:sz w:val="18"/>
                <w:szCs w:val="18"/>
              </w:rPr>
              <w:t>Réf :</w:t>
            </w:r>
            <w:r>
              <w:rPr>
                <w:rFonts w:ascii="Times New Roman" w:eastAsia="Times New Roman" w:hAnsi="Times New Roman"/>
                <w:sz w:val="18"/>
                <w:szCs w:val="18"/>
              </w:rPr>
              <w:t xml:space="preserve"> Non disponible</w:t>
            </w:r>
          </w:p>
          <w:p w14:paraId="28086F10" w14:textId="77777777" w:rsidR="00237D59" w:rsidRPr="0047344C" w:rsidRDefault="00237D59" w:rsidP="00D76EFA">
            <w:pPr>
              <w:pStyle w:val="Paragraphedeliste"/>
              <w:numPr>
                <w:ilvl w:val="0"/>
                <w:numId w:val="35"/>
              </w:numPr>
              <w:spacing w:after="0" w:line="240" w:lineRule="auto"/>
              <w:rPr>
                <w:rFonts w:ascii="Times New Roman" w:eastAsia="Times New Roman" w:hAnsi="Times New Roman"/>
                <w:sz w:val="18"/>
                <w:szCs w:val="18"/>
              </w:rPr>
            </w:pPr>
            <w:r w:rsidRPr="0047344C">
              <w:rPr>
                <w:rFonts w:ascii="Times New Roman" w:eastAsia="Times New Roman" w:hAnsi="Times New Roman"/>
                <w:sz w:val="18"/>
                <w:szCs w:val="18"/>
              </w:rPr>
              <w:t>Cible :</w:t>
            </w:r>
            <w:r>
              <w:rPr>
                <w:rFonts w:ascii="Times New Roman" w:eastAsia="Times New Roman" w:hAnsi="Times New Roman"/>
                <w:sz w:val="18"/>
                <w:szCs w:val="18"/>
              </w:rPr>
              <w:t xml:space="preserve"> Non déterminé</w:t>
            </w:r>
          </w:p>
        </w:tc>
        <w:tc>
          <w:tcPr>
            <w:tcW w:w="2126" w:type="dxa"/>
            <w:shd w:val="clear" w:color="auto" w:fill="auto"/>
            <w:vAlign w:val="center"/>
          </w:tcPr>
          <w:p w14:paraId="669986D0" w14:textId="77777777" w:rsidR="00237D59" w:rsidRPr="007E5253" w:rsidRDefault="00237D59" w:rsidP="00110195">
            <w:pPr>
              <w:spacing w:after="0" w:line="240" w:lineRule="auto"/>
              <w:rPr>
                <w:rFonts w:ascii="Times New Roman" w:hAnsi="Times New Roman"/>
                <w:sz w:val="20"/>
                <w:szCs w:val="20"/>
              </w:rPr>
            </w:pPr>
            <w:r w:rsidRPr="007E5253">
              <w:rPr>
                <w:rFonts w:ascii="Times New Roman" w:hAnsi="Times New Roman"/>
                <w:sz w:val="20"/>
                <w:szCs w:val="20"/>
              </w:rPr>
              <w:t>Indicateur mesurable et sexo-spécifique ; Référence et cible non déterminés</w:t>
            </w:r>
          </w:p>
        </w:tc>
        <w:tc>
          <w:tcPr>
            <w:tcW w:w="1985" w:type="dxa"/>
            <w:vMerge/>
            <w:shd w:val="clear" w:color="auto" w:fill="auto"/>
            <w:vAlign w:val="center"/>
          </w:tcPr>
          <w:p w14:paraId="2AD5B6C6" w14:textId="77777777" w:rsidR="00237D59" w:rsidRPr="007E5253" w:rsidRDefault="00237D59" w:rsidP="00785315">
            <w:pPr>
              <w:spacing w:after="0" w:line="240" w:lineRule="auto"/>
              <w:rPr>
                <w:rFonts w:ascii="Times New Roman" w:hAnsi="Times New Roman"/>
                <w:sz w:val="20"/>
                <w:szCs w:val="20"/>
              </w:rPr>
            </w:pPr>
          </w:p>
        </w:tc>
      </w:tr>
      <w:tr w:rsidR="00237D59" w:rsidRPr="006B309F" w14:paraId="5493BC79" w14:textId="77777777" w:rsidTr="007E5253">
        <w:tc>
          <w:tcPr>
            <w:tcW w:w="2694" w:type="dxa"/>
            <w:vMerge/>
            <w:shd w:val="clear" w:color="auto" w:fill="F2F2F2" w:themeFill="background1" w:themeFillShade="F2"/>
            <w:vAlign w:val="center"/>
          </w:tcPr>
          <w:p w14:paraId="7C4B10D2" w14:textId="77777777" w:rsidR="00237D59" w:rsidRPr="006B309F" w:rsidRDefault="00237D59" w:rsidP="00785315">
            <w:pPr>
              <w:spacing w:after="0" w:line="240" w:lineRule="auto"/>
              <w:rPr>
                <w:rFonts w:ascii="Times New Roman" w:hAnsi="Times New Roman"/>
                <w:sz w:val="20"/>
                <w:szCs w:val="20"/>
              </w:rPr>
            </w:pPr>
          </w:p>
        </w:tc>
        <w:tc>
          <w:tcPr>
            <w:tcW w:w="3827" w:type="dxa"/>
            <w:shd w:val="clear" w:color="auto" w:fill="auto"/>
            <w:vAlign w:val="center"/>
          </w:tcPr>
          <w:p w14:paraId="66D14DBC" w14:textId="77777777" w:rsidR="00237D59" w:rsidRDefault="00237D59" w:rsidP="00785315">
            <w:pPr>
              <w:spacing w:after="0" w:line="240" w:lineRule="auto"/>
              <w:rPr>
                <w:rFonts w:ascii="Times New Roman" w:eastAsia="Times New Roman" w:hAnsi="Times New Roman"/>
                <w:sz w:val="18"/>
                <w:szCs w:val="18"/>
              </w:rPr>
            </w:pPr>
            <w:r w:rsidRPr="00297AA0">
              <w:rPr>
                <w:rFonts w:ascii="Times New Roman" w:eastAsia="Times New Roman" w:hAnsi="Times New Roman"/>
                <w:sz w:val="18"/>
                <w:szCs w:val="18"/>
              </w:rPr>
              <w:t>Taux de participation électorale (femmes, etc.)</w:t>
            </w:r>
          </w:p>
          <w:p w14:paraId="06A01279" w14:textId="77777777" w:rsidR="00237D59" w:rsidRPr="0047344C" w:rsidRDefault="00237D59" w:rsidP="00D76EFA">
            <w:pPr>
              <w:pStyle w:val="Paragraphedeliste"/>
              <w:numPr>
                <w:ilvl w:val="0"/>
                <w:numId w:val="36"/>
              </w:numPr>
              <w:spacing w:after="0" w:line="240" w:lineRule="auto"/>
              <w:rPr>
                <w:rFonts w:ascii="Times New Roman" w:eastAsia="Times New Roman" w:hAnsi="Times New Roman"/>
                <w:sz w:val="18"/>
                <w:szCs w:val="18"/>
              </w:rPr>
            </w:pPr>
            <w:r w:rsidRPr="0047344C">
              <w:rPr>
                <w:rFonts w:ascii="Times New Roman" w:eastAsia="Times New Roman" w:hAnsi="Times New Roman"/>
                <w:sz w:val="18"/>
                <w:szCs w:val="18"/>
              </w:rPr>
              <w:t>Réf : 40%</w:t>
            </w:r>
          </w:p>
          <w:p w14:paraId="45F15205" w14:textId="77777777" w:rsidR="00237D59" w:rsidRPr="0047344C" w:rsidRDefault="00237D59" w:rsidP="00D76EFA">
            <w:pPr>
              <w:pStyle w:val="Paragraphedeliste"/>
              <w:numPr>
                <w:ilvl w:val="0"/>
                <w:numId w:val="36"/>
              </w:numPr>
              <w:spacing w:after="0" w:line="240" w:lineRule="auto"/>
              <w:rPr>
                <w:rFonts w:ascii="Times New Roman" w:eastAsia="Times New Roman" w:hAnsi="Times New Roman"/>
                <w:sz w:val="18"/>
                <w:szCs w:val="18"/>
              </w:rPr>
            </w:pPr>
            <w:r w:rsidRPr="0047344C">
              <w:rPr>
                <w:rFonts w:ascii="Times New Roman" w:eastAsia="Times New Roman" w:hAnsi="Times New Roman"/>
                <w:sz w:val="18"/>
                <w:szCs w:val="18"/>
              </w:rPr>
              <w:t>Cible : 50%</w:t>
            </w:r>
          </w:p>
        </w:tc>
        <w:tc>
          <w:tcPr>
            <w:tcW w:w="2126" w:type="dxa"/>
            <w:shd w:val="clear" w:color="auto" w:fill="auto"/>
            <w:vAlign w:val="center"/>
          </w:tcPr>
          <w:p w14:paraId="55E46E25" w14:textId="77777777" w:rsidR="00237D59" w:rsidRPr="007E5253" w:rsidRDefault="00237D59" w:rsidP="005773E9">
            <w:pPr>
              <w:spacing w:after="0" w:line="240" w:lineRule="auto"/>
              <w:rPr>
                <w:rFonts w:ascii="Times New Roman" w:hAnsi="Times New Roman"/>
                <w:sz w:val="20"/>
                <w:szCs w:val="20"/>
              </w:rPr>
            </w:pPr>
            <w:r w:rsidRPr="007E5253">
              <w:rPr>
                <w:rFonts w:ascii="Times New Roman" w:hAnsi="Times New Roman"/>
                <w:sz w:val="20"/>
                <w:szCs w:val="20"/>
              </w:rPr>
              <w:t>Indicateur mesurable et sexo-spécifique ; Référence et cible non déterminés</w:t>
            </w:r>
          </w:p>
        </w:tc>
        <w:tc>
          <w:tcPr>
            <w:tcW w:w="1985" w:type="dxa"/>
            <w:vMerge/>
            <w:shd w:val="clear" w:color="auto" w:fill="auto"/>
            <w:vAlign w:val="center"/>
          </w:tcPr>
          <w:p w14:paraId="37626399" w14:textId="77777777" w:rsidR="00237D59" w:rsidRPr="007E5253" w:rsidRDefault="00237D59" w:rsidP="00785315">
            <w:pPr>
              <w:spacing w:after="0" w:line="240" w:lineRule="auto"/>
              <w:rPr>
                <w:rFonts w:ascii="Times New Roman" w:hAnsi="Times New Roman"/>
                <w:sz w:val="20"/>
                <w:szCs w:val="20"/>
              </w:rPr>
            </w:pPr>
          </w:p>
        </w:tc>
      </w:tr>
      <w:tr w:rsidR="00237D59" w:rsidRPr="006B309F" w14:paraId="443A9044" w14:textId="77777777" w:rsidTr="007E5253">
        <w:tc>
          <w:tcPr>
            <w:tcW w:w="2694" w:type="dxa"/>
            <w:vMerge/>
            <w:shd w:val="clear" w:color="auto" w:fill="F2F2F2" w:themeFill="background1" w:themeFillShade="F2"/>
            <w:vAlign w:val="center"/>
          </w:tcPr>
          <w:p w14:paraId="42B24A45" w14:textId="77777777" w:rsidR="00237D59" w:rsidRPr="006B309F" w:rsidRDefault="00237D59" w:rsidP="00785315">
            <w:pPr>
              <w:spacing w:after="0" w:line="240" w:lineRule="auto"/>
              <w:rPr>
                <w:rFonts w:ascii="Times New Roman" w:hAnsi="Times New Roman"/>
                <w:sz w:val="20"/>
                <w:szCs w:val="20"/>
              </w:rPr>
            </w:pPr>
          </w:p>
        </w:tc>
        <w:tc>
          <w:tcPr>
            <w:tcW w:w="3827" w:type="dxa"/>
            <w:shd w:val="clear" w:color="auto" w:fill="auto"/>
            <w:vAlign w:val="center"/>
          </w:tcPr>
          <w:p w14:paraId="4CD80A83" w14:textId="77777777" w:rsidR="00237D59" w:rsidRDefault="00237D59" w:rsidP="00785315">
            <w:pPr>
              <w:spacing w:after="0" w:line="240" w:lineRule="auto"/>
              <w:ind w:right="340"/>
              <w:rPr>
                <w:rFonts w:ascii="Times New Roman" w:eastAsia="Times New Roman" w:hAnsi="Times New Roman"/>
                <w:sz w:val="18"/>
                <w:szCs w:val="18"/>
              </w:rPr>
            </w:pPr>
            <w:r w:rsidRPr="00297AA0">
              <w:rPr>
                <w:rFonts w:ascii="Times New Roman" w:eastAsia="Times New Roman" w:hAnsi="Times New Roman"/>
                <w:sz w:val="18"/>
                <w:szCs w:val="18"/>
              </w:rPr>
              <w:t>Pourcentage du budget national transféré aux autorités locales</w:t>
            </w:r>
          </w:p>
          <w:p w14:paraId="17182E71" w14:textId="77777777" w:rsidR="00237D59" w:rsidRPr="0047344C" w:rsidRDefault="00237D59" w:rsidP="00D76EFA">
            <w:pPr>
              <w:pStyle w:val="Paragraphedeliste"/>
              <w:numPr>
                <w:ilvl w:val="0"/>
                <w:numId w:val="37"/>
              </w:numPr>
              <w:spacing w:after="0" w:line="240" w:lineRule="auto"/>
              <w:ind w:right="340"/>
              <w:rPr>
                <w:rFonts w:ascii="Times New Roman" w:eastAsia="Times New Roman" w:hAnsi="Times New Roman"/>
                <w:sz w:val="18"/>
                <w:szCs w:val="18"/>
              </w:rPr>
            </w:pPr>
            <w:r w:rsidRPr="0047344C">
              <w:rPr>
                <w:rFonts w:ascii="Times New Roman" w:eastAsia="Times New Roman" w:hAnsi="Times New Roman"/>
                <w:sz w:val="18"/>
                <w:szCs w:val="18"/>
              </w:rPr>
              <w:t>Réf : 3,1%</w:t>
            </w:r>
          </w:p>
          <w:p w14:paraId="15BA5947" w14:textId="77777777" w:rsidR="00237D59" w:rsidRPr="0047344C" w:rsidRDefault="00237D59" w:rsidP="00D76EFA">
            <w:pPr>
              <w:pStyle w:val="Paragraphedeliste"/>
              <w:numPr>
                <w:ilvl w:val="0"/>
                <w:numId w:val="37"/>
              </w:numPr>
              <w:spacing w:after="0" w:line="240" w:lineRule="auto"/>
              <w:ind w:right="340"/>
              <w:rPr>
                <w:rFonts w:ascii="Times New Roman" w:eastAsia="Times New Roman" w:hAnsi="Times New Roman"/>
                <w:sz w:val="18"/>
                <w:szCs w:val="18"/>
              </w:rPr>
            </w:pPr>
            <w:r w:rsidRPr="0047344C">
              <w:rPr>
                <w:rFonts w:ascii="Times New Roman" w:eastAsia="Times New Roman" w:hAnsi="Times New Roman"/>
                <w:sz w:val="18"/>
                <w:szCs w:val="18"/>
              </w:rPr>
              <w:t>Cible : 5%</w:t>
            </w:r>
          </w:p>
        </w:tc>
        <w:tc>
          <w:tcPr>
            <w:tcW w:w="2126" w:type="dxa"/>
            <w:shd w:val="clear" w:color="auto" w:fill="auto"/>
            <w:vAlign w:val="center"/>
          </w:tcPr>
          <w:p w14:paraId="28FFC36C" w14:textId="77777777" w:rsidR="00237D59" w:rsidRPr="005773E9" w:rsidRDefault="00237D59" w:rsidP="00785315">
            <w:pPr>
              <w:spacing w:after="0" w:line="240" w:lineRule="auto"/>
              <w:rPr>
                <w:rFonts w:ascii="Times New Roman" w:hAnsi="Times New Roman"/>
                <w:sz w:val="20"/>
                <w:szCs w:val="20"/>
              </w:rPr>
            </w:pPr>
            <w:r w:rsidRPr="005773E9">
              <w:rPr>
                <w:rFonts w:ascii="Times New Roman" w:hAnsi="Times New Roman"/>
                <w:sz w:val="20"/>
                <w:szCs w:val="20"/>
              </w:rPr>
              <w:t>Indicateur mesurable mais non sensible au genre</w:t>
            </w:r>
          </w:p>
        </w:tc>
        <w:tc>
          <w:tcPr>
            <w:tcW w:w="1985" w:type="dxa"/>
            <w:vMerge/>
            <w:shd w:val="clear" w:color="auto" w:fill="auto"/>
            <w:vAlign w:val="center"/>
          </w:tcPr>
          <w:p w14:paraId="76F8DCC6" w14:textId="77777777" w:rsidR="00237D59" w:rsidRPr="006B309F" w:rsidRDefault="00237D59" w:rsidP="00785315">
            <w:pPr>
              <w:spacing w:after="0" w:line="240" w:lineRule="auto"/>
              <w:rPr>
                <w:rFonts w:ascii="Times New Roman" w:hAnsi="Times New Roman"/>
                <w:sz w:val="20"/>
                <w:szCs w:val="20"/>
              </w:rPr>
            </w:pPr>
          </w:p>
        </w:tc>
      </w:tr>
      <w:tr w:rsidR="00237D59" w:rsidRPr="006B309F" w14:paraId="376F9986" w14:textId="77777777" w:rsidTr="007E5253">
        <w:tc>
          <w:tcPr>
            <w:tcW w:w="2694" w:type="dxa"/>
            <w:vMerge w:val="restart"/>
            <w:shd w:val="clear" w:color="auto" w:fill="F2F2F2" w:themeFill="background1" w:themeFillShade="F2"/>
            <w:vAlign w:val="center"/>
          </w:tcPr>
          <w:p w14:paraId="15BD4FC1" w14:textId="77777777" w:rsidR="00237D59" w:rsidRPr="006B309F" w:rsidRDefault="00237D59" w:rsidP="00785315">
            <w:pPr>
              <w:spacing w:after="0" w:line="240" w:lineRule="auto"/>
              <w:rPr>
                <w:rFonts w:ascii="Times New Roman" w:hAnsi="Times New Roman"/>
                <w:sz w:val="20"/>
                <w:szCs w:val="20"/>
              </w:rPr>
            </w:pPr>
            <w:r>
              <w:rPr>
                <w:rFonts w:ascii="Times New Roman" w:hAnsi="Times New Roman"/>
                <w:sz w:val="18"/>
                <w:szCs w:val="18"/>
              </w:rPr>
              <w:t>"</w:t>
            </w:r>
            <w:r w:rsidRPr="00297AA0">
              <w:rPr>
                <w:rFonts w:ascii="Times New Roman" w:hAnsi="Times New Roman"/>
                <w:sz w:val="18"/>
                <w:szCs w:val="18"/>
              </w:rPr>
              <w:t xml:space="preserve">D’ici à 2019, les communautés, en particulier les plus vulnérables et celles touchées par la crise, pourront accéder à des soins de santé de base de qualité et en </w:t>
            </w:r>
            <w:r w:rsidRPr="00297AA0">
              <w:rPr>
                <w:rFonts w:ascii="Times New Roman" w:hAnsi="Times New Roman"/>
                <w:sz w:val="18"/>
                <w:szCs w:val="18"/>
              </w:rPr>
              <w:lastRenderedPageBreak/>
              <w:t>bénéficier plus facilement et sur un pied d’égalité</w:t>
            </w:r>
            <w:r>
              <w:rPr>
                <w:rFonts w:ascii="Times New Roman" w:hAnsi="Times New Roman"/>
                <w:sz w:val="18"/>
                <w:szCs w:val="18"/>
              </w:rPr>
              <w:t>."</w:t>
            </w:r>
          </w:p>
        </w:tc>
        <w:tc>
          <w:tcPr>
            <w:tcW w:w="3827" w:type="dxa"/>
            <w:shd w:val="clear" w:color="auto" w:fill="auto"/>
            <w:vAlign w:val="center"/>
          </w:tcPr>
          <w:p w14:paraId="1AA96ACB" w14:textId="77777777" w:rsidR="00237D59" w:rsidRDefault="00237D59" w:rsidP="00785315">
            <w:pPr>
              <w:spacing w:after="0" w:line="240" w:lineRule="auto"/>
              <w:rPr>
                <w:rFonts w:ascii="Times New Roman" w:eastAsia="Times New Roman" w:hAnsi="Times New Roman"/>
                <w:sz w:val="18"/>
                <w:szCs w:val="18"/>
              </w:rPr>
            </w:pPr>
            <w:r w:rsidRPr="0047344C">
              <w:rPr>
                <w:rFonts w:ascii="Times New Roman" w:eastAsia="Times New Roman" w:hAnsi="Times New Roman"/>
                <w:sz w:val="18"/>
                <w:szCs w:val="18"/>
              </w:rPr>
              <w:lastRenderedPageBreak/>
              <w:t>Taux de mortalité maternelle</w:t>
            </w:r>
          </w:p>
          <w:p w14:paraId="7072B2C1" w14:textId="77777777" w:rsidR="00237D59" w:rsidRPr="00992E21" w:rsidRDefault="00237D59" w:rsidP="00D76EFA">
            <w:pPr>
              <w:pStyle w:val="Paragraphedeliste"/>
              <w:numPr>
                <w:ilvl w:val="0"/>
                <w:numId w:val="38"/>
              </w:numPr>
              <w:spacing w:after="0" w:line="240" w:lineRule="auto"/>
              <w:rPr>
                <w:rFonts w:ascii="Times New Roman" w:eastAsia="Times New Roman" w:hAnsi="Times New Roman"/>
                <w:sz w:val="18"/>
                <w:szCs w:val="18"/>
              </w:rPr>
            </w:pPr>
            <w:r w:rsidRPr="00992E21">
              <w:rPr>
                <w:rFonts w:ascii="Times New Roman" w:eastAsia="Times New Roman" w:hAnsi="Times New Roman"/>
                <w:sz w:val="18"/>
                <w:szCs w:val="18"/>
              </w:rPr>
              <w:t>Réf : 368 décès maternels pour 100 000 naissances vivantes</w:t>
            </w:r>
          </w:p>
          <w:p w14:paraId="7B407B1D" w14:textId="77777777" w:rsidR="00237D59" w:rsidRPr="00992E21" w:rsidRDefault="00237D59" w:rsidP="00D76EFA">
            <w:pPr>
              <w:pStyle w:val="Paragraphedeliste"/>
              <w:numPr>
                <w:ilvl w:val="0"/>
                <w:numId w:val="38"/>
              </w:numPr>
              <w:spacing w:after="0" w:line="240" w:lineRule="auto"/>
              <w:rPr>
                <w:rFonts w:ascii="Times New Roman" w:eastAsia="Times New Roman" w:hAnsi="Times New Roman"/>
                <w:sz w:val="18"/>
                <w:szCs w:val="18"/>
              </w:rPr>
            </w:pPr>
            <w:r w:rsidRPr="00992E21">
              <w:rPr>
                <w:rFonts w:ascii="Times New Roman" w:eastAsia="Times New Roman" w:hAnsi="Times New Roman"/>
                <w:sz w:val="18"/>
                <w:szCs w:val="18"/>
              </w:rPr>
              <w:t>Cible : 230 décès maternels pour 100 000 naissances vivantes</w:t>
            </w:r>
          </w:p>
        </w:tc>
        <w:tc>
          <w:tcPr>
            <w:tcW w:w="2126" w:type="dxa"/>
            <w:shd w:val="clear" w:color="auto" w:fill="auto"/>
            <w:vAlign w:val="center"/>
          </w:tcPr>
          <w:p w14:paraId="73C0020A" w14:textId="77777777" w:rsidR="00237D59" w:rsidRPr="005773E9" w:rsidRDefault="00237D59" w:rsidP="00785315">
            <w:pPr>
              <w:spacing w:after="0" w:line="240" w:lineRule="auto"/>
              <w:rPr>
                <w:rFonts w:ascii="Times New Roman" w:hAnsi="Times New Roman"/>
                <w:sz w:val="20"/>
                <w:szCs w:val="20"/>
              </w:rPr>
            </w:pPr>
            <w:r w:rsidRPr="005773E9">
              <w:rPr>
                <w:rFonts w:ascii="Times New Roman" w:hAnsi="Times New Roman"/>
                <w:sz w:val="20"/>
                <w:szCs w:val="20"/>
              </w:rPr>
              <w:t>Indicateur mesurable et sexo-spécifique</w:t>
            </w:r>
          </w:p>
        </w:tc>
        <w:tc>
          <w:tcPr>
            <w:tcW w:w="1985" w:type="dxa"/>
            <w:vMerge w:val="restart"/>
            <w:shd w:val="clear" w:color="auto" w:fill="auto"/>
            <w:vAlign w:val="center"/>
          </w:tcPr>
          <w:p w14:paraId="281B393D" w14:textId="77777777" w:rsidR="00237D59" w:rsidRPr="006B309F" w:rsidRDefault="003B7F14" w:rsidP="005773E9">
            <w:pPr>
              <w:spacing w:after="0" w:line="240" w:lineRule="auto"/>
              <w:rPr>
                <w:rFonts w:ascii="Times New Roman" w:hAnsi="Times New Roman"/>
                <w:sz w:val="20"/>
                <w:szCs w:val="20"/>
              </w:rPr>
            </w:pPr>
            <w:r>
              <w:rPr>
                <w:rFonts w:ascii="Times New Roman" w:hAnsi="Times New Roman"/>
                <w:sz w:val="20"/>
                <w:szCs w:val="20"/>
              </w:rPr>
              <w:t xml:space="preserve">Résultat pertinent au fond, mais techniquement </w:t>
            </w:r>
            <w:r w:rsidR="00237D59">
              <w:rPr>
                <w:rFonts w:ascii="Times New Roman" w:hAnsi="Times New Roman"/>
                <w:sz w:val="20"/>
                <w:szCs w:val="20"/>
              </w:rPr>
              <w:t xml:space="preserve"> large, voire vague, non </w:t>
            </w:r>
            <w:r w:rsidR="00237D59">
              <w:rPr>
                <w:rFonts w:ascii="Times New Roman" w:hAnsi="Times New Roman"/>
                <w:sz w:val="20"/>
                <w:szCs w:val="20"/>
              </w:rPr>
              <w:lastRenderedPageBreak/>
              <w:t>mesurable et non sensible au genre !</w:t>
            </w:r>
          </w:p>
        </w:tc>
      </w:tr>
      <w:tr w:rsidR="00237D59" w:rsidRPr="006B309F" w14:paraId="2D85328D" w14:textId="77777777" w:rsidTr="007E5253">
        <w:tc>
          <w:tcPr>
            <w:tcW w:w="2694" w:type="dxa"/>
            <w:vMerge/>
            <w:shd w:val="clear" w:color="auto" w:fill="F2F2F2" w:themeFill="background1" w:themeFillShade="F2"/>
            <w:vAlign w:val="center"/>
          </w:tcPr>
          <w:p w14:paraId="4F6184A4" w14:textId="77777777" w:rsidR="00237D59" w:rsidRPr="006B309F" w:rsidRDefault="00237D59" w:rsidP="00785315">
            <w:pPr>
              <w:spacing w:after="0" w:line="240" w:lineRule="auto"/>
              <w:rPr>
                <w:rFonts w:ascii="Times New Roman" w:hAnsi="Times New Roman"/>
                <w:sz w:val="20"/>
                <w:szCs w:val="20"/>
              </w:rPr>
            </w:pPr>
          </w:p>
        </w:tc>
        <w:tc>
          <w:tcPr>
            <w:tcW w:w="3827" w:type="dxa"/>
            <w:shd w:val="clear" w:color="auto" w:fill="auto"/>
            <w:vAlign w:val="center"/>
          </w:tcPr>
          <w:p w14:paraId="6B2A750C" w14:textId="77777777" w:rsidR="00237D59" w:rsidRDefault="00237D59" w:rsidP="00785315">
            <w:pPr>
              <w:spacing w:after="0" w:line="240" w:lineRule="auto"/>
              <w:rPr>
                <w:rFonts w:ascii="Times New Roman" w:eastAsia="Times New Roman" w:hAnsi="Times New Roman"/>
                <w:sz w:val="18"/>
                <w:szCs w:val="18"/>
              </w:rPr>
            </w:pPr>
            <w:r w:rsidRPr="0047344C">
              <w:rPr>
                <w:rFonts w:ascii="Times New Roman" w:eastAsia="Times New Roman" w:hAnsi="Times New Roman"/>
                <w:sz w:val="18"/>
                <w:szCs w:val="18"/>
              </w:rPr>
              <w:t>Prévalence de la contraception</w:t>
            </w:r>
          </w:p>
          <w:p w14:paraId="56D935A9" w14:textId="77777777" w:rsidR="00237D59" w:rsidRPr="00992E21" w:rsidRDefault="00237D59" w:rsidP="00D76EFA">
            <w:pPr>
              <w:pStyle w:val="Paragraphedeliste"/>
              <w:numPr>
                <w:ilvl w:val="0"/>
                <w:numId w:val="39"/>
              </w:numPr>
              <w:spacing w:after="0" w:line="240" w:lineRule="auto"/>
              <w:rPr>
                <w:rFonts w:ascii="Times New Roman" w:eastAsia="Times New Roman" w:hAnsi="Times New Roman"/>
                <w:sz w:val="18"/>
                <w:szCs w:val="18"/>
              </w:rPr>
            </w:pPr>
            <w:r w:rsidRPr="00992E21">
              <w:rPr>
                <w:rFonts w:ascii="Times New Roman" w:eastAsia="Times New Roman" w:hAnsi="Times New Roman"/>
                <w:sz w:val="18"/>
                <w:szCs w:val="18"/>
              </w:rPr>
              <w:t>Réf : 10 % en 2012-13</w:t>
            </w:r>
          </w:p>
          <w:p w14:paraId="65EC683D" w14:textId="77777777" w:rsidR="00237D59" w:rsidRPr="00992E21" w:rsidRDefault="00237D59" w:rsidP="00D76EFA">
            <w:pPr>
              <w:pStyle w:val="Paragraphedeliste"/>
              <w:numPr>
                <w:ilvl w:val="0"/>
                <w:numId w:val="39"/>
              </w:numPr>
              <w:spacing w:after="0" w:line="240" w:lineRule="auto"/>
              <w:rPr>
                <w:rFonts w:ascii="Times New Roman" w:eastAsia="Times New Roman" w:hAnsi="Times New Roman"/>
                <w:sz w:val="18"/>
                <w:szCs w:val="18"/>
              </w:rPr>
            </w:pPr>
            <w:r w:rsidRPr="00992E21">
              <w:rPr>
                <w:rFonts w:ascii="Times New Roman" w:eastAsia="Times New Roman" w:hAnsi="Times New Roman"/>
                <w:sz w:val="18"/>
                <w:szCs w:val="18"/>
              </w:rPr>
              <w:t>Cible : 15 %</w:t>
            </w:r>
          </w:p>
        </w:tc>
        <w:tc>
          <w:tcPr>
            <w:tcW w:w="2126" w:type="dxa"/>
            <w:shd w:val="clear" w:color="auto" w:fill="auto"/>
            <w:vAlign w:val="center"/>
          </w:tcPr>
          <w:p w14:paraId="3967CFD1" w14:textId="77777777" w:rsidR="00237D59" w:rsidRPr="005773E9" w:rsidRDefault="00237D59" w:rsidP="00785315">
            <w:pPr>
              <w:spacing w:after="0" w:line="240" w:lineRule="auto"/>
              <w:rPr>
                <w:rFonts w:ascii="Times New Roman" w:hAnsi="Times New Roman"/>
                <w:sz w:val="20"/>
                <w:szCs w:val="20"/>
              </w:rPr>
            </w:pPr>
            <w:r w:rsidRPr="005773E9">
              <w:rPr>
                <w:rFonts w:ascii="Times New Roman" w:hAnsi="Times New Roman"/>
                <w:sz w:val="20"/>
                <w:szCs w:val="20"/>
              </w:rPr>
              <w:t>Indicateur mesurable, mais non sensible au genre</w:t>
            </w:r>
          </w:p>
        </w:tc>
        <w:tc>
          <w:tcPr>
            <w:tcW w:w="1985" w:type="dxa"/>
            <w:vMerge/>
            <w:shd w:val="clear" w:color="auto" w:fill="auto"/>
            <w:vAlign w:val="center"/>
          </w:tcPr>
          <w:p w14:paraId="5E9C4EBB" w14:textId="77777777" w:rsidR="00237D59" w:rsidRPr="006B309F" w:rsidRDefault="00237D59" w:rsidP="00785315">
            <w:pPr>
              <w:spacing w:after="0" w:line="240" w:lineRule="auto"/>
              <w:rPr>
                <w:rFonts w:ascii="Times New Roman" w:hAnsi="Times New Roman"/>
                <w:sz w:val="20"/>
                <w:szCs w:val="20"/>
              </w:rPr>
            </w:pPr>
          </w:p>
        </w:tc>
      </w:tr>
      <w:tr w:rsidR="00237D59" w:rsidRPr="006B309F" w14:paraId="2ED684E7" w14:textId="77777777" w:rsidTr="007E5253">
        <w:tc>
          <w:tcPr>
            <w:tcW w:w="2694" w:type="dxa"/>
            <w:vMerge/>
            <w:shd w:val="clear" w:color="auto" w:fill="F2F2F2" w:themeFill="background1" w:themeFillShade="F2"/>
            <w:vAlign w:val="center"/>
          </w:tcPr>
          <w:p w14:paraId="69F12429" w14:textId="77777777" w:rsidR="00237D59" w:rsidRPr="006B309F" w:rsidRDefault="00237D59" w:rsidP="00785315">
            <w:pPr>
              <w:spacing w:after="0" w:line="240" w:lineRule="auto"/>
              <w:rPr>
                <w:rFonts w:ascii="Times New Roman" w:hAnsi="Times New Roman"/>
                <w:sz w:val="20"/>
                <w:szCs w:val="20"/>
              </w:rPr>
            </w:pPr>
          </w:p>
        </w:tc>
        <w:tc>
          <w:tcPr>
            <w:tcW w:w="3827" w:type="dxa"/>
            <w:shd w:val="clear" w:color="auto" w:fill="auto"/>
            <w:vAlign w:val="center"/>
          </w:tcPr>
          <w:p w14:paraId="63052A09" w14:textId="77777777" w:rsidR="00237D59" w:rsidRDefault="00237D59" w:rsidP="00785315">
            <w:pPr>
              <w:spacing w:after="0" w:line="240" w:lineRule="auto"/>
              <w:rPr>
                <w:rFonts w:ascii="Times New Roman" w:eastAsia="Times New Roman" w:hAnsi="Times New Roman"/>
                <w:sz w:val="18"/>
                <w:szCs w:val="18"/>
              </w:rPr>
            </w:pPr>
            <w:r w:rsidRPr="0047344C">
              <w:rPr>
                <w:rFonts w:ascii="Times New Roman" w:eastAsia="Times New Roman" w:hAnsi="Times New Roman"/>
                <w:sz w:val="18"/>
                <w:szCs w:val="18"/>
              </w:rPr>
              <w:t>Pourcentage d’accouchements assistés par du personnel de santé qualifié</w:t>
            </w:r>
          </w:p>
          <w:p w14:paraId="582A7FBF" w14:textId="77777777" w:rsidR="00237D59" w:rsidRPr="00992E21" w:rsidRDefault="00237D59" w:rsidP="00D76EFA">
            <w:pPr>
              <w:pStyle w:val="Paragraphedeliste"/>
              <w:numPr>
                <w:ilvl w:val="0"/>
                <w:numId w:val="40"/>
              </w:numPr>
              <w:spacing w:after="0" w:line="240" w:lineRule="auto"/>
              <w:rPr>
                <w:rFonts w:ascii="Times New Roman" w:eastAsia="Times New Roman" w:hAnsi="Times New Roman"/>
                <w:sz w:val="18"/>
                <w:szCs w:val="18"/>
              </w:rPr>
            </w:pPr>
            <w:r w:rsidRPr="00992E21">
              <w:rPr>
                <w:rFonts w:ascii="Times New Roman" w:eastAsia="Times New Roman" w:hAnsi="Times New Roman"/>
                <w:sz w:val="18"/>
                <w:szCs w:val="18"/>
              </w:rPr>
              <w:t>Réf : 56%</w:t>
            </w:r>
          </w:p>
          <w:p w14:paraId="7173B27A" w14:textId="77777777" w:rsidR="00237D59" w:rsidRPr="00992E21" w:rsidRDefault="00237D59" w:rsidP="00D76EFA">
            <w:pPr>
              <w:pStyle w:val="Paragraphedeliste"/>
              <w:numPr>
                <w:ilvl w:val="0"/>
                <w:numId w:val="40"/>
              </w:numPr>
              <w:spacing w:after="0" w:line="240" w:lineRule="auto"/>
              <w:rPr>
                <w:rFonts w:ascii="Times New Roman" w:eastAsia="Times New Roman" w:hAnsi="Times New Roman"/>
                <w:sz w:val="18"/>
                <w:szCs w:val="18"/>
              </w:rPr>
            </w:pPr>
            <w:r w:rsidRPr="00992E21">
              <w:rPr>
                <w:rFonts w:ascii="Times New Roman" w:eastAsia="Times New Roman" w:hAnsi="Times New Roman"/>
                <w:sz w:val="18"/>
                <w:szCs w:val="18"/>
              </w:rPr>
              <w:t>Cible : 65%</w:t>
            </w:r>
          </w:p>
        </w:tc>
        <w:tc>
          <w:tcPr>
            <w:tcW w:w="2126" w:type="dxa"/>
            <w:shd w:val="clear" w:color="auto" w:fill="auto"/>
            <w:vAlign w:val="center"/>
          </w:tcPr>
          <w:p w14:paraId="7E92E854" w14:textId="77777777" w:rsidR="00237D59" w:rsidRPr="005773E9" w:rsidRDefault="00237D59" w:rsidP="005773E9">
            <w:pPr>
              <w:spacing w:after="0" w:line="240" w:lineRule="auto"/>
              <w:rPr>
                <w:rFonts w:ascii="Times New Roman" w:hAnsi="Times New Roman"/>
                <w:sz w:val="20"/>
                <w:szCs w:val="20"/>
              </w:rPr>
            </w:pPr>
            <w:r w:rsidRPr="005773E9">
              <w:rPr>
                <w:rFonts w:ascii="Times New Roman" w:hAnsi="Times New Roman"/>
                <w:sz w:val="20"/>
                <w:szCs w:val="20"/>
              </w:rPr>
              <w:t>Indicateur mesurable et sexo-spécifique</w:t>
            </w:r>
          </w:p>
        </w:tc>
        <w:tc>
          <w:tcPr>
            <w:tcW w:w="1985" w:type="dxa"/>
            <w:vMerge/>
            <w:shd w:val="clear" w:color="auto" w:fill="auto"/>
            <w:vAlign w:val="center"/>
          </w:tcPr>
          <w:p w14:paraId="64E7E203" w14:textId="77777777" w:rsidR="00237D59" w:rsidRPr="006B309F" w:rsidRDefault="00237D59" w:rsidP="00785315">
            <w:pPr>
              <w:spacing w:after="0" w:line="240" w:lineRule="auto"/>
              <w:rPr>
                <w:rFonts w:ascii="Times New Roman" w:hAnsi="Times New Roman"/>
                <w:sz w:val="20"/>
                <w:szCs w:val="20"/>
              </w:rPr>
            </w:pPr>
          </w:p>
        </w:tc>
      </w:tr>
      <w:tr w:rsidR="00237D59" w:rsidRPr="006B309F" w14:paraId="3F69198A" w14:textId="77777777" w:rsidTr="007E5253">
        <w:tc>
          <w:tcPr>
            <w:tcW w:w="2694" w:type="dxa"/>
            <w:vMerge/>
            <w:shd w:val="clear" w:color="auto" w:fill="F2F2F2" w:themeFill="background1" w:themeFillShade="F2"/>
            <w:vAlign w:val="center"/>
          </w:tcPr>
          <w:p w14:paraId="76B55666" w14:textId="77777777" w:rsidR="00237D59" w:rsidRPr="006B309F" w:rsidRDefault="00237D59" w:rsidP="00785315">
            <w:pPr>
              <w:spacing w:after="0" w:line="240" w:lineRule="auto"/>
              <w:rPr>
                <w:rFonts w:ascii="Times New Roman" w:hAnsi="Times New Roman"/>
                <w:sz w:val="20"/>
                <w:szCs w:val="20"/>
              </w:rPr>
            </w:pPr>
          </w:p>
        </w:tc>
        <w:tc>
          <w:tcPr>
            <w:tcW w:w="3827" w:type="dxa"/>
            <w:shd w:val="clear" w:color="auto" w:fill="auto"/>
            <w:vAlign w:val="center"/>
          </w:tcPr>
          <w:p w14:paraId="25C08802" w14:textId="77777777" w:rsidR="00237D59" w:rsidRDefault="00237D59" w:rsidP="00785315">
            <w:pPr>
              <w:spacing w:after="0" w:line="240" w:lineRule="auto"/>
              <w:rPr>
                <w:rFonts w:ascii="Times New Roman" w:eastAsia="Times New Roman" w:hAnsi="Times New Roman"/>
                <w:sz w:val="18"/>
                <w:szCs w:val="18"/>
              </w:rPr>
            </w:pPr>
            <w:r w:rsidRPr="0047344C">
              <w:rPr>
                <w:rFonts w:ascii="Times New Roman" w:eastAsia="Times New Roman" w:hAnsi="Times New Roman"/>
                <w:sz w:val="18"/>
                <w:szCs w:val="18"/>
              </w:rPr>
              <w:t>Pourcentage d’adultes et d’enfants séropositifs sous traitement antirétroviral</w:t>
            </w:r>
          </w:p>
          <w:p w14:paraId="662E7F6E" w14:textId="77777777" w:rsidR="00237D59" w:rsidRPr="00992E21" w:rsidRDefault="00237D59" w:rsidP="00D76EFA">
            <w:pPr>
              <w:pStyle w:val="Paragraphedeliste"/>
              <w:numPr>
                <w:ilvl w:val="0"/>
                <w:numId w:val="41"/>
              </w:numPr>
              <w:spacing w:after="0" w:line="240" w:lineRule="auto"/>
              <w:rPr>
                <w:rFonts w:ascii="Times New Roman" w:eastAsia="Times New Roman" w:hAnsi="Times New Roman"/>
                <w:sz w:val="18"/>
                <w:szCs w:val="18"/>
              </w:rPr>
            </w:pPr>
            <w:r w:rsidRPr="00992E21">
              <w:rPr>
                <w:rFonts w:ascii="Times New Roman" w:eastAsia="Times New Roman" w:hAnsi="Times New Roman"/>
                <w:sz w:val="18"/>
                <w:szCs w:val="18"/>
              </w:rPr>
              <w:t>Réf : 50 % (estimation à la fin de</w:t>
            </w:r>
            <w:r w:rsidRPr="00992E21">
              <w:rPr>
                <w:rFonts w:ascii="Times New Roman" w:eastAsia="Times New Roman" w:hAnsi="Times New Roman"/>
                <w:b/>
                <w:sz w:val="18"/>
                <w:szCs w:val="18"/>
              </w:rPr>
              <w:t xml:space="preserve"> </w:t>
            </w:r>
            <w:r w:rsidRPr="00992E21">
              <w:rPr>
                <w:rFonts w:ascii="Times New Roman" w:eastAsia="Times New Roman" w:hAnsi="Times New Roman"/>
                <w:sz w:val="18"/>
                <w:szCs w:val="18"/>
              </w:rPr>
              <w:t>l’année 2013)</w:t>
            </w:r>
          </w:p>
          <w:p w14:paraId="20DB7C79" w14:textId="77777777" w:rsidR="00237D59" w:rsidRPr="00992E21" w:rsidRDefault="00237D59" w:rsidP="00D76EFA">
            <w:pPr>
              <w:pStyle w:val="Paragraphedeliste"/>
              <w:numPr>
                <w:ilvl w:val="0"/>
                <w:numId w:val="41"/>
              </w:numPr>
              <w:spacing w:after="0" w:line="240" w:lineRule="auto"/>
              <w:rPr>
                <w:rFonts w:ascii="Times New Roman" w:eastAsia="Times New Roman" w:hAnsi="Times New Roman"/>
                <w:sz w:val="18"/>
                <w:szCs w:val="18"/>
              </w:rPr>
            </w:pPr>
            <w:r w:rsidRPr="00992E21">
              <w:rPr>
                <w:rFonts w:ascii="Times New Roman" w:eastAsia="Times New Roman" w:hAnsi="Times New Roman"/>
                <w:sz w:val="18"/>
                <w:szCs w:val="18"/>
              </w:rPr>
              <w:t>Cible : 90 % en 2017 (selon le Cadre national stratégique de lutte contre le VIH/sida de 2013)</w:t>
            </w:r>
          </w:p>
        </w:tc>
        <w:tc>
          <w:tcPr>
            <w:tcW w:w="2126" w:type="dxa"/>
            <w:shd w:val="clear" w:color="auto" w:fill="auto"/>
            <w:vAlign w:val="center"/>
          </w:tcPr>
          <w:p w14:paraId="1F42FBCF" w14:textId="77777777" w:rsidR="00237D59" w:rsidRPr="005773E9" w:rsidRDefault="00237D59" w:rsidP="005773E9">
            <w:pPr>
              <w:spacing w:after="0" w:line="240" w:lineRule="auto"/>
              <w:rPr>
                <w:rFonts w:ascii="Times New Roman" w:hAnsi="Times New Roman"/>
                <w:sz w:val="20"/>
                <w:szCs w:val="20"/>
              </w:rPr>
            </w:pPr>
            <w:r w:rsidRPr="005773E9">
              <w:rPr>
                <w:rFonts w:ascii="Times New Roman" w:hAnsi="Times New Roman"/>
                <w:sz w:val="20"/>
                <w:szCs w:val="20"/>
              </w:rPr>
              <w:t>Indicateur mesurable mais non sensible au genre</w:t>
            </w:r>
          </w:p>
        </w:tc>
        <w:tc>
          <w:tcPr>
            <w:tcW w:w="1985" w:type="dxa"/>
            <w:vMerge/>
            <w:shd w:val="clear" w:color="auto" w:fill="auto"/>
            <w:vAlign w:val="center"/>
          </w:tcPr>
          <w:p w14:paraId="67C30379" w14:textId="77777777" w:rsidR="00237D59" w:rsidRPr="006B309F" w:rsidRDefault="00237D59" w:rsidP="00785315">
            <w:pPr>
              <w:spacing w:after="0" w:line="240" w:lineRule="auto"/>
              <w:rPr>
                <w:rFonts w:ascii="Times New Roman" w:hAnsi="Times New Roman"/>
                <w:sz w:val="20"/>
                <w:szCs w:val="20"/>
              </w:rPr>
            </w:pPr>
          </w:p>
        </w:tc>
      </w:tr>
    </w:tbl>
    <w:p w14:paraId="3E05A224" w14:textId="77777777" w:rsidR="00E35C82" w:rsidRPr="006B309F" w:rsidRDefault="00E35C82" w:rsidP="00E35C82">
      <w:pPr>
        <w:spacing w:after="0" w:line="240" w:lineRule="auto"/>
        <w:rPr>
          <w:rFonts w:ascii="Times New Roman" w:hAnsi="Times New Roman"/>
          <w:i/>
          <w:sz w:val="20"/>
          <w:szCs w:val="20"/>
        </w:rPr>
      </w:pPr>
      <w:r w:rsidRPr="006B309F">
        <w:rPr>
          <w:rFonts w:ascii="Times New Roman" w:hAnsi="Times New Roman"/>
          <w:i/>
          <w:sz w:val="20"/>
          <w:szCs w:val="20"/>
          <w:u w:val="single"/>
        </w:rPr>
        <w:t>Sources</w:t>
      </w:r>
      <w:r w:rsidRPr="006B309F">
        <w:rPr>
          <w:rFonts w:ascii="Times New Roman" w:hAnsi="Times New Roman"/>
          <w:i/>
          <w:sz w:val="20"/>
          <w:szCs w:val="20"/>
        </w:rPr>
        <w:t xml:space="preserve"> : Cadre de résultats </w:t>
      </w:r>
      <w:r>
        <w:rPr>
          <w:rFonts w:ascii="Times New Roman" w:hAnsi="Times New Roman"/>
          <w:i/>
          <w:sz w:val="20"/>
          <w:szCs w:val="20"/>
        </w:rPr>
        <w:t>et des ressources CPD</w:t>
      </w:r>
      <w:r w:rsidR="007E5253">
        <w:rPr>
          <w:rFonts w:ascii="Times New Roman" w:hAnsi="Times New Roman"/>
          <w:i/>
          <w:sz w:val="20"/>
          <w:szCs w:val="20"/>
        </w:rPr>
        <w:t>/PNUD-MAL</w:t>
      </w:r>
      <w:r w:rsidR="00943CD3">
        <w:rPr>
          <w:rFonts w:ascii="Times New Roman" w:hAnsi="Times New Roman"/>
          <w:i/>
          <w:sz w:val="20"/>
          <w:szCs w:val="20"/>
        </w:rPr>
        <w:t>I</w:t>
      </w:r>
      <w:r w:rsidRPr="006B309F">
        <w:rPr>
          <w:rFonts w:ascii="Times New Roman" w:hAnsi="Times New Roman"/>
          <w:i/>
          <w:sz w:val="20"/>
          <w:szCs w:val="20"/>
        </w:rPr>
        <w:t xml:space="preserve"> 201</w:t>
      </w:r>
      <w:r>
        <w:rPr>
          <w:rFonts w:ascii="Times New Roman" w:hAnsi="Times New Roman"/>
          <w:i/>
          <w:sz w:val="20"/>
          <w:szCs w:val="20"/>
        </w:rPr>
        <w:t>5</w:t>
      </w:r>
      <w:r w:rsidRPr="006B309F">
        <w:rPr>
          <w:rFonts w:ascii="Times New Roman" w:hAnsi="Times New Roman"/>
          <w:i/>
          <w:sz w:val="20"/>
          <w:szCs w:val="20"/>
        </w:rPr>
        <w:t>-201</w:t>
      </w:r>
      <w:r>
        <w:rPr>
          <w:rFonts w:ascii="Times New Roman" w:hAnsi="Times New Roman"/>
          <w:i/>
          <w:sz w:val="20"/>
          <w:szCs w:val="20"/>
        </w:rPr>
        <w:t>9</w:t>
      </w:r>
      <w:r w:rsidRPr="006B309F">
        <w:rPr>
          <w:rFonts w:ascii="Times New Roman" w:hAnsi="Times New Roman"/>
          <w:i/>
          <w:sz w:val="20"/>
          <w:szCs w:val="20"/>
        </w:rPr>
        <w:t xml:space="preserve"> &amp; Analyses de l’Evaluateur.</w:t>
      </w:r>
    </w:p>
    <w:p w14:paraId="792A2534" w14:textId="77777777" w:rsidR="00E35C82" w:rsidRPr="006B309F" w:rsidRDefault="00E35C82" w:rsidP="00E35C82">
      <w:pPr>
        <w:spacing w:after="0" w:line="240" w:lineRule="auto"/>
        <w:rPr>
          <w:rFonts w:ascii="Times New Roman" w:hAnsi="Times New Roman"/>
          <w:sz w:val="20"/>
          <w:szCs w:val="20"/>
        </w:rPr>
      </w:pPr>
    </w:p>
    <w:p w14:paraId="60E22BD5" w14:textId="77777777" w:rsidR="00E35C82" w:rsidRDefault="00454255" w:rsidP="00B96F0F">
      <w:pPr>
        <w:spacing w:after="0" w:line="240" w:lineRule="auto"/>
        <w:jc w:val="both"/>
        <w:rPr>
          <w:rFonts w:ascii="Times New Roman" w:hAnsi="Times New Roman"/>
          <w:sz w:val="24"/>
          <w:szCs w:val="24"/>
        </w:rPr>
      </w:pPr>
      <w:r>
        <w:rPr>
          <w:rFonts w:ascii="Times New Roman" w:hAnsi="Times New Roman"/>
          <w:sz w:val="24"/>
          <w:szCs w:val="24"/>
        </w:rPr>
        <w:t>3</w:t>
      </w:r>
      <w:r w:rsidR="000B5082">
        <w:rPr>
          <w:rFonts w:ascii="Times New Roman" w:hAnsi="Times New Roman"/>
          <w:sz w:val="24"/>
          <w:szCs w:val="24"/>
        </w:rPr>
        <w:t>7</w:t>
      </w:r>
      <w:r>
        <w:rPr>
          <w:rFonts w:ascii="Times New Roman" w:hAnsi="Times New Roman"/>
          <w:sz w:val="24"/>
          <w:szCs w:val="24"/>
        </w:rPr>
        <w:t>.</w:t>
      </w:r>
      <w:r w:rsidR="00237D59">
        <w:rPr>
          <w:rFonts w:ascii="Times New Roman" w:hAnsi="Times New Roman"/>
          <w:sz w:val="24"/>
          <w:szCs w:val="24"/>
        </w:rPr>
        <w:tab/>
        <w:t xml:space="preserve">Les quatre résultats ont l’avantage technique de se situer au cœur des domaines où le programme veut être influent et contribuer au développement du pays. Ils ont, en revanche, tous les quatre l’inconvénient de ne pas être assez spécifiques pour être </w:t>
      </w:r>
      <w:r w:rsidR="003B7F14">
        <w:rPr>
          <w:rFonts w:ascii="Times New Roman" w:hAnsi="Times New Roman"/>
          <w:sz w:val="24"/>
          <w:szCs w:val="24"/>
        </w:rPr>
        <w:t>mesurables. Enfin, des quatre, seul un est explicitement sensible au genre.</w:t>
      </w:r>
      <w:r w:rsidR="00237D59">
        <w:rPr>
          <w:rFonts w:ascii="Times New Roman" w:hAnsi="Times New Roman"/>
          <w:sz w:val="24"/>
          <w:szCs w:val="24"/>
        </w:rPr>
        <w:t xml:space="preserve"> </w:t>
      </w:r>
      <w:r w:rsidR="005773E9">
        <w:rPr>
          <w:rFonts w:ascii="Times New Roman" w:hAnsi="Times New Roman"/>
          <w:sz w:val="24"/>
          <w:szCs w:val="24"/>
        </w:rPr>
        <w:t xml:space="preserve">Les </w:t>
      </w:r>
      <w:r w:rsidR="003B7F14">
        <w:rPr>
          <w:rFonts w:ascii="Times New Roman" w:hAnsi="Times New Roman"/>
          <w:sz w:val="24"/>
          <w:szCs w:val="24"/>
        </w:rPr>
        <w:t>vingt (20) indicateurs dédiés aux Résultats</w:t>
      </w:r>
      <w:r w:rsidR="005773E9">
        <w:rPr>
          <w:rFonts w:ascii="Times New Roman" w:hAnsi="Times New Roman"/>
          <w:sz w:val="24"/>
          <w:szCs w:val="24"/>
        </w:rPr>
        <w:t xml:space="preserve"> sont globalement pertinents dans le fond</w:t>
      </w:r>
      <w:r w:rsidR="003B7F14">
        <w:rPr>
          <w:rFonts w:ascii="Times New Roman" w:hAnsi="Times New Roman"/>
          <w:sz w:val="24"/>
          <w:szCs w:val="24"/>
        </w:rPr>
        <w:t xml:space="preserve">, </w:t>
      </w:r>
      <w:r w:rsidR="005773E9">
        <w:rPr>
          <w:rFonts w:ascii="Times New Roman" w:hAnsi="Times New Roman"/>
          <w:sz w:val="24"/>
          <w:szCs w:val="24"/>
        </w:rPr>
        <w:t xml:space="preserve">et </w:t>
      </w:r>
      <w:r w:rsidR="003B7F14">
        <w:rPr>
          <w:rFonts w:ascii="Times New Roman" w:hAnsi="Times New Roman"/>
          <w:sz w:val="24"/>
          <w:szCs w:val="24"/>
        </w:rPr>
        <w:t xml:space="preserve">seul </w:t>
      </w:r>
      <w:r w:rsidR="005773E9">
        <w:rPr>
          <w:rFonts w:ascii="Times New Roman" w:hAnsi="Times New Roman"/>
          <w:sz w:val="24"/>
          <w:szCs w:val="24"/>
        </w:rPr>
        <w:t>l’</w:t>
      </w:r>
      <w:r w:rsidR="003B7F14">
        <w:rPr>
          <w:rFonts w:ascii="Times New Roman" w:hAnsi="Times New Roman"/>
          <w:sz w:val="24"/>
          <w:szCs w:val="24"/>
        </w:rPr>
        <w:t xml:space="preserve">un </w:t>
      </w:r>
      <w:r w:rsidR="005773E9">
        <w:rPr>
          <w:rFonts w:ascii="Times New Roman" w:hAnsi="Times New Roman"/>
          <w:sz w:val="24"/>
          <w:szCs w:val="24"/>
        </w:rPr>
        <w:t xml:space="preserve">d’eux </w:t>
      </w:r>
      <w:r w:rsidR="003B7F14">
        <w:rPr>
          <w:rFonts w:ascii="Times New Roman" w:hAnsi="Times New Roman"/>
          <w:sz w:val="24"/>
          <w:szCs w:val="24"/>
        </w:rPr>
        <w:t>n’est pas mesurable, les 19 autres ayant donc l’avantage technique de l’être parfaitement. En revanche</w:t>
      </w:r>
      <w:r w:rsidR="00385C97">
        <w:rPr>
          <w:rFonts w:ascii="Times New Roman" w:hAnsi="Times New Roman"/>
          <w:sz w:val="24"/>
          <w:szCs w:val="24"/>
        </w:rPr>
        <w:t xml:space="preserve"> 15 indicateurs sur 20 (</w:t>
      </w:r>
      <w:r w:rsidR="005773E9">
        <w:rPr>
          <w:rFonts w:ascii="Times New Roman" w:hAnsi="Times New Roman"/>
          <w:sz w:val="24"/>
          <w:szCs w:val="24"/>
        </w:rPr>
        <w:t>75%) ne son</w:t>
      </w:r>
      <w:r w:rsidR="007E5253">
        <w:rPr>
          <w:rFonts w:ascii="Times New Roman" w:hAnsi="Times New Roman"/>
          <w:sz w:val="24"/>
          <w:szCs w:val="24"/>
        </w:rPr>
        <w:t>t pas sensibles au genre. Enfin, 4 sur 20 (25%) ne font pas l’objet d’une détermination ni de la référence ni de la cible à atteindre.</w:t>
      </w:r>
    </w:p>
    <w:p w14:paraId="5FB8729A" w14:textId="77777777" w:rsidR="005E0CC4" w:rsidRDefault="005E0CC4" w:rsidP="00B96F0F">
      <w:pPr>
        <w:spacing w:after="0" w:line="240" w:lineRule="auto"/>
        <w:jc w:val="both"/>
        <w:rPr>
          <w:rFonts w:ascii="Times New Roman" w:hAnsi="Times New Roman"/>
          <w:sz w:val="24"/>
          <w:szCs w:val="24"/>
        </w:rPr>
      </w:pPr>
    </w:p>
    <w:p w14:paraId="4211712F" w14:textId="77777777" w:rsidR="005E0CC4" w:rsidRPr="000442E1" w:rsidRDefault="005E0CC4" w:rsidP="005E0CC4">
      <w:pPr>
        <w:pStyle w:val="Titre1"/>
        <w:spacing w:before="0" w:line="240" w:lineRule="auto"/>
        <w:rPr>
          <w:rFonts w:ascii="Times New Roman" w:hAnsi="Times New Roman"/>
          <w:color w:val="auto"/>
          <w:sz w:val="24"/>
          <w:szCs w:val="24"/>
        </w:rPr>
      </w:pPr>
      <w:bookmarkStart w:id="105" w:name="_Toc499211606"/>
      <w:bookmarkStart w:id="106" w:name="_Toc499213879"/>
      <w:r w:rsidRPr="000442E1">
        <w:rPr>
          <w:rFonts w:ascii="Times New Roman" w:hAnsi="Times New Roman"/>
          <w:color w:val="auto"/>
          <w:sz w:val="24"/>
          <w:szCs w:val="24"/>
        </w:rPr>
        <w:t xml:space="preserve">Tableau </w:t>
      </w:r>
      <w:r>
        <w:rPr>
          <w:rFonts w:ascii="Times New Roman" w:hAnsi="Times New Roman"/>
          <w:color w:val="auto"/>
          <w:sz w:val="24"/>
          <w:szCs w:val="24"/>
        </w:rPr>
        <w:t>5</w:t>
      </w:r>
      <w:r w:rsidRPr="000442E1">
        <w:rPr>
          <w:rFonts w:ascii="Times New Roman" w:hAnsi="Times New Roman"/>
          <w:color w:val="auto"/>
          <w:sz w:val="24"/>
          <w:szCs w:val="24"/>
        </w:rPr>
        <w:t xml:space="preserve"> : </w:t>
      </w:r>
      <w:r>
        <w:rPr>
          <w:rFonts w:ascii="Times New Roman" w:hAnsi="Times New Roman"/>
          <w:color w:val="auto"/>
          <w:sz w:val="24"/>
          <w:szCs w:val="24"/>
        </w:rPr>
        <w:t>Robustesse logique des produits</w:t>
      </w:r>
      <w:bookmarkEnd w:id="105"/>
      <w:bookmarkEnd w:id="106"/>
    </w:p>
    <w:p w14:paraId="322FFFDA" w14:textId="77777777" w:rsidR="00BA3DC6" w:rsidRPr="006B309F" w:rsidRDefault="00BA3DC6" w:rsidP="00B96F0F">
      <w:pPr>
        <w:spacing w:after="0" w:line="240" w:lineRule="auto"/>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261"/>
        <w:gridCol w:w="2126"/>
        <w:gridCol w:w="1985"/>
      </w:tblGrid>
      <w:tr w:rsidR="00BA3DC6" w:rsidRPr="006B309F" w14:paraId="51D22F43" w14:textId="77777777" w:rsidTr="005F555E">
        <w:trPr>
          <w:tblHeader/>
        </w:trPr>
        <w:tc>
          <w:tcPr>
            <w:tcW w:w="10632" w:type="dxa"/>
            <w:gridSpan w:val="4"/>
            <w:shd w:val="clear" w:color="auto" w:fill="F2F2F2" w:themeFill="background1" w:themeFillShade="F2"/>
            <w:vAlign w:val="center"/>
          </w:tcPr>
          <w:p w14:paraId="7677179F" w14:textId="77777777" w:rsidR="00BA3DC6" w:rsidRPr="006B309F" w:rsidRDefault="008E077C" w:rsidP="00B96F0F">
            <w:pPr>
              <w:spacing w:after="0" w:line="240" w:lineRule="auto"/>
              <w:jc w:val="center"/>
              <w:rPr>
                <w:rFonts w:ascii="Times New Roman" w:hAnsi="Times New Roman"/>
                <w:sz w:val="20"/>
                <w:szCs w:val="20"/>
              </w:rPr>
            </w:pPr>
            <w:r w:rsidRPr="006B309F">
              <w:rPr>
                <w:rFonts w:ascii="Times New Roman" w:hAnsi="Times New Roman"/>
                <w:sz w:val="20"/>
                <w:szCs w:val="20"/>
              </w:rPr>
              <w:t xml:space="preserve">Analyse de la robustesse logique des produits </w:t>
            </w:r>
          </w:p>
        </w:tc>
      </w:tr>
      <w:tr w:rsidR="00BA3DC6" w:rsidRPr="006B309F" w14:paraId="6905C920" w14:textId="77777777" w:rsidTr="005F555E">
        <w:trPr>
          <w:tblHeader/>
        </w:trPr>
        <w:tc>
          <w:tcPr>
            <w:tcW w:w="6521" w:type="dxa"/>
            <w:gridSpan w:val="2"/>
            <w:vMerge w:val="restart"/>
            <w:shd w:val="clear" w:color="auto" w:fill="F2F2F2" w:themeFill="background1" w:themeFillShade="F2"/>
            <w:vAlign w:val="center"/>
          </w:tcPr>
          <w:p w14:paraId="076C0AF7" w14:textId="77777777" w:rsidR="00BA3DC6" w:rsidRPr="006B309F" w:rsidRDefault="00D57190" w:rsidP="00B96F0F">
            <w:pPr>
              <w:spacing w:after="0" w:line="240" w:lineRule="auto"/>
              <w:jc w:val="center"/>
              <w:rPr>
                <w:rFonts w:ascii="Times New Roman" w:hAnsi="Times New Roman"/>
                <w:sz w:val="20"/>
                <w:szCs w:val="20"/>
              </w:rPr>
            </w:pPr>
            <w:r w:rsidRPr="006B309F">
              <w:rPr>
                <w:rFonts w:ascii="Times New Roman" w:hAnsi="Times New Roman"/>
                <w:sz w:val="20"/>
                <w:szCs w:val="20"/>
              </w:rPr>
              <w:t>Produits</w:t>
            </w:r>
            <w:r w:rsidR="007E5253">
              <w:rPr>
                <w:rFonts w:ascii="Times New Roman" w:hAnsi="Times New Roman"/>
                <w:sz w:val="20"/>
                <w:szCs w:val="20"/>
              </w:rPr>
              <w:t>/Indicateurs de produits</w:t>
            </w:r>
          </w:p>
        </w:tc>
        <w:tc>
          <w:tcPr>
            <w:tcW w:w="4111" w:type="dxa"/>
            <w:gridSpan w:val="2"/>
            <w:shd w:val="clear" w:color="auto" w:fill="F2F2F2" w:themeFill="background1" w:themeFillShade="F2"/>
            <w:vAlign w:val="center"/>
          </w:tcPr>
          <w:p w14:paraId="56ED4F3D" w14:textId="77777777" w:rsidR="00BA3DC6" w:rsidRPr="006B309F" w:rsidRDefault="00BA3DC6" w:rsidP="007E5253">
            <w:pPr>
              <w:spacing w:after="0" w:line="240" w:lineRule="auto"/>
              <w:jc w:val="center"/>
              <w:rPr>
                <w:rFonts w:ascii="Times New Roman" w:hAnsi="Times New Roman"/>
                <w:sz w:val="20"/>
                <w:szCs w:val="20"/>
              </w:rPr>
            </w:pPr>
            <w:r w:rsidRPr="006B309F">
              <w:rPr>
                <w:rFonts w:ascii="Times New Roman" w:hAnsi="Times New Roman"/>
                <w:sz w:val="20"/>
                <w:szCs w:val="20"/>
              </w:rPr>
              <w:t>Evaluation Cadre de mesure d</w:t>
            </w:r>
            <w:r w:rsidR="007E5253">
              <w:rPr>
                <w:rFonts w:ascii="Times New Roman" w:hAnsi="Times New Roman"/>
                <w:sz w:val="20"/>
                <w:szCs w:val="20"/>
              </w:rPr>
              <w:t>es produits</w:t>
            </w:r>
          </w:p>
        </w:tc>
      </w:tr>
      <w:tr w:rsidR="007E5253" w:rsidRPr="006B309F" w14:paraId="1E7FB484" w14:textId="77777777" w:rsidTr="005F555E">
        <w:trPr>
          <w:trHeight w:val="470"/>
          <w:tblHeader/>
        </w:trPr>
        <w:tc>
          <w:tcPr>
            <w:tcW w:w="6521" w:type="dxa"/>
            <w:gridSpan w:val="2"/>
            <w:vMerge/>
            <w:shd w:val="clear" w:color="auto" w:fill="F2F2F2" w:themeFill="background1" w:themeFillShade="F2"/>
            <w:vAlign w:val="center"/>
          </w:tcPr>
          <w:p w14:paraId="1E01B508" w14:textId="77777777" w:rsidR="007E5253" w:rsidRPr="006B309F" w:rsidRDefault="007E5253" w:rsidP="00B96F0F">
            <w:pPr>
              <w:spacing w:after="0" w:line="240" w:lineRule="auto"/>
              <w:rPr>
                <w:rFonts w:ascii="Times New Roman" w:hAnsi="Times New Roman"/>
                <w:sz w:val="20"/>
                <w:szCs w:val="20"/>
              </w:rPr>
            </w:pPr>
          </w:p>
        </w:tc>
        <w:tc>
          <w:tcPr>
            <w:tcW w:w="2126" w:type="dxa"/>
            <w:shd w:val="clear" w:color="auto" w:fill="F2F2F2" w:themeFill="background1" w:themeFillShade="F2"/>
            <w:vAlign w:val="center"/>
          </w:tcPr>
          <w:p w14:paraId="428AB6AB" w14:textId="77777777" w:rsidR="007E5253" w:rsidRPr="006B309F" w:rsidRDefault="007E5253" w:rsidP="00B96F0F">
            <w:pPr>
              <w:spacing w:after="0" w:line="240" w:lineRule="auto"/>
              <w:jc w:val="center"/>
              <w:rPr>
                <w:rFonts w:ascii="Times New Roman" w:hAnsi="Times New Roman"/>
                <w:sz w:val="20"/>
                <w:szCs w:val="20"/>
              </w:rPr>
            </w:pPr>
            <w:r>
              <w:rPr>
                <w:rFonts w:ascii="Times New Roman" w:hAnsi="Times New Roman"/>
                <w:iCs/>
                <w:sz w:val="20"/>
                <w:szCs w:val="20"/>
              </w:rPr>
              <w:t>Qualité des indicateurs</w:t>
            </w:r>
          </w:p>
        </w:tc>
        <w:tc>
          <w:tcPr>
            <w:tcW w:w="1985" w:type="dxa"/>
            <w:shd w:val="clear" w:color="auto" w:fill="F2F2F2" w:themeFill="background1" w:themeFillShade="F2"/>
            <w:vAlign w:val="center"/>
          </w:tcPr>
          <w:p w14:paraId="5E8E91E4" w14:textId="77777777" w:rsidR="007E5253" w:rsidRPr="006B309F" w:rsidRDefault="007E5253" w:rsidP="0007661E">
            <w:pPr>
              <w:spacing w:after="0" w:line="240" w:lineRule="auto"/>
              <w:rPr>
                <w:rFonts w:ascii="Times New Roman" w:hAnsi="Times New Roman"/>
                <w:sz w:val="20"/>
                <w:szCs w:val="20"/>
              </w:rPr>
            </w:pPr>
            <w:r>
              <w:rPr>
                <w:rFonts w:ascii="Times New Roman" w:hAnsi="Times New Roman"/>
                <w:sz w:val="20"/>
                <w:szCs w:val="20"/>
              </w:rPr>
              <w:t>Qualité des Produits</w:t>
            </w:r>
          </w:p>
        </w:tc>
      </w:tr>
      <w:tr w:rsidR="006120A3" w:rsidRPr="006B309F" w14:paraId="717EE548" w14:textId="77777777" w:rsidTr="007E5253">
        <w:tc>
          <w:tcPr>
            <w:tcW w:w="3260" w:type="dxa"/>
            <w:shd w:val="clear" w:color="auto" w:fill="F2F2F2" w:themeFill="background1" w:themeFillShade="F2"/>
            <w:vAlign w:val="center"/>
          </w:tcPr>
          <w:p w14:paraId="243CF9E1" w14:textId="77777777" w:rsidR="006120A3" w:rsidRPr="00CD41B5" w:rsidRDefault="006120A3" w:rsidP="006120A3">
            <w:pPr>
              <w:spacing w:after="0" w:line="240" w:lineRule="auto"/>
              <w:rPr>
                <w:rFonts w:ascii="Times New Roman" w:hAnsi="Times New Roman"/>
                <w:sz w:val="18"/>
                <w:szCs w:val="18"/>
              </w:rPr>
            </w:pPr>
            <w:r w:rsidRPr="00CD41B5">
              <w:rPr>
                <w:rFonts w:ascii="Times New Roman" w:hAnsi="Times New Roman"/>
                <w:b/>
                <w:sz w:val="18"/>
                <w:szCs w:val="18"/>
              </w:rPr>
              <w:t>P.1.1.</w:t>
            </w:r>
            <w:r w:rsidRPr="00CD41B5">
              <w:rPr>
                <w:rFonts w:ascii="Times New Roman" w:hAnsi="Times New Roman"/>
                <w:sz w:val="18"/>
                <w:szCs w:val="18"/>
              </w:rPr>
              <w:t xml:space="preserve"> Les institutions responsables du processus de réconciliation nationale possèdent les compétences techniques et opérationnelles requises pour favoriser l’amélioration de la cohésion sociale au service d’une paix durable</w:t>
            </w:r>
          </w:p>
        </w:tc>
        <w:tc>
          <w:tcPr>
            <w:tcW w:w="3261" w:type="dxa"/>
            <w:shd w:val="clear" w:color="auto" w:fill="auto"/>
            <w:vAlign w:val="center"/>
          </w:tcPr>
          <w:p w14:paraId="524B02FB" w14:textId="77777777" w:rsidR="006120A3" w:rsidRPr="0063549D" w:rsidRDefault="006120A3" w:rsidP="006120A3">
            <w:pPr>
              <w:spacing w:after="0" w:line="240" w:lineRule="auto"/>
              <w:rPr>
                <w:rFonts w:ascii="Times New Roman" w:eastAsia="Times New Roman" w:hAnsi="Times New Roman"/>
                <w:sz w:val="18"/>
                <w:szCs w:val="18"/>
              </w:rPr>
            </w:pPr>
            <w:r w:rsidRPr="0063549D">
              <w:rPr>
                <w:rFonts w:ascii="Times New Roman" w:eastAsia="Times New Roman" w:hAnsi="Times New Roman"/>
                <w:b/>
                <w:sz w:val="18"/>
                <w:szCs w:val="18"/>
              </w:rPr>
              <w:t>I.1.</w:t>
            </w:r>
            <w:r w:rsidRPr="0063549D">
              <w:rPr>
                <w:rFonts w:ascii="Times New Roman" w:eastAsia="Times New Roman" w:hAnsi="Times New Roman"/>
                <w:sz w:val="18"/>
                <w:szCs w:val="18"/>
              </w:rPr>
              <w:t xml:space="preserve"> Degré de mise en œuvre de</w:t>
            </w:r>
            <w:r w:rsidRPr="0063549D">
              <w:rPr>
                <w:rFonts w:ascii="Times New Roman" w:eastAsia="Times New Roman" w:hAnsi="Times New Roman"/>
                <w:b/>
                <w:i/>
                <w:sz w:val="18"/>
                <w:szCs w:val="18"/>
              </w:rPr>
              <w:t xml:space="preserve"> </w:t>
            </w:r>
            <w:r w:rsidRPr="0063549D">
              <w:rPr>
                <w:rFonts w:ascii="Times New Roman" w:eastAsia="Times New Roman" w:hAnsi="Times New Roman"/>
                <w:sz w:val="18"/>
                <w:szCs w:val="18"/>
              </w:rPr>
              <w:t>la stratégie de réconciliation nationale</w:t>
            </w:r>
          </w:p>
          <w:p w14:paraId="22BE33A6" w14:textId="77777777" w:rsidR="006120A3" w:rsidRPr="0063549D" w:rsidRDefault="006120A3" w:rsidP="00D76EFA">
            <w:pPr>
              <w:pStyle w:val="Paragraphedeliste"/>
              <w:numPr>
                <w:ilvl w:val="0"/>
                <w:numId w:val="42"/>
              </w:numPr>
              <w:spacing w:after="0" w:line="240" w:lineRule="auto"/>
              <w:rPr>
                <w:rFonts w:ascii="Times New Roman" w:eastAsia="Times New Roman" w:hAnsi="Times New Roman"/>
                <w:sz w:val="18"/>
                <w:szCs w:val="18"/>
              </w:rPr>
            </w:pPr>
            <w:r w:rsidRPr="0063549D">
              <w:rPr>
                <w:rFonts w:ascii="Times New Roman" w:eastAsia="Times New Roman" w:hAnsi="Times New Roman"/>
                <w:sz w:val="18"/>
                <w:szCs w:val="18"/>
              </w:rPr>
              <w:t>Réf : 0%</w:t>
            </w:r>
          </w:p>
          <w:p w14:paraId="75D02052" w14:textId="77777777" w:rsidR="006120A3" w:rsidRPr="0063549D" w:rsidRDefault="006120A3" w:rsidP="00D76EFA">
            <w:pPr>
              <w:pStyle w:val="Paragraphedeliste"/>
              <w:numPr>
                <w:ilvl w:val="0"/>
                <w:numId w:val="42"/>
              </w:numPr>
              <w:spacing w:after="0" w:line="240" w:lineRule="auto"/>
              <w:rPr>
                <w:rFonts w:ascii="Times New Roman" w:hAnsi="Times New Roman"/>
                <w:sz w:val="18"/>
                <w:szCs w:val="18"/>
              </w:rPr>
            </w:pPr>
            <w:r w:rsidRPr="0063549D">
              <w:rPr>
                <w:rFonts w:ascii="Times New Roman" w:eastAsia="Times New Roman" w:hAnsi="Times New Roman"/>
                <w:sz w:val="18"/>
                <w:szCs w:val="18"/>
              </w:rPr>
              <w:t>Cible : 75%</w:t>
            </w:r>
          </w:p>
        </w:tc>
        <w:tc>
          <w:tcPr>
            <w:tcW w:w="2126" w:type="dxa"/>
            <w:shd w:val="clear" w:color="auto" w:fill="auto"/>
            <w:vAlign w:val="center"/>
          </w:tcPr>
          <w:p w14:paraId="4C74F2C2" w14:textId="77777777" w:rsidR="006120A3" w:rsidRPr="006D47EF" w:rsidRDefault="0007661E" w:rsidP="006120A3">
            <w:pPr>
              <w:spacing w:after="0" w:line="240" w:lineRule="auto"/>
              <w:rPr>
                <w:rFonts w:ascii="Times New Roman" w:hAnsi="Times New Roman"/>
                <w:sz w:val="20"/>
                <w:szCs w:val="20"/>
              </w:rPr>
            </w:pPr>
            <w:r w:rsidRPr="006D47EF">
              <w:rPr>
                <w:rFonts w:ascii="Times New Roman" w:hAnsi="Times New Roman"/>
                <w:sz w:val="20"/>
                <w:szCs w:val="20"/>
              </w:rPr>
              <w:t>Indicateur non sensible au genre, mesurable mais avec une interprétabilité large</w:t>
            </w:r>
          </w:p>
          <w:p w14:paraId="3D91D7D1" w14:textId="77777777" w:rsidR="00E3237C" w:rsidRPr="006D47EF" w:rsidRDefault="00E3237C" w:rsidP="006120A3">
            <w:pPr>
              <w:spacing w:after="0" w:line="240" w:lineRule="auto"/>
              <w:rPr>
                <w:rFonts w:ascii="Times New Roman" w:hAnsi="Times New Roman"/>
                <w:sz w:val="20"/>
                <w:szCs w:val="20"/>
              </w:rPr>
            </w:pPr>
            <w:r w:rsidRPr="006D47EF">
              <w:rPr>
                <w:rFonts w:ascii="Times New Roman" w:hAnsi="Times New Roman"/>
                <w:sz w:val="20"/>
                <w:szCs w:val="20"/>
              </w:rPr>
              <w:t>Indicateur de résultat</w:t>
            </w:r>
          </w:p>
        </w:tc>
        <w:tc>
          <w:tcPr>
            <w:tcW w:w="1985" w:type="dxa"/>
            <w:shd w:val="clear" w:color="auto" w:fill="auto"/>
            <w:vAlign w:val="center"/>
          </w:tcPr>
          <w:p w14:paraId="1F113083" w14:textId="77777777" w:rsidR="006120A3" w:rsidRPr="006B309F" w:rsidRDefault="005F555E" w:rsidP="006120A3">
            <w:pPr>
              <w:spacing w:after="0" w:line="240" w:lineRule="auto"/>
              <w:rPr>
                <w:rFonts w:ascii="Times New Roman" w:hAnsi="Times New Roman"/>
                <w:sz w:val="20"/>
                <w:szCs w:val="20"/>
              </w:rPr>
            </w:pPr>
            <w:r>
              <w:rPr>
                <w:rFonts w:ascii="Times New Roman" w:hAnsi="Times New Roman"/>
                <w:sz w:val="20"/>
                <w:szCs w:val="20"/>
              </w:rPr>
              <w:t>Libellé de produit inadéquat</w:t>
            </w:r>
            <w:r w:rsidR="00771B89">
              <w:rPr>
                <w:rFonts w:ascii="Times New Roman" w:hAnsi="Times New Roman"/>
                <w:sz w:val="20"/>
                <w:szCs w:val="20"/>
              </w:rPr>
              <w:t> : effet plus que produit !</w:t>
            </w:r>
          </w:p>
        </w:tc>
      </w:tr>
      <w:tr w:rsidR="005F555E" w:rsidRPr="006B309F" w14:paraId="42FE0955" w14:textId="77777777" w:rsidTr="007E5253">
        <w:tc>
          <w:tcPr>
            <w:tcW w:w="3260" w:type="dxa"/>
            <w:vMerge w:val="restart"/>
            <w:shd w:val="clear" w:color="auto" w:fill="F2F2F2" w:themeFill="background1" w:themeFillShade="F2"/>
            <w:vAlign w:val="center"/>
          </w:tcPr>
          <w:p w14:paraId="2C2EF73D" w14:textId="77777777" w:rsidR="005F555E" w:rsidRPr="005F555E" w:rsidRDefault="005F555E" w:rsidP="006120A3">
            <w:pPr>
              <w:spacing w:after="0" w:line="240" w:lineRule="auto"/>
              <w:rPr>
                <w:rFonts w:ascii="Times New Roman" w:hAnsi="Times New Roman"/>
                <w:sz w:val="18"/>
                <w:szCs w:val="18"/>
              </w:rPr>
            </w:pPr>
            <w:r w:rsidRPr="005F555E">
              <w:rPr>
                <w:rFonts w:ascii="Times New Roman" w:eastAsia="Times New Roman" w:hAnsi="Times New Roman"/>
                <w:b/>
                <w:sz w:val="18"/>
                <w:szCs w:val="18"/>
              </w:rPr>
              <w:t>P.1.2.</w:t>
            </w:r>
            <w:r w:rsidRPr="005F555E">
              <w:rPr>
                <w:rFonts w:ascii="Times New Roman" w:eastAsia="Times New Roman" w:hAnsi="Times New Roman"/>
                <w:sz w:val="18"/>
                <w:szCs w:val="18"/>
              </w:rPr>
              <w:t xml:space="preserve"> Les autorités locales et la</w:t>
            </w:r>
            <w:r w:rsidRPr="005F555E">
              <w:rPr>
                <w:rFonts w:ascii="Times New Roman" w:eastAsia="Times New Roman" w:hAnsi="Times New Roman"/>
                <w:b/>
                <w:sz w:val="18"/>
                <w:szCs w:val="18"/>
              </w:rPr>
              <w:t xml:space="preserve"> </w:t>
            </w:r>
            <w:r w:rsidRPr="005F555E">
              <w:rPr>
                <w:rFonts w:ascii="Times New Roman" w:eastAsia="Times New Roman" w:hAnsi="Times New Roman"/>
                <w:sz w:val="18"/>
                <w:szCs w:val="18"/>
              </w:rPr>
              <w:t>société civile (les dirigeants traditionnels, les chefs religieux et les organisations de femmes et de jeunes) du nord possèdent les capacités requises pour prévenir et régler les conflits</w:t>
            </w:r>
          </w:p>
        </w:tc>
        <w:tc>
          <w:tcPr>
            <w:tcW w:w="3261" w:type="dxa"/>
            <w:shd w:val="clear" w:color="auto" w:fill="auto"/>
            <w:vAlign w:val="center"/>
          </w:tcPr>
          <w:p w14:paraId="20CFB135" w14:textId="77777777" w:rsidR="005F555E" w:rsidRDefault="005F555E" w:rsidP="006120A3">
            <w:pPr>
              <w:spacing w:after="0" w:line="240" w:lineRule="auto"/>
              <w:rPr>
                <w:rFonts w:ascii="Times New Roman" w:hAnsi="Times New Roman"/>
                <w:sz w:val="18"/>
                <w:szCs w:val="18"/>
              </w:rPr>
            </w:pPr>
            <w:r w:rsidRPr="0063549D">
              <w:rPr>
                <w:rFonts w:ascii="Times New Roman" w:hAnsi="Times New Roman"/>
                <w:b/>
                <w:sz w:val="18"/>
                <w:szCs w:val="18"/>
              </w:rPr>
              <w:t>I.2.</w:t>
            </w:r>
            <w:r>
              <w:rPr>
                <w:rFonts w:ascii="Times New Roman" w:hAnsi="Times New Roman"/>
                <w:sz w:val="18"/>
                <w:szCs w:val="18"/>
              </w:rPr>
              <w:t xml:space="preserve"> </w:t>
            </w:r>
            <w:r w:rsidRPr="004F74F4">
              <w:rPr>
                <w:rFonts w:ascii="Times New Roman" w:hAnsi="Times New Roman"/>
                <w:sz w:val="18"/>
                <w:szCs w:val="18"/>
              </w:rPr>
              <w:t>Nombre de membres d’organisations de la société civile, d’acteurs et de dirigeants locaux ayant suivi une formation du PNUD dans le domaine de la prévention et de la gestion des conflits, de la médiation, du dialogue et de l’alerte rapide</w:t>
            </w:r>
          </w:p>
          <w:p w14:paraId="5ACE141F" w14:textId="77777777" w:rsidR="005F555E" w:rsidRPr="008B075F" w:rsidRDefault="005F555E" w:rsidP="00D76EFA">
            <w:pPr>
              <w:pStyle w:val="Paragraphedeliste"/>
              <w:numPr>
                <w:ilvl w:val="0"/>
                <w:numId w:val="43"/>
              </w:numPr>
              <w:spacing w:after="0" w:line="240" w:lineRule="auto"/>
              <w:rPr>
                <w:rFonts w:ascii="Times New Roman" w:hAnsi="Times New Roman"/>
                <w:sz w:val="18"/>
                <w:szCs w:val="18"/>
              </w:rPr>
            </w:pPr>
            <w:r w:rsidRPr="008B075F">
              <w:rPr>
                <w:rFonts w:ascii="Times New Roman" w:hAnsi="Times New Roman"/>
                <w:sz w:val="18"/>
                <w:szCs w:val="18"/>
              </w:rPr>
              <w:t>Réf : 0</w:t>
            </w:r>
          </w:p>
          <w:p w14:paraId="2EE6C93F" w14:textId="77777777" w:rsidR="005F555E" w:rsidRPr="008B075F" w:rsidRDefault="005F555E" w:rsidP="00D76EFA">
            <w:pPr>
              <w:pStyle w:val="Paragraphedeliste"/>
              <w:numPr>
                <w:ilvl w:val="0"/>
                <w:numId w:val="43"/>
              </w:numPr>
              <w:spacing w:after="0" w:line="240" w:lineRule="auto"/>
              <w:rPr>
                <w:rFonts w:ascii="Times New Roman" w:hAnsi="Times New Roman"/>
                <w:sz w:val="18"/>
                <w:szCs w:val="18"/>
              </w:rPr>
            </w:pPr>
            <w:r w:rsidRPr="008B075F">
              <w:rPr>
                <w:rFonts w:ascii="Times New Roman" w:hAnsi="Times New Roman"/>
                <w:sz w:val="18"/>
                <w:szCs w:val="18"/>
              </w:rPr>
              <w:t>Cible : 200 ; dont 50% Femmes</w:t>
            </w:r>
          </w:p>
        </w:tc>
        <w:tc>
          <w:tcPr>
            <w:tcW w:w="2126" w:type="dxa"/>
            <w:shd w:val="clear" w:color="auto" w:fill="auto"/>
            <w:vAlign w:val="center"/>
          </w:tcPr>
          <w:p w14:paraId="66C34383" w14:textId="77777777" w:rsidR="005F555E" w:rsidRPr="006D47EF" w:rsidRDefault="005F555E" w:rsidP="006120A3">
            <w:pPr>
              <w:spacing w:after="0" w:line="240" w:lineRule="auto"/>
              <w:rPr>
                <w:rFonts w:ascii="Times New Roman" w:hAnsi="Times New Roman"/>
                <w:sz w:val="20"/>
                <w:szCs w:val="20"/>
              </w:rPr>
            </w:pPr>
            <w:r w:rsidRPr="006D47EF">
              <w:rPr>
                <w:rFonts w:ascii="Times New Roman" w:hAnsi="Times New Roman"/>
                <w:sz w:val="20"/>
                <w:szCs w:val="20"/>
              </w:rPr>
              <w:t>Indicateur mesurable et sensible au genre</w:t>
            </w:r>
          </w:p>
          <w:p w14:paraId="6C01D952" w14:textId="77777777" w:rsidR="00E3237C" w:rsidRPr="006D47EF" w:rsidRDefault="00E3237C" w:rsidP="006120A3">
            <w:pPr>
              <w:spacing w:after="0" w:line="240" w:lineRule="auto"/>
              <w:rPr>
                <w:rFonts w:ascii="Times New Roman" w:hAnsi="Times New Roman"/>
                <w:sz w:val="20"/>
                <w:szCs w:val="20"/>
              </w:rPr>
            </w:pPr>
            <w:r w:rsidRPr="006D47EF">
              <w:rPr>
                <w:rFonts w:ascii="Times New Roman" w:hAnsi="Times New Roman"/>
                <w:sz w:val="20"/>
                <w:szCs w:val="20"/>
              </w:rPr>
              <w:t>Indicateur de produit</w:t>
            </w:r>
          </w:p>
        </w:tc>
        <w:tc>
          <w:tcPr>
            <w:tcW w:w="1985" w:type="dxa"/>
            <w:vMerge w:val="restart"/>
            <w:shd w:val="clear" w:color="auto" w:fill="auto"/>
            <w:vAlign w:val="center"/>
          </w:tcPr>
          <w:p w14:paraId="1DFB0BBD" w14:textId="77777777" w:rsidR="005F555E" w:rsidRPr="006B309F" w:rsidRDefault="005F555E" w:rsidP="00820930">
            <w:pPr>
              <w:spacing w:after="0" w:line="240" w:lineRule="auto"/>
              <w:rPr>
                <w:rFonts w:ascii="Times New Roman" w:hAnsi="Times New Roman"/>
                <w:sz w:val="20"/>
                <w:szCs w:val="20"/>
              </w:rPr>
            </w:pPr>
            <w:r>
              <w:rPr>
                <w:rFonts w:ascii="Times New Roman" w:hAnsi="Times New Roman"/>
                <w:sz w:val="20"/>
                <w:szCs w:val="20"/>
              </w:rPr>
              <w:t>Libellé de produit inadéquat</w:t>
            </w:r>
            <w:r w:rsidR="00771B89">
              <w:rPr>
                <w:rFonts w:ascii="Times New Roman" w:hAnsi="Times New Roman"/>
                <w:sz w:val="20"/>
                <w:szCs w:val="20"/>
              </w:rPr>
              <w:t> : effet plus que produit !</w:t>
            </w:r>
          </w:p>
        </w:tc>
      </w:tr>
      <w:tr w:rsidR="005F555E" w:rsidRPr="006B309F" w14:paraId="1B2B9FE6" w14:textId="77777777" w:rsidTr="007E5253">
        <w:tc>
          <w:tcPr>
            <w:tcW w:w="3260" w:type="dxa"/>
            <w:vMerge/>
            <w:shd w:val="clear" w:color="auto" w:fill="F2F2F2" w:themeFill="background1" w:themeFillShade="F2"/>
            <w:vAlign w:val="center"/>
          </w:tcPr>
          <w:p w14:paraId="26B8DA25" w14:textId="77777777" w:rsidR="005F555E" w:rsidRPr="005F555E" w:rsidRDefault="005F555E" w:rsidP="006120A3">
            <w:pPr>
              <w:spacing w:after="0" w:line="240" w:lineRule="auto"/>
              <w:rPr>
                <w:rFonts w:ascii="Times New Roman" w:hAnsi="Times New Roman"/>
                <w:sz w:val="18"/>
                <w:szCs w:val="18"/>
              </w:rPr>
            </w:pPr>
          </w:p>
        </w:tc>
        <w:tc>
          <w:tcPr>
            <w:tcW w:w="3261" w:type="dxa"/>
            <w:shd w:val="clear" w:color="auto" w:fill="auto"/>
            <w:vAlign w:val="center"/>
          </w:tcPr>
          <w:p w14:paraId="1C95963C" w14:textId="77777777" w:rsidR="005F555E" w:rsidRDefault="005F555E" w:rsidP="006120A3">
            <w:pPr>
              <w:spacing w:after="0" w:line="240" w:lineRule="auto"/>
              <w:rPr>
                <w:rFonts w:ascii="Times New Roman" w:hAnsi="Times New Roman"/>
                <w:sz w:val="18"/>
                <w:szCs w:val="18"/>
              </w:rPr>
            </w:pPr>
            <w:r w:rsidRPr="0063549D">
              <w:rPr>
                <w:rFonts w:ascii="Times New Roman" w:hAnsi="Times New Roman"/>
                <w:b/>
                <w:sz w:val="18"/>
                <w:szCs w:val="18"/>
              </w:rPr>
              <w:t>I.3.</w:t>
            </w:r>
            <w:r>
              <w:rPr>
                <w:rFonts w:ascii="Times New Roman" w:hAnsi="Times New Roman"/>
                <w:sz w:val="18"/>
                <w:szCs w:val="18"/>
              </w:rPr>
              <w:t xml:space="preserve"> </w:t>
            </w:r>
            <w:r w:rsidRPr="004F74F4">
              <w:rPr>
                <w:rFonts w:ascii="Times New Roman" w:hAnsi="Times New Roman"/>
                <w:sz w:val="18"/>
                <w:szCs w:val="18"/>
              </w:rPr>
              <w:t>Nombre d’instances locales ayant mis en place des dispositifs en faveur du dialogue intra- et intercommunautaire et les utilisant dans les débats locaux</w:t>
            </w:r>
          </w:p>
          <w:p w14:paraId="31B138A4" w14:textId="77777777" w:rsidR="005F555E" w:rsidRPr="008B075F" w:rsidRDefault="005F555E" w:rsidP="00D76EFA">
            <w:pPr>
              <w:pStyle w:val="Paragraphedeliste"/>
              <w:numPr>
                <w:ilvl w:val="0"/>
                <w:numId w:val="44"/>
              </w:numPr>
              <w:spacing w:after="0" w:line="240" w:lineRule="auto"/>
              <w:rPr>
                <w:rFonts w:ascii="Times New Roman" w:hAnsi="Times New Roman"/>
                <w:sz w:val="18"/>
                <w:szCs w:val="18"/>
              </w:rPr>
            </w:pPr>
            <w:r w:rsidRPr="008B075F">
              <w:rPr>
                <w:rFonts w:ascii="Times New Roman" w:hAnsi="Times New Roman"/>
                <w:sz w:val="18"/>
                <w:szCs w:val="18"/>
              </w:rPr>
              <w:t>Réf : 0</w:t>
            </w:r>
          </w:p>
          <w:p w14:paraId="76D6B1EF" w14:textId="77777777" w:rsidR="005F555E" w:rsidRPr="008B075F" w:rsidRDefault="005F555E" w:rsidP="00D76EFA">
            <w:pPr>
              <w:pStyle w:val="Paragraphedeliste"/>
              <w:numPr>
                <w:ilvl w:val="0"/>
                <w:numId w:val="44"/>
              </w:numPr>
              <w:spacing w:after="0" w:line="240" w:lineRule="auto"/>
              <w:rPr>
                <w:rFonts w:ascii="Times New Roman" w:hAnsi="Times New Roman"/>
                <w:sz w:val="18"/>
                <w:szCs w:val="18"/>
              </w:rPr>
            </w:pPr>
            <w:r w:rsidRPr="008B075F">
              <w:rPr>
                <w:rFonts w:ascii="Times New Roman" w:hAnsi="Times New Roman"/>
                <w:sz w:val="18"/>
                <w:szCs w:val="18"/>
              </w:rPr>
              <w:t>Cible 17</w:t>
            </w:r>
          </w:p>
        </w:tc>
        <w:tc>
          <w:tcPr>
            <w:tcW w:w="2126" w:type="dxa"/>
            <w:shd w:val="clear" w:color="auto" w:fill="auto"/>
            <w:vAlign w:val="center"/>
          </w:tcPr>
          <w:p w14:paraId="25750D2B" w14:textId="77777777" w:rsidR="005F555E" w:rsidRPr="006D47EF" w:rsidRDefault="005F555E" w:rsidP="006120A3">
            <w:pPr>
              <w:spacing w:after="0" w:line="240" w:lineRule="auto"/>
              <w:rPr>
                <w:rFonts w:ascii="Times New Roman" w:hAnsi="Times New Roman"/>
                <w:sz w:val="20"/>
                <w:szCs w:val="20"/>
              </w:rPr>
            </w:pPr>
            <w:r w:rsidRPr="006D47EF">
              <w:rPr>
                <w:rFonts w:ascii="Times New Roman" w:hAnsi="Times New Roman"/>
                <w:sz w:val="20"/>
                <w:szCs w:val="20"/>
              </w:rPr>
              <w:t>Indicateur mesurable mais non sensible au genre</w:t>
            </w:r>
          </w:p>
          <w:p w14:paraId="16870177" w14:textId="77777777" w:rsidR="00E3237C" w:rsidRPr="006D47EF" w:rsidRDefault="00E3237C" w:rsidP="006120A3">
            <w:pPr>
              <w:spacing w:after="0" w:line="240" w:lineRule="auto"/>
              <w:rPr>
                <w:rFonts w:ascii="Times New Roman" w:hAnsi="Times New Roman"/>
                <w:sz w:val="20"/>
                <w:szCs w:val="20"/>
              </w:rPr>
            </w:pPr>
            <w:r w:rsidRPr="006D47EF">
              <w:rPr>
                <w:rFonts w:ascii="Times New Roman" w:hAnsi="Times New Roman"/>
                <w:sz w:val="20"/>
                <w:szCs w:val="20"/>
              </w:rPr>
              <w:t>Indicateur plutôt de résultat</w:t>
            </w:r>
          </w:p>
        </w:tc>
        <w:tc>
          <w:tcPr>
            <w:tcW w:w="1985" w:type="dxa"/>
            <w:vMerge/>
            <w:shd w:val="clear" w:color="auto" w:fill="auto"/>
            <w:vAlign w:val="center"/>
          </w:tcPr>
          <w:p w14:paraId="544FF9B6" w14:textId="77777777" w:rsidR="005F555E" w:rsidRPr="006B309F" w:rsidRDefault="005F555E" w:rsidP="006120A3">
            <w:pPr>
              <w:spacing w:after="0" w:line="240" w:lineRule="auto"/>
              <w:rPr>
                <w:rFonts w:ascii="Times New Roman" w:hAnsi="Times New Roman"/>
                <w:sz w:val="20"/>
                <w:szCs w:val="20"/>
              </w:rPr>
            </w:pPr>
          </w:p>
        </w:tc>
      </w:tr>
      <w:tr w:rsidR="005F555E" w:rsidRPr="006B309F" w14:paraId="6C8DE5DE" w14:textId="77777777" w:rsidTr="007E5253">
        <w:tc>
          <w:tcPr>
            <w:tcW w:w="3260" w:type="dxa"/>
            <w:shd w:val="clear" w:color="auto" w:fill="F2F2F2" w:themeFill="background1" w:themeFillShade="F2"/>
            <w:vAlign w:val="center"/>
          </w:tcPr>
          <w:p w14:paraId="73A1F9CB" w14:textId="77777777" w:rsidR="005F555E" w:rsidRPr="005F555E" w:rsidRDefault="005F555E" w:rsidP="006120A3">
            <w:pPr>
              <w:spacing w:after="0" w:line="240" w:lineRule="auto"/>
              <w:rPr>
                <w:rFonts w:ascii="Times New Roman" w:hAnsi="Times New Roman"/>
                <w:sz w:val="18"/>
                <w:szCs w:val="18"/>
              </w:rPr>
            </w:pPr>
            <w:r w:rsidRPr="005F555E">
              <w:rPr>
                <w:rFonts w:ascii="Times New Roman" w:hAnsi="Times New Roman"/>
                <w:b/>
                <w:sz w:val="18"/>
                <w:szCs w:val="18"/>
              </w:rPr>
              <w:lastRenderedPageBreak/>
              <w:t>P.1.3.</w:t>
            </w:r>
            <w:r w:rsidRPr="005F555E">
              <w:rPr>
                <w:rFonts w:ascii="Times New Roman" w:hAnsi="Times New Roman"/>
                <w:sz w:val="18"/>
                <w:szCs w:val="18"/>
              </w:rPr>
              <w:t xml:space="preserve"> La réintégration et la réadaptation des personnes déplacées à l’intérieur du pays sont garanties grâce à la mise en œuvre effective d’une stratégie de solutions durables</w:t>
            </w:r>
          </w:p>
        </w:tc>
        <w:tc>
          <w:tcPr>
            <w:tcW w:w="3261" w:type="dxa"/>
            <w:shd w:val="clear" w:color="auto" w:fill="auto"/>
            <w:vAlign w:val="center"/>
          </w:tcPr>
          <w:p w14:paraId="27F8C647" w14:textId="77777777" w:rsidR="005F555E" w:rsidRPr="004F74F4" w:rsidRDefault="005F555E" w:rsidP="006120A3">
            <w:pPr>
              <w:spacing w:after="0" w:line="240" w:lineRule="auto"/>
              <w:rPr>
                <w:rFonts w:ascii="Times New Roman" w:hAnsi="Times New Roman"/>
                <w:sz w:val="18"/>
                <w:szCs w:val="18"/>
              </w:rPr>
            </w:pPr>
            <w:r w:rsidRPr="0063549D">
              <w:rPr>
                <w:rFonts w:ascii="Times New Roman" w:hAnsi="Times New Roman"/>
                <w:b/>
                <w:sz w:val="18"/>
                <w:szCs w:val="18"/>
              </w:rPr>
              <w:t>I.4.</w:t>
            </w:r>
            <w:r>
              <w:rPr>
                <w:rFonts w:ascii="Times New Roman" w:hAnsi="Times New Roman"/>
                <w:sz w:val="18"/>
                <w:szCs w:val="18"/>
              </w:rPr>
              <w:t xml:space="preserve"> </w:t>
            </w:r>
            <w:r w:rsidRPr="004F74F4">
              <w:rPr>
                <w:rFonts w:ascii="Times New Roman" w:hAnsi="Times New Roman"/>
                <w:sz w:val="18"/>
                <w:szCs w:val="18"/>
              </w:rPr>
              <w:t>Nombre de réfugiés et</w:t>
            </w:r>
          </w:p>
          <w:p w14:paraId="0DDB4A11" w14:textId="77777777" w:rsidR="005F555E" w:rsidRDefault="005F555E" w:rsidP="006120A3">
            <w:pPr>
              <w:spacing w:after="0" w:line="240" w:lineRule="auto"/>
              <w:rPr>
                <w:rFonts w:ascii="Times New Roman" w:hAnsi="Times New Roman"/>
                <w:sz w:val="18"/>
                <w:szCs w:val="18"/>
              </w:rPr>
            </w:pPr>
            <w:r w:rsidRPr="004F74F4">
              <w:rPr>
                <w:rFonts w:ascii="Times New Roman" w:hAnsi="Times New Roman"/>
                <w:sz w:val="18"/>
                <w:szCs w:val="18"/>
              </w:rPr>
              <w:t>de personnes déplacées bénéficiant d’un appui à la réintégration socio-économique</w:t>
            </w:r>
          </w:p>
          <w:p w14:paraId="30B53176" w14:textId="77777777" w:rsidR="005F555E" w:rsidRPr="00EA74DA" w:rsidRDefault="005F555E" w:rsidP="00D76EFA">
            <w:pPr>
              <w:pStyle w:val="Paragraphedeliste"/>
              <w:numPr>
                <w:ilvl w:val="0"/>
                <w:numId w:val="45"/>
              </w:numPr>
              <w:spacing w:after="0" w:line="240" w:lineRule="auto"/>
              <w:rPr>
                <w:rFonts w:ascii="Times New Roman" w:hAnsi="Times New Roman"/>
                <w:sz w:val="18"/>
                <w:szCs w:val="18"/>
              </w:rPr>
            </w:pPr>
            <w:r w:rsidRPr="00EA74DA">
              <w:rPr>
                <w:rFonts w:ascii="Times New Roman" w:hAnsi="Times New Roman"/>
                <w:sz w:val="18"/>
                <w:szCs w:val="18"/>
              </w:rPr>
              <w:t xml:space="preserve">Réf : </w:t>
            </w:r>
            <w:r w:rsidR="00EE61B0" w:rsidRPr="00EA74DA">
              <w:rPr>
                <w:rFonts w:ascii="Times New Roman" w:hAnsi="Times New Roman"/>
                <w:sz w:val="18"/>
                <w:szCs w:val="18"/>
              </w:rPr>
              <w:t>4</w:t>
            </w:r>
            <w:r w:rsidRPr="00EA74DA">
              <w:rPr>
                <w:rFonts w:ascii="Times New Roman" w:hAnsi="Times New Roman"/>
                <w:sz w:val="18"/>
                <w:szCs w:val="18"/>
              </w:rPr>
              <w:t>0.000</w:t>
            </w:r>
          </w:p>
          <w:p w14:paraId="32375A0E" w14:textId="77777777" w:rsidR="005F555E" w:rsidRPr="008B075F" w:rsidRDefault="005F555E" w:rsidP="00D76EFA">
            <w:pPr>
              <w:pStyle w:val="Paragraphedeliste"/>
              <w:numPr>
                <w:ilvl w:val="0"/>
                <w:numId w:val="45"/>
              </w:numPr>
              <w:spacing w:after="0" w:line="240" w:lineRule="auto"/>
              <w:rPr>
                <w:rFonts w:ascii="Times New Roman" w:hAnsi="Times New Roman"/>
                <w:sz w:val="18"/>
                <w:szCs w:val="18"/>
              </w:rPr>
            </w:pPr>
            <w:r w:rsidRPr="008B075F">
              <w:rPr>
                <w:rFonts w:ascii="Times New Roman" w:hAnsi="Times New Roman"/>
                <w:sz w:val="18"/>
                <w:szCs w:val="18"/>
              </w:rPr>
              <w:t>Cible : 265 740, dont 60 % Femmes</w:t>
            </w:r>
          </w:p>
        </w:tc>
        <w:tc>
          <w:tcPr>
            <w:tcW w:w="2126" w:type="dxa"/>
            <w:shd w:val="clear" w:color="auto" w:fill="auto"/>
            <w:vAlign w:val="center"/>
          </w:tcPr>
          <w:p w14:paraId="10868AEE" w14:textId="77777777" w:rsidR="005F555E" w:rsidRPr="006D47EF" w:rsidRDefault="005F555E" w:rsidP="0007661E">
            <w:pPr>
              <w:spacing w:after="0" w:line="240" w:lineRule="auto"/>
              <w:rPr>
                <w:rFonts w:ascii="Times New Roman" w:hAnsi="Times New Roman"/>
                <w:sz w:val="20"/>
                <w:szCs w:val="20"/>
              </w:rPr>
            </w:pPr>
            <w:r w:rsidRPr="006D47EF">
              <w:rPr>
                <w:rFonts w:ascii="Times New Roman" w:hAnsi="Times New Roman"/>
                <w:sz w:val="20"/>
                <w:szCs w:val="20"/>
              </w:rPr>
              <w:t>Indicateur mesurable et sensible au genre</w:t>
            </w:r>
          </w:p>
          <w:p w14:paraId="148C76A6" w14:textId="77777777" w:rsidR="00E3237C" w:rsidRPr="006D47EF" w:rsidRDefault="00E3237C" w:rsidP="0007661E">
            <w:pPr>
              <w:spacing w:after="0" w:line="240" w:lineRule="auto"/>
              <w:rPr>
                <w:rFonts w:ascii="Times New Roman" w:hAnsi="Times New Roman"/>
                <w:sz w:val="20"/>
                <w:szCs w:val="20"/>
              </w:rPr>
            </w:pPr>
            <w:r w:rsidRPr="006D47EF">
              <w:rPr>
                <w:rFonts w:ascii="Times New Roman" w:hAnsi="Times New Roman"/>
                <w:sz w:val="20"/>
                <w:szCs w:val="20"/>
              </w:rPr>
              <w:t>Indicateur de produit</w:t>
            </w:r>
          </w:p>
        </w:tc>
        <w:tc>
          <w:tcPr>
            <w:tcW w:w="1985" w:type="dxa"/>
            <w:shd w:val="clear" w:color="auto" w:fill="auto"/>
            <w:vAlign w:val="center"/>
          </w:tcPr>
          <w:p w14:paraId="6BB07BE5" w14:textId="77777777" w:rsidR="005F555E" w:rsidRPr="006B309F" w:rsidRDefault="005F555E" w:rsidP="00820930">
            <w:pPr>
              <w:spacing w:after="0" w:line="240" w:lineRule="auto"/>
              <w:rPr>
                <w:rFonts w:ascii="Times New Roman" w:hAnsi="Times New Roman"/>
                <w:sz w:val="20"/>
                <w:szCs w:val="20"/>
              </w:rPr>
            </w:pPr>
            <w:r>
              <w:rPr>
                <w:rFonts w:ascii="Times New Roman" w:hAnsi="Times New Roman"/>
                <w:sz w:val="20"/>
                <w:szCs w:val="20"/>
              </w:rPr>
              <w:t>Libellé de produit inadéquat</w:t>
            </w:r>
            <w:r w:rsidR="00771B89">
              <w:rPr>
                <w:rFonts w:ascii="Times New Roman" w:hAnsi="Times New Roman"/>
                <w:sz w:val="20"/>
                <w:szCs w:val="20"/>
              </w:rPr>
              <w:t> : effet plus que produit !</w:t>
            </w:r>
          </w:p>
        </w:tc>
      </w:tr>
      <w:tr w:rsidR="005F555E" w:rsidRPr="006B309F" w14:paraId="777CC488" w14:textId="77777777" w:rsidTr="007E5253">
        <w:tc>
          <w:tcPr>
            <w:tcW w:w="3260" w:type="dxa"/>
            <w:vMerge w:val="restart"/>
            <w:shd w:val="clear" w:color="auto" w:fill="F2F2F2" w:themeFill="background1" w:themeFillShade="F2"/>
            <w:vAlign w:val="center"/>
          </w:tcPr>
          <w:p w14:paraId="1AB86239" w14:textId="77777777" w:rsidR="005F555E" w:rsidRPr="005F555E" w:rsidRDefault="005F555E" w:rsidP="006120A3">
            <w:pPr>
              <w:spacing w:after="0" w:line="240" w:lineRule="auto"/>
              <w:rPr>
                <w:rFonts w:ascii="Times New Roman" w:hAnsi="Times New Roman"/>
                <w:sz w:val="18"/>
                <w:szCs w:val="18"/>
              </w:rPr>
            </w:pPr>
            <w:r w:rsidRPr="005F555E">
              <w:rPr>
                <w:rFonts w:ascii="Times New Roman" w:hAnsi="Times New Roman"/>
                <w:b/>
                <w:sz w:val="18"/>
                <w:szCs w:val="18"/>
              </w:rPr>
              <w:t>P.2.1.</w:t>
            </w:r>
            <w:r w:rsidRPr="005F555E">
              <w:rPr>
                <w:rFonts w:ascii="Times New Roman" w:hAnsi="Times New Roman"/>
                <w:sz w:val="18"/>
                <w:szCs w:val="18"/>
              </w:rPr>
              <w:t xml:space="preserve"> Les Ministères ayant l’économie, les finances et la planification dans leurs attributions ont amélioré leurs capacités de formulation des politiques, de gestion des finances publiques et de coordination de l’aide pour stimuler une croissance diversifiée et réduire l’inégalité</w:t>
            </w:r>
          </w:p>
        </w:tc>
        <w:tc>
          <w:tcPr>
            <w:tcW w:w="3261" w:type="dxa"/>
            <w:shd w:val="clear" w:color="auto" w:fill="auto"/>
            <w:vAlign w:val="center"/>
          </w:tcPr>
          <w:p w14:paraId="2E9CDFD4" w14:textId="77777777" w:rsidR="005F555E" w:rsidRDefault="005F555E" w:rsidP="006120A3">
            <w:pPr>
              <w:spacing w:after="0" w:line="240" w:lineRule="auto"/>
              <w:rPr>
                <w:rFonts w:ascii="Times New Roman" w:eastAsia="Times New Roman" w:hAnsi="Times New Roman"/>
                <w:sz w:val="18"/>
                <w:szCs w:val="18"/>
              </w:rPr>
            </w:pPr>
            <w:r w:rsidRPr="0063549D">
              <w:rPr>
                <w:rFonts w:ascii="Times New Roman" w:eastAsia="Times New Roman" w:hAnsi="Times New Roman"/>
                <w:b/>
                <w:sz w:val="18"/>
                <w:szCs w:val="18"/>
              </w:rPr>
              <w:t>I.5.</w:t>
            </w:r>
            <w:r>
              <w:rPr>
                <w:rFonts w:ascii="Times New Roman" w:eastAsia="Times New Roman" w:hAnsi="Times New Roman"/>
                <w:sz w:val="18"/>
                <w:szCs w:val="18"/>
              </w:rPr>
              <w:t xml:space="preserve"> </w:t>
            </w:r>
            <w:r w:rsidRPr="00D2577A">
              <w:rPr>
                <w:rFonts w:ascii="Times New Roman" w:eastAsia="Times New Roman" w:hAnsi="Times New Roman"/>
                <w:sz w:val="18"/>
                <w:szCs w:val="18"/>
              </w:rPr>
              <w:t>Nombre de documents de</w:t>
            </w:r>
            <w:r w:rsidRPr="00D2577A">
              <w:rPr>
                <w:rFonts w:ascii="Times New Roman" w:eastAsia="Times New Roman" w:hAnsi="Times New Roman"/>
                <w:b/>
                <w:sz w:val="18"/>
                <w:szCs w:val="18"/>
              </w:rPr>
              <w:t xml:space="preserve"> </w:t>
            </w:r>
            <w:r w:rsidRPr="00D2577A">
              <w:rPr>
                <w:rFonts w:ascii="Times New Roman" w:eastAsia="Times New Roman" w:hAnsi="Times New Roman"/>
                <w:sz w:val="18"/>
                <w:szCs w:val="18"/>
              </w:rPr>
              <w:t>politique et d’analyse économique approuvés à l’échelle nationale</w:t>
            </w:r>
          </w:p>
          <w:p w14:paraId="5343878E" w14:textId="77777777" w:rsidR="005F555E" w:rsidRPr="0031553B" w:rsidRDefault="005F555E" w:rsidP="00D76EFA">
            <w:pPr>
              <w:pStyle w:val="Paragraphedeliste"/>
              <w:numPr>
                <w:ilvl w:val="0"/>
                <w:numId w:val="46"/>
              </w:numPr>
              <w:spacing w:after="0" w:line="240" w:lineRule="auto"/>
              <w:rPr>
                <w:rFonts w:ascii="Times New Roman" w:eastAsia="Times New Roman" w:hAnsi="Times New Roman"/>
                <w:sz w:val="18"/>
                <w:szCs w:val="18"/>
              </w:rPr>
            </w:pPr>
            <w:r w:rsidRPr="0031553B">
              <w:rPr>
                <w:rFonts w:ascii="Times New Roman" w:eastAsia="Times New Roman" w:hAnsi="Times New Roman"/>
                <w:sz w:val="18"/>
                <w:szCs w:val="18"/>
              </w:rPr>
              <w:t>Réf : 10</w:t>
            </w:r>
          </w:p>
          <w:p w14:paraId="60B42D9F" w14:textId="77777777" w:rsidR="005F555E" w:rsidRPr="0031553B" w:rsidRDefault="005F555E" w:rsidP="00D76EFA">
            <w:pPr>
              <w:pStyle w:val="Paragraphedeliste"/>
              <w:numPr>
                <w:ilvl w:val="0"/>
                <w:numId w:val="46"/>
              </w:numPr>
              <w:spacing w:after="0" w:line="240" w:lineRule="auto"/>
              <w:rPr>
                <w:rFonts w:ascii="Times New Roman" w:hAnsi="Times New Roman"/>
                <w:sz w:val="18"/>
                <w:szCs w:val="18"/>
              </w:rPr>
            </w:pPr>
            <w:r w:rsidRPr="0031553B">
              <w:rPr>
                <w:rFonts w:ascii="Times New Roman" w:eastAsia="Times New Roman" w:hAnsi="Times New Roman"/>
                <w:sz w:val="18"/>
                <w:szCs w:val="18"/>
              </w:rPr>
              <w:t>Cible : 20</w:t>
            </w:r>
          </w:p>
        </w:tc>
        <w:tc>
          <w:tcPr>
            <w:tcW w:w="2126" w:type="dxa"/>
            <w:shd w:val="clear" w:color="auto" w:fill="auto"/>
            <w:vAlign w:val="center"/>
          </w:tcPr>
          <w:p w14:paraId="7B472132" w14:textId="77777777" w:rsidR="005F555E" w:rsidRPr="006D47EF" w:rsidRDefault="005F555E" w:rsidP="0007661E">
            <w:pPr>
              <w:spacing w:after="0" w:line="240" w:lineRule="auto"/>
              <w:rPr>
                <w:rFonts w:ascii="Times New Roman" w:hAnsi="Times New Roman"/>
                <w:sz w:val="20"/>
                <w:szCs w:val="20"/>
              </w:rPr>
            </w:pPr>
            <w:r w:rsidRPr="006D47EF">
              <w:rPr>
                <w:rFonts w:ascii="Times New Roman" w:hAnsi="Times New Roman"/>
                <w:sz w:val="20"/>
                <w:szCs w:val="20"/>
              </w:rPr>
              <w:t>Indicateur mesurable et sensible au genre</w:t>
            </w:r>
          </w:p>
          <w:p w14:paraId="72D185B4" w14:textId="77777777" w:rsidR="00E3237C" w:rsidRPr="006D47EF" w:rsidRDefault="00E3237C" w:rsidP="0007661E">
            <w:pPr>
              <w:spacing w:after="0" w:line="240" w:lineRule="auto"/>
              <w:rPr>
                <w:rFonts w:ascii="Times New Roman" w:hAnsi="Times New Roman"/>
                <w:sz w:val="20"/>
                <w:szCs w:val="20"/>
              </w:rPr>
            </w:pPr>
            <w:r w:rsidRPr="006D47EF">
              <w:rPr>
                <w:rFonts w:ascii="Times New Roman" w:hAnsi="Times New Roman"/>
                <w:sz w:val="20"/>
                <w:szCs w:val="20"/>
              </w:rPr>
              <w:t>Indicateur de produit (mais inadéquat pour le programme qui ne peut le garantir seul)</w:t>
            </w:r>
          </w:p>
        </w:tc>
        <w:tc>
          <w:tcPr>
            <w:tcW w:w="1985" w:type="dxa"/>
            <w:vMerge w:val="restart"/>
            <w:shd w:val="clear" w:color="auto" w:fill="auto"/>
            <w:vAlign w:val="center"/>
          </w:tcPr>
          <w:p w14:paraId="6B03450C" w14:textId="77777777" w:rsidR="005F555E" w:rsidRPr="006B309F" w:rsidRDefault="005F555E" w:rsidP="00771B89">
            <w:pPr>
              <w:spacing w:after="0" w:line="240" w:lineRule="auto"/>
              <w:rPr>
                <w:rFonts w:ascii="Times New Roman" w:hAnsi="Times New Roman"/>
                <w:sz w:val="20"/>
                <w:szCs w:val="20"/>
              </w:rPr>
            </w:pPr>
            <w:r>
              <w:rPr>
                <w:rFonts w:ascii="Times New Roman" w:hAnsi="Times New Roman"/>
                <w:sz w:val="20"/>
                <w:szCs w:val="20"/>
              </w:rPr>
              <w:t xml:space="preserve">Libellé de produit </w:t>
            </w:r>
            <w:r w:rsidR="00771B89">
              <w:rPr>
                <w:rFonts w:ascii="Times New Roman" w:hAnsi="Times New Roman"/>
                <w:sz w:val="20"/>
                <w:szCs w:val="20"/>
              </w:rPr>
              <w:t>inadé</w:t>
            </w:r>
            <w:r>
              <w:rPr>
                <w:rFonts w:ascii="Times New Roman" w:hAnsi="Times New Roman"/>
                <w:sz w:val="20"/>
                <w:szCs w:val="20"/>
              </w:rPr>
              <w:t>quat</w:t>
            </w:r>
            <w:r w:rsidR="00771B89">
              <w:rPr>
                <w:rFonts w:ascii="Times New Roman" w:hAnsi="Times New Roman"/>
                <w:sz w:val="20"/>
                <w:szCs w:val="20"/>
              </w:rPr>
              <w:t> : effet plus que produit !</w:t>
            </w:r>
          </w:p>
        </w:tc>
      </w:tr>
      <w:tr w:rsidR="005F555E" w:rsidRPr="006B309F" w14:paraId="62871875" w14:textId="77777777" w:rsidTr="007E5253">
        <w:tc>
          <w:tcPr>
            <w:tcW w:w="3260" w:type="dxa"/>
            <w:vMerge/>
            <w:shd w:val="clear" w:color="auto" w:fill="F2F2F2" w:themeFill="background1" w:themeFillShade="F2"/>
            <w:vAlign w:val="center"/>
          </w:tcPr>
          <w:p w14:paraId="088C9A42" w14:textId="77777777" w:rsidR="005F555E" w:rsidRPr="005F555E" w:rsidRDefault="005F555E" w:rsidP="006120A3">
            <w:pPr>
              <w:spacing w:after="0" w:line="240" w:lineRule="auto"/>
              <w:rPr>
                <w:rFonts w:ascii="Times New Roman" w:hAnsi="Times New Roman"/>
                <w:sz w:val="18"/>
                <w:szCs w:val="18"/>
              </w:rPr>
            </w:pPr>
          </w:p>
        </w:tc>
        <w:tc>
          <w:tcPr>
            <w:tcW w:w="3261" w:type="dxa"/>
            <w:shd w:val="clear" w:color="auto" w:fill="auto"/>
            <w:vAlign w:val="center"/>
          </w:tcPr>
          <w:p w14:paraId="15068B67" w14:textId="77777777" w:rsidR="005F555E" w:rsidRDefault="005F555E" w:rsidP="006120A3">
            <w:pPr>
              <w:spacing w:after="0" w:line="240" w:lineRule="auto"/>
              <w:rPr>
                <w:rFonts w:ascii="Times New Roman" w:eastAsia="Times New Roman" w:hAnsi="Times New Roman"/>
                <w:sz w:val="18"/>
                <w:szCs w:val="18"/>
              </w:rPr>
            </w:pPr>
            <w:r w:rsidRPr="0063549D">
              <w:rPr>
                <w:rFonts w:ascii="Times New Roman" w:eastAsia="Times New Roman" w:hAnsi="Times New Roman"/>
                <w:b/>
                <w:sz w:val="18"/>
                <w:szCs w:val="18"/>
              </w:rPr>
              <w:t>I.6.</w:t>
            </w:r>
            <w:r>
              <w:rPr>
                <w:rFonts w:ascii="Times New Roman" w:eastAsia="Times New Roman" w:hAnsi="Times New Roman"/>
                <w:sz w:val="18"/>
                <w:szCs w:val="18"/>
              </w:rPr>
              <w:t xml:space="preserve"> </w:t>
            </w:r>
            <w:r w:rsidRPr="00D2577A">
              <w:rPr>
                <w:rFonts w:ascii="Times New Roman" w:eastAsia="Times New Roman" w:hAnsi="Times New Roman"/>
                <w:sz w:val="18"/>
                <w:szCs w:val="18"/>
              </w:rPr>
              <w:t>Nombre de réformes</w:t>
            </w:r>
            <w:r w:rsidRPr="00D2577A">
              <w:rPr>
                <w:rFonts w:ascii="Times New Roman" w:eastAsia="Times New Roman" w:hAnsi="Times New Roman"/>
                <w:b/>
                <w:sz w:val="18"/>
                <w:szCs w:val="18"/>
              </w:rPr>
              <w:t xml:space="preserve"> </w:t>
            </w:r>
            <w:r w:rsidRPr="00D2577A">
              <w:rPr>
                <w:rFonts w:ascii="Times New Roman" w:eastAsia="Times New Roman" w:hAnsi="Times New Roman"/>
                <w:sz w:val="18"/>
                <w:szCs w:val="18"/>
              </w:rPr>
              <w:t>économiques, légales, administratives et fiscales entreprises dans les secteurs de l’agriculture, de l’extraction minière et des services pour diversifier les sources de croissance et réduire l’inégalité</w:t>
            </w:r>
          </w:p>
          <w:p w14:paraId="371EB573" w14:textId="77777777" w:rsidR="005F555E" w:rsidRPr="0031553B" w:rsidRDefault="005F555E" w:rsidP="00D76EFA">
            <w:pPr>
              <w:pStyle w:val="Paragraphedeliste"/>
              <w:numPr>
                <w:ilvl w:val="0"/>
                <w:numId w:val="47"/>
              </w:numPr>
              <w:spacing w:after="0" w:line="240" w:lineRule="auto"/>
              <w:rPr>
                <w:rFonts w:ascii="Times New Roman" w:eastAsia="Times New Roman" w:hAnsi="Times New Roman"/>
                <w:sz w:val="18"/>
                <w:szCs w:val="18"/>
              </w:rPr>
            </w:pPr>
            <w:r w:rsidRPr="0031553B">
              <w:rPr>
                <w:rFonts w:ascii="Times New Roman" w:eastAsia="Times New Roman" w:hAnsi="Times New Roman"/>
                <w:sz w:val="18"/>
                <w:szCs w:val="18"/>
              </w:rPr>
              <w:t>Réf : 5</w:t>
            </w:r>
          </w:p>
          <w:p w14:paraId="3023DE1C" w14:textId="77777777" w:rsidR="005F555E" w:rsidRPr="0031553B" w:rsidRDefault="005F555E" w:rsidP="00D76EFA">
            <w:pPr>
              <w:pStyle w:val="Paragraphedeliste"/>
              <w:numPr>
                <w:ilvl w:val="0"/>
                <w:numId w:val="47"/>
              </w:numPr>
              <w:spacing w:after="0" w:line="240" w:lineRule="auto"/>
              <w:rPr>
                <w:rFonts w:ascii="Times New Roman" w:eastAsia="Times New Roman" w:hAnsi="Times New Roman"/>
                <w:sz w:val="18"/>
                <w:szCs w:val="18"/>
              </w:rPr>
            </w:pPr>
            <w:r w:rsidRPr="0031553B">
              <w:rPr>
                <w:rFonts w:ascii="Times New Roman" w:eastAsia="Times New Roman" w:hAnsi="Times New Roman"/>
                <w:sz w:val="18"/>
                <w:szCs w:val="18"/>
              </w:rPr>
              <w:t>Cible : 12</w:t>
            </w:r>
          </w:p>
        </w:tc>
        <w:tc>
          <w:tcPr>
            <w:tcW w:w="2126" w:type="dxa"/>
            <w:shd w:val="clear" w:color="auto" w:fill="auto"/>
            <w:vAlign w:val="center"/>
          </w:tcPr>
          <w:p w14:paraId="6B0CB023" w14:textId="77777777" w:rsidR="005F555E" w:rsidRPr="006D47EF" w:rsidRDefault="005F555E" w:rsidP="0007661E">
            <w:pPr>
              <w:spacing w:after="0" w:line="240" w:lineRule="auto"/>
              <w:rPr>
                <w:rFonts w:ascii="Times New Roman" w:hAnsi="Times New Roman"/>
                <w:sz w:val="20"/>
                <w:szCs w:val="20"/>
              </w:rPr>
            </w:pPr>
            <w:r w:rsidRPr="006D47EF">
              <w:rPr>
                <w:rFonts w:ascii="Times New Roman" w:hAnsi="Times New Roman"/>
                <w:sz w:val="20"/>
                <w:szCs w:val="20"/>
              </w:rPr>
              <w:t>Indicateur mesurable mais non sensible au genre</w:t>
            </w:r>
          </w:p>
          <w:p w14:paraId="60CE11FE" w14:textId="77777777" w:rsidR="00E3237C" w:rsidRPr="006D47EF" w:rsidRDefault="00E3237C" w:rsidP="0007661E">
            <w:pPr>
              <w:spacing w:after="0" w:line="240" w:lineRule="auto"/>
              <w:rPr>
                <w:rFonts w:ascii="Times New Roman" w:hAnsi="Times New Roman"/>
                <w:sz w:val="20"/>
                <w:szCs w:val="20"/>
              </w:rPr>
            </w:pPr>
            <w:r w:rsidRPr="006D47EF">
              <w:rPr>
                <w:rFonts w:ascii="Times New Roman" w:hAnsi="Times New Roman"/>
                <w:sz w:val="20"/>
                <w:szCs w:val="20"/>
              </w:rPr>
              <w:t>Indicateur de produit (mais inadéquat pour le programme qui ne peut le garantir seul)</w:t>
            </w:r>
          </w:p>
        </w:tc>
        <w:tc>
          <w:tcPr>
            <w:tcW w:w="1985" w:type="dxa"/>
            <w:vMerge/>
            <w:shd w:val="clear" w:color="auto" w:fill="auto"/>
            <w:vAlign w:val="center"/>
          </w:tcPr>
          <w:p w14:paraId="5C953109" w14:textId="77777777" w:rsidR="005F555E" w:rsidRPr="006B309F" w:rsidRDefault="005F555E" w:rsidP="006120A3">
            <w:pPr>
              <w:spacing w:after="0" w:line="240" w:lineRule="auto"/>
              <w:rPr>
                <w:rFonts w:ascii="Times New Roman" w:hAnsi="Times New Roman"/>
                <w:sz w:val="20"/>
                <w:szCs w:val="20"/>
              </w:rPr>
            </w:pPr>
          </w:p>
        </w:tc>
      </w:tr>
      <w:tr w:rsidR="005F555E" w:rsidRPr="006B309F" w14:paraId="1CAF634B" w14:textId="77777777" w:rsidTr="007E5253">
        <w:tc>
          <w:tcPr>
            <w:tcW w:w="3260" w:type="dxa"/>
            <w:vMerge w:val="restart"/>
            <w:shd w:val="clear" w:color="auto" w:fill="F2F2F2" w:themeFill="background1" w:themeFillShade="F2"/>
            <w:vAlign w:val="center"/>
          </w:tcPr>
          <w:p w14:paraId="73C239CF" w14:textId="77777777" w:rsidR="005F555E" w:rsidRPr="005F555E" w:rsidRDefault="005F555E" w:rsidP="00F13C59">
            <w:pPr>
              <w:spacing w:after="0" w:line="240" w:lineRule="auto"/>
              <w:rPr>
                <w:rFonts w:ascii="Times New Roman" w:hAnsi="Times New Roman"/>
                <w:sz w:val="18"/>
                <w:szCs w:val="18"/>
              </w:rPr>
            </w:pPr>
            <w:r w:rsidRPr="005F555E">
              <w:rPr>
                <w:rFonts w:ascii="Times New Roman" w:hAnsi="Times New Roman"/>
                <w:b/>
                <w:sz w:val="18"/>
                <w:szCs w:val="18"/>
              </w:rPr>
              <w:t>P.2.2.</w:t>
            </w:r>
            <w:r w:rsidRPr="005F555E">
              <w:rPr>
                <w:rFonts w:ascii="Times New Roman" w:hAnsi="Times New Roman"/>
                <w:sz w:val="18"/>
                <w:szCs w:val="18"/>
              </w:rPr>
              <w:t xml:space="preserve"> La résilience des populations les plus vulnérables</w:t>
            </w:r>
            <w:r w:rsidR="00F13C59">
              <w:rPr>
                <w:rFonts w:ascii="Times New Roman" w:hAnsi="Times New Roman"/>
                <w:sz w:val="18"/>
                <w:szCs w:val="18"/>
              </w:rPr>
              <w:t xml:space="preserve"> </w:t>
            </w:r>
            <w:r w:rsidRPr="005F555E">
              <w:rPr>
                <w:rFonts w:ascii="Times New Roman" w:hAnsi="Times New Roman"/>
                <w:sz w:val="18"/>
                <w:szCs w:val="18"/>
              </w:rPr>
              <w:t xml:space="preserve"> en milieu rural est renforcée au travers de l’amélioration de l’utilisation des ressources naturelles, de la promotion de la réduction des risques de catastrophe et des risques climatiques, de l’utilisation des sources d’énergie renouvelable, de la multiplication des débouchés économiques et de l’amélioration de l’accès aux services financiers</w:t>
            </w:r>
          </w:p>
        </w:tc>
        <w:tc>
          <w:tcPr>
            <w:tcW w:w="3261" w:type="dxa"/>
            <w:shd w:val="clear" w:color="auto" w:fill="auto"/>
            <w:vAlign w:val="center"/>
          </w:tcPr>
          <w:p w14:paraId="7D30BD52" w14:textId="77777777" w:rsidR="005F555E" w:rsidRDefault="005F555E" w:rsidP="006120A3">
            <w:pPr>
              <w:spacing w:after="0" w:line="240" w:lineRule="auto"/>
              <w:rPr>
                <w:rFonts w:ascii="Times New Roman" w:eastAsia="Times New Roman" w:hAnsi="Times New Roman"/>
                <w:sz w:val="18"/>
                <w:szCs w:val="18"/>
              </w:rPr>
            </w:pPr>
            <w:r w:rsidRPr="0063549D">
              <w:rPr>
                <w:rFonts w:ascii="Times New Roman" w:eastAsia="Times New Roman" w:hAnsi="Times New Roman"/>
                <w:b/>
                <w:sz w:val="18"/>
                <w:szCs w:val="18"/>
              </w:rPr>
              <w:t>I.7.</w:t>
            </w:r>
            <w:r>
              <w:rPr>
                <w:rFonts w:ascii="Times New Roman" w:eastAsia="Times New Roman" w:hAnsi="Times New Roman"/>
                <w:sz w:val="18"/>
                <w:szCs w:val="18"/>
              </w:rPr>
              <w:t xml:space="preserve"> </w:t>
            </w:r>
            <w:r w:rsidRPr="004B31B9">
              <w:rPr>
                <w:rFonts w:ascii="Times New Roman" w:eastAsia="Times New Roman" w:hAnsi="Times New Roman"/>
                <w:sz w:val="18"/>
                <w:szCs w:val="18"/>
              </w:rPr>
              <w:t>Nombre de petits fermiers,</w:t>
            </w:r>
            <w:r w:rsidRPr="004B31B9">
              <w:rPr>
                <w:rFonts w:ascii="Times New Roman" w:eastAsia="Times New Roman" w:hAnsi="Times New Roman"/>
                <w:b/>
                <w:sz w:val="18"/>
                <w:szCs w:val="18"/>
              </w:rPr>
              <w:t xml:space="preserve"> </w:t>
            </w:r>
            <w:r w:rsidRPr="004B31B9">
              <w:rPr>
                <w:rFonts w:ascii="Times New Roman" w:eastAsia="Times New Roman" w:hAnsi="Times New Roman"/>
                <w:sz w:val="18"/>
                <w:szCs w:val="18"/>
              </w:rPr>
              <w:t>de jeunes et de femmes en milieu rural engagés dans des activités rémunératrices durables</w:t>
            </w:r>
          </w:p>
          <w:p w14:paraId="51DBEE32" w14:textId="77777777" w:rsidR="005F555E" w:rsidRDefault="005F555E" w:rsidP="006120A3">
            <w:pPr>
              <w:spacing w:after="0" w:line="240" w:lineRule="auto"/>
              <w:rPr>
                <w:rFonts w:ascii="Times New Roman" w:eastAsia="Times New Roman" w:hAnsi="Times New Roman"/>
                <w:sz w:val="18"/>
                <w:szCs w:val="18"/>
              </w:rPr>
            </w:pPr>
            <w:r>
              <w:rPr>
                <w:rFonts w:ascii="Times New Roman" w:eastAsia="Times New Roman" w:hAnsi="Times New Roman"/>
                <w:sz w:val="18"/>
                <w:szCs w:val="18"/>
              </w:rPr>
              <w:t>Réf : 200.000</w:t>
            </w:r>
          </w:p>
          <w:p w14:paraId="7D4DD44B" w14:textId="77777777" w:rsidR="005F555E" w:rsidRPr="004B31B9" w:rsidRDefault="005F555E" w:rsidP="006120A3">
            <w:pPr>
              <w:spacing w:after="0" w:line="240" w:lineRule="auto"/>
              <w:rPr>
                <w:rFonts w:ascii="Times New Roman" w:eastAsia="Times New Roman" w:hAnsi="Times New Roman"/>
                <w:sz w:val="18"/>
                <w:szCs w:val="18"/>
              </w:rPr>
            </w:pPr>
            <w:r>
              <w:rPr>
                <w:rFonts w:ascii="Times New Roman" w:eastAsia="Times New Roman" w:hAnsi="Times New Roman"/>
                <w:sz w:val="18"/>
                <w:szCs w:val="18"/>
              </w:rPr>
              <w:t>Cible : 1.500.000</w:t>
            </w:r>
            <w:r w:rsidR="0027472B">
              <w:rPr>
                <w:rFonts w:ascii="Times New Roman" w:eastAsia="Times New Roman" w:hAnsi="Times New Roman"/>
                <w:sz w:val="18"/>
                <w:szCs w:val="18"/>
              </w:rPr>
              <w:t>, dont 60% de femmes</w:t>
            </w:r>
          </w:p>
        </w:tc>
        <w:tc>
          <w:tcPr>
            <w:tcW w:w="2126" w:type="dxa"/>
            <w:shd w:val="clear" w:color="auto" w:fill="auto"/>
            <w:vAlign w:val="center"/>
          </w:tcPr>
          <w:p w14:paraId="2DD6432C" w14:textId="77777777" w:rsidR="005F555E" w:rsidRPr="00350348" w:rsidRDefault="005F555E" w:rsidP="0007661E">
            <w:pPr>
              <w:spacing w:after="0" w:line="240" w:lineRule="auto"/>
              <w:rPr>
                <w:rFonts w:ascii="Times New Roman" w:hAnsi="Times New Roman"/>
                <w:sz w:val="20"/>
                <w:szCs w:val="20"/>
              </w:rPr>
            </w:pPr>
            <w:r w:rsidRPr="00350348">
              <w:rPr>
                <w:rFonts w:ascii="Times New Roman" w:hAnsi="Times New Roman"/>
                <w:sz w:val="20"/>
                <w:szCs w:val="20"/>
              </w:rPr>
              <w:t>Indicateur mesurable et sensible au genre</w:t>
            </w:r>
          </w:p>
          <w:p w14:paraId="0FDBC7A1" w14:textId="77777777" w:rsidR="00E3237C" w:rsidRPr="00350348" w:rsidRDefault="00E3237C" w:rsidP="0007661E">
            <w:pPr>
              <w:spacing w:after="0" w:line="240" w:lineRule="auto"/>
              <w:rPr>
                <w:rFonts w:ascii="Times New Roman" w:hAnsi="Times New Roman"/>
                <w:sz w:val="20"/>
                <w:szCs w:val="20"/>
              </w:rPr>
            </w:pPr>
            <w:r w:rsidRPr="00350348">
              <w:rPr>
                <w:rFonts w:ascii="Times New Roman" w:hAnsi="Times New Roman"/>
                <w:sz w:val="20"/>
                <w:szCs w:val="20"/>
              </w:rPr>
              <w:t>Indicateur de produit</w:t>
            </w:r>
          </w:p>
        </w:tc>
        <w:tc>
          <w:tcPr>
            <w:tcW w:w="1985" w:type="dxa"/>
            <w:vMerge w:val="restart"/>
            <w:shd w:val="clear" w:color="auto" w:fill="auto"/>
            <w:vAlign w:val="center"/>
          </w:tcPr>
          <w:p w14:paraId="7D861A64" w14:textId="77777777" w:rsidR="005F555E" w:rsidRPr="006B309F" w:rsidRDefault="005F555E" w:rsidP="00820930">
            <w:pPr>
              <w:spacing w:after="0" w:line="240" w:lineRule="auto"/>
              <w:rPr>
                <w:rFonts w:ascii="Times New Roman" w:hAnsi="Times New Roman"/>
                <w:sz w:val="20"/>
                <w:szCs w:val="20"/>
              </w:rPr>
            </w:pPr>
            <w:r>
              <w:rPr>
                <w:rFonts w:ascii="Times New Roman" w:hAnsi="Times New Roman"/>
                <w:sz w:val="20"/>
                <w:szCs w:val="20"/>
              </w:rPr>
              <w:t>Libellé de produit adéquat</w:t>
            </w:r>
          </w:p>
        </w:tc>
      </w:tr>
      <w:tr w:rsidR="005F555E" w:rsidRPr="006B309F" w14:paraId="6E23AFAF" w14:textId="77777777" w:rsidTr="007E5253">
        <w:tc>
          <w:tcPr>
            <w:tcW w:w="3260" w:type="dxa"/>
            <w:vMerge/>
            <w:shd w:val="clear" w:color="auto" w:fill="F2F2F2" w:themeFill="background1" w:themeFillShade="F2"/>
            <w:vAlign w:val="center"/>
          </w:tcPr>
          <w:p w14:paraId="0F80FC8E" w14:textId="77777777" w:rsidR="005F555E" w:rsidRPr="005F555E" w:rsidRDefault="005F555E" w:rsidP="006120A3">
            <w:pPr>
              <w:spacing w:after="0" w:line="240" w:lineRule="auto"/>
              <w:rPr>
                <w:rFonts w:ascii="Times New Roman" w:hAnsi="Times New Roman"/>
                <w:sz w:val="18"/>
                <w:szCs w:val="18"/>
              </w:rPr>
            </w:pPr>
          </w:p>
        </w:tc>
        <w:tc>
          <w:tcPr>
            <w:tcW w:w="3261" w:type="dxa"/>
            <w:shd w:val="clear" w:color="auto" w:fill="auto"/>
            <w:vAlign w:val="center"/>
          </w:tcPr>
          <w:p w14:paraId="626591ED" w14:textId="77777777" w:rsidR="005F555E" w:rsidRDefault="005F555E" w:rsidP="006120A3">
            <w:pPr>
              <w:spacing w:after="0" w:line="240" w:lineRule="auto"/>
              <w:rPr>
                <w:rFonts w:ascii="Times New Roman" w:eastAsia="Times New Roman" w:hAnsi="Times New Roman"/>
                <w:sz w:val="18"/>
                <w:szCs w:val="18"/>
              </w:rPr>
            </w:pPr>
            <w:r w:rsidRPr="0063549D">
              <w:rPr>
                <w:rFonts w:ascii="Times New Roman" w:eastAsia="Times New Roman" w:hAnsi="Times New Roman"/>
                <w:b/>
                <w:sz w:val="18"/>
                <w:szCs w:val="18"/>
              </w:rPr>
              <w:t>I.8.</w:t>
            </w:r>
            <w:r>
              <w:rPr>
                <w:rFonts w:ascii="Times New Roman" w:eastAsia="Times New Roman" w:hAnsi="Times New Roman"/>
                <w:sz w:val="18"/>
                <w:szCs w:val="18"/>
              </w:rPr>
              <w:t xml:space="preserve"> </w:t>
            </w:r>
            <w:r w:rsidRPr="004B31B9">
              <w:rPr>
                <w:rFonts w:ascii="Times New Roman" w:eastAsia="Times New Roman" w:hAnsi="Times New Roman"/>
                <w:sz w:val="18"/>
                <w:szCs w:val="18"/>
              </w:rPr>
              <w:t>Pourcentage de personnes</w:t>
            </w:r>
            <w:r w:rsidRPr="004B31B9">
              <w:rPr>
                <w:rFonts w:ascii="Times New Roman" w:eastAsia="Times New Roman" w:hAnsi="Times New Roman"/>
                <w:b/>
                <w:sz w:val="18"/>
                <w:szCs w:val="18"/>
              </w:rPr>
              <w:t xml:space="preserve"> </w:t>
            </w:r>
            <w:r w:rsidRPr="004B31B9">
              <w:rPr>
                <w:rFonts w:ascii="Times New Roman" w:eastAsia="Times New Roman" w:hAnsi="Times New Roman"/>
                <w:sz w:val="18"/>
                <w:szCs w:val="18"/>
              </w:rPr>
              <w:t>vulnérables engagées dans des activités économiques résilientes aux catastrophes et aux changements climatiques</w:t>
            </w:r>
          </w:p>
          <w:p w14:paraId="6D9C0FBB" w14:textId="77777777" w:rsidR="005F555E" w:rsidRPr="0031553B" w:rsidRDefault="005F555E" w:rsidP="00D76EFA">
            <w:pPr>
              <w:pStyle w:val="Paragraphedeliste"/>
              <w:numPr>
                <w:ilvl w:val="0"/>
                <w:numId w:val="48"/>
              </w:numPr>
              <w:spacing w:after="0" w:line="240" w:lineRule="auto"/>
              <w:rPr>
                <w:rFonts w:ascii="Times New Roman" w:eastAsia="Times New Roman" w:hAnsi="Times New Roman"/>
                <w:sz w:val="18"/>
                <w:szCs w:val="18"/>
              </w:rPr>
            </w:pPr>
            <w:r w:rsidRPr="0031553B">
              <w:rPr>
                <w:rFonts w:ascii="Times New Roman" w:eastAsia="Times New Roman" w:hAnsi="Times New Roman"/>
                <w:sz w:val="18"/>
                <w:szCs w:val="18"/>
              </w:rPr>
              <w:t>Réf : 10%</w:t>
            </w:r>
          </w:p>
          <w:p w14:paraId="17146296" w14:textId="77777777" w:rsidR="005F555E" w:rsidRPr="0031553B" w:rsidRDefault="005F555E" w:rsidP="00D76EFA">
            <w:pPr>
              <w:pStyle w:val="Paragraphedeliste"/>
              <w:numPr>
                <w:ilvl w:val="0"/>
                <w:numId w:val="48"/>
              </w:numPr>
              <w:spacing w:after="0" w:line="240" w:lineRule="auto"/>
              <w:rPr>
                <w:rFonts w:ascii="Times New Roman" w:eastAsia="Times New Roman" w:hAnsi="Times New Roman"/>
                <w:sz w:val="18"/>
                <w:szCs w:val="18"/>
              </w:rPr>
            </w:pPr>
            <w:r w:rsidRPr="0031553B">
              <w:rPr>
                <w:rFonts w:ascii="Times New Roman" w:eastAsia="Times New Roman" w:hAnsi="Times New Roman"/>
                <w:sz w:val="18"/>
                <w:szCs w:val="18"/>
              </w:rPr>
              <w:t>Cible : 60%</w:t>
            </w:r>
          </w:p>
        </w:tc>
        <w:tc>
          <w:tcPr>
            <w:tcW w:w="2126" w:type="dxa"/>
            <w:shd w:val="clear" w:color="auto" w:fill="auto"/>
            <w:vAlign w:val="center"/>
          </w:tcPr>
          <w:p w14:paraId="0416CC78" w14:textId="77777777" w:rsidR="005F555E" w:rsidRPr="006D47EF" w:rsidRDefault="005F555E" w:rsidP="0007661E">
            <w:pPr>
              <w:spacing w:after="0" w:line="240" w:lineRule="auto"/>
              <w:rPr>
                <w:rFonts w:ascii="Times New Roman" w:hAnsi="Times New Roman"/>
                <w:sz w:val="20"/>
                <w:szCs w:val="20"/>
              </w:rPr>
            </w:pPr>
            <w:r w:rsidRPr="006D47EF">
              <w:rPr>
                <w:rFonts w:ascii="Times New Roman" w:hAnsi="Times New Roman"/>
                <w:sz w:val="20"/>
                <w:szCs w:val="20"/>
              </w:rPr>
              <w:t>Indicateur mesurable mais non sensible au genre</w:t>
            </w:r>
          </w:p>
          <w:p w14:paraId="79AEBF01" w14:textId="77777777" w:rsidR="00E3237C" w:rsidRPr="006D47EF" w:rsidRDefault="00E3237C" w:rsidP="0007661E">
            <w:pPr>
              <w:spacing w:after="0" w:line="240" w:lineRule="auto"/>
              <w:rPr>
                <w:rFonts w:ascii="Times New Roman" w:hAnsi="Times New Roman"/>
                <w:sz w:val="20"/>
                <w:szCs w:val="20"/>
              </w:rPr>
            </w:pPr>
            <w:r w:rsidRPr="006D47EF">
              <w:rPr>
                <w:rFonts w:ascii="Times New Roman" w:hAnsi="Times New Roman"/>
                <w:sz w:val="20"/>
                <w:szCs w:val="20"/>
              </w:rPr>
              <w:t>Indicateur de produit</w:t>
            </w:r>
          </w:p>
        </w:tc>
        <w:tc>
          <w:tcPr>
            <w:tcW w:w="1985" w:type="dxa"/>
            <w:vMerge/>
            <w:shd w:val="clear" w:color="auto" w:fill="auto"/>
            <w:vAlign w:val="center"/>
          </w:tcPr>
          <w:p w14:paraId="3FE27808" w14:textId="77777777" w:rsidR="005F555E" w:rsidRPr="006B309F" w:rsidRDefault="005F555E" w:rsidP="006120A3">
            <w:pPr>
              <w:spacing w:after="0" w:line="240" w:lineRule="auto"/>
              <w:rPr>
                <w:rFonts w:ascii="Times New Roman" w:hAnsi="Times New Roman"/>
                <w:sz w:val="20"/>
                <w:szCs w:val="20"/>
              </w:rPr>
            </w:pPr>
          </w:p>
        </w:tc>
      </w:tr>
      <w:tr w:rsidR="005F555E" w:rsidRPr="006B309F" w14:paraId="1524E73C" w14:textId="77777777" w:rsidTr="007E5253">
        <w:tc>
          <w:tcPr>
            <w:tcW w:w="3260" w:type="dxa"/>
            <w:vMerge w:val="restart"/>
            <w:shd w:val="clear" w:color="auto" w:fill="F2F2F2" w:themeFill="background1" w:themeFillShade="F2"/>
            <w:vAlign w:val="center"/>
          </w:tcPr>
          <w:p w14:paraId="6A17B22D" w14:textId="77777777" w:rsidR="005F555E" w:rsidRPr="005F555E" w:rsidRDefault="005F555E" w:rsidP="006120A3">
            <w:pPr>
              <w:spacing w:after="0" w:line="240" w:lineRule="auto"/>
              <w:rPr>
                <w:rFonts w:ascii="Times New Roman" w:hAnsi="Times New Roman"/>
                <w:sz w:val="18"/>
                <w:szCs w:val="18"/>
              </w:rPr>
            </w:pPr>
            <w:r w:rsidRPr="005F555E">
              <w:rPr>
                <w:rFonts w:ascii="Times New Roman" w:hAnsi="Times New Roman"/>
                <w:b/>
                <w:sz w:val="18"/>
                <w:szCs w:val="18"/>
              </w:rPr>
              <w:t>P.2.3.</w:t>
            </w:r>
            <w:r w:rsidRPr="005F555E">
              <w:rPr>
                <w:rFonts w:ascii="Times New Roman" w:hAnsi="Times New Roman"/>
                <w:sz w:val="18"/>
                <w:szCs w:val="18"/>
              </w:rPr>
              <w:t xml:space="preserve"> Les capacités de planification,</w:t>
            </w:r>
            <w:r w:rsidRPr="005F555E">
              <w:rPr>
                <w:rFonts w:ascii="Times New Roman" w:hAnsi="Times New Roman"/>
                <w:b/>
                <w:sz w:val="18"/>
                <w:szCs w:val="18"/>
              </w:rPr>
              <w:t xml:space="preserve"> </w:t>
            </w:r>
            <w:r w:rsidRPr="005F555E">
              <w:rPr>
                <w:rFonts w:ascii="Times New Roman" w:hAnsi="Times New Roman"/>
                <w:sz w:val="18"/>
                <w:szCs w:val="18"/>
              </w:rPr>
              <w:t>d’évaluation et d’affectation des ressources des institutions responsables de l’environnement sont renforcées pour mettre en œuvre les plans sectoriels visant mieux intégrer les liens entre la pauvreté et l’environnement et les préoccupations en matière de réduction des risques de catastrophe et des risques climatiques</w:t>
            </w:r>
          </w:p>
        </w:tc>
        <w:tc>
          <w:tcPr>
            <w:tcW w:w="3261" w:type="dxa"/>
            <w:shd w:val="clear" w:color="auto" w:fill="auto"/>
            <w:vAlign w:val="center"/>
          </w:tcPr>
          <w:p w14:paraId="2A1B4DE1" w14:textId="77777777" w:rsidR="005F555E" w:rsidRDefault="005F555E" w:rsidP="006120A3">
            <w:pPr>
              <w:spacing w:after="0" w:line="240" w:lineRule="auto"/>
              <w:ind w:right="340"/>
              <w:rPr>
                <w:rFonts w:ascii="Times New Roman" w:eastAsia="Times New Roman" w:hAnsi="Times New Roman"/>
                <w:sz w:val="18"/>
                <w:szCs w:val="18"/>
              </w:rPr>
            </w:pPr>
            <w:r w:rsidRPr="0063549D">
              <w:rPr>
                <w:rFonts w:ascii="Times New Roman" w:eastAsia="Times New Roman" w:hAnsi="Times New Roman"/>
                <w:b/>
                <w:sz w:val="18"/>
                <w:szCs w:val="18"/>
              </w:rPr>
              <w:t>I.9.</w:t>
            </w:r>
            <w:r>
              <w:rPr>
                <w:rFonts w:ascii="Times New Roman" w:eastAsia="Times New Roman" w:hAnsi="Times New Roman"/>
                <w:sz w:val="18"/>
                <w:szCs w:val="18"/>
              </w:rPr>
              <w:t xml:space="preserve"> </w:t>
            </w:r>
            <w:r w:rsidRPr="00C53636">
              <w:rPr>
                <w:rFonts w:ascii="Times New Roman" w:eastAsia="Times New Roman" w:hAnsi="Times New Roman"/>
                <w:sz w:val="18"/>
                <w:szCs w:val="18"/>
              </w:rPr>
              <w:t>Plans de développement</w:t>
            </w:r>
            <w:r w:rsidRPr="00C53636">
              <w:rPr>
                <w:rFonts w:ascii="Times New Roman" w:eastAsia="Times New Roman" w:hAnsi="Times New Roman"/>
                <w:b/>
                <w:sz w:val="18"/>
                <w:szCs w:val="18"/>
              </w:rPr>
              <w:t xml:space="preserve"> </w:t>
            </w:r>
            <w:r w:rsidRPr="00C53636">
              <w:rPr>
                <w:rFonts w:ascii="Times New Roman" w:eastAsia="Times New Roman" w:hAnsi="Times New Roman"/>
                <w:sz w:val="18"/>
                <w:szCs w:val="18"/>
              </w:rPr>
              <w:t>socio-économique et plans sectoriels relatifs aux changements climatiques et à la gestion des ressources naturelles</w:t>
            </w:r>
          </w:p>
          <w:p w14:paraId="748768EE" w14:textId="77777777" w:rsidR="005F555E" w:rsidRPr="0031553B" w:rsidRDefault="005F555E" w:rsidP="00D76EFA">
            <w:pPr>
              <w:pStyle w:val="Paragraphedeliste"/>
              <w:numPr>
                <w:ilvl w:val="0"/>
                <w:numId w:val="49"/>
              </w:numPr>
              <w:spacing w:after="0" w:line="240" w:lineRule="auto"/>
              <w:ind w:right="340"/>
              <w:rPr>
                <w:rFonts w:ascii="Times New Roman" w:eastAsia="Times New Roman" w:hAnsi="Times New Roman"/>
                <w:sz w:val="18"/>
                <w:szCs w:val="18"/>
              </w:rPr>
            </w:pPr>
            <w:r w:rsidRPr="0031553B">
              <w:rPr>
                <w:rFonts w:ascii="Times New Roman" w:eastAsia="Times New Roman" w:hAnsi="Times New Roman"/>
                <w:sz w:val="18"/>
                <w:szCs w:val="18"/>
              </w:rPr>
              <w:t>Réf : 3 plans de développement et un plan sectoriel</w:t>
            </w:r>
          </w:p>
          <w:p w14:paraId="09D17B82" w14:textId="77777777" w:rsidR="005F555E" w:rsidRPr="0031553B" w:rsidRDefault="005F555E" w:rsidP="00D76EFA">
            <w:pPr>
              <w:pStyle w:val="Paragraphedeliste"/>
              <w:numPr>
                <w:ilvl w:val="0"/>
                <w:numId w:val="49"/>
              </w:numPr>
              <w:spacing w:after="0" w:line="240" w:lineRule="auto"/>
              <w:ind w:right="340"/>
              <w:rPr>
                <w:rFonts w:ascii="Times New Roman" w:eastAsia="Times New Roman" w:hAnsi="Times New Roman"/>
                <w:sz w:val="18"/>
                <w:szCs w:val="18"/>
              </w:rPr>
            </w:pPr>
            <w:r w:rsidRPr="0031553B">
              <w:rPr>
                <w:rFonts w:ascii="Times New Roman" w:eastAsia="Times New Roman" w:hAnsi="Times New Roman"/>
                <w:sz w:val="18"/>
                <w:szCs w:val="18"/>
              </w:rPr>
              <w:t>Cible : 15 plans de développement économique, social et culturel, de 15 municipalités, et 3 plans sectoriels (à l’échelle nationale) en faveur de faibles émissions de carbone et de la résilience aux changements climatiques</w:t>
            </w:r>
          </w:p>
        </w:tc>
        <w:tc>
          <w:tcPr>
            <w:tcW w:w="2126" w:type="dxa"/>
            <w:shd w:val="clear" w:color="auto" w:fill="auto"/>
            <w:vAlign w:val="center"/>
          </w:tcPr>
          <w:p w14:paraId="447BE63F" w14:textId="77777777" w:rsidR="005F555E" w:rsidRPr="006D47EF" w:rsidRDefault="005F555E" w:rsidP="0007661E">
            <w:pPr>
              <w:spacing w:after="0" w:line="240" w:lineRule="auto"/>
              <w:rPr>
                <w:rFonts w:ascii="Times New Roman" w:hAnsi="Times New Roman"/>
                <w:sz w:val="20"/>
                <w:szCs w:val="20"/>
              </w:rPr>
            </w:pPr>
            <w:r w:rsidRPr="006D47EF">
              <w:rPr>
                <w:rFonts w:ascii="Times New Roman" w:hAnsi="Times New Roman"/>
                <w:sz w:val="20"/>
                <w:szCs w:val="20"/>
              </w:rPr>
              <w:t>Indicateur non spécifique et donc  mesurable ; par ailleurs non sensible au genre</w:t>
            </w:r>
          </w:p>
          <w:p w14:paraId="603CC551" w14:textId="77777777" w:rsidR="00E3237C" w:rsidRPr="006D47EF" w:rsidRDefault="00E3237C" w:rsidP="0007661E">
            <w:pPr>
              <w:spacing w:after="0" w:line="240" w:lineRule="auto"/>
              <w:rPr>
                <w:rFonts w:ascii="Times New Roman" w:hAnsi="Times New Roman"/>
                <w:sz w:val="20"/>
                <w:szCs w:val="20"/>
              </w:rPr>
            </w:pPr>
            <w:r w:rsidRPr="006D47EF">
              <w:rPr>
                <w:rFonts w:ascii="Times New Roman" w:hAnsi="Times New Roman"/>
                <w:sz w:val="20"/>
                <w:szCs w:val="20"/>
              </w:rPr>
              <w:t>Indicateur de produit</w:t>
            </w:r>
          </w:p>
        </w:tc>
        <w:tc>
          <w:tcPr>
            <w:tcW w:w="1985" w:type="dxa"/>
            <w:vMerge w:val="restart"/>
            <w:shd w:val="clear" w:color="auto" w:fill="auto"/>
            <w:vAlign w:val="center"/>
          </w:tcPr>
          <w:p w14:paraId="166AAABE" w14:textId="77777777" w:rsidR="005F555E" w:rsidRPr="006B309F" w:rsidRDefault="005F555E" w:rsidP="00820930">
            <w:pPr>
              <w:spacing w:after="0" w:line="240" w:lineRule="auto"/>
              <w:rPr>
                <w:rFonts w:ascii="Times New Roman" w:hAnsi="Times New Roman"/>
                <w:sz w:val="20"/>
                <w:szCs w:val="20"/>
              </w:rPr>
            </w:pPr>
            <w:r>
              <w:rPr>
                <w:rFonts w:ascii="Times New Roman" w:hAnsi="Times New Roman"/>
                <w:sz w:val="20"/>
                <w:szCs w:val="20"/>
              </w:rPr>
              <w:t>Libellé de produit adéquat</w:t>
            </w:r>
          </w:p>
        </w:tc>
      </w:tr>
      <w:tr w:rsidR="005F555E" w:rsidRPr="006B309F" w14:paraId="196650F1" w14:textId="77777777" w:rsidTr="007E5253">
        <w:tc>
          <w:tcPr>
            <w:tcW w:w="3260" w:type="dxa"/>
            <w:vMerge/>
            <w:shd w:val="clear" w:color="auto" w:fill="F2F2F2" w:themeFill="background1" w:themeFillShade="F2"/>
            <w:vAlign w:val="center"/>
          </w:tcPr>
          <w:p w14:paraId="43C7A2B7" w14:textId="77777777" w:rsidR="005F555E" w:rsidRPr="005F555E" w:rsidRDefault="005F555E" w:rsidP="006120A3">
            <w:pPr>
              <w:spacing w:after="0" w:line="240" w:lineRule="auto"/>
              <w:rPr>
                <w:rFonts w:ascii="Times New Roman" w:hAnsi="Times New Roman"/>
                <w:sz w:val="20"/>
                <w:szCs w:val="20"/>
              </w:rPr>
            </w:pPr>
          </w:p>
        </w:tc>
        <w:tc>
          <w:tcPr>
            <w:tcW w:w="3261" w:type="dxa"/>
            <w:shd w:val="clear" w:color="auto" w:fill="auto"/>
            <w:vAlign w:val="center"/>
          </w:tcPr>
          <w:p w14:paraId="5CBA2FFA" w14:textId="77777777" w:rsidR="005F555E" w:rsidRDefault="005F555E" w:rsidP="006120A3">
            <w:pPr>
              <w:spacing w:after="0" w:line="240" w:lineRule="auto"/>
              <w:rPr>
                <w:rFonts w:ascii="Times New Roman" w:eastAsia="Times New Roman" w:hAnsi="Times New Roman"/>
                <w:sz w:val="18"/>
                <w:szCs w:val="18"/>
              </w:rPr>
            </w:pPr>
            <w:r w:rsidRPr="0063549D">
              <w:rPr>
                <w:rFonts w:ascii="Times New Roman" w:eastAsia="Times New Roman" w:hAnsi="Times New Roman"/>
                <w:b/>
                <w:sz w:val="18"/>
                <w:szCs w:val="18"/>
              </w:rPr>
              <w:t>I.10.</w:t>
            </w:r>
            <w:r>
              <w:rPr>
                <w:rFonts w:ascii="Times New Roman" w:eastAsia="Times New Roman" w:hAnsi="Times New Roman"/>
                <w:sz w:val="18"/>
                <w:szCs w:val="18"/>
              </w:rPr>
              <w:t xml:space="preserve"> </w:t>
            </w:r>
            <w:r w:rsidRPr="00C53636">
              <w:rPr>
                <w:rFonts w:ascii="Times New Roman" w:eastAsia="Times New Roman" w:hAnsi="Times New Roman"/>
                <w:sz w:val="18"/>
                <w:szCs w:val="18"/>
              </w:rPr>
              <w:t>Nombre de plans d’action</w:t>
            </w:r>
            <w:r w:rsidRPr="00C53636">
              <w:rPr>
                <w:rFonts w:ascii="Times New Roman" w:eastAsia="Times New Roman" w:hAnsi="Times New Roman"/>
                <w:b/>
                <w:sz w:val="18"/>
                <w:szCs w:val="18"/>
              </w:rPr>
              <w:t xml:space="preserve"> </w:t>
            </w:r>
            <w:r w:rsidRPr="00C53636">
              <w:rPr>
                <w:rFonts w:ascii="Times New Roman" w:eastAsia="Times New Roman" w:hAnsi="Times New Roman"/>
                <w:sz w:val="18"/>
                <w:szCs w:val="18"/>
              </w:rPr>
              <w:t>en faveur de la réduction des risques de catastrophe et de l’assainissement élaborés à l’échelle</w:t>
            </w:r>
            <w:r>
              <w:rPr>
                <w:rFonts w:ascii="Times New Roman" w:eastAsia="Times New Roman" w:hAnsi="Times New Roman"/>
                <w:sz w:val="18"/>
                <w:szCs w:val="18"/>
              </w:rPr>
              <w:t xml:space="preserve"> nationale, régionale et locale</w:t>
            </w:r>
          </w:p>
          <w:p w14:paraId="6DCF806E" w14:textId="77777777" w:rsidR="005F555E" w:rsidRPr="0031553B" w:rsidRDefault="005F555E" w:rsidP="00D76EFA">
            <w:pPr>
              <w:pStyle w:val="Paragraphedeliste"/>
              <w:numPr>
                <w:ilvl w:val="0"/>
                <w:numId w:val="50"/>
              </w:numPr>
              <w:spacing w:after="0" w:line="240" w:lineRule="auto"/>
              <w:rPr>
                <w:rFonts w:ascii="Times New Roman" w:eastAsia="Times New Roman" w:hAnsi="Times New Roman"/>
                <w:sz w:val="18"/>
                <w:szCs w:val="18"/>
              </w:rPr>
            </w:pPr>
            <w:r w:rsidRPr="0031553B">
              <w:rPr>
                <w:rFonts w:ascii="Times New Roman" w:eastAsia="Times New Roman" w:hAnsi="Times New Roman"/>
                <w:sz w:val="18"/>
                <w:szCs w:val="18"/>
              </w:rPr>
              <w:t>Réf : 0 Aucune stratégie ou politique de réduction des risques de catastrophe</w:t>
            </w:r>
          </w:p>
          <w:p w14:paraId="4C7EEA68" w14:textId="77777777" w:rsidR="005F555E" w:rsidRPr="0031553B" w:rsidRDefault="005F555E" w:rsidP="00D76EFA">
            <w:pPr>
              <w:pStyle w:val="Paragraphedeliste"/>
              <w:numPr>
                <w:ilvl w:val="0"/>
                <w:numId w:val="50"/>
              </w:numPr>
              <w:spacing w:after="0" w:line="240" w:lineRule="auto"/>
              <w:rPr>
                <w:rFonts w:ascii="Times New Roman" w:hAnsi="Times New Roman"/>
                <w:sz w:val="18"/>
                <w:szCs w:val="18"/>
              </w:rPr>
            </w:pPr>
            <w:r w:rsidRPr="0031553B">
              <w:rPr>
                <w:rFonts w:ascii="Times New Roman" w:eastAsia="Times New Roman" w:hAnsi="Times New Roman"/>
                <w:sz w:val="18"/>
                <w:szCs w:val="18"/>
              </w:rPr>
              <w:t>Cible : 3 plans d’action (un premier à l’échelle nationale, un deuxième à l’échelle régionale et un troisième à l’échelle locale</w:t>
            </w:r>
          </w:p>
        </w:tc>
        <w:tc>
          <w:tcPr>
            <w:tcW w:w="2126" w:type="dxa"/>
            <w:shd w:val="clear" w:color="auto" w:fill="auto"/>
            <w:vAlign w:val="center"/>
          </w:tcPr>
          <w:p w14:paraId="3BF367BB" w14:textId="77777777" w:rsidR="005F555E" w:rsidRPr="006D47EF" w:rsidRDefault="005F555E" w:rsidP="00C371F5">
            <w:pPr>
              <w:spacing w:after="0" w:line="240" w:lineRule="auto"/>
              <w:rPr>
                <w:rFonts w:ascii="Times New Roman" w:hAnsi="Times New Roman"/>
                <w:sz w:val="20"/>
                <w:szCs w:val="20"/>
              </w:rPr>
            </w:pPr>
            <w:r w:rsidRPr="006D47EF">
              <w:rPr>
                <w:rFonts w:ascii="Times New Roman" w:hAnsi="Times New Roman"/>
                <w:sz w:val="20"/>
                <w:szCs w:val="20"/>
              </w:rPr>
              <w:t>Indicateur mesurable mais non sensible au genre</w:t>
            </w:r>
          </w:p>
          <w:p w14:paraId="03DF4382" w14:textId="77777777" w:rsidR="00E3237C" w:rsidRPr="006D47EF" w:rsidRDefault="00E3237C" w:rsidP="00C371F5">
            <w:pPr>
              <w:spacing w:after="0" w:line="240" w:lineRule="auto"/>
              <w:rPr>
                <w:rFonts w:ascii="Times New Roman" w:hAnsi="Times New Roman"/>
                <w:sz w:val="20"/>
                <w:szCs w:val="20"/>
              </w:rPr>
            </w:pPr>
            <w:r w:rsidRPr="006D47EF">
              <w:rPr>
                <w:rFonts w:ascii="Times New Roman" w:hAnsi="Times New Roman"/>
                <w:sz w:val="20"/>
                <w:szCs w:val="20"/>
              </w:rPr>
              <w:t>Indicateur de produit</w:t>
            </w:r>
          </w:p>
        </w:tc>
        <w:tc>
          <w:tcPr>
            <w:tcW w:w="1985" w:type="dxa"/>
            <w:vMerge/>
            <w:shd w:val="clear" w:color="auto" w:fill="auto"/>
            <w:vAlign w:val="center"/>
          </w:tcPr>
          <w:p w14:paraId="272D8C26" w14:textId="77777777" w:rsidR="005F555E" w:rsidRPr="006B309F" w:rsidRDefault="005F555E" w:rsidP="006120A3">
            <w:pPr>
              <w:spacing w:after="0" w:line="240" w:lineRule="auto"/>
              <w:rPr>
                <w:rFonts w:ascii="Times New Roman" w:hAnsi="Times New Roman"/>
                <w:sz w:val="20"/>
                <w:szCs w:val="20"/>
              </w:rPr>
            </w:pPr>
          </w:p>
        </w:tc>
      </w:tr>
      <w:tr w:rsidR="005F555E" w:rsidRPr="006B309F" w14:paraId="6A949858" w14:textId="77777777" w:rsidTr="007E5253">
        <w:tc>
          <w:tcPr>
            <w:tcW w:w="3260" w:type="dxa"/>
            <w:shd w:val="clear" w:color="auto" w:fill="F2F2F2" w:themeFill="background1" w:themeFillShade="F2"/>
            <w:vAlign w:val="center"/>
          </w:tcPr>
          <w:p w14:paraId="053BFDCE" w14:textId="77777777" w:rsidR="005F555E" w:rsidRPr="005F555E" w:rsidRDefault="005F555E" w:rsidP="0063549D">
            <w:pPr>
              <w:spacing w:after="0" w:line="240" w:lineRule="auto"/>
              <w:rPr>
                <w:rFonts w:ascii="Times New Roman" w:hAnsi="Times New Roman"/>
                <w:sz w:val="18"/>
                <w:szCs w:val="18"/>
              </w:rPr>
            </w:pPr>
            <w:r w:rsidRPr="005F555E">
              <w:rPr>
                <w:rFonts w:ascii="Times New Roman" w:eastAsia="Times New Roman" w:hAnsi="Times New Roman"/>
                <w:b/>
                <w:sz w:val="18"/>
                <w:szCs w:val="18"/>
              </w:rPr>
              <w:t>P.3.1.</w:t>
            </w:r>
            <w:r w:rsidRPr="005F555E">
              <w:rPr>
                <w:rFonts w:ascii="Times New Roman" w:eastAsia="Times New Roman" w:hAnsi="Times New Roman"/>
                <w:sz w:val="18"/>
                <w:szCs w:val="18"/>
              </w:rPr>
              <w:t xml:space="preserve"> Les capacités du Parlement</w:t>
            </w:r>
            <w:r w:rsidRPr="005F555E">
              <w:rPr>
                <w:rFonts w:ascii="Times New Roman" w:eastAsia="Times New Roman" w:hAnsi="Times New Roman"/>
                <w:b/>
                <w:sz w:val="18"/>
                <w:szCs w:val="18"/>
              </w:rPr>
              <w:t xml:space="preserve"> </w:t>
            </w:r>
            <w:r w:rsidRPr="005F555E">
              <w:rPr>
                <w:rFonts w:ascii="Times New Roman" w:eastAsia="Times New Roman" w:hAnsi="Times New Roman"/>
                <w:sz w:val="18"/>
                <w:szCs w:val="18"/>
              </w:rPr>
              <w:t>sont renforcées dans les matières législatives et le contrôle de l’action gouvernementale</w:t>
            </w:r>
          </w:p>
        </w:tc>
        <w:tc>
          <w:tcPr>
            <w:tcW w:w="3261" w:type="dxa"/>
            <w:shd w:val="clear" w:color="auto" w:fill="auto"/>
            <w:vAlign w:val="center"/>
          </w:tcPr>
          <w:p w14:paraId="6984698D" w14:textId="77777777" w:rsidR="005F555E" w:rsidRDefault="005F555E" w:rsidP="0063549D">
            <w:pPr>
              <w:spacing w:after="0" w:line="240" w:lineRule="auto"/>
              <w:rPr>
                <w:rFonts w:ascii="Times New Roman" w:hAnsi="Times New Roman"/>
                <w:sz w:val="18"/>
                <w:szCs w:val="18"/>
              </w:rPr>
            </w:pPr>
            <w:r w:rsidRPr="0063549D">
              <w:rPr>
                <w:rFonts w:ascii="Times New Roman" w:hAnsi="Times New Roman"/>
                <w:b/>
                <w:sz w:val="18"/>
                <w:szCs w:val="18"/>
              </w:rPr>
              <w:t>I.11.</w:t>
            </w:r>
            <w:r>
              <w:rPr>
                <w:rFonts w:ascii="Times New Roman" w:hAnsi="Times New Roman"/>
                <w:sz w:val="18"/>
                <w:szCs w:val="18"/>
              </w:rPr>
              <w:t xml:space="preserve"> </w:t>
            </w:r>
            <w:r w:rsidRPr="00C60F79">
              <w:rPr>
                <w:rFonts w:ascii="Times New Roman" w:hAnsi="Times New Roman"/>
                <w:sz w:val="18"/>
                <w:szCs w:val="18"/>
              </w:rPr>
              <w:t>Pourcentage de députés élus au suffrage direct ayant suivi une formation aux techniques de l’examen de la législation, du contrôle et de la transparence budgétaire</w:t>
            </w:r>
          </w:p>
          <w:p w14:paraId="17D23C63" w14:textId="77777777" w:rsidR="005F555E" w:rsidRPr="00297AA0" w:rsidRDefault="005F555E" w:rsidP="00D76EFA">
            <w:pPr>
              <w:pStyle w:val="Paragraphedeliste"/>
              <w:numPr>
                <w:ilvl w:val="0"/>
                <w:numId w:val="51"/>
              </w:numPr>
              <w:spacing w:after="0" w:line="240" w:lineRule="auto"/>
              <w:rPr>
                <w:rFonts w:ascii="Times New Roman" w:hAnsi="Times New Roman"/>
                <w:sz w:val="18"/>
                <w:szCs w:val="18"/>
              </w:rPr>
            </w:pPr>
            <w:r w:rsidRPr="00297AA0">
              <w:rPr>
                <w:rFonts w:ascii="Times New Roman" w:hAnsi="Times New Roman"/>
                <w:sz w:val="18"/>
                <w:szCs w:val="18"/>
              </w:rPr>
              <w:lastRenderedPageBreak/>
              <w:t>Réf : 20%</w:t>
            </w:r>
          </w:p>
          <w:p w14:paraId="77636699" w14:textId="77777777" w:rsidR="005F555E" w:rsidRPr="00297AA0" w:rsidRDefault="005F555E" w:rsidP="00D76EFA">
            <w:pPr>
              <w:pStyle w:val="Paragraphedeliste"/>
              <w:numPr>
                <w:ilvl w:val="0"/>
                <w:numId w:val="51"/>
              </w:numPr>
              <w:spacing w:after="0" w:line="240" w:lineRule="auto"/>
              <w:rPr>
                <w:rFonts w:ascii="Times New Roman" w:hAnsi="Times New Roman"/>
                <w:sz w:val="18"/>
                <w:szCs w:val="18"/>
              </w:rPr>
            </w:pPr>
            <w:r w:rsidRPr="00297AA0">
              <w:rPr>
                <w:rFonts w:ascii="Times New Roman" w:hAnsi="Times New Roman"/>
                <w:sz w:val="18"/>
                <w:szCs w:val="18"/>
              </w:rPr>
              <w:t>Cible : 100%</w:t>
            </w:r>
          </w:p>
        </w:tc>
        <w:tc>
          <w:tcPr>
            <w:tcW w:w="2126" w:type="dxa"/>
            <w:shd w:val="clear" w:color="auto" w:fill="auto"/>
            <w:vAlign w:val="center"/>
          </w:tcPr>
          <w:p w14:paraId="3B63E41C" w14:textId="77777777" w:rsidR="005F555E" w:rsidRPr="006D47EF" w:rsidRDefault="005F555E" w:rsidP="00C371F5">
            <w:pPr>
              <w:spacing w:after="0" w:line="240" w:lineRule="auto"/>
              <w:rPr>
                <w:rFonts w:ascii="Times New Roman" w:hAnsi="Times New Roman"/>
                <w:sz w:val="20"/>
                <w:szCs w:val="20"/>
              </w:rPr>
            </w:pPr>
            <w:r w:rsidRPr="006D47EF">
              <w:rPr>
                <w:rFonts w:ascii="Times New Roman" w:hAnsi="Times New Roman"/>
                <w:sz w:val="20"/>
                <w:szCs w:val="20"/>
              </w:rPr>
              <w:lastRenderedPageBreak/>
              <w:t>Indicateur mesurable mais non sensible au genre</w:t>
            </w:r>
          </w:p>
          <w:p w14:paraId="0232C8A3" w14:textId="77777777" w:rsidR="00E3237C" w:rsidRPr="006D47EF" w:rsidRDefault="00E3237C" w:rsidP="00C371F5">
            <w:pPr>
              <w:spacing w:after="0" w:line="240" w:lineRule="auto"/>
              <w:rPr>
                <w:rFonts w:ascii="Times New Roman" w:hAnsi="Times New Roman"/>
                <w:sz w:val="20"/>
                <w:szCs w:val="20"/>
              </w:rPr>
            </w:pPr>
            <w:r w:rsidRPr="006D47EF">
              <w:rPr>
                <w:rFonts w:ascii="Times New Roman" w:hAnsi="Times New Roman"/>
                <w:sz w:val="20"/>
                <w:szCs w:val="20"/>
              </w:rPr>
              <w:t>Indicateur de produit</w:t>
            </w:r>
          </w:p>
        </w:tc>
        <w:tc>
          <w:tcPr>
            <w:tcW w:w="1985" w:type="dxa"/>
            <w:shd w:val="clear" w:color="auto" w:fill="auto"/>
            <w:vAlign w:val="center"/>
          </w:tcPr>
          <w:p w14:paraId="7147CD1C" w14:textId="77777777" w:rsidR="005F555E" w:rsidRPr="006B309F" w:rsidRDefault="005F555E" w:rsidP="00820930">
            <w:pPr>
              <w:spacing w:after="0" w:line="240" w:lineRule="auto"/>
              <w:rPr>
                <w:rFonts w:ascii="Times New Roman" w:hAnsi="Times New Roman"/>
                <w:sz w:val="20"/>
                <w:szCs w:val="20"/>
              </w:rPr>
            </w:pPr>
            <w:r>
              <w:rPr>
                <w:rFonts w:ascii="Times New Roman" w:hAnsi="Times New Roman"/>
                <w:sz w:val="20"/>
                <w:szCs w:val="20"/>
              </w:rPr>
              <w:t>Libellé de produit adéquat</w:t>
            </w:r>
          </w:p>
        </w:tc>
      </w:tr>
      <w:tr w:rsidR="005F555E" w:rsidRPr="006B309F" w14:paraId="606A546F" w14:textId="77777777" w:rsidTr="007E5253">
        <w:tc>
          <w:tcPr>
            <w:tcW w:w="3260" w:type="dxa"/>
            <w:vMerge w:val="restart"/>
            <w:shd w:val="clear" w:color="auto" w:fill="F2F2F2" w:themeFill="background1" w:themeFillShade="F2"/>
            <w:vAlign w:val="center"/>
          </w:tcPr>
          <w:p w14:paraId="61A54B66" w14:textId="77777777" w:rsidR="005F555E" w:rsidRPr="005F555E" w:rsidRDefault="005F555E" w:rsidP="00EA7AD0">
            <w:pPr>
              <w:spacing w:after="0" w:line="240" w:lineRule="auto"/>
              <w:rPr>
                <w:rFonts w:ascii="Times New Roman" w:hAnsi="Times New Roman"/>
                <w:sz w:val="18"/>
                <w:szCs w:val="18"/>
              </w:rPr>
            </w:pPr>
            <w:r w:rsidRPr="005F555E">
              <w:rPr>
                <w:rFonts w:ascii="Times New Roman" w:eastAsia="Times New Roman" w:hAnsi="Times New Roman"/>
                <w:b/>
                <w:sz w:val="18"/>
                <w:szCs w:val="18"/>
              </w:rPr>
              <w:t>P.3.2.</w:t>
            </w:r>
            <w:r w:rsidRPr="005F555E">
              <w:rPr>
                <w:rFonts w:ascii="Times New Roman" w:eastAsia="Times New Roman" w:hAnsi="Times New Roman"/>
                <w:sz w:val="18"/>
                <w:szCs w:val="18"/>
              </w:rPr>
              <w:t xml:space="preserve"> La réforme de la justice et le</w:t>
            </w:r>
            <w:r w:rsidRPr="005F555E">
              <w:rPr>
                <w:rFonts w:ascii="Times New Roman" w:eastAsia="Times New Roman" w:hAnsi="Times New Roman"/>
                <w:b/>
                <w:sz w:val="18"/>
                <w:szCs w:val="18"/>
              </w:rPr>
              <w:t xml:space="preserve"> </w:t>
            </w:r>
            <w:r w:rsidRPr="005F555E">
              <w:rPr>
                <w:rFonts w:ascii="Times New Roman" w:eastAsia="Times New Roman" w:hAnsi="Times New Roman"/>
                <w:sz w:val="18"/>
                <w:szCs w:val="18"/>
              </w:rPr>
              <w:t>redéploiement de l’administration dans les régions de Gao, de Kidal et de Tombouctou sont consolidés pour renforcer l’autorité de l’État et la primauté du droit</w:t>
            </w:r>
          </w:p>
        </w:tc>
        <w:tc>
          <w:tcPr>
            <w:tcW w:w="3261" w:type="dxa"/>
            <w:shd w:val="clear" w:color="auto" w:fill="auto"/>
            <w:vAlign w:val="center"/>
          </w:tcPr>
          <w:p w14:paraId="1D4A6352" w14:textId="77777777" w:rsidR="005F555E" w:rsidRDefault="005F555E" w:rsidP="0063549D">
            <w:pPr>
              <w:spacing w:after="0" w:line="240" w:lineRule="auto"/>
              <w:rPr>
                <w:rFonts w:ascii="Times New Roman" w:hAnsi="Times New Roman"/>
                <w:sz w:val="18"/>
                <w:szCs w:val="18"/>
              </w:rPr>
            </w:pPr>
            <w:r w:rsidRPr="0063549D">
              <w:rPr>
                <w:rFonts w:ascii="Times New Roman" w:hAnsi="Times New Roman"/>
                <w:b/>
                <w:sz w:val="18"/>
                <w:szCs w:val="18"/>
              </w:rPr>
              <w:t>I.12.</w:t>
            </w:r>
            <w:r>
              <w:rPr>
                <w:rFonts w:ascii="Times New Roman" w:hAnsi="Times New Roman"/>
                <w:sz w:val="18"/>
                <w:szCs w:val="18"/>
              </w:rPr>
              <w:t xml:space="preserve"> </w:t>
            </w:r>
            <w:r w:rsidRPr="002121D5">
              <w:rPr>
                <w:rFonts w:ascii="Times New Roman" w:hAnsi="Times New Roman"/>
                <w:sz w:val="18"/>
                <w:szCs w:val="18"/>
              </w:rPr>
              <w:t>Nombre de personnes ayant accès aux services judicaires</w:t>
            </w:r>
          </w:p>
          <w:p w14:paraId="49D0FD68" w14:textId="77777777" w:rsidR="005F555E" w:rsidRPr="00297AA0" w:rsidRDefault="005F555E" w:rsidP="00D76EFA">
            <w:pPr>
              <w:pStyle w:val="Paragraphedeliste"/>
              <w:numPr>
                <w:ilvl w:val="0"/>
                <w:numId w:val="52"/>
              </w:numPr>
              <w:spacing w:after="0" w:line="240" w:lineRule="auto"/>
              <w:rPr>
                <w:rFonts w:ascii="Times New Roman" w:hAnsi="Times New Roman"/>
                <w:sz w:val="18"/>
                <w:szCs w:val="18"/>
              </w:rPr>
            </w:pPr>
            <w:r w:rsidRPr="00297AA0">
              <w:rPr>
                <w:rFonts w:ascii="Times New Roman" w:hAnsi="Times New Roman"/>
                <w:sz w:val="18"/>
                <w:szCs w:val="18"/>
              </w:rPr>
              <w:t>Réf : 3 millions</w:t>
            </w:r>
          </w:p>
          <w:p w14:paraId="71965698" w14:textId="77777777" w:rsidR="005F555E" w:rsidRPr="00297AA0" w:rsidRDefault="005F555E" w:rsidP="00D76EFA">
            <w:pPr>
              <w:pStyle w:val="Paragraphedeliste"/>
              <w:numPr>
                <w:ilvl w:val="0"/>
                <w:numId w:val="52"/>
              </w:numPr>
              <w:spacing w:after="0" w:line="240" w:lineRule="auto"/>
              <w:rPr>
                <w:rFonts w:ascii="Times New Roman" w:hAnsi="Times New Roman"/>
                <w:sz w:val="18"/>
                <w:szCs w:val="18"/>
              </w:rPr>
            </w:pPr>
            <w:r w:rsidRPr="00297AA0">
              <w:rPr>
                <w:rFonts w:ascii="Times New Roman" w:hAnsi="Times New Roman"/>
                <w:sz w:val="18"/>
                <w:szCs w:val="18"/>
              </w:rPr>
              <w:t>Cible : 9 millions</w:t>
            </w:r>
          </w:p>
        </w:tc>
        <w:tc>
          <w:tcPr>
            <w:tcW w:w="2126" w:type="dxa"/>
            <w:shd w:val="clear" w:color="auto" w:fill="auto"/>
            <w:vAlign w:val="center"/>
          </w:tcPr>
          <w:p w14:paraId="2F8500ED" w14:textId="77777777" w:rsidR="005F555E" w:rsidRPr="006D47EF" w:rsidRDefault="005F555E" w:rsidP="00C371F5">
            <w:pPr>
              <w:spacing w:after="0" w:line="240" w:lineRule="auto"/>
              <w:rPr>
                <w:rFonts w:ascii="Times New Roman" w:hAnsi="Times New Roman"/>
                <w:sz w:val="20"/>
                <w:szCs w:val="20"/>
              </w:rPr>
            </w:pPr>
            <w:r w:rsidRPr="006D47EF">
              <w:rPr>
                <w:rFonts w:ascii="Times New Roman" w:hAnsi="Times New Roman"/>
                <w:sz w:val="20"/>
                <w:szCs w:val="20"/>
              </w:rPr>
              <w:t>Indicateur mesurable mais non sensible au genre</w:t>
            </w:r>
          </w:p>
          <w:p w14:paraId="1C8159BE" w14:textId="77777777" w:rsidR="00E3237C" w:rsidRPr="006D47EF" w:rsidRDefault="00E3237C" w:rsidP="00C371F5">
            <w:pPr>
              <w:spacing w:after="0" w:line="240" w:lineRule="auto"/>
              <w:rPr>
                <w:rFonts w:ascii="Times New Roman" w:hAnsi="Times New Roman"/>
                <w:sz w:val="20"/>
                <w:szCs w:val="20"/>
              </w:rPr>
            </w:pPr>
            <w:r w:rsidRPr="006D47EF">
              <w:rPr>
                <w:rFonts w:ascii="Times New Roman" w:hAnsi="Times New Roman"/>
                <w:sz w:val="20"/>
                <w:szCs w:val="20"/>
              </w:rPr>
              <w:t>Indicateur de résultat</w:t>
            </w:r>
          </w:p>
        </w:tc>
        <w:tc>
          <w:tcPr>
            <w:tcW w:w="1985" w:type="dxa"/>
            <w:vMerge w:val="restart"/>
            <w:shd w:val="clear" w:color="auto" w:fill="auto"/>
            <w:vAlign w:val="center"/>
          </w:tcPr>
          <w:p w14:paraId="295C991A" w14:textId="77777777" w:rsidR="005F555E" w:rsidRPr="006B309F" w:rsidRDefault="005F555E" w:rsidP="00820930">
            <w:pPr>
              <w:spacing w:after="0" w:line="240" w:lineRule="auto"/>
              <w:rPr>
                <w:rFonts w:ascii="Times New Roman" w:hAnsi="Times New Roman"/>
                <w:sz w:val="20"/>
                <w:szCs w:val="20"/>
              </w:rPr>
            </w:pPr>
            <w:r>
              <w:rPr>
                <w:rFonts w:ascii="Times New Roman" w:hAnsi="Times New Roman"/>
                <w:sz w:val="20"/>
                <w:szCs w:val="20"/>
              </w:rPr>
              <w:t>Libellé de produit adéquat</w:t>
            </w:r>
          </w:p>
        </w:tc>
      </w:tr>
      <w:tr w:rsidR="005F555E" w:rsidRPr="006B309F" w14:paraId="1D2229EF" w14:textId="77777777" w:rsidTr="007E5253">
        <w:tc>
          <w:tcPr>
            <w:tcW w:w="3260" w:type="dxa"/>
            <w:vMerge/>
            <w:shd w:val="clear" w:color="auto" w:fill="F2F2F2" w:themeFill="background1" w:themeFillShade="F2"/>
            <w:vAlign w:val="center"/>
          </w:tcPr>
          <w:p w14:paraId="6A3605EE" w14:textId="77777777" w:rsidR="005F555E" w:rsidRPr="005F555E" w:rsidRDefault="005F555E" w:rsidP="0063549D">
            <w:pPr>
              <w:spacing w:after="0" w:line="240" w:lineRule="auto"/>
              <w:rPr>
                <w:rFonts w:ascii="Times New Roman" w:hAnsi="Times New Roman"/>
                <w:sz w:val="20"/>
                <w:szCs w:val="20"/>
              </w:rPr>
            </w:pPr>
          </w:p>
        </w:tc>
        <w:tc>
          <w:tcPr>
            <w:tcW w:w="3261" w:type="dxa"/>
            <w:shd w:val="clear" w:color="auto" w:fill="auto"/>
            <w:vAlign w:val="center"/>
          </w:tcPr>
          <w:p w14:paraId="358E72F9" w14:textId="77777777" w:rsidR="005F555E" w:rsidRDefault="005F555E" w:rsidP="0063549D">
            <w:pPr>
              <w:spacing w:after="0" w:line="240" w:lineRule="auto"/>
              <w:rPr>
                <w:rFonts w:ascii="Times New Roman" w:hAnsi="Times New Roman"/>
                <w:sz w:val="18"/>
                <w:szCs w:val="18"/>
              </w:rPr>
            </w:pPr>
            <w:r w:rsidRPr="0063549D">
              <w:rPr>
                <w:rFonts w:ascii="Times New Roman" w:hAnsi="Times New Roman"/>
                <w:b/>
                <w:sz w:val="18"/>
                <w:szCs w:val="18"/>
              </w:rPr>
              <w:t>I.13.</w:t>
            </w:r>
            <w:r>
              <w:rPr>
                <w:rFonts w:ascii="Times New Roman" w:hAnsi="Times New Roman"/>
                <w:sz w:val="18"/>
                <w:szCs w:val="18"/>
              </w:rPr>
              <w:t xml:space="preserve"> </w:t>
            </w:r>
            <w:r w:rsidRPr="002121D5">
              <w:rPr>
                <w:rFonts w:ascii="Times New Roman" w:hAnsi="Times New Roman"/>
                <w:sz w:val="18"/>
                <w:szCs w:val="18"/>
              </w:rPr>
              <w:t>Nombre de structures réhabilitées, équipées et fonctionnelles parmi celles utilisées par les autorités locales, les administrations décentralisées et le secteur de la justice</w:t>
            </w:r>
          </w:p>
          <w:p w14:paraId="34DD896F" w14:textId="77777777" w:rsidR="005F555E" w:rsidRPr="00297AA0" w:rsidRDefault="005F555E" w:rsidP="00D76EFA">
            <w:pPr>
              <w:pStyle w:val="Paragraphedeliste"/>
              <w:numPr>
                <w:ilvl w:val="0"/>
                <w:numId w:val="53"/>
              </w:numPr>
              <w:spacing w:after="0" w:line="240" w:lineRule="auto"/>
              <w:rPr>
                <w:rFonts w:ascii="Times New Roman" w:hAnsi="Times New Roman"/>
                <w:sz w:val="18"/>
                <w:szCs w:val="18"/>
              </w:rPr>
            </w:pPr>
            <w:r w:rsidRPr="00297AA0">
              <w:rPr>
                <w:rFonts w:ascii="Times New Roman" w:hAnsi="Times New Roman"/>
                <w:sz w:val="18"/>
                <w:szCs w:val="18"/>
              </w:rPr>
              <w:t>Réf : 10</w:t>
            </w:r>
          </w:p>
          <w:p w14:paraId="31EE2C09" w14:textId="77777777" w:rsidR="005F555E" w:rsidRPr="00297AA0" w:rsidRDefault="005F555E" w:rsidP="00D76EFA">
            <w:pPr>
              <w:pStyle w:val="Paragraphedeliste"/>
              <w:numPr>
                <w:ilvl w:val="0"/>
                <w:numId w:val="53"/>
              </w:numPr>
              <w:spacing w:after="0" w:line="240" w:lineRule="auto"/>
              <w:rPr>
                <w:rFonts w:ascii="Times New Roman" w:hAnsi="Times New Roman"/>
                <w:sz w:val="18"/>
                <w:szCs w:val="18"/>
              </w:rPr>
            </w:pPr>
            <w:r w:rsidRPr="00297AA0">
              <w:rPr>
                <w:rFonts w:ascii="Times New Roman" w:hAnsi="Times New Roman"/>
                <w:sz w:val="18"/>
                <w:szCs w:val="18"/>
              </w:rPr>
              <w:t>Cible : 65</w:t>
            </w:r>
          </w:p>
        </w:tc>
        <w:tc>
          <w:tcPr>
            <w:tcW w:w="2126" w:type="dxa"/>
            <w:shd w:val="clear" w:color="auto" w:fill="auto"/>
            <w:vAlign w:val="center"/>
          </w:tcPr>
          <w:p w14:paraId="191C1E67" w14:textId="77777777" w:rsidR="005F555E" w:rsidRPr="006D47EF" w:rsidRDefault="005F555E" w:rsidP="00C371F5">
            <w:pPr>
              <w:spacing w:after="0" w:line="240" w:lineRule="auto"/>
              <w:rPr>
                <w:rFonts w:ascii="Times New Roman" w:hAnsi="Times New Roman"/>
                <w:sz w:val="20"/>
                <w:szCs w:val="20"/>
              </w:rPr>
            </w:pPr>
            <w:r w:rsidRPr="006D47EF">
              <w:rPr>
                <w:rFonts w:ascii="Times New Roman" w:hAnsi="Times New Roman"/>
                <w:sz w:val="20"/>
                <w:szCs w:val="20"/>
              </w:rPr>
              <w:t>Indicateur mesurable mais non sensible au genre</w:t>
            </w:r>
          </w:p>
          <w:p w14:paraId="66C713AE" w14:textId="77777777" w:rsidR="00E3237C" w:rsidRPr="006D47EF" w:rsidRDefault="00E3237C" w:rsidP="00C371F5">
            <w:pPr>
              <w:spacing w:after="0" w:line="240" w:lineRule="auto"/>
              <w:rPr>
                <w:rFonts w:ascii="Times New Roman" w:hAnsi="Times New Roman"/>
                <w:sz w:val="20"/>
                <w:szCs w:val="20"/>
              </w:rPr>
            </w:pPr>
            <w:r w:rsidRPr="006D47EF">
              <w:rPr>
                <w:rFonts w:ascii="Times New Roman" w:hAnsi="Times New Roman"/>
                <w:sz w:val="20"/>
                <w:szCs w:val="20"/>
              </w:rPr>
              <w:t>Indicateur de produit</w:t>
            </w:r>
          </w:p>
        </w:tc>
        <w:tc>
          <w:tcPr>
            <w:tcW w:w="1985" w:type="dxa"/>
            <w:vMerge/>
            <w:shd w:val="clear" w:color="auto" w:fill="auto"/>
            <w:vAlign w:val="center"/>
          </w:tcPr>
          <w:p w14:paraId="7E4AF83D" w14:textId="77777777" w:rsidR="005F555E" w:rsidRPr="006B309F" w:rsidRDefault="005F555E" w:rsidP="0063549D">
            <w:pPr>
              <w:spacing w:after="0" w:line="240" w:lineRule="auto"/>
              <w:rPr>
                <w:rFonts w:ascii="Times New Roman" w:hAnsi="Times New Roman"/>
                <w:sz w:val="20"/>
                <w:szCs w:val="20"/>
              </w:rPr>
            </w:pPr>
          </w:p>
        </w:tc>
      </w:tr>
      <w:tr w:rsidR="005F555E" w:rsidRPr="006B309F" w14:paraId="0D1658C1" w14:textId="77777777" w:rsidTr="007E5253">
        <w:tc>
          <w:tcPr>
            <w:tcW w:w="3260" w:type="dxa"/>
            <w:vMerge w:val="restart"/>
            <w:shd w:val="clear" w:color="auto" w:fill="F2F2F2" w:themeFill="background1" w:themeFillShade="F2"/>
            <w:vAlign w:val="center"/>
          </w:tcPr>
          <w:p w14:paraId="42AF6D59" w14:textId="77777777" w:rsidR="005F555E" w:rsidRPr="005F555E" w:rsidRDefault="005F555E" w:rsidP="0063549D">
            <w:pPr>
              <w:spacing w:after="0" w:line="240" w:lineRule="auto"/>
              <w:rPr>
                <w:rFonts w:ascii="Times New Roman" w:hAnsi="Times New Roman"/>
                <w:sz w:val="18"/>
                <w:szCs w:val="18"/>
              </w:rPr>
            </w:pPr>
            <w:r w:rsidRPr="005F555E">
              <w:rPr>
                <w:rFonts w:ascii="Times New Roman" w:hAnsi="Times New Roman"/>
                <w:b/>
                <w:sz w:val="18"/>
                <w:szCs w:val="18"/>
              </w:rPr>
              <w:t>P.3.3.</w:t>
            </w:r>
            <w:r w:rsidRPr="005F555E">
              <w:rPr>
                <w:rFonts w:ascii="Times New Roman" w:hAnsi="Times New Roman"/>
                <w:sz w:val="18"/>
                <w:szCs w:val="18"/>
              </w:rPr>
              <w:t xml:space="preserve"> Les capacités institutionnelles des instances en charge de la décentralisation et de la société civile locale sont renforcées en vue du transfert</w:t>
            </w:r>
          </w:p>
          <w:p w14:paraId="5F02B9A9" w14:textId="77777777" w:rsidR="005F555E" w:rsidRPr="005F555E" w:rsidRDefault="005F555E" w:rsidP="0063549D">
            <w:pPr>
              <w:spacing w:after="0" w:line="240" w:lineRule="auto"/>
              <w:rPr>
                <w:rFonts w:ascii="Times New Roman" w:hAnsi="Times New Roman"/>
                <w:sz w:val="18"/>
                <w:szCs w:val="18"/>
              </w:rPr>
            </w:pPr>
            <w:r w:rsidRPr="005F555E">
              <w:rPr>
                <w:rFonts w:ascii="Times New Roman" w:hAnsi="Times New Roman"/>
                <w:sz w:val="18"/>
                <w:szCs w:val="18"/>
              </w:rPr>
              <w:t>effectif des pouvoirs et des ressources aux autorités locales</w:t>
            </w:r>
          </w:p>
        </w:tc>
        <w:tc>
          <w:tcPr>
            <w:tcW w:w="3261" w:type="dxa"/>
            <w:shd w:val="clear" w:color="auto" w:fill="auto"/>
            <w:vAlign w:val="center"/>
          </w:tcPr>
          <w:p w14:paraId="0699696E" w14:textId="77777777" w:rsidR="005F555E" w:rsidRPr="002121D5" w:rsidRDefault="005F555E" w:rsidP="0063549D">
            <w:pPr>
              <w:spacing w:after="0" w:line="240" w:lineRule="auto"/>
              <w:rPr>
                <w:rFonts w:ascii="Times New Roman" w:hAnsi="Times New Roman"/>
                <w:sz w:val="18"/>
                <w:szCs w:val="18"/>
              </w:rPr>
            </w:pPr>
            <w:r w:rsidRPr="0063549D">
              <w:rPr>
                <w:rFonts w:ascii="Times New Roman" w:hAnsi="Times New Roman"/>
                <w:b/>
                <w:sz w:val="18"/>
                <w:szCs w:val="18"/>
              </w:rPr>
              <w:t>I.14.</w:t>
            </w:r>
            <w:r>
              <w:rPr>
                <w:rFonts w:ascii="Times New Roman" w:hAnsi="Times New Roman"/>
                <w:sz w:val="18"/>
                <w:szCs w:val="18"/>
              </w:rPr>
              <w:t xml:space="preserve"> </w:t>
            </w:r>
            <w:r w:rsidRPr="002121D5">
              <w:rPr>
                <w:rFonts w:ascii="Times New Roman" w:hAnsi="Times New Roman"/>
                <w:sz w:val="18"/>
                <w:szCs w:val="18"/>
              </w:rPr>
              <w:t>Nombre de domaines de</w:t>
            </w:r>
          </w:p>
          <w:p w14:paraId="466E5D0E" w14:textId="77777777" w:rsidR="005F555E" w:rsidRPr="002121D5" w:rsidRDefault="005F555E" w:rsidP="0063549D">
            <w:pPr>
              <w:spacing w:after="0" w:line="240" w:lineRule="auto"/>
              <w:rPr>
                <w:rFonts w:ascii="Times New Roman" w:hAnsi="Times New Roman"/>
                <w:sz w:val="18"/>
                <w:szCs w:val="18"/>
              </w:rPr>
            </w:pPr>
            <w:r w:rsidRPr="002121D5">
              <w:rPr>
                <w:rFonts w:ascii="Times New Roman" w:hAnsi="Times New Roman"/>
                <w:sz w:val="18"/>
                <w:szCs w:val="18"/>
              </w:rPr>
              <w:t>compétence transférés aux autorités</w:t>
            </w:r>
          </w:p>
          <w:p w14:paraId="12F4AF7D" w14:textId="77777777" w:rsidR="005F555E" w:rsidRDefault="005F555E" w:rsidP="0063549D">
            <w:pPr>
              <w:spacing w:after="0" w:line="240" w:lineRule="auto"/>
              <w:rPr>
                <w:rFonts w:ascii="Times New Roman" w:hAnsi="Times New Roman"/>
                <w:sz w:val="18"/>
                <w:szCs w:val="18"/>
              </w:rPr>
            </w:pPr>
            <w:r w:rsidRPr="002121D5">
              <w:rPr>
                <w:rFonts w:ascii="Times New Roman" w:hAnsi="Times New Roman"/>
                <w:sz w:val="18"/>
                <w:szCs w:val="18"/>
              </w:rPr>
              <w:t>locales</w:t>
            </w:r>
          </w:p>
          <w:p w14:paraId="4FFD1A3D" w14:textId="77777777" w:rsidR="005F555E" w:rsidRPr="00297AA0" w:rsidRDefault="005F555E" w:rsidP="00D76EFA">
            <w:pPr>
              <w:pStyle w:val="Paragraphedeliste"/>
              <w:numPr>
                <w:ilvl w:val="0"/>
                <w:numId w:val="54"/>
              </w:numPr>
              <w:spacing w:after="0" w:line="240" w:lineRule="auto"/>
              <w:rPr>
                <w:rFonts w:ascii="Times New Roman" w:hAnsi="Times New Roman"/>
                <w:sz w:val="18"/>
                <w:szCs w:val="18"/>
              </w:rPr>
            </w:pPr>
            <w:r w:rsidRPr="00297AA0">
              <w:rPr>
                <w:rFonts w:ascii="Times New Roman" w:hAnsi="Times New Roman"/>
                <w:sz w:val="18"/>
                <w:szCs w:val="18"/>
              </w:rPr>
              <w:t>Réf : 3</w:t>
            </w:r>
          </w:p>
          <w:p w14:paraId="3BE4691B" w14:textId="77777777" w:rsidR="005F555E" w:rsidRPr="00297AA0" w:rsidRDefault="005F555E" w:rsidP="00D76EFA">
            <w:pPr>
              <w:pStyle w:val="Paragraphedeliste"/>
              <w:numPr>
                <w:ilvl w:val="0"/>
                <w:numId w:val="54"/>
              </w:numPr>
              <w:spacing w:after="0" w:line="240" w:lineRule="auto"/>
              <w:rPr>
                <w:rFonts w:ascii="Times New Roman" w:hAnsi="Times New Roman"/>
                <w:sz w:val="18"/>
                <w:szCs w:val="18"/>
              </w:rPr>
            </w:pPr>
            <w:r w:rsidRPr="00297AA0">
              <w:rPr>
                <w:rFonts w:ascii="Times New Roman" w:hAnsi="Times New Roman"/>
                <w:sz w:val="18"/>
                <w:szCs w:val="18"/>
              </w:rPr>
              <w:t>Cible : 5</w:t>
            </w:r>
          </w:p>
        </w:tc>
        <w:tc>
          <w:tcPr>
            <w:tcW w:w="2126" w:type="dxa"/>
            <w:shd w:val="clear" w:color="auto" w:fill="auto"/>
            <w:vAlign w:val="center"/>
          </w:tcPr>
          <w:p w14:paraId="44A10D92" w14:textId="77777777" w:rsidR="005F555E" w:rsidRPr="006D47EF" w:rsidRDefault="005F555E" w:rsidP="00C371F5">
            <w:pPr>
              <w:spacing w:after="0" w:line="240" w:lineRule="auto"/>
              <w:rPr>
                <w:rFonts w:ascii="Times New Roman" w:hAnsi="Times New Roman"/>
                <w:sz w:val="20"/>
                <w:szCs w:val="20"/>
              </w:rPr>
            </w:pPr>
            <w:r w:rsidRPr="006D47EF">
              <w:rPr>
                <w:rFonts w:ascii="Times New Roman" w:hAnsi="Times New Roman"/>
                <w:sz w:val="20"/>
                <w:szCs w:val="20"/>
              </w:rPr>
              <w:t>Indicateur mesurable mais non sensible au genre</w:t>
            </w:r>
          </w:p>
          <w:p w14:paraId="71926EEE" w14:textId="77777777" w:rsidR="00E3237C" w:rsidRPr="006D47EF" w:rsidRDefault="00E3237C" w:rsidP="00C371F5">
            <w:pPr>
              <w:spacing w:after="0" w:line="240" w:lineRule="auto"/>
              <w:rPr>
                <w:rFonts w:ascii="Times New Roman" w:hAnsi="Times New Roman"/>
                <w:sz w:val="20"/>
                <w:szCs w:val="20"/>
              </w:rPr>
            </w:pPr>
            <w:r w:rsidRPr="006D47EF">
              <w:rPr>
                <w:rFonts w:ascii="Times New Roman" w:hAnsi="Times New Roman"/>
                <w:sz w:val="20"/>
                <w:szCs w:val="20"/>
              </w:rPr>
              <w:t>Indicateur de produit (mais inadéquat pour le programme qui ne peut le garantir seul)</w:t>
            </w:r>
          </w:p>
        </w:tc>
        <w:tc>
          <w:tcPr>
            <w:tcW w:w="1985" w:type="dxa"/>
            <w:vMerge w:val="restart"/>
            <w:shd w:val="clear" w:color="auto" w:fill="auto"/>
            <w:vAlign w:val="center"/>
          </w:tcPr>
          <w:p w14:paraId="19B698F3" w14:textId="77777777" w:rsidR="005F555E" w:rsidRPr="006B309F" w:rsidRDefault="005F555E" w:rsidP="00820930">
            <w:pPr>
              <w:spacing w:after="0" w:line="240" w:lineRule="auto"/>
              <w:rPr>
                <w:rFonts w:ascii="Times New Roman" w:hAnsi="Times New Roman"/>
                <w:sz w:val="20"/>
                <w:szCs w:val="20"/>
              </w:rPr>
            </w:pPr>
            <w:r>
              <w:rPr>
                <w:rFonts w:ascii="Times New Roman" w:hAnsi="Times New Roman"/>
                <w:sz w:val="20"/>
                <w:szCs w:val="20"/>
              </w:rPr>
              <w:t>Libellé de produit adéquat</w:t>
            </w:r>
          </w:p>
        </w:tc>
      </w:tr>
      <w:tr w:rsidR="005F555E" w:rsidRPr="006B309F" w14:paraId="7F115295" w14:textId="77777777" w:rsidTr="007E5253">
        <w:tc>
          <w:tcPr>
            <w:tcW w:w="3260" w:type="dxa"/>
            <w:vMerge/>
            <w:shd w:val="clear" w:color="auto" w:fill="F2F2F2" w:themeFill="background1" w:themeFillShade="F2"/>
            <w:vAlign w:val="center"/>
          </w:tcPr>
          <w:p w14:paraId="2D57999D" w14:textId="77777777" w:rsidR="005F555E" w:rsidRPr="005F555E" w:rsidRDefault="005F555E" w:rsidP="0063549D">
            <w:pPr>
              <w:spacing w:after="0" w:line="240" w:lineRule="auto"/>
              <w:rPr>
                <w:rFonts w:ascii="Times New Roman" w:hAnsi="Times New Roman"/>
                <w:sz w:val="20"/>
                <w:szCs w:val="20"/>
              </w:rPr>
            </w:pPr>
          </w:p>
        </w:tc>
        <w:tc>
          <w:tcPr>
            <w:tcW w:w="3261" w:type="dxa"/>
            <w:shd w:val="clear" w:color="auto" w:fill="auto"/>
            <w:vAlign w:val="center"/>
          </w:tcPr>
          <w:p w14:paraId="14ACEA0A" w14:textId="77777777" w:rsidR="005F555E" w:rsidRDefault="005F555E" w:rsidP="0063549D">
            <w:pPr>
              <w:spacing w:after="0" w:line="240" w:lineRule="auto"/>
              <w:rPr>
                <w:rFonts w:ascii="Times New Roman" w:hAnsi="Times New Roman"/>
                <w:sz w:val="18"/>
                <w:szCs w:val="18"/>
              </w:rPr>
            </w:pPr>
            <w:r w:rsidRPr="0063549D">
              <w:rPr>
                <w:rFonts w:ascii="Times New Roman" w:hAnsi="Times New Roman"/>
                <w:b/>
                <w:sz w:val="18"/>
                <w:szCs w:val="18"/>
              </w:rPr>
              <w:t>I.15.</w:t>
            </w:r>
            <w:r>
              <w:rPr>
                <w:rFonts w:ascii="Times New Roman" w:hAnsi="Times New Roman"/>
                <w:sz w:val="18"/>
                <w:szCs w:val="18"/>
              </w:rPr>
              <w:t xml:space="preserve"> </w:t>
            </w:r>
            <w:r w:rsidRPr="002121D5">
              <w:rPr>
                <w:rFonts w:ascii="Times New Roman" w:hAnsi="Times New Roman"/>
                <w:sz w:val="18"/>
                <w:szCs w:val="18"/>
              </w:rPr>
              <w:t>Proportion d’autorités locales organisant des débats budgétaires et publiant des rapports d’exécution budgétaire DFDF</w:t>
            </w:r>
          </w:p>
          <w:p w14:paraId="489B387B" w14:textId="77777777" w:rsidR="005F555E" w:rsidRPr="00297AA0" w:rsidRDefault="005F555E" w:rsidP="00D76EFA">
            <w:pPr>
              <w:pStyle w:val="Paragraphedeliste"/>
              <w:numPr>
                <w:ilvl w:val="0"/>
                <w:numId w:val="55"/>
              </w:numPr>
              <w:spacing w:after="0" w:line="240" w:lineRule="auto"/>
              <w:rPr>
                <w:rFonts w:ascii="Times New Roman" w:hAnsi="Times New Roman"/>
                <w:sz w:val="18"/>
                <w:szCs w:val="18"/>
              </w:rPr>
            </w:pPr>
            <w:r w:rsidRPr="00297AA0">
              <w:rPr>
                <w:rFonts w:ascii="Times New Roman" w:hAnsi="Times New Roman"/>
                <w:sz w:val="18"/>
                <w:szCs w:val="18"/>
              </w:rPr>
              <w:t>Réf : 0%</w:t>
            </w:r>
          </w:p>
          <w:p w14:paraId="05D29F07" w14:textId="77777777" w:rsidR="005F555E" w:rsidRPr="00297AA0" w:rsidRDefault="005F555E" w:rsidP="00D76EFA">
            <w:pPr>
              <w:pStyle w:val="Paragraphedeliste"/>
              <w:numPr>
                <w:ilvl w:val="0"/>
                <w:numId w:val="55"/>
              </w:numPr>
              <w:spacing w:after="0" w:line="240" w:lineRule="auto"/>
              <w:rPr>
                <w:rFonts w:ascii="Times New Roman" w:hAnsi="Times New Roman"/>
                <w:sz w:val="18"/>
                <w:szCs w:val="18"/>
              </w:rPr>
            </w:pPr>
            <w:r w:rsidRPr="00297AA0">
              <w:rPr>
                <w:rFonts w:ascii="Times New Roman" w:hAnsi="Times New Roman"/>
                <w:sz w:val="18"/>
                <w:szCs w:val="18"/>
              </w:rPr>
              <w:t>Cible : 35%</w:t>
            </w:r>
          </w:p>
        </w:tc>
        <w:tc>
          <w:tcPr>
            <w:tcW w:w="2126" w:type="dxa"/>
            <w:shd w:val="clear" w:color="auto" w:fill="auto"/>
            <w:vAlign w:val="center"/>
          </w:tcPr>
          <w:p w14:paraId="7C2B88EF" w14:textId="77777777" w:rsidR="005F555E" w:rsidRPr="006D47EF" w:rsidRDefault="005F555E" w:rsidP="00C371F5">
            <w:pPr>
              <w:spacing w:after="0" w:line="240" w:lineRule="auto"/>
              <w:rPr>
                <w:rFonts w:ascii="Times New Roman" w:hAnsi="Times New Roman"/>
                <w:sz w:val="20"/>
                <w:szCs w:val="20"/>
              </w:rPr>
            </w:pPr>
            <w:r w:rsidRPr="006D47EF">
              <w:rPr>
                <w:rFonts w:ascii="Times New Roman" w:hAnsi="Times New Roman"/>
                <w:sz w:val="20"/>
                <w:szCs w:val="20"/>
              </w:rPr>
              <w:t>Indicateur mesurable mais non sensible au genre</w:t>
            </w:r>
          </w:p>
          <w:p w14:paraId="2D313E46" w14:textId="77777777" w:rsidR="00E3237C" w:rsidRPr="006D47EF" w:rsidRDefault="00E3237C" w:rsidP="00C371F5">
            <w:pPr>
              <w:spacing w:after="0" w:line="240" w:lineRule="auto"/>
              <w:rPr>
                <w:rFonts w:ascii="Times New Roman" w:hAnsi="Times New Roman"/>
                <w:sz w:val="20"/>
                <w:szCs w:val="20"/>
              </w:rPr>
            </w:pPr>
            <w:r w:rsidRPr="006D47EF">
              <w:rPr>
                <w:rFonts w:ascii="Times New Roman" w:hAnsi="Times New Roman"/>
                <w:sz w:val="20"/>
                <w:szCs w:val="20"/>
              </w:rPr>
              <w:t>Indicateur de résultat</w:t>
            </w:r>
          </w:p>
        </w:tc>
        <w:tc>
          <w:tcPr>
            <w:tcW w:w="1985" w:type="dxa"/>
            <w:vMerge/>
            <w:shd w:val="clear" w:color="auto" w:fill="auto"/>
            <w:vAlign w:val="center"/>
          </w:tcPr>
          <w:p w14:paraId="552ECA3C" w14:textId="77777777" w:rsidR="005F555E" w:rsidRPr="006B309F" w:rsidRDefault="005F555E" w:rsidP="0063549D">
            <w:pPr>
              <w:spacing w:after="0" w:line="240" w:lineRule="auto"/>
              <w:rPr>
                <w:rFonts w:ascii="Times New Roman" w:hAnsi="Times New Roman"/>
                <w:sz w:val="20"/>
                <w:szCs w:val="20"/>
              </w:rPr>
            </w:pPr>
          </w:p>
        </w:tc>
      </w:tr>
      <w:tr w:rsidR="005F555E" w:rsidRPr="006B309F" w14:paraId="6059E581" w14:textId="77777777" w:rsidTr="007E5253">
        <w:tc>
          <w:tcPr>
            <w:tcW w:w="3260" w:type="dxa"/>
            <w:vMerge/>
            <w:shd w:val="clear" w:color="auto" w:fill="F2F2F2" w:themeFill="background1" w:themeFillShade="F2"/>
            <w:vAlign w:val="center"/>
          </w:tcPr>
          <w:p w14:paraId="569A28D2" w14:textId="77777777" w:rsidR="005F555E" w:rsidRPr="005F555E" w:rsidRDefault="005F555E" w:rsidP="0063549D">
            <w:pPr>
              <w:spacing w:after="0" w:line="240" w:lineRule="auto"/>
              <w:rPr>
                <w:rFonts w:ascii="Times New Roman" w:hAnsi="Times New Roman"/>
                <w:bCs/>
                <w:sz w:val="20"/>
                <w:szCs w:val="20"/>
              </w:rPr>
            </w:pPr>
          </w:p>
        </w:tc>
        <w:tc>
          <w:tcPr>
            <w:tcW w:w="3261" w:type="dxa"/>
            <w:shd w:val="clear" w:color="auto" w:fill="auto"/>
            <w:vAlign w:val="center"/>
          </w:tcPr>
          <w:p w14:paraId="731CE284" w14:textId="77777777" w:rsidR="005F555E" w:rsidRDefault="005F555E" w:rsidP="0063549D">
            <w:pPr>
              <w:spacing w:after="0" w:line="240" w:lineRule="auto"/>
              <w:rPr>
                <w:rFonts w:ascii="Times New Roman" w:hAnsi="Times New Roman"/>
                <w:sz w:val="18"/>
                <w:szCs w:val="18"/>
              </w:rPr>
            </w:pPr>
            <w:r w:rsidRPr="0063549D">
              <w:rPr>
                <w:rFonts w:ascii="Times New Roman" w:hAnsi="Times New Roman"/>
                <w:b/>
                <w:sz w:val="18"/>
                <w:szCs w:val="18"/>
              </w:rPr>
              <w:t>I.16.</w:t>
            </w:r>
            <w:r>
              <w:rPr>
                <w:rFonts w:ascii="Times New Roman" w:hAnsi="Times New Roman"/>
                <w:sz w:val="18"/>
                <w:szCs w:val="18"/>
              </w:rPr>
              <w:t xml:space="preserve"> </w:t>
            </w:r>
            <w:r w:rsidRPr="002121D5">
              <w:rPr>
                <w:rFonts w:ascii="Times New Roman" w:hAnsi="Times New Roman"/>
                <w:sz w:val="18"/>
                <w:szCs w:val="18"/>
              </w:rPr>
              <w:t>Fichier électoral biométrique disponible et mis à jour en vue des élections locales</w:t>
            </w:r>
          </w:p>
          <w:p w14:paraId="362AE72D" w14:textId="77777777" w:rsidR="005F555E" w:rsidRPr="00297AA0" w:rsidRDefault="005F555E" w:rsidP="00D76EFA">
            <w:pPr>
              <w:pStyle w:val="Paragraphedeliste"/>
              <w:numPr>
                <w:ilvl w:val="0"/>
                <w:numId w:val="56"/>
              </w:numPr>
              <w:spacing w:after="0" w:line="240" w:lineRule="auto"/>
              <w:rPr>
                <w:rFonts w:ascii="Times New Roman" w:hAnsi="Times New Roman"/>
                <w:sz w:val="18"/>
                <w:szCs w:val="18"/>
              </w:rPr>
            </w:pPr>
            <w:r w:rsidRPr="00297AA0">
              <w:rPr>
                <w:rFonts w:ascii="Times New Roman" w:hAnsi="Times New Roman"/>
                <w:sz w:val="18"/>
                <w:szCs w:val="18"/>
              </w:rPr>
              <w:t>Réf : 0</w:t>
            </w:r>
          </w:p>
          <w:p w14:paraId="26F381B1" w14:textId="77777777" w:rsidR="005F555E" w:rsidRPr="00297AA0" w:rsidRDefault="005F555E" w:rsidP="00D76EFA">
            <w:pPr>
              <w:pStyle w:val="Paragraphedeliste"/>
              <w:numPr>
                <w:ilvl w:val="0"/>
                <w:numId w:val="56"/>
              </w:numPr>
              <w:spacing w:after="0" w:line="240" w:lineRule="auto"/>
              <w:rPr>
                <w:rFonts w:ascii="Times New Roman" w:hAnsi="Times New Roman"/>
                <w:sz w:val="18"/>
                <w:szCs w:val="18"/>
              </w:rPr>
            </w:pPr>
            <w:r w:rsidRPr="00297AA0">
              <w:rPr>
                <w:rFonts w:ascii="Times New Roman" w:hAnsi="Times New Roman"/>
                <w:sz w:val="18"/>
                <w:szCs w:val="18"/>
              </w:rPr>
              <w:t>Cible: 2 mises à jour</w:t>
            </w:r>
          </w:p>
        </w:tc>
        <w:tc>
          <w:tcPr>
            <w:tcW w:w="2126" w:type="dxa"/>
            <w:shd w:val="clear" w:color="auto" w:fill="auto"/>
            <w:vAlign w:val="center"/>
          </w:tcPr>
          <w:p w14:paraId="66C31CB2" w14:textId="77777777" w:rsidR="005F555E" w:rsidRPr="006D47EF" w:rsidRDefault="005F555E" w:rsidP="00C371F5">
            <w:pPr>
              <w:spacing w:after="0" w:line="240" w:lineRule="auto"/>
              <w:rPr>
                <w:rFonts w:ascii="Times New Roman" w:hAnsi="Times New Roman"/>
                <w:sz w:val="20"/>
                <w:szCs w:val="20"/>
              </w:rPr>
            </w:pPr>
            <w:r w:rsidRPr="006D47EF">
              <w:rPr>
                <w:rFonts w:ascii="Times New Roman" w:hAnsi="Times New Roman"/>
                <w:sz w:val="20"/>
                <w:szCs w:val="20"/>
              </w:rPr>
              <w:t>Indicateur mesurable mais non sensible au genre</w:t>
            </w:r>
          </w:p>
          <w:p w14:paraId="6630B7BF" w14:textId="77777777" w:rsidR="00E3237C" w:rsidRPr="006D47EF" w:rsidRDefault="00E3237C" w:rsidP="00C371F5">
            <w:pPr>
              <w:spacing w:after="0" w:line="240" w:lineRule="auto"/>
              <w:rPr>
                <w:rFonts w:ascii="Times New Roman" w:hAnsi="Times New Roman"/>
                <w:sz w:val="20"/>
                <w:szCs w:val="20"/>
              </w:rPr>
            </w:pPr>
            <w:r w:rsidRPr="006D47EF">
              <w:rPr>
                <w:rFonts w:ascii="Times New Roman" w:hAnsi="Times New Roman"/>
                <w:sz w:val="20"/>
                <w:szCs w:val="20"/>
              </w:rPr>
              <w:t>Indicateur de produit (mais inadéquat pour le programme qui ne peut le garantir seul)</w:t>
            </w:r>
          </w:p>
        </w:tc>
        <w:tc>
          <w:tcPr>
            <w:tcW w:w="1985" w:type="dxa"/>
            <w:vMerge/>
            <w:shd w:val="clear" w:color="auto" w:fill="auto"/>
            <w:vAlign w:val="center"/>
          </w:tcPr>
          <w:p w14:paraId="7606077B" w14:textId="77777777" w:rsidR="005F555E" w:rsidRPr="006B309F" w:rsidRDefault="005F555E" w:rsidP="0063549D">
            <w:pPr>
              <w:spacing w:after="0" w:line="240" w:lineRule="auto"/>
              <w:rPr>
                <w:rFonts w:ascii="Times New Roman" w:hAnsi="Times New Roman"/>
                <w:sz w:val="20"/>
                <w:szCs w:val="20"/>
              </w:rPr>
            </w:pPr>
          </w:p>
        </w:tc>
      </w:tr>
      <w:tr w:rsidR="005F555E" w:rsidRPr="006B309F" w14:paraId="35D1E7CE" w14:textId="77777777" w:rsidTr="007E5253">
        <w:tc>
          <w:tcPr>
            <w:tcW w:w="3260" w:type="dxa"/>
            <w:shd w:val="clear" w:color="auto" w:fill="F2F2F2" w:themeFill="background1" w:themeFillShade="F2"/>
            <w:vAlign w:val="center"/>
          </w:tcPr>
          <w:p w14:paraId="73C66E63" w14:textId="77777777" w:rsidR="005F555E" w:rsidRPr="005F555E" w:rsidRDefault="005F555E" w:rsidP="0063549D">
            <w:pPr>
              <w:spacing w:after="0" w:line="240" w:lineRule="auto"/>
              <w:rPr>
                <w:rFonts w:ascii="Times New Roman" w:hAnsi="Times New Roman"/>
                <w:sz w:val="18"/>
                <w:szCs w:val="18"/>
              </w:rPr>
            </w:pPr>
            <w:r w:rsidRPr="005F555E">
              <w:rPr>
                <w:rFonts w:ascii="Times New Roman" w:eastAsia="Times New Roman" w:hAnsi="Times New Roman"/>
                <w:b/>
                <w:sz w:val="18"/>
                <w:szCs w:val="18"/>
              </w:rPr>
              <w:t>P.4.1.</w:t>
            </w:r>
            <w:r w:rsidRPr="005F555E">
              <w:rPr>
                <w:rFonts w:ascii="Times New Roman" w:eastAsia="Times New Roman" w:hAnsi="Times New Roman"/>
                <w:sz w:val="18"/>
                <w:szCs w:val="18"/>
              </w:rPr>
              <w:t xml:space="preserve"> Les capacités de</w:t>
            </w:r>
            <w:r w:rsidRPr="005F555E">
              <w:rPr>
                <w:rFonts w:ascii="Times New Roman" w:eastAsia="Times New Roman" w:hAnsi="Times New Roman"/>
                <w:b/>
                <w:sz w:val="18"/>
                <w:szCs w:val="18"/>
              </w:rPr>
              <w:t xml:space="preserve"> </w:t>
            </w:r>
            <w:r w:rsidRPr="005F555E">
              <w:rPr>
                <w:rFonts w:ascii="Times New Roman" w:eastAsia="Times New Roman" w:hAnsi="Times New Roman"/>
                <w:sz w:val="18"/>
                <w:szCs w:val="18"/>
              </w:rPr>
              <w:t>coordination, de gestion et de suivi du Ministère de la santé, de la société civile et des bénéficiaires secondaires sont renforcées pour lutter efficacement contre la séropositivité</w:t>
            </w:r>
          </w:p>
        </w:tc>
        <w:tc>
          <w:tcPr>
            <w:tcW w:w="3261" w:type="dxa"/>
            <w:shd w:val="clear" w:color="auto" w:fill="auto"/>
            <w:vAlign w:val="center"/>
          </w:tcPr>
          <w:p w14:paraId="1E85B4B8" w14:textId="77777777" w:rsidR="005F555E" w:rsidRDefault="005F555E" w:rsidP="0063549D">
            <w:pPr>
              <w:spacing w:after="0" w:line="240" w:lineRule="auto"/>
              <w:jc w:val="both"/>
              <w:rPr>
                <w:rFonts w:ascii="Times New Roman" w:eastAsia="Times New Roman" w:hAnsi="Times New Roman"/>
                <w:sz w:val="18"/>
                <w:szCs w:val="18"/>
              </w:rPr>
            </w:pPr>
            <w:r w:rsidRPr="0063549D">
              <w:rPr>
                <w:rFonts w:ascii="Times New Roman" w:eastAsia="Times New Roman" w:hAnsi="Times New Roman"/>
                <w:b/>
                <w:sz w:val="18"/>
                <w:szCs w:val="18"/>
              </w:rPr>
              <w:t>I.17.</w:t>
            </w:r>
            <w:r>
              <w:rPr>
                <w:rFonts w:ascii="Times New Roman" w:eastAsia="Times New Roman" w:hAnsi="Times New Roman"/>
                <w:sz w:val="18"/>
                <w:szCs w:val="18"/>
              </w:rPr>
              <w:t xml:space="preserve"> </w:t>
            </w:r>
            <w:r w:rsidRPr="0047344C">
              <w:rPr>
                <w:rFonts w:ascii="Times New Roman" w:eastAsia="Times New Roman" w:hAnsi="Times New Roman"/>
                <w:sz w:val="18"/>
                <w:szCs w:val="18"/>
              </w:rPr>
              <w:t>Nombre de plans d’action</w:t>
            </w:r>
            <w:r w:rsidRPr="0047344C">
              <w:rPr>
                <w:rFonts w:ascii="Times New Roman" w:eastAsia="Times New Roman" w:hAnsi="Times New Roman"/>
                <w:b/>
                <w:sz w:val="18"/>
                <w:szCs w:val="18"/>
              </w:rPr>
              <w:t xml:space="preserve"> </w:t>
            </w:r>
            <w:r w:rsidRPr="0047344C">
              <w:rPr>
                <w:rFonts w:ascii="Times New Roman" w:eastAsia="Times New Roman" w:hAnsi="Times New Roman"/>
                <w:sz w:val="18"/>
                <w:szCs w:val="18"/>
              </w:rPr>
              <w:t>financés sur une base annuelle</w:t>
            </w:r>
          </w:p>
          <w:p w14:paraId="0A72A7ED" w14:textId="77777777" w:rsidR="005F555E" w:rsidRPr="0047344C" w:rsidRDefault="005F555E" w:rsidP="00D76EFA">
            <w:pPr>
              <w:pStyle w:val="Paragraphedeliste"/>
              <w:numPr>
                <w:ilvl w:val="0"/>
                <w:numId w:val="57"/>
              </w:numPr>
              <w:spacing w:after="0" w:line="240" w:lineRule="auto"/>
              <w:jc w:val="both"/>
              <w:rPr>
                <w:rFonts w:ascii="Times New Roman" w:eastAsia="Times New Roman" w:hAnsi="Times New Roman"/>
                <w:sz w:val="18"/>
                <w:szCs w:val="18"/>
              </w:rPr>
            </w:pPr>
            <w:r w:rsidRPr="0047344C">
              <w:rPr>
                <w:rFonts w:ascii="Times New Roman" w:eastAsia="Times New Roman" w:hAnsi="Times New Roman"/>
                <w:sz w:val="18"/>
                <w:szCs w:val="18"/>
              </w:rPr>
              <w:t>Réf : 5</w:t>
            </w:r>
          </w:p>
          <w:p w14:paraId="6BA0E199" w14:textId="77777777" w:rsidR="005F555E" w:rsidRPr="0047344C" w:rsidRDefault="005F555E" w:rsidP="00D76EFA">
            <w:pPr>
              <w:pStyle w:val="Paragraphedeliste"/>
              <w:numPr>
                <w:ilvl w:val="0"/>
                <w:numId w:val="57"/>
              </w:numPr>
              <w:spacing w:after="0" w:line="240" w:lineRule="auto"/>
              <w:jc w:val="both"/>
              <w:rPr>
                <w:rFonts w:ascii="Times New Roman" w:hAnsi="Times New Roman"/>
                <w:sz w:val="18"/>
                <w:szCs w:val="18"/>
              </w:rPr>
            </w:pPr>
            <w:r w:rsidRPr="0047344C">
              <w:rPr>
                <w:rFonts w:ascii="Times New Roman" w:eastAsia="Times New Roman" w:hAnsi="Times New Roman"/>
                <w:sz w:val="18"/>
                <w:szCs w:val="18"/>
              </w:rPr>
              <w:t>Cible : 25</w:t>
            </w:r>
          </w:p>
        </w:tc>
        <w:tc>
          <w:tcPr>
            <w:tcW w:w="2126" w:type="dxa"/>
            <w:shd w:val="clear" w:color="auto" w:fill="auto"/>
            <w:vAlign w:val="center"/>
          </w:tcPr>
          <w:p w14:paraId="15FB94C2" w14:textId="77777777" w:rsidR="005F555E" w:rsidRPr="006D47EF" w:rsidRDefault="005F555E" w:rsidP="00C371F5">
            <w:pPr>
              <w:spacing w:after="0" w:line="240" w:lineRule="auto"/>
              <w:rPr>
                <w:rFonts w:ascii="Times New Roman" w:hAnsi="Times New Roman"/>
                <w:sz w:val="20"/>
                <w:szCs w:val="20"/>
              </w:rPr>
            </w:pPr>
            <w:r w:rsidRPr="006D47EF">
              <w:rPr>
                <w:rFonts w:ascii="Times New Roman" w:hAnsi="Times New Roman"/>
                <w:sz w:val="20"/>
                <w:szCs w:val="20"/>
              </w:rPr>
              <w:t>Indicateur mesurable mais non sensible au genre</w:t>
            </w:r>
          </w:p>
          <w:p w14:paraId="6F8698C9" w14:textId="77777777" w:rsidR="00E3237C" w:rsidRPr="006D47EF" w:rsidRDefault="00E3237C" w:rsidP="00C371F5">
            <w:pPr>
              <w:spacing w:after="0" w:line="240" w:lineRule="auto"/>
              <w:rPr>
                <w:rFonts w:ascii="Times New Roman" w:hAnsi="Times New Roman"/>
                <w:sz w:val="20"/>
                <w:szCs w:val="20"/>
              </w:rPr>
            </w:pPr>
            <w:r w:rsidRPr="006D47EF">
              <w:rPr>
                <w:rFonts w:ascii="Times New Roman" w:hAnsi="Times New Roman"/>
                <w:sz w:val="20"/>
                <w:szCs w:val="20"/>
              </w:rPr>
              <w:t>Indicateur de produit</w:t>
            </w:r>
          </w:p>
        </w:tc>
        <w:tc>
          <w:tcPr>
            <w:tcW w:w="1985" w:type="dxa"/>
            <w:shd w:val="clear" w:color="auto" w:fill="auto"/>
            <w:vAlign w:val="center"/>
          </w:tcPr>
          <w:p w14:paraId="19A04DB5" w14:textId="77777777" w:rsidR="005F555E" w:rsidRPr="006B309F" w:rsidRDefault="005F555E" w:rsidP="00820930">
            <w:pPr>
              <w:spacing w:after="0" w:line="240" w:lineRule="auto"/>
              <w:rPr>
                <w:rFonts w:ascii="Times New Roman" w:hAnsi="Times New Roman"/>
                <w:sz w:val="20"/>
                <w:szCs w:val="20"/>
              </w:rPr>
            </w:pPr>
            <w:r>
              <w:rPr>
                <w:rFonts w:ascii="Times New Roman" w:hAnsi="Times New Roman"/>
                <w:sz w:val="20"/>
                <w:szCs w:val="20"/>
              </w:rPr>
              <w:t>Libellé de produit adéquat</w:t>
            </w:r>
          </w:p>
        </w:tc>
      </w:tr>
      <w:tr w:rsidR="005F555E" w:rsidRPr="006B309F" w14:paraId="765B5321" w14:textId="77777777" w:rsidTr="007E5253">
        <w:tc>
          <w:tcPr>
            <w:tcW w:w="3260" w:type="dxa"/>
            <w:shd w:val="clear" w:color="auto" w:fill="F2F2F2" w:themeFill="background1" w:themeFillShade="F2"/>
            <w:vAlign w:val="center"/>
          </w:tcPr>
          <w:p w14:paraId="50B69583" w14:textId="77777777" w:rsidR="005F555E" w:rsidRPr="005F555E" w:rsidRDefault="005F555E" w:rsidP="0063549D">
            <w:pPr>
              <w:spacing w:after="0" w:line="240" w:lineRule="auto"/>
              <w:rPr>
                <w:rFonts w:ascii="Times New Roman" w:eastAsia="Times New Roman" w:hAnsi="Times New Roman"/>
                <w:sz w:val="18"/>
                <w:szCs w:val="18"/>
              </w:rPr>
            </w:pPr>
            <w:r w:rsidRPr="005F555E">
              <w:rPr>
                <w:rFonts w:ascii="Times New Roman" w:eastAsia="Times New Roman" w:hAnsi="Times New Roman"/>
                <w:b/>
                <w:sz w:val="18"/>
                <w:szCs w:val="18"/>
              </w:rPr>
              <w:t>P.4.2.</w:t>
            </w:r>
            <w:r w:rsidRPr="005F555E">
              <w:rPr>
                <w:rFonts w:ascii="Times New Roman" w:eastAsia="Times New Roman" w:hAnsi="Times New Roman"/>
                <w:sz w:val="18"/>
                <w:szCs w:val="18"/>
              </w:rPr>
              <w:t xml:space="preserve"> Des services performants de</w:t>
            </w:r>
            <w:r w:rsidRPr="005F555E">
              <w:rPr>
                <w:rFonts w:ascii="Times New Roman" w:eastAsia="Times New Roman" w:hAnsi="Times New Roman"/>
                <w:b/>
                <w:sz w:val="18"/>
                <w:szCs w:val="18"/>
              </w:rPr>
              <w:t xml:space="preserve"> </w:t>
            </w:r>
            <w:r w:rsidRPr="005F555E">
              <w:rPr>
                <w:rFonts w:ascii="Times New Roman" w:eastAsia="Times New Roman" w:hAnsi="Times New Roman"/>
                <w:sz w:val="18"/>
                <w:szCs w:val="18"/>
              </w:rPr>
              <w:t>prévention et de traitement sont disponibles pour réduire sensiblement le taux de prévalence de la séropositivité</w:t>
            </w:r>
          </w:p>
        </w:tc>
        <w:tc>
          <w:tcPr>
            <w:tcW w:w="3261" w:type="dxa"/>
            <w:shd w:val="clear" w:color="auto" w:fill="auto"/>
            <w:vAlign w:val="center"/>
          </w:tcPr>
          <w:p w14:paraId="0792ADF7" w14:textId="77777777" w:rsidR="005F555E" w:rsidRDefault="005F555E" w:rsidP="0063549D">
            <w:pPr>
              <w:spacing w:after="0" w:line="240" w:lineRule="auto"/>
              <w:rPr>
                <w:rFonts w:ascii="Times New Roman" w:eastAsia="Times New Roman" w:hAnsi="Times New Roman"/>
                <w:sz w:val="18"/>
                <w:szCs w:val="18"/>
              </w:rPr>
            </w:pPr>
            <w:r w:rsidRPr="0063549D">
              <w:rPr>
                <w:rFonts w:ascii="Times New Roman" w:eastAsia="Times New Roman" w:hAnsi="Times New Roman"/>
                <w:b/>
                <w:sz w:val="18"/>
                <w:szCs w:val="18"/>
              </w:rPr>
              <w:t>I.18.</w:t>
            </w:r>
            <w:r>
              <w:rPr>
                <w:rFonts w:ascii="Times New Roman" w:eastAsia="Times New Roman" w:hAnsi="Times New Roman"/>
                <w:sz w:val="18"/>
                <w:szCs w:val="18"/>
              </w:rPr>
              <w:t xml:space="preserve"> </w:t>
            </w:r>
            <w:r w:rsidRPr="0047344C">
              <w:rPr>
                <w:rFonts w:ascii="Times New Roman" w:eastAsia="Times New Roman" w:hAnsi="Times New Roman"/>
                <w:sz w:val="18"/>
                <w:szCs w:val="18"/>
              </w:rPr>
              <w:t>Nombre de personnes</w:t>
            </w:r>
            <w:r w:rsidRPr="0047344C">
              <w:rPr>
                <w:rFonts w:ascii="Times New Roman" w:eastAsia="Times New Roman" w:hAnsi="Times New Roman"/>
                <w:b/>
                <w:sz w:val="18"/>
                <w:szCs w:val="18"/>
              </w:rPr>
              <w:t xml:space="preserve"> </w:t>
            </w:r>
            <w:r w:rsidRPr="0047344C">
              <w:rPr>
                <w:rFonts w:ascii="Times New Roman" w:eastAsia="Times New Roman" w:hAnsi="Times New Roman"/>
                <w:sz w:val="18"/>
                <w:szCs w:val="18"/>
              </w:rPr>
              <w:t>séropositives sous traitement antirétroviral selon les normes nationales</w:t>
            </w:r>
          </w:p>
          <w:p w14:paraId="21289B5F" w14:textId="77777777" w:rsidR="005F555E" w:rsidRPr="0047344C" w:rsidRDefault="005F555E" w:rsidP="00D76EFA">
            <w:pPr>
              <w:pStyle w:val="Paragraphedeliste"/>
              <w:numPr>
                <w:ilvl w:val="0"/>
                <w:numId w:val="58"/>
              </w:numPr>
              <w:spacing w:after="0" w:line="240" w:lineRule="auto"/>
              <w:rPr>
                <w:rFonts w:ascii="Times New Roman" w:eastAsia="Times New Roman" w:hAnsi="Times New Roman"/>
                <w:sz w:val="18"/>
                <w:szCs w:val="18"/>
              </w:rPr>
            </w:pPr>
            <w:r w:rsidRPr="0047344C">
              <w:rPr>
                <w:rFonts w:ascii="Times New Roman" w:eastAsia="Times New Roman" w:hAnsi="Times New Roman"/>
                <w:sz w:val="18"/>
                <w:szCs w:val="18"/>
              </w:rPr>
              <w:t xml:space="preserve">Réf : </w:t>
            </w:r>
            <w:r w:rsidRPr="0047344C">
              <w:rPr>
                <w:rFonts w:eastAsia="Times New Roman"/>
                <w:sz w:val="17"/>
              </w:rPr>
              <w:t>28 729</w:t>
            </w:r>
          </w:p>
          <w:p w14:paraId="2DDD5FA8" w14:textId="77777777" w:rsidR="005F555E" w:rsidRPr="0047344C" w:rsidRDefault="005F555E" w:rsidP="00D76EFA">
            <w:pPr>
              <w:pStyle w:val="Paragraphedeliste"/>
              <w:numPr>
                <w:ilvl w:val="0"/>
                <w:numId w:val="58"/>
              </w:numPr>
              <w:spacing w:after="0" w:line="240" w:lineRule="auto"/>
              <w:rPr>
                <w:rFonts w:ascii="Times New Roman" w:eastAsia="Times New Roman" w:hAnsi="Times New Roman"/>
                <w:sz w:val="18"/>
                <w:szCs w:val="18"/>
              </w:rPr>
            </w:pPr>
            <w:r w:rsidRPr="0047344C">
              <w:rPr>
                <w:rFonts w:ascii="Times New Roman" w:eastAsia="Times New Roman" w:hAnsi="Times New Roman"/>
                <w:sz w:val="18"/>
                <w:szCs w:val="18"/>
              </w:rPr>
              <w:t xml:space="preserve">Cible : </w:t>
            </w:r>
            <w:r w:rsidRPr="0047344C">
              <w:rPr>
                <w:rFonts w:eastAsia="Times New Roman"/>
                <w:sz w:val="17"/>
              </w:rPr>
              <w:t>39875</w:t>
            </w:r>
          </w:p>
        </w:tc>
        <w:tc>
          <w:tcPr>
            <w:tcW w:w="2126" w:type="dxa"/>
            <w:shd w:val="clear" w:color="auto" w:fill="auto"/>
            <w:vAlign w:val="center"/>
          </w:tcPr>
          <w:p w14:paraId="20AB8933" w14:textId="77777777" w:rsidR="005F555E" w:rsidRPr="006D47EF" w:rsidRDefault="005F555E" w:rsidP="00C371F5">
            <w:pPr>
              <w:spacing w:after="0" w:line="240" w:lineRule="auto"/>
              <w:rPr>
                <w:rFonts w:ascii="Times New Roman" w:hAnsi="Times New Roman"/>
                <w:sz w:val="20"/>
                <w:szCs w:val="20"/>
              </w:rPr>
            </w:pPr>
            <w:r w:rsidRPr="006D47EF">
              <w:rPr>
                <w:rFonts w:ascii="Times New Roman" w:hAnsi="Times New Roman"/>
                <w:sz w:val="20"/>
                <w:szCs w:val="20"/>
              </w:rPr>
              <w:t>Indicateur mesurable mais non sensible au genre</w:t>
            </w:r>
          </w:p>
          <w:p w14:paraId="6FBB22D8" w14:textId="77777777" w:rsidR="00E3237C" w:rsidRPr="006D47EF" w:rsidRDefault="00E3237C" w:rsidP="00C371F5">
            <w:pPr>
              <w:spacing w:after="0" w:line="240" w:lineRule="auto"/>
              <w:rPr>
                <w:rFonts w:ascii="Times New Roman" w:hAnsi="Times New Roman"/>
                <w:sz w:val="20"/>
                <w:szCs w:val="20"/>
              </w:rPr>
            </w:pPr>
            <w:r w:rsidRPr="006D47EF">
              <w:rPr>
                <w:rFonts w:ascii="Times New Roman" w:hAnsi="Times New Roman"/>
                <w:sz w:val="20"/>
                <w:szCs w:val="20"/>
              </w:rPr>
              <w:t>Indicateur de produit</w:t>
            </w:r>
          </w:p>
        </w:tc>
        <w:tc>
          <w:tcPr>
            <w:tcW w:w="1985" w:type="dxa"/>
            <w:shd w:val="clear" w:color="auto" w:fill="auto"/>
            <w:vAlign w:val="center"/>
          </w:tcPr>
          <w:p w14:paraId="7934B6F2" w14:textId="77777777" w:rsidR="005F555E" w:rsidRPr="006B309F" w:rsidRDefault="005F555E" w:rsidP="00820930">
            <w:pPr>
              <w:spacing w:after="0" w:line="240" w:lineRule="auto"/>
              <w:rPr>
                <w:rFonts w:ascii="Times New Roman" w:hAnsi="Times New Roman"/>
                <w:sz w:val="20"/>
                <w:szCs w:val="20"/>
              </w:rPr>
            </w:pPr>
            <w:r>
              <w:rPr>
                <w:rFonts w:ascii="Times New Roman" w:hAnsi="Times New Roman"/>
                <w:sz w:val="20"/>
                <w:szCs w:val="20"/>
              </w:rPr>
              <w:t>Libellé de produit encore équivoque</w:t>
            </w:r>
          </w:p>
        </w:tc>
      </w:tr>
    </w:tbl>
    <w:p w14:paraId="28910483" w14:textId="77777777" w:rsidR="00943CD3" w:rsidRPr="006B309F" w:rsidRDefault="00943CD3" w:rsidP="00943CD3">
      <w:pPr>
        <w:spacing w:after="0" w:line="240" w:lineRule="auto"/>
        <w:rPr>
          <w:rFonts w:ascii="Times New Roman" w:hAnsi="Times New Roman"/>
          <w:i/>
          <w:sz w:val="20"/>
          <w:szCs w:val="20"/>
        </w:rPr>
      </w:pPr>
      <w:r w:rsidRPr="006B309F">
        <w:rPr>
          <w:rFonts w:ascii="Times New Roman" w:hAnsi="Times New Roman"/>
          <w:i/>
          <w:sz w:val="20"/>
          <w:szCs w:val="20"/>
          <w:u w:val="single"/>
        </w:rPr>
        <w:t>Sources</w:t>
      </w:r>
      <w:r w:rsidRPr="006B309F">
        <w:rPr>
          <w:rFonts w:ascii="Times New Roman" w:hAnsi="Times New Roman"/>
          <w:i/>
          <w:sz w:val="20"/>
          <w:szCs w:val="20"/>
        </w:rPr>
        <w:t xml:space="preserve"> : Cadre de résultats </w:t>
      </w:r>
      <w:r>
        <w:rPr>
          <w:rFonts w:ascii="Times New Roman" w:hAnsi="Times New Roman"/>
          <w:i/>
          <w:sz w:val="20"/>
          <w:szCs w:val="20"/>
        </w:rPr>
        <w:t>et des ressources CPD/PNUD-MALI</w:t>
      </w:r>
      <w:r w:rsidRPr="006B309F">
        <w:rPr>
          <w:rFonts w:ascii="Times New Roman" w:hAnsi="Times New Roman"/>
          <w:i/>
          <w:sz w:val="20"/>
          <w:szCs w:val="20"/>
        </w:rPr>
        <w:t xml:space="preserve"> 201</w:t>
      </w:r>
      <w:r>
        <w:rPr>
          <w:rFonts w:ascii="Times New Roman" w:hAnsi="Times New Roman"/>
          <w:i/>
          <w:sz w:val="20"/>
          <w:szCs w:val="20"/>
        </w:rPr>
        <w:t>5</w:t>
      </w:r>
      <w:r w:rsidRPr="006B309F">
        <w:rPr>
          <w:rFonts w:ascii="Times New Roman" w:hAnsi="Times New Roman"/>
          <w:i/>
          <w:sz w:val="20"/>
          <w:szCs w:val="20"/>
        </w:rPr>
        <w:t>-201</w:t>
      </w:r>
      <w:r>
        <w:rPr>
          <w:rFonts w:ascii="Times New Roman" w:hAnsi="Times New Roman"/>
          <w:i/>
          <w:sz w:val="20"/>
          <w:szCs w:val="20"/>
        </w:rPr>
        <w:t>9</w:t>
      </w:r>
      <w:r w:rsidRPr="006B309F">
        <w:rPr>
          <w:rFonts w:ascii="Times New Roman" w:hAnsi="Times New Roman"/>
          <w:i/>
          <w:sz w:val="20"/>
          <w:szCs w:val="20"/>
        </w:rPr>
        <w:t xml:space="preserve"> &amp; Analyses de l’Evaluateur.</w:t>
      </w:r>
    </w:p>
    <w:p w14:paraId="5E66E23D" w14:textId="77777777" w:rsidR="00BA3DC6" w:rsidRPr="006B309F" w:rsidRDefault="00BA3DC6" w:rsidP="00B96F0F">
      <w:pPr>
        <w:spacing w:after="0" w:line="240" w:lineRule="auto"/>
        <w:rPr>
          <w:rFonts w:ascii="Times New Roman" w:hAnsi="Times New Roman"/>
          <w:sz w:val="20"/>
          <w:szCs w:val="20"/>
        </w:rPr>
      </w:pPr>
    </w:p>
    <w:p w14:paraId="2C023765" w14:textId="77777777" w:rsidR="00C371F5" w:rsidRDefault="00454255" w:rsidP="00B96F0F">
      <w:pPr>
        <w:spacing w:after="0" w:line="240" w:lineRule="auto"/>
        <w:jc w:val="both"/>
        <w:rPr>
          <w:rFonts w:ascii="Times New Roman" w:hAnsi="Times New Roman"/>
          <w:sz w:val="24"/>
          <w:szCs w:val="24"/>
        </w:rPr>
      </w:pPr>
      <w:r>
        <w:rPr>
          <w:rFonts w:ascii="Times New Roman" w:hAnsi="Times New Roman"/>
          <w:sz w:val="24"/>
          <w:szCs w:val="24"/>
        </w:rPr>
        <w:t>3</w:t>
      </w:r>
      <w:r w:rsidR="000B5082">
        <w:rPr>
          <w:rFonts w:ascii="Times New Roman" w:hAnsi="Times New Roman"/>
          <w:sz w:val="24"/>
          <w:szCs w:val="24"/>
        </w:rPr>
        <w:t>8</w:t>
      </w:r>
      <w:r>
        <w:rPr>
          <w:rFonts w:ascii="Times New Roman" w:hAnsi="Times New Roman"/>
          <w:sz w:val="24"/>
          <w:szCs w:val="24"/>
        </w:rPr>
        <w:t>.</w:t>
      </w:r>
      <w:r w:rsidR="00CD41B5">
        <w:rPr>
          <w:rFonts w:ascii="Times New Roman" w:hAnsi="Times New Roman"/>
          <w:sz w:val="24"/>
          <w:szCs w:val="24"/>
        </w:rPr>
        <w:tab/>
      </w:r>
      <w:r w:rsidR="00FC7904">
        <w:rPr>
          <w:rFonts w:ascii="Times New Roman" w:hAnsi="Times New Roman"/>
          <w:sz w:val="24"/>
          <w:szCs w:val="24"/>
        </w:rPr>
        <w:t xml:space="preserve">Les produits affichent dans l’ensemble </w:t>
      </w:r>
      <w:r w:rsidR="009E26DF">
        <w:rPr>
          <w:rFonts w:ascii="Times New Roman" w:hAnsi="Times New Roman"/>
          <w:sz w:val="24"/>
          <w:szCs w:val="24"/>
        </w:rPr>
        <w:t xml:space="preserve">une capacité à contribuer substantiellement aux résultats auxquels ils sont référés. D’un point de vue technique, toutefois, </w:t>
      </w:r>
      <w:r w:rsidR="00F35655">
        <w:rPr>
          <w:rFonts w:ascii="Times New Roman" w:hAnsi="Times New Roman"/>
          <w:sz w:val="24"/>
          <w:szCs w:val="24"/>
        </w:rPr>
        <w:t xml:space="preserve">la situation de la qualité est </w:t>
      </w:r>
      <w:r w:rsidR="002209B5">
        <w:rPr>
          <w:rFonts w:ascii="Times New Roman" w:hAnsi="Times New Roman"/>
          <w:sz w:val="24"/>
          <w:szCs w:val="24"/>
        </w:rPr>
        <w:t xml:space="preserve">plutôt </w:t>
      </w:r>
      <w:r w:rsidR="00F35655">
        <w:rPr>
          <w:rFonts w:ascii="Times New Roman" w:hAnsi="Times New Roman"/>
          <w:sz w:val="24"/>
          <w:szCs w:val="24"/>
        </w:rPr>
        <w:t xml:space="preserve">partagée, </w:t>
      </w:r>
      <w:r w:rsidR="002209B5">
        <w:rPr>
          <w:rFonts w:ascii="Times New Roman" w:hAnsi="Times New Roman"/>
          <w:sz w:val="24"/>
          <w:szCs w:val="24"/>
        </w:rPr>
        <w:t xml:space="preserve">7 </w:t>
      </w:r>
      <w:r w:rsidR="00F35655">
        <w:rPr>
          <w:rFonts w:ascii="Times New Roman" w:hAnsi="Times New Roman"/>
          <w:sz w:val="24"/>
          <w:szCs w:val="24"/>
        </w:rPr>
        <w:t xml:space="preserve">produits étant strictement </w:t>
      </w:r>
      <w:r w:rsidR="002209B5">
        <w:rPr>
          <w:rFonts w:ascii="Times New Roman" w:hAnsi="Times New Roman"/>
          <w:sz w:val="24"/>
          <w:szCs w:val="24"/>
        </w:rPr>
        <w:t xml:space="preserve">bien </w:t>
      </w:r>
      <w:r w:rsidR="00F35655">
        <w:rPr>
          <w:rFonts w:ascii="Times New Roman" w:hAnsi="Times New Roman"/>
          <w:sz w:val="24"/>
          <w:szCs w:val="24"/>
        </w:rPr>
        <w:t xml:space="preserve">formulés tandis que </w:t>
      </w:r>
      <w:r w:rsidR="002209B5">
        <w:rPr>
          <w:rFonts w:ascii="Times New Roman" w:hAnsi="Times New Roman"/>
          <w:sz w:val="24"/>
          <w:szCs w:val="24"/>
        </w:rPr>
        <w:t xml:space="preserve">les quatre autres </w:t>
      </w:r>
      <w:r w:rsidR="000678C6">
        <w:rPr>
          <w:rFonts w:ascii="Times New Roman" w:hAnsi="Times New Roman"/>
          <w:sz w:val="24"/>
          <w:szCs w:val="24"/>
        </w:rPr>
        <w:t xml:space="preserve">peuvent poser </w:t>
      </w:r>
      <w:r w:rsidR="009E26DF">
        <w:rPr>
          <w:rFonts w:ascii="Times New Roman" w:hAnsi="Times New Roman"/>
          <w:sz w:val="24"/>
          <w:szCs w:val="24"/>
        </w:rPr>
        <w:t>problème</w:t>
      </w:r>
      <w:r w:rsidR="000678C6">
        <w:rPr>
          <w:rFonts w:ascii="Times New Roman" w:hAnsi="Times New Roman"/>
          <w:sz w:val="24"/>
          <w:szCs w:val="24"/>
        </w:rPr>
        <w:t xml:space="preserve"> du point de vue des véritables exigences d’un produit. </w:t>
      </w:r>
      <w:r w:rsidR="009E26DF">
        <w:rPr>
          <w:rFonts w:ascii="Times New Roman" w:hAnsi="Times New Roman"/>
          <w:sz w:val="24"/>
          <w:szCs w:val="24"/>
        </w:rPr>
        <w:t xml:space="preserve">Pour rappel, un produit est par définition un intrant de résultat </w:t>
      </w:r>
      <w:r w:rsidR="004D07CF">
        <w:rPr>
          <w:rFonts w:ascii="Times New Roman" w:hAnsi="Times New Roman"/>
          <w:sz w:val="24"/>
          <w:szCs w:val="24"/>
        </w:rPr>
        <w:t xml:space="preserve">conçu de sorte que le programme </w:t>
      </w:r>
      <w:r w:rsidR="004D07CF" w:rsidRPr="00C371F5">
        <w:rPr>
          <w:rFonts w:ascii="Times New Roman" w:hAnsi="Times New Roman"/>
          <w:sz w:val="24"/>
          <w:szCs w:val="24"/>
        </w:rPr>
        <w:t>soit en mesure de le livrer lui-même, sans autre pré requis ne dépendant pas de lui.</w:t>
      </w:r>
    </w:p>
    <w:p w14:paraId="6C13F37B" w14:textId="77777777" w:rsidR="00C371F5" w:rsidRDefault="00C371F5" w:rsidP="00B96F0F">
      <w:pPr>
        <w:spacing w:after="0" w:line="240" w:lineRule="auto"/>
        <w:jc w:val="both"/>
        <w:rPr>
          <w:rFonts w:ascii="Times New Roman" w:hAnsi="Times New Roman"/>
          <w:sz w:val="24"/>
          <w:szCs w:val="24"/>
        </w:rPr>
      </w:pPr>
    </w:p>
    <w:p w14:paraId="5470B510" w14:textId="77777777" w:rsidR="000678C6" w:rsidRDefault="000B5082" w:rsidP="00B96F0F">
      <w:pPr>
        <w:spacing w:after="0" w:line="240" w:lineRule="auto"/>
        <w:jc w:val="both"/>
        <w:rPr>
          <w:rFonts w:ascii="Times New Roman" w:hAnsi="Times New Roman"/>
          <w:sz w:val="24"/>
          <w:szCs w:val="24"/>
        </w:rPr>
      </w:pPr>
      <w:r>
        <w:rPr>
          <w:rFonts w:ascii="Times New Roman" w:hAnsi="Times New Roman"/>
          <w:sz w:val="24"/>
          <w:szCs w:val="24"/>
        </w:rPr>
        <w:t>39</w:t>
      </w:r>
      <w:r w:rsidR="00454255">
        <w:rPr>
          <w:rFonts w:ascii="Times New Roman" w:hAnsi="Times New Roman"/>
          <w:sz w:val="24"/>
          <w:szCs w:val="24"/>
        </w:rPr>
        <w:t>.</w:t>
      </w:r>
      <w:r w:rsidR="00C371F5">
        <w:rPr>
          <w:rFonts w:ascii="Times New Roman" w:hAnsi="Times New Roman"/>
          <w:sz w:val="24"/>
          <w:szCs w:val="24"/>
        </w:rPr>
        <w:tab/>
      </w:r>
      <w:r w:rsidR="000678C6" w:rsidRPr="00C371F5">
        <w:rPr>
          <w:rFonts w:ascii="Times New Roman" w:hAnsi="Times New Roman"/>
          <w:sz w:val="24"/>
          <w:szCs w:val="24"/>
        </w:rPr>
        <w:t xml:space="preserve">A titre d’illustration, </w:t>
      </w:r>
      <w:r w:rsidR="00C371F5" w:rsidRPr="00C371F5">
        <w:rPr>
          <w:rFonts w:ascii="Times New Roman" w:hAnsi="Times New Roman"/>
          <w:sz w:val="24"/>
          <w:szCs w:val="24"/>
        </w:rPr>
        <w:t>le produit 1.1.</w:t>
      </w:r>
      <w:r w:rsidR="00771B89">
        <w:rPr>
          <w:rFonts w:ascii="Times New Roman" w:hAnsi="Times New Roman"/>
          <w:sz w:val="24"/>
          <w:szCs w:val="24"/>
        </w:rPr>
        <w:t>,</w:t>
      </w:r>
      <w:r w:rsidR="00C371F5" w:rsidRPr="00C371F5">
        <w:rPr>
          <w:rFonts w:ascii="Times New Roman" w:hAnsi="Times New Roman"/>
          <w:sz w:val="24"/>
          <w:szCs w:val="24"/>
        </w:rPr>
        <w:t xml:space="preserve"> du Résultat 1 est libellé : "</w:t>
      </w:r>
      <w:r w:rsidR="00C371F5" w:rsidRPr="00C371F5">
        <w:rPr>
          <w:rFonts w:ascii="Times New Roman" w:hAnsi="Times New Roman"/>
          <w:i/>
          <w:sz w:val="24"/>
          <w:szCs w:val="24"/>
        </w:rPr>
        <w:t xml:space="preserve">Les institutions responsables du processus de réconciliation nationale possèdent les compétences techniques et opérationnelles requises pour favoriser l’amélioration de la cohésion sociale au service </w:t>
      </w:r>
      <w:r w:rsidR="00C371F5" w:rsidRPr="00C371F5">
        <w:rPr>
          <w:rFonts w:ascii="Times New Roman" w:hAnsi="Times New Roman"/>
          <w:i/>
          <w:sz w:val="24"/>
          <w:szCs w:val="24"/>
        </w:rPr>
        <w:lastRenderedPageBreak/>
        <w:t>d’une paix durable.</w:t>
      </w:r>
      <w:r w:rsidR="00C371F5" w:rsidRPr="00C371F5">
        <w:rPr>
          <w:rFonts w:ascii="Times New Roman" w:hAnsi="Times New Roman"/>
          <w:sz w:val="24"/>
          <w:szCs w:val="24"/>
        </w:rPr>
        <w:t>"</w:t>
      </w:r>
      <w:r w:rsidR="00C371F5">
        <w:rPr>
          <w:rFonts w:ascii="Times New Roman" w:hAnsi="Times New Roman"/>
          <w:sz w:val="24"/>
          <w:szCs w:val="24"/>
        </w:rPr>
        <w:t xml:space="preserve"> Le produit est mal libellé parce que le programme ne peut être tenu comptable des compétences d’une institution nationale. Il peut parfaitement mettre à sa disposition des ressources matérielles et former ses ressources humaines sans que cela se traduise nécessairement par la possession des capacités correspondantes, les effets en la circonstance dépendant aussi d’autres facteurs comme la manière dont le bénéficiaire s’approprie et réinvestit institutionnellement les intrants reçus du programme.</w:t>
      </w:r>
    </w:p>
    <w:p w14:paraId="02DEF890" w14:textId="77777777" w:rsidR="00820930" w:rsidRDefault="00820930" w:rsidP="00B96F0F">
      <w:pPr>
        <w:spacing w:after="0" w:line="240" w:lineRule="auto"/>
        <w:jc w:val="both"/>
        <w:rPr>
          <w:rFonts w:ascii="Times New Roman" w:hAnsi="Times New Roman"/>
          <w:sz w:val="24"/>
          <w:szCs w:val="24"/>
        </w:rPr>
      </w:pPr>
    </w:p>
    <w:p w14:paraId="3EF2664F" w14:textId="77777777" w:rsidR="00820930" w:rsidRPr="00C371F5" w:rsidRDefault="000B5082" w:rsidP="00B96F0F">
      <w:pPr>
        <w:spacing w:after="0" w:line="240" w:lineRule="auto"/>
        <w:jc w:val="both"/>
        <w:rPr>
          <w:rFonts w:ascii="Times New Roman" w:hAnsi="Times New Roman"/>
          <w:sz w:val="24"/>
          <w:szCs w:val="24"/>
        </w:rPr>
      </w:pPr>
      <w:r>
        <w:rPr>
          <w:rFonts w:ascii="Times New Roman" w:hAnsi="Times New Roman"/>
          <w:sz w:val="24"/>
          <w:szCs w:val="24"/>
        </w:rPr>
        <w:t>40</w:t>
      </w:r>
      <w:r w:rsidR="00454255">
        <w:rPr>
          <w:rFonts w:ascii="Times New Roman" w:hAnsi="Times New Roman"/>
          <w:sz w:val="24"/>
          <w:szCs w:val="24"/>
        </w:rPr>
        <w:t>.</w:t>
      </w:r>
      <w:r w:rsidR="00820930">
        <w:rPr>
          <w:rFonts w:ascii="Times New Roman" w:hAnsi="Times New Roman"/>
          <w:sz w:val="24"/>
          <w:szCs w:val="24"/>
        </w:rPr>
        <w:tab/>
        <w:t xml:space="preserve">En ce qui concerne les indicateurs de produit, eux aussi montrent des caractéristiques partagées du point de vue de la robustesse. </w:t>
      </w:r>
      <w:r w:rsidR="00B36394">
        <w:rPr>
          <w:rFonts w:ascii="Times New Roman" w:hAnsi="Times New Roman"/>
          <w:sz w:val="24"/>
          <w:szCs w:val="24"/>
        </w:rPr>
        <w:t xml:space="preserve">Les 18 sont globalement mesurables, même si l’un est insuffisamment spécifique pour être décidé avec facilité. </w:t>
      </w:r>
      <w:r w:rsidR="00820930">
        <w:rPr>
          <w:rFonts w:ascii="Times New Roman" w:hAnsi="Times New Roman"/>
          <w:sz w:val="24"/>
          <w:szCs w:val="24"/>
        </w:rPr>
        <w:t>Huit indicateurs au moins sur les 18 (donc 44%) ne sont pas des indicateurs de produit mais des indicateurs de résultat. Par exemple, le "nombre de personnes ayant accès aux services judiciaires" n’est pas pertinent en regard d’un produit, dans la livraison ne peut pas le garantir. Il faut d’ailleurs une enquête nationale pour renseigner un tel indicateur.</w:t>
      </w:r>
      <w:r w:rsidR="00B36394">
        <w:rPr>
          <w:rFonts w:ascii="Times New Roman" w:hAnsi="Times New Roman"/>
          <w:sz w:val="24"/>
          <w:szCs w:val="24"/>
        </w:rPr>
        <w:t xml:space="preserve"> 14 indicateurs (78%) de la matrice des produits ne sont pas sensibles au genre.</w:t>
      </w:r>
    </w:p>
    <w:p w14:paraId="744BAECE" w14:textId="77777777" w:rsidR="00CD41B5" w:rsidRDefault="00CD41B5" w:rsidP="00B96F0F">
      <w:pPr>
        <w:spacing w:after="0" w:line="240" w:lineRule="auto"/>
        <w:jc w:val="both"/>
        <w:rPr>
          <w:rFonts w:ascii="Times New Roman" w:hAnsi="Times New Roman"/>
          <w:sz w:val="24"/>
          <w:szCs w:val="24"/>
        </w:rPr>
      </w:pPr>
    </w:p>
    <w:p w14:paraId="167DF7F8" w14:textId="77777777" w:rsidR="003A71DD" w:rsidRPr="006B309F" w:rsidRDefault="00795741" w:rsidP="00B96F0F">
      <w:pPr>
        <w:spacing w:after="0" w:line="240" w:lineRule="auto"/>
        <w:jc w:val="both"/>
        <w:rPr>
          <w:rFonts w:ascii="Times New Roman" w:eastAsia="Times New Roman" w:hAnsi="Times New Roman"/>
          <w:bCs/>
          <w:sz w:val="24"/>
          <w:szCs w:val="24"/>
        </w:rPr>
      </w:pPr>
      <w:r w:rsidRPr="006B309F">
        <w:rPr>
          <w:rFonts w:ascii="Times New Roman" w:hAnsi="Times New Roman"/>
          <w:sz w:val="24"/>
          <w:szCs w:val="24"/>
        </w:rPr>
        <w:t>4</w:t>
      </w:r>
      <w:r w:rsidR="000B5082">
        <w:rPr>
          <w:rFonts w:ascii="Times New Roman" w:hAnsi="Times New Roman"/>
          <w:sz w:val="24"/>
          <w:szCs w:val="24"/>
        </w:rPr>
        <w:t>1</w:t>
      </w:r>
      <w:r w:rsidRPr="006B309F">
        <w:rPr>
          <w:rFonts w:ascii="Times New Roman" w:hAnsi="Times New Roman"/>
          <w:sz w:val="24"/>
          <w:szCs w:val="24"/>
        </w:rPr>
        <w:t>.</w:t>
      </w:r>
      <w:r w:rsidR="003A71DD" w:rsidRPr="006B309F">
        <w:rPr>
          <w:rFonts w:ascii="Times New Roman" w:hAnsi="Times New Roman"/>
          <w:sz w:val="24"/>
          <w:szCs w:val="24"/>
        </w:rPr>
        <w:tab/>
        <w:t xml:space="preserve">Enfin, un problème de lisibilité se pose entre le programme et de son cadre de résultat, d’une part, et les projets contributeurs, d’autre part. Les projets rentrent globalement stratégiquement dans le programme, mais leurs rendus ne sont pas toujours techniquement profilés pour satisfaire aux exigences des </w:t>
      </w:r>
      <w:r w:rsidR="00970FAE" w:rsidRPr="006B309F">
        <w:rPr>
          <w:rFonts w:ascii="Times New Roman" w:hAnsi="Times New Roman"/>
          <w:sz w:val="24"/>
          <w:szCs w:val="24"/>
        </w:rPr>
        <w:t>résultats</w:t>
      </w:r>
      <w:r w:rsidR="003A71DD" w:rsidRPr="006B309F">
        <w:rPr>
          <w:rFonts w:ascii="Times New Roman" w:hAnsi="Times New Roman"/>
          <w:sz w:val="24"/>
          <w:szCs w:val="24"/>
        </w:rPr>
        <w:t xml:space="preserve"> retenus dans le CP</w:t>
      </w:r>
      <w:r w:rsidR="00C371F5">
        <w:rPr>
          <w:rFonts w:ascii="Times New Roman" w:hAnsi="Times New Roman"/>
          <w:sz w:val="24"/>
          <w:szCs w:val="24"/>
        </w:rPr>
        <w:t>D</w:t>
      </w:r>
      <w:r w:rsidR="003A71DD" w:rsidRPr="006B309F">
        <w:rPr>
          <w:rFonts w:ascii="Times New Roman" w:hAnsi="Times New Roman"/>
          <w:sz w:val="24"/>
          <w:szCs w:val="24"/>
        </w:rPr>
        <w:t xml:space="preserve">. </w:t>
      </w:r>
      <w:r w:rsidR="003A71DD" w:rsidRPr="006B309F">
        <w:rPr>
          <w:rFonts w:ascii="Times New Roman" w:hAnsi="Times New Roman"/>
          <w:sz w:val="24"/>
          <w:szCs w:val="24"/>
        </w:rPr>
        <w:tab/>
        <w:t>Cette situation qui est assurément une faiblesse dans la pertinence logique du programme, et une gêne à son évaluabilité</w:t>
      </w:r>
      <w:r w:rsidR="00970FAE" w:rsidRPr="006B309F">
        <w:rPr>
          <w:rFonts w:ascii="Times New Roman" w:hAnsi="Times New Roman"/>
          <w:sz w:val="24"/>
          <w:szCs w:val="24"/>
        </w:rPr>
        <w:t>,</w:t>
      </w:r>
      <w:r w:rsidR="003A71DD" w:rsidRPr="006B309F">
        <w:rPr>
          <w:rFonts w:ascii="Times New Roman" w:hAnsi="Times New Roman"/>
          <w:sz w:val="24"/>
          <w:szCs w:val="24"/>
        </w:rPr>
        <w:t xml:space="preserve"> est la conséquence de deux réalités observées sur le programme : </w:t>
      </w:r>
      <w:r w:rsidR="00970FAE" w:rsidRPr="006B309F">
        <w:rPr>
          <w:rFonts w:ascii="Times New Roman" w:hAnsi="Times New Roman"/>
          <w:sz w:val="24"/>
          <w:szCs w:val="24"/>
        </w:rPr>
        <w:t xml:space="preserve">d’une part, </w:t>
      </w:r>
      <w:r w:rsidR="003A71DD" w:rsidRPr="006B309F">
        <w:rPr>
          <w:rFonts w:ascii="Times New Roman" w:hAnsi="Times New Roman"/>
          <w:sz w:val="24"/>
          <w:szCs w:val="24"/>
        </w:rPr>
        <w:t xml:space="preserve">dans l’épreuve de négociation (pour ne pas dire de forces) dont la stratégie de mobilisation de ressources est le cadre, les sources de financement (bailleurs) tirent </w:t>
      </w:r>
      <w:r w:rsidR="005F555E">
        <w:rPr>
          <w:rFonts w:ascii="Times New Roman" w:hAnsi="Times New Roman"/>
          <w:sz w:val="24"/>
          <w:szCs w:val="24"/>
        </w:rPr>
        <w:t xml:space="preserve">parfois </w:t>
      </w:r>
      <w:r w:rsidR="003A71DD" w:rsidRPr="006B309F">
        <w:rPr>
          <w:rFonts w:ascii="Times New Roman" w:hAnsi="Times New Roman"/>
          <w:sz w:val="24"/>
          <w:szCs w:val="24"/>
        </w:rPr>
        <w:t>le programme davantage que celui</w:t>
      </w:r>
      <w:r w:rsidR="00970FAE" w:rsidRPr="006B309F">
        <w:rPr>
          <w:rFonts w:ascii="Times New Roman" w:hAnsi="Times New Roman"/>
          <w:sz w:val="24"/>
          <w:szCs w:val="24"/>
        </w:rPr>
        <w:t xml:space="preserve">-ci </w:t>
      </w:r>
      <w:r w:rsidR="003A71DD" w:rsidRPr="006B309F">
        <w:rPr>
          <w:rFonts w:ascii="Times New Roman" w:hAnsi="Times New Roman"/>
          <w:sz w:val="24"/>
          <w:szCs w:val="24"/>
        </w:rPr>
        <w:t>n</w:t>
      </w:r>
      <w:r w:rsidR="00970FAE" w:rsidRPr="006B309F">
        <w:rPr>
          <w:rFonts w:ascii="Times New Roman" w:hAnsi="Times New Roman"/>
          <w:sz w:val="24"/>
          <w:szCs w:val="24"/>
        </w:rPr>
        <w:t>e</w:t>
      </w:r>
      <w:r w:rsidR="003A71DD" w:rsidRPr="006B309F">
        <w:rPr>
          <w:rFonts w:ascii="Times New Roman" w:hAnsi="Times New Roman"/>
          <w:sz w:val="24"/>
          <w:szCs w:val="24"/>
        </w:rPr>
        <w:t xml:space="preserve"> le</w:t>
      </w:r>
      <w:r w:rsidR="00970FAE" w:rsidRPr="006B309F">
        <w:rPr>
          <w:rFonts w:ascii="Times New Roman" w:hAnsi="Times New Roman"/>
          <w:sz w:val="24"/>
          <w:szCs w:val="24"/>
        </w:rPr>
        <w:t>s</w:t>
      </w:r>
      <w:r w:rsidR="003A71DD" w:rsidRPr="006B309F">
        <w:rPr>
          <w:rFonts w:ascii="Times New Roman" w:hAnsi="Times New Roman"/>
          <w:sz w:val="24"/>
          <w:szCs w:val="24"/>
        </w:rPr>
        <w:t xml:space="preserve"> entraîne et </w:t>
      </w:r>
      <w:r w:rsidR="00970FAE" w:rsidRPr="006B309F">
        <w:rPr>
          <w:rFonts w:ascii="Times New Roman" w:hAnsi="Times New Roman"/>
          <w:sz w:val="24"/>
          <w:szCs w:val="24"/>
        </w:rPr>
        <w:t>ne les absorbe dans son moule</w:t>
      </w:r>
      <w:r w:rsidR="003A71DD" w:rsidRPr="006B309F">
        <w:rPr>
          <w:rFonts w:ascii="Times New Roman" w:hAnsi="Times New Roman"/>
          <w:sz w:val="24"/>
          <w:szCs w:val="24"/>
        </w:rPr>
        <w:t xml:space="preserve"> ; </w:t>
      </w:r>
      <w:r w:rsidR="00970FAE" w:rsidRPr="006B309F">
        <w:rPr>
          <w:rFonts w:ascii="Times New Roman" w:hAnsi="Times New Roman"/>
          <w:sz w:val="24"/>
          <w:szCs w:val="24"/>
        </w:rPr>
        <w:t xml:space="preserve">d’autre part, </w:t>
      </w:r>
      <w:r w:rsidR="003A71DD" w:rsidRPr="006B309F">
        <w:rPr>
          <w:rFonts w:ascii="Times New Roman" w:hAnsi="Times New Roman"/>
          <w:sz w:val="24"/>
          <w:szCs w:val="24"/>
        </w:rPr>
        <w:t xml:space="preserve">la crise a généré des interventions d’urgence dont on peut comprendre qu’on </w:t>
      </w:r>
      <w:r w:rsidR="00970FAE" w:rsidRPr="006B309F">
        <w:rPr>
          <w:rFonts w:ascii="Times New Roman" w:hAnsi="Times New Roman"/>
          <w:sz w:val="24"/>
          <w:szCs w:val="24"/>
        </w:rPr>
        <w:t>n’</w:t>
      </w:r>
      <w:r w:rsidR="003A71DD" w:rsidRPr="006B309F">
        <w:rPr>
          <w:rFonts w:ascii="Times New Roman" w:hAnsi="Times New Roman"/>
          <w:sz w:val="24"/>
          <w:szCs w:val="24"/>
        </w:rPr>
        <w:t xml:space="preserve">ait pas </w:t>
      </w:r>
      <w:r w:rsidR="00970FAE" w:rsidRPr="006B309F">
        <w:rPr>
          <w:rFonts w:ascii="Times New Roman" w:hAnsi="Times New Roman"/>
          <w:sz w:val="24"/>
          <w:szCs w:val="24"/>
        </w:rPr>
        <w:t xml:space="preserve">eu </w:t>
      </w:r>
      <w:r w:rsidR="003A71DD" w:rsidRPr="006B309F">
        <w:rPr>
          <w:rFonts w:ascii="Times New Roman" w:hAnsi="Times New Roman"/>
          <w:sz w:val="24"/>
          <w:szCs w:val="24"/>
        </w:rPr>
        <w:t xml:space="preserve">le temps de les lisser toutes pour les faire rentrer </w:t>
      </w:r>
      <w:r w:rsidR="005F555E">
        <w:rPr>
          <w:rFonts w:ascii="Times New Roman" w:hAnsi="Times New Roman"/>
          <w:sz w:val="24"/>
          <w:szCs w:val="24"/>
        </w:rPr>
        <w:t xml:space="preserve">parfaitement </w:t>
      </w:r>
      <w:r w:rsidR="003A71DD" w:rsidRPr="006B309F">
        <w:rPr>
          <w:rFonts w:ascii="Times New Roman" w:hAnsi="Times New Roman"/>
          <w:sz w:val="24"/>
          <w:szCs w:val="24"/>
        </w:rPr>
        <w:t xml:space="preserve">dans le moule </w:t>
      </w:r>
      <w:r w:rsidR="005F555E">
        <w:rPr>
          <w:rFonts w:ascii="Times New Roman" w:hAnsi="Times New Roman"/>
          <w:sz w:val="24"/>
          <w:szCs w:val="24"/>
        </w:rPr>
        <w:t xml:space="preserve">programmatique </w:t>
      </w:r>
      <w:r w:rsidR="00970FAE" w:rsidRPr="006B309F">
        <w:rPr>
          <w:rFonts w:ascii="Times New Roman" w:hAnsi="Times New Roman"/>
          <w:sz w:val="24"/>
          <w:szCs w:val="24"/>
        </w:rPr>
        <w:t>formel</w:t>
      </w:r>
      <w:r w:rsidR="003A71DD" w:rsidRPr="006B309F">
        <w:rPr>
          <w:rFonts w:ascii="Times New Roman" w:hAnsi="Times New Roman"/>
          <w:sz w:val="24"/>
          <w:szCs w:val="24"/>
        </w:rPr>
        <w:t>.</w:t>
      </w:r>
    </w:p>
    <w:p w14:paraId="799EA48E" w14:textId="77777777" w:rsidR="00BA3DC6" w:rsidRPr="006B309F" w:rsidRDefault="00BA3DC6" w:rsidP="00B96F0F">
      <w:pPr>
        <w:spacing w:after="0" w:line="240" w:lineRule="auto"/>
        <w:rPr>
          <w:rFonts w:ascii="Times New Roman" w:hAnsi="Times New Roman"/>
          <w:sz w:val="20"/>
          <w:szCs w:val="20"/>
        </w:rPr>
      </w:pPr>
    </w:p>
    <w:p w14:paraId="561BD605" w14:textId="77777777" w:rsidR="00BA3DC6" w:rsidRPr="006D47EF" w:rsidRDefault="00BA3DC6" w:rsidP="00B026AE">
      <w:pPr>
        <w:pStyle w:val="Titre2"/>
        <w:numPr>
          <w:ilvl w:val="1"/>
          <w:numId w:val="5"/>
        </w:numPr>
        <w:spacing w:before="0"/>
        <w:rPr>
          <w:color w:val="auto"/>
        </w:rPr>
      </w:pPr>
      <w:bookmarkStart w:id="107" w:name="_Toc499211607"/>
      <w:bookmarkStart w:id="108" w:name="_Toc499213880"/>
      <w:r w:rsidRPr="006D47EF">
        <w:rPr>
          <w:color w:val="auto"/>
        </w:rPr>
        <w:t>Efficacité</w:t>
      </w:r>
      <w:bookmarkEnd w:id="107"/>
      <w:bookmarkEnd w:id="108"/>
    </w:p>
    <w:p w14:paraId="04EE502B" w14:textId="77777777" w:rsidR="00BA3DC6" w:rsidRPr="006B309F" w:rsidRDefault="00BA3DC6" w:rsidP="00B96F0F">
      <w:pPr>
        <w:spacing w:after="0" w:line="240" w:lineRule="auto"/>
        <w:jc w:val="both"/>
        <w:rPr>
          <w:rFonts w:ascii="Times New Roman" w:hAnsi="Times New Roman"/>
          <w:sz w:val="24"/>
          <w:szCs w:val="24"/>
        </w:rPr>
      </w:pPr>
    </w:p>
    <w:p w14:paraId="458626A3" w14:textId="77777777" w:rsidR="00BA3DC6" w:rsidRPr="006B309F" w:rsidRDefault="00675634" w:rsidP="00675634">
      <w:pPr>
        <w:pStyle w:val="Titre3"/>
        <w:numPr>
          <w:ilvl w:val="2"/>
          <w:numId w:val="5"/>
        </w:numPr>
        <w:shd w:val="clear" w:color="auto" w:fill="BDD6EE" w:themeFill="accent1" w:themeFillTint="66"/>
        <w:spacing w:before="0" w:line="240" w:lineRule="auto"/>
        <w:rPr>
          <w:rFonts w:ascii="Times New Roman" w:hAnsi="Times New Roman"/>
          <w:color w:val="auto"/>
          <w:sz w:val="24"/>
          <w:szCs w:val="24"/>
        </w:rPr>
      </w:pPr>
      <w:bookmarkStart w:id="109" w:name="_Toc499211608"/>
      <w:bookmarkStart w:id="110" w:name="_Toc499213881"/>
      <w:r>
        <w:rPr>
          <w:rFonts w:ascii="Times New Roman" w:hAnsi="Times New Roman"/>
          <w:color w:val="auto"/>
          <w:sz w:val="24"/>
          <w:szCs w:val="24"/>
        </w:rPr>
        <w:t xml:space="preserve">Résultat/Effet 1 : </w:t>
      </w:r>
      <w:r w:rsidRPr="00675634">
        <w:rPr>
          <w:rFonts w:ascii="Times New Roman" w:hAnsi="Times New Roman"/>
          <w:color w:val="auto"/>
          <w:sz w:val="24"/>
          <w:szCs w:val="24"/>
        </w:rPr>
        <w:t>"D’ici à 2019, la cohésion sociale est facilitée par la justice transitionnelle, le dialogue entre communautés, la culture et l’éducation à la paix."</w:t>
      </w:r>
      <w:bookmarkEnd w:id="109"/>
      <w:bookmarkEnd w:id="110"/>
    </w:p>
    <w:p w14:paraId="46850AB7" w14:textId="77777777" w:rsidR="004E0665" w:rsidRPr="006B309F" w:rsidRDefault="004E0665" w:rsidP="00B96F0F">
      <w:pPr>
        <w:spacing w:after="0" w:line="240" w:lineRule="auto"/>
        <w:rPr>
          <w:rFonts w:ascii="Times New Roman" w:eastAsia="Times New Roman" w:hAnsi="Times New Roman"/>
          <w:b/>
          <w:bCs/>
          <w:sz w:val="24"/>
          <w:szCs w:val="24"/>
        </w:rPr>
      </w:pPr>
    </w:p>
    <w:p w14:paraId="78F8DD9A" w14:textId="77777777" w:rsidR="00900592" w:rsidRPr="006B309F" w:rsidRDefault="002B16ED" w:rsidP="00B026AE">
      <w:pPr>
        <w:pStyle w:val="Titre4"/>
        <w:numPr>
          <w:ilvl w:val="3"/>
          <w:numId w:val="5"/>
        </w:numPr>
        <w:spacing w:before="0" w:line="240" w:lineRule="auto"/>
        <w:rPr>
          <w:rFonts w:ascii="Times New Roman" w:hAnsi="Times New Roman"/>
          <w:i w:val="0"/>
          <w:color w:val="auto"/>
          <w:sz w:val="24"/>
          <w:szCs w:val="24"/>
        </w:rPr>
      </w:pPr>
      <w:r>
        <w:rPr>
          <w:rFonts w:ascii="Times New Roman" w:hAnsi="Times New Roman"/>
          <w:i w:val="0"/>
          <w:color w:val="auto"/>
          <w:sz w:val="24"/>
          <w:szCs w:val="24"/>
        </w:rPr>
        <w:t>Résultats obtenus par le pays dans le domaine</w:t>
      </w:r>
    </w:p>
    <w:p w14:paraId="7E5A55F3" w14:textId="77777777" w:rsidR="00367936" w:rsidRDefault="00367936" w:rsidP="00B96F0F">
      <w:pPr>
        <w:spacing w:after="0" w:line="240" w:lineRule="auto"/>
        <w:jc w:val="both"/>
        <w:rPr>
          <w:rFonts w:ascii="Times New Roman" w:hAnsi="Times New Roman"/>
          <w:bCs/>
          <w:iCs/>
          <w:sz w:val="24"/>
          <w:szCs w:val="24"/>
        </w:rPr>
      </w:pPr>
    </w:p>
    <w:p w14:paraId="6AA058F7" w14:textId="77777777" w:rsidR="002B16ED" w:rsidRPr="002B16ED" w:rsidRDefault="00454255" w:rsidP="002B16ED">
      <w:pPr>
        <w:spacing w:after="0" w:line="240" w:lineRule="auto"/>
        <w:jc w:val="both"/>
        <w:rPr>
          <w:rFonts w:ascii="Times New Roman" w:hAnsi="Times New Roman"/>
          <w:bCs/>
          <w:iCs/>
          <w:sz w:val="24"/>
          <w:szCs w:val="24"/>
        </w:rPr>
      </w:pPr>
      <w:r>
        <w:rPr>
          <w:rFonts w:ascii="Times New Roman" w:hAnsi="Times New Roman"/>
          <w:bCs/>
          <w:iCs/>
          <w:sz w:val="24"/>
          <w:szCs w:val="24"/>
        </w:rPr>
        <w:t>4</w:t>
      </w:r>
      <w:r w:rsidR="000B5082">
        <w:rPr>
          <w:rFonts w:ascii="Times New Roman" w:hAnsi="Times New Roman"/>
          <w:bCs/>
          <w:iCs/>
          <w:sz w:val="24"/>
          <w:szCs w:val="24"/>
        </w:rPr>
        <w:t>2</w:t>
      </w:r>
      <w:r>
        <w:rPr>
          <w:rFonts w:ascii="Times New Roman" w:hAnsi="Times New Roman"/>
          <w:bCs/>
          <w:iCs/>
          <w:sz w:val="24"/>
          <w:szCs w:val="24"/>
        </w:rPr>
        <w:t>.</w:t>
      </w:r>
      <w:r w:rsidR="002B16ED" w:rsidRPr="002B16ED">
        <w:rPr>
          <w:rFonts w:ascii="Times New Roman" w:hAnsi="Times New Roman"/>
          <w:bCs/>
          <w:iCs/>
          <w:sz w:val="24"/>
          <w:szCs w:val="24"/>
        </w:rPr>
        <w:tab/>
      </w:r>
      <w:r w:rsidR="002B16ED">
        <w:rPr>
          <w:rFonts w:ascii="Times New Roman" w:hAnsi="Times New Roman"/>
          <w:bCs/>
          <w:iCs/>
          <w:sz w:val="24"/>
          <w:szCs w:val="24"/>
        </w:rPr>
        <w:t>L</w:t>
      </w:r>
      <w:r w:rsidR="002B16ED" w:rsidRPr="002B16ED">
        <w:rPr>
          <w:rFonts w:ascii="Times New Roman" w:hAnsi="Times New Roman"/>
          <w:bCs/>
          <w:iCs/>
          <w:sz w:val="24"/>
          <w:szCs w:val="24"/>
        </w:rPr>
        <w:t xml:space="preserve">es résultats du pays restent mitigés voire faibles sur </w:t>
      </w:r>
      <w:r w:rsidR="00771B89">
        <w:rPr>
          <w:rFonts w:ascii="Times New Roman" w:hAnsi="Times New Roman"/>
          <w:bCs/>
          <w:iCs/>
          <w:sz w:val="24"/>
          <w:szCs w:val="24"/>
        </w:rPr>
        <w:t>les indicateurs d’effet retenus</w:t>
      </w:r>
      <w:r w:rsidR="002B16ED" w:rsidRPr="002B16ED">
        <w:rPr>
          <w:rFonts w:ascii="Times New Roman" w:hAnsi="Times New Roman"/>
          <w:bCs/>
          <w:iCs/>
          <w:sz w:val="24"/>
          <w:szCs w:val="24"/>
        </w:rPr>
        <w:t xml:space="preserve"> en matière de cohésion sociale. Si le " Nombre de cas d’insécurité dans le nord (en rapport avec le conflit armé, le terrorisme, la criminalité et la guerre, par région)" (Indicateur d’effet 1) n’est pas documenté dans la revue du CREDD, il reste patent que la situation sécurita</w:t>
      </w:r>
      <w:r w:rsidR="00771B89">
        <w:rPr>
          <w:rFonts w:ascii="Times New Roman" w:hAnsi="Times New Roman"/>
          <w:bCs/>
          <w:iCs/>
          <w:sz w:val="24"/>
          <w:szCs w:val="24"/>
        </w:rPr>
        <w:t xml:space="preserve">ire du pays s’inscrit dans un mouvement </w:t>
      </w:r>
      <w:r w:rsidR="002B16ED" w:rsidRPr="002B16ED">
        <w:rPr>
          <w:rFonts w:ascii="Times New Roman" w:hAnsi="Times New Roman"/>
          <w:bCs/>
          <w:iCs/>
          <w:sz w:val="24"/>
          <w:szCs w:val="24"/>
        </w:rPr>
        <w:t>de détérioration. Subséquemment, le "Degré de mise en œuvre de l’accord général de paix" (Indicateur d’ef</w:t>
      </w:r>
      <w:r w:rsidR="00771B89">
        <w:rPr>
          <w:rFonts w:ascii="Times New Roman" w:hAnsi="Times New Roman"/>
          <w:bCs/>
          <w:iCs/>
          <w:sz w:val="24"/>
          <w:szCs w:val="24"/>
        </w:rPr>
        <w:t>fet 2), sans être quantifiable,</w:t>
      </w:r>
      <w:r w:rsidR="002B16ED" w:rsidRPr="002B16ED">
        <w:rPr>
          <w:rFonts w:ascii="Times New Roman" w:hAnsi="Times New Roman"/>
          <w:bCs/>
          <w:iCs/>
          <w:sz w:val="24"/>
          <w:szCs w:val="24"/>
        </w:rPr>
        <w:t xml:space="preserve"> est loin d’être satisfaisant, même si des élections communales ont été organisées dans 98% des communes et que les autoritaires intérimaires ont installées (du moins formellement, puisque certaines continuent d’être déstabilisées par l’insécurité locale).</w:t>
      </w:r>
    </w:p>
    <w:p w14:paraId="2481E827" w14:textId="77777777" w:rsidR="002B16ED" w:rsidRPr="002B16ED" w:rsidRDefault="002B16ED" w:rsidP="002B16ED">
      <w:pPr>
        <w:spacing w:after="0" w:line="240" w:lineRule="auto"/>
        <w:jc w:val="both"/>
        <w:rPr>
          <w:rFonts w:ascii="Times New Roman" w:hAnsi="Times New Roman"/>
          <w:bCs/>
          <w:iCs/>
          <w:sz w:val="24"/>
          <w:szCs w:val="24"/>
        </w:rPr>
      </w:pPr>
    </w:p>
    <w:p w14:paraId="26B3F3A4" w14:textId="77777777" w:rsidR="002B16ED" w:rsidRDefault="00454255" w:rsidP="002B16ED">
      <w:pPr>
        <w:spacing w:after="0" w:line="240" w:lineRule="auto"/>
        <w:jc w:val="both"/>
        <w:rPr>
          <w:rFonts w:ascii="Times New Roman" w:hAnsi="Times New Roman"/>
          <w:bCs/>
          <w:iCs/>
          <w:sz w:val="24"/>
          <w:szCs w:val="24"/>
        </w:rPr>
      </w:pPr>
      <w:r>
        <w:rPr>
          <w:rFonts w:ascii="Times New Roman" w:hAnsi="Times New Roman"/>
          <w:bCs/>
          <w:iCs/>
          <w:sz w:val="24"/>
          <w:szCs w:val="24"/>
        </w:rPr>
        <w:t>4</w:t>
      </w:r>
      <w:r w:rsidR="000B5082">
        <w:rPr>
          <w:rFonts w:ascii="Times New Roman" w:hAnsi="Times New Roman"/>
          <w:bCs/>
          <w:iCs/>
          <w:sz w:val="24"/>
          <w:szCs w:val="24"/>
        </w:rPr>
        <w:t>3</w:t>
      </w:r>
      <w:r>
        <w:rPr>
          <w:rFonts w:ascii="Times New Roman" w:hAnsi="Times New Roman"/>
          <w:bCs/>
          <w:iCs/>
          <w:sz w:val="24"/>
          <w:szCs w:val="24"/>
        </w:rPr>
        <w:t>.</w:t>
      </w:r>
      <w:r w:rsidR="002B16ED" w:rsidRPr="002B16ED">
        <w:rPr>
          <w:rFonts w:ascii="Times New Roman" w:hAnsi="Times New Roman"/>
          <w:bCs/>
          <w:iCs/>
          <w:sz w:val="24"/>
          <w:szCs w:val="24"/>
        </w:rPr>
        <w:tab/>
        <w:t xml:space="preserve">Les indicateurs d’effet 2 et 3, sur le "Nombre de violations du droit international humanitaire et des droits fondamentaux en rapport avec le conflit", et "Nombre d’incidents impliquant une violation grave des droits des enfants touchés par un conflit armé", respectivement, ne sont pas davantage documentés ; mais le contexte de résurgence des </w:t>
      </w:r>
      <w:r w:rsidR="002B16ED" w:rsidRPr="002B16ED">
        <w:rPr>
          <w:rFonts w:ascii="Times New Roman" w:hAnsi="Times New Roman"/>
          <w:bCs/>
          <w:iCs/>
          <w:sz w:val="24"/>
          <w:szCs w:val="24"/>
        </w:rPr>
        <w:lastRenderedPageBreak/>
        <w:t>violences armées et d’incidents sécuritaire</w:t>
      </w:r>
      <w:r w:rsidR="0047103B">
        <w:rPr>
          <w:rFonts w:ascii="Times New Roman" w:hAnsi="Times New Roman"/>
          <w:bCs/>
          <w:iCs/>
          <w:sz w:val="24"/>
          <w:szCs w:val="24"/>
        </w:rPr>
        <w:t>s</w:t>
      </w:r>
      <w:r w:rsidR="002B16ED" w:rsidRPr="002B16ED">
        <w:rPr>
          <w:rFonts w:ascii="Times New Roman" w:hAnsi="Times New Roman"/>
          <w:bCs/>
          <w:iCs/>
          <w:sz w:val="24"/>
          <w:szCs w:val="24"/>
        </w:rPr>
        <w:t xml:space="preserve"> n’est certainement pas propice à leur amélioration. S’agissant du 5</w:t>
      </w:r>
      <w:r w:rsidR="002B16ED" w:rsidRPr="0047103B">
        <w:rPr>
          <w:rFonts w:ascii="Times New Roman" w:hAnsi="Times New Roman"/>
          <w:bCs/>
          <w:iCs/>
          <w:sz w:val="24"/>
          <w:szCs w:val="24"/>
          <w:vertAlign w:val="superscript"/>
        </w:rPr>
        <w:t>ème</w:t>
      </w:r>
      <w:r w:rsidR="002B16ED" w:rsidRPr="002B16ED">
        <w:rPr>
          <w:rFonts w:ascii="Times New Roman" w:hAnsi="Times New Roman"/>
          <w:bCs/>
          <w:iCs/>
          <w:sz w:val="24"/>
          <w:szCs w:val="24"/>
        </w:rPr>
        <w:t xml:space="preserve"> et dernier Indicateur d’effet, " Nombre de réfugiés et de personnes déplacées à l’intérieur du pays (ventilé par statut de réfugié et de personne déplacée et par région)", il est documenté en partie : le nombre de personnes déplacées a baissé de près de 73% entre 2014 et 2016. Le programme n’est toutefois pas partie prenante dans cette évolution partielle de l’indicateur puisque le pro</w:t>
      </w:r>
      <w:r w:rsidR="0047103B">
        <w:rPr>
          <w:rFonts w:ascii="Times New Roman" w:hAnsi="Times New Roman"/>
          <w:bCs/>
          <w:iCs/>
          <w:sz w:val="24"/>
          <w:szCs w:val="24"/>
        </w:rPr>
        <w:t>jet</w:t>
      </w:r>
      <w:r w:rsidR="002B16ED" w:rsidRPr="002B16ED">
        <w:rPr>
          <w:rFonts w:ascii="Times New Roman" w:hAnsi="Times New Roman"/>
          <w:bCs/>
          <w:iCs/>
          <w:sz w:val="24"/>
          <w:szCs w:val="24"/>
        </w:rPr>
        <w:t xml:space="preserve"> qu’il devait y consacrer n’a plus été mis en œuvre</w:t>
      </w:r>
      <w:r w:rsidR="0027472B">
        <w:rPr>
          <w:rStyle w:val="Appelnotedebasdep"/>
          <w:rFonts w:ascii="Times New Roman" w:hAnsi="Times New Roman"/>
          <w:bCs/>
          <w:iCs/>
          <w:sz w:val="24"/>
          <w:szCs w:val="24"/>
        </w:rPr>
        <w:footnoteReference w:id="3"/>
      </w:r>
      <w:r w:rsidR="002B16ED" w:rsidRPr="002B16ED">
        <w:rPr>
          <w:rFonts w:ascii="Times New Roman" w:hAnsi="Times New Roman"/>
          <w:bCs/>
          <w:iCs/>
          <w:sz w:val="24"/>
          <w:szCs w:val="24"/>
        </w:rPr>
        <w:t>. </w:t>
      </w:r>
    </w:p>
    <w:p w14:paraId="60969B64" w14:textId="77777777" w:rsidR="005E0CC4" w:rsidRPr="002B16ED" w:rsidRDefault="005E0CC4" w:rsidP="002B16ED">
      <w:pPr>
        <w:spacing w:after="0" w:line="240" w:lineRule="auto"/>
        <w:jc w:val="both"/>
        <w:rPr>
          <w:rFonts w:ascii="Times New Roman" w:hAnsi="Times New Roman"/>
          <w:bCs/>
          <w:iCs/>
          <w:sz w:val="24"/>
          <w:szCs w:val="24"/>
        </w:rPr>
      </w:pPr>
    </w:p>
    <w:tbl>
      <w:tblPr>
        <w:tblpPr w:leftFromText="141" w:rightFromText="141" w:vertAnchor="text" w:horzAnchor="margin" w:tblpXSpec="center" w:tblpY="40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2"/>
        <w:gridCol w:w="3969"/>
        <w:gridCol w:w="520"/>
        <w:gridCol w:w="520"/>
        <w:gridCol w:w="520"/>
      </w:tblGrid>
      <w:tr w:rsidR="002B16ED" w:rsidRPr="002B16ED" w14:paraId="42FBA9CF" w14:textId="77777777" w:rsidTr="00414C56">
        <w:tc>
          <w:tcPr>
            <w:tcW w:w="1809" w:type="dxa"/>
            <w:vMerge w:val="restart"/>
            <w:shd w:val="clear" w:color="auto" w:fill="F2F2F2" w:themeFill="background1" w:themeFillShade="F2"/>
            <w:vAlign w:val="center"/>
          </w:tcPr>
          <w:p w14:paraId="0CD429BE" w14:textId="77777777" w:rsidR="002B16ED" w:rsidRPr="002B16ED" w:rsidRDefault="002B16ED" w:rsidP="002B16ED">
            <w:pPr>
              <w:spacing w:after="0" w:line="240" w:lineRule="auto"/>
              <w:jc w:val="both"/>
              <w:rPr>
                <w:rFonts w:ascii="Times New Roman" w:hAnsi="Times New Roman"/>
                <w:bCs/>
                <w:iCs/>
                <w:sz w:val="20"/>
                <w:szCs w:val="20"/>
              </w:rPr>
            </w:pPr>
            <w:r w:rsidRPr="002B16ED">
              <w:rPr>
                <w:rFonts w:ascii="Times New Roman" w:hAnsi="Times New Roman"/>
                <w:bCs/>
                <w:iCs/>
                <w:sz w:val="20"/>
                <w:szCs w:val="20"/>
              </w:rPr>
              <w:t>Effet 1</w:t>
            </w:r>
          </w:p>
        </w:tc>
        <w:tc>
          <w:tcPr>
            <w:tcW w:w="3402" w:type="dxa"/>
            <w:vMerge w:val="restart"/>
            <w:shd w:val="clear" w:color="auto" w:fill="F2F2F2" w:themeFill="background1" w:themeFillShade="F2"/>
            <w:vAlign w:val="center"/>
          </w:tcPr>
          <w:p w14:paraId="42520C67" w14:textId="77777777" w:rsidR="002B16ED" w:rsidRPr="002B16ED" w:rsidRDefault="002B16ED" w:rsidP="002B16ED">
            <w:pPr>
              <w:spacing w:after="0" w:line="240" w:lineRule="auto"/>
              <w:jc w:val="both"/>
              <w:rPr>
                <w:rFonts w:ascii="Times New Roman" w:hAnsi="Times New Roman"/>
                <w:bCs/>
                <w:iCs/>
                <w:sz w:val="20"/>
                <w:szCs w:val="20"/>
              </w:rPr>
            </w:pPr>
            <w:r w:rsidRPr="002B16ED">
              <w:rPr>
                <w:rFonts w:ascii="Times New Roman" w:hAnsi="Times New Roman"/>
                <w:bCs/>
                <w:iCs/>
                <w:sz w:val="20"/>
                <w:szCs w:val="20"/>
              </w:rPr>
              <w:t>Planification</w:t>
            </w:r>
          </w:p>
        </w:tc>
        <w:tc>
          <w:tcPr>
            <w:tcW w:w="5529" w:type="dxa"/>
            <w:gridSpan w:val="4"/>
            <w:shd w:val="clear" w:color="auto" w:fill="F2F2F2" w:themeFill="background1" w:themeFillShade="F2"/>
            <w:vAlign w:val="center"/>
          </w:tcPr>
          <w:p w14:paraId="60B2B5F7" w14:textId="77777777" w:rsidR="002B16ED" w:rsidRPr="002B16ED" w:rsidRDefault="002B16ED" w:rsidP="002B16ED">
            <w:pPr>
              <w:spacing w:after="0" w:line="240" w:lineRule="auto"/>
              <w:jc w:val="both"/>
              <w:rPr>
                <w:rFonts w:ascii="Times New Roman" w:hAnsi="Times New Roman"/>
                <w:bCs/>
                <w:iCs/>
                <w:sz w:val="20"/>
                <w:szCs w:val="20"/>
              </w:rPr>
            </w:pPr>
            <w:r w:rsidRPr="002B16ED">
              <w:rPr>
                <w:rFonts w:ascii="Times New Roman" w:hAnsi="Times New Roman"/>
                <w:bCs/>
                <w:iCs/>
                <w:sz w:val="20"/>
                <w:szCs w:val="20"/>
              </w:rPr>
              <w:t>Exécution</w:t>
            </w:r>
          </w:p>
        </w:tc>
      </w:tr>
      <w:tr w:rsidR="002B16ED" w:rsidRPr="002B16ED" w14:paraId="6DEDEDE0" w14:textId="77777777" w:rsidTr="00414C56">
        <w:tc>
          <w:tcPr>
            <w:tcW w:w="1809" w:type="dxa"/>
            <w:vMerge/>
            <w:shd w:val="clear" w:color="auto" w:fill="F2F2F2" w:themeFill="background1" w:themeFillShade="F2"/>
            <w:vAlign w:val="center"/>
          </w:tcPr>
          <w:p w14:paraId="4BAE4550" w14:textId="77777777" w:rsidR="002B16ED" w:rsidRPr="002B16ED" w:rsidRDefault="002B16ED" w:rsidP="002B16ED">
            <w:pPr>
              <w:spacing w:after="0" w:line="240" w:lineRule="auto"/>
              <w:jc w:val="both"/>
              <w:rPr>
                <w:rFonts w:ascii="Times New Roman" w:hAnsi="Times New Roman"/>
                <w:bCs/>
                <w:iCs/>
                <w:sz w:val="20"/>
                <w:szCs w:val="20"/>
              </w:rPr>
            </w:pPr>
          </w:p>
        </w:tc>
        <w:tc>
          <w:tcPr>
            <w:tcW w:w="3402" w:type="dxa"/>
            <w:vMerge/>
            <w:shd w:val="clear" w:color="auto" w:fill="F2F2F2" w:themeFill="background1" w:themeFillShade="F2"/>
            <w:vAlign w:val="center"/>
          </w:tcPr>
          <w:p w14:paraId="77A5E31A" w14:textId="77777777" w:rsidR="002B16ED" w:rsidRPr="002B16ED" w:rsidRDefault="002B16ED" w:rsidP="002B16ED">
            <w:pPr>
              <w:spacing w:after="0" w:line="240" w:lineRule="auto"/>
              <w:jc w:val="both"/>
              <w:rPr>
                <w:rFonts w:ascii="Times New Roman" w:hAnsi="Times New Roman"/>
                <w:bCs/>
                <w:iCs/>
                <w:sz w:val="20"/>
                <w:szCs w:val="20"/>
              </w:rPr>
            </w:pPr>
          </w:p>
        </w:tc>
        <w:tc>
          <w:tcPr>
            <w:tcW w:w="3969" w:type="dxa"/>
            <w:vMerge w:val="restart"/>
            <w:shd w:val="clear" w:color="auto" w:fill="F2F2F2" w:themeFill="background1" w:themeFillShade="F2"/>
            <w:vAlign w:val="center"/>
          </w:tcPr>
          <w:p w14:paraId="320662DE" w14:textId="77777777" w:rsidR="002B16ED" w:rsidRPr="002B16ED" w:rsidRDefault="002B16ED" w:rsidP="002B16ED">
            <w:pPr>
              <w:spacing w:after="0" w:line="240" w:lineRule="auto"/>
              <w:jc w:val="both"/>
              <w:rPr>
                <w:rFonts w:ascii="Times New Roman" w:hAnsi="Times New Roman"/>
                <w:bCs/>
                <w:iCs/>
                <w:sz w:val="20"/>
                <w:szCs w:val="20"/>
              </w:rPr>
            </w:pPr>
            <w:r w:rsidRPr="002B16ED">
              <w:rPr>
                <w:rFonts w:ascii="Times New Roman" w:hAnsi="Times New Roman"/>
                <w:bCs/>
                <w:iCs/>
                <w:sz w:val="20"/>
                <w:szCs w:val="20"/>
              </w:rPr>
              <w:t>Réalisations/Livraisons</w:t>
            </w:r>
          </w:p>
        </w:tc>
        <w:tc>
          <w:tcPr>
            <w:tcW w:w="1560" w:type="dxa"/>
            <w:gridSpan w:val="3"/>
            <w:shd w:val="clear" w:color="auto" w:fill="F2F2F2" w:themeFill="background1" w:themeFillShade="F2"/>
            <w:vAlign w:val="center"/>
          </w:tcPr>
          <w:p w14:paraId="3A0BB365" w14:textId="77777777" w:rsidR="002B16ED" w:rsidRPr="002B16ED" w:rsidRDefault="002B16ED" w:rsidP="002B16ED">
            <w:pPr>
              <w:spacing w:after="0" w:line="240" w:lineRule="auto"/>
              <w:jc w:val="both"/>
              <w:rPr>
                <w:rFonts w:ascii="Times New Roman" w:hAnsi="Times New Roman"/>
                <w:bCs/>
                <w:iCs/>
                <w:sz w:val="20"/>
                <w:szCs w:val="20"/>
              </w:rPr>
            </w:pPr>
            <w:r w:rsidRPr="002B16ED">
              <w:rPr>
                <w:rFonts w:ascii="Times New Roman" w:hAnsi="Times New Roman"/>
                <w:bCs/>
                <w:iCs/>
                <w:sz w:val="20"/>
                <w:szCs w:val="20"/>
              </w:rPr>
              <w:t>Rating</w:t>
            </w:r>
          </w:p>
        </w:tc>
      </w:tr>
      <w:tr w:rsidR="002B16ED" w:rsidRPr="002B16ED" w14:paraId="5787E595" w14:textId="77777777" w:rsidTr="00414C56">
        <w:trPr>
          <w:trHeight w:val="370"/>
        </w:trPr>
        <w:tc>
          <w:tcPr>
            <w:tcW w:w="1809" w:type="dxa"/>
            <w:vMerge/>
            <w:shd w:val="clear" w:color="auto" w:fill="F2F2F2" w:themeFill="background1" w:themeFillShade="F2"/>
            <w:vAlign w:val="center"/>
          </w:tcPr>
          <w:p w14:paraId="5BCB8F74" w14:textId="77777777" w:rsidR="002B16ED" w:rsidRPr="002B16ED" w:rsidRDefault="002B16ED" w:rsidP="002B16ED">
            <w:pPr>
              <w:spacing w:after="0" w:line="240" w:lineRule="auto"/>
              <w:jc w:val="both"/>
              <w:rPr>
                <w:rFonts w:ascii="Times New Roman" w:hAnsi="Times New Roman"/>
                <w:bCs/>
                <w:iCs/>
                <w:sz w:val="20"/>
                <w:szCs w:val="20"/>
              </w:rPr>
            </w:pPr>
          </w:p>
        </w:tc>
        <w:tc>
          <w:tcPr>
            <w:tcW w:w="3402" w:type="dxa"/>
            <w:vMerge/>
            <w:shd w:val="clear" w:color="auto" w:fill="F2F2F2" w:themeFill="background1" w:themeFillShade="F2"/>
            <w:vAlign w:val="center"/>
          </w:tcPr>
          <w:p w14:paraId="2B4B3054" w14:textId="77777777" w:rsidR="002B16ED" w:rsidRPr="002B16ED" w:rsidRDefault="002B16ED" w:rsidP="002B16ED">
            <w:pPr>
              <w:spacing w:after="0" w:line="240" w:lineRule="auto"/>
              <w:jc w:val="both"/>
              <w:rPr>
                <w:rFonts w:ascii="Times New Roman" w:hAnsi="Times New Roman"/>
                <w:bCs/>
                <w:iCs/>
                <w:sz w:val="20"/>
                <w:szCs w:val="20"/>
              </w:rPr>
            </w:pPr>
          </w:p>
        </w:tc>
        <w:tc>
          <w:tcPr>
            <w:tcW w:w="3969" w:type="dxa"/>
            <w:vMerge/>
            <w:shd w:val="clear" w:color="auto" w:fill="F2F2F2" w:themeFill="background1" w:themeFillShade="F2"/>
            <w:vAlign w:val="center"/>
          </w:tcPr>
          <w:p w14:paraId="7E89E286" w14:textId="77777777" w:rsidR="002B16ED" w:rsidRPr="002B16ED" w:rsidRDefault="002B16ED" w:rsidP="002B16ED">
            <w:pPr>
              <w:spacing w:after="0" w:line="240" w:lineRule="auto"/>
              <w:jc w:val="both"/>
              <w:rPr>
                <w:rFonts w:ascii="Times New Roman" w:hAnsi="Times New Roman"/>
                <w:bCs/>
                <w:iCs/>
                <w:sz w:val="20"/>
                <w:szCs w:val="20"/>
              </w:rPr>
            </w:pPr>
          </w:p>
        </w:tc>
        <w:tc>
          <w:tcPr>
            <w:tcW w:w="520" w:type="dxa"/>
            <w:shd w:val="clear" w:color="auto" w:fill="F2F2F2" w:themeFill="background1" w:themeFillShade="F2"/>
            <w:vAlign w:val="center"/>
          </w:tcPr>
          <w:p w14:paraId="0AC430FC" w14:textId="77777777" w:rsidR="002B16ED" w:rsidRPr="002B16ED" w:rsidRDefault="002B16ED" w:rsidP="002B16ED">
            <w:pPr>
              <w:spacing w:after="0" w:line="240" w:lineRule="auto"/>
              <w:jc w:val="both"/>
              <w:rPr>
                <w:rFonts w:ascii="Times New Roman" w:hAnsi="Times New Roman"/>
                <w:bCs/>
                <w:iCs/>
                <w:sz w:val="20"/>
                <w:szCs w:val="20"/>
              </w:rPr>
            </w:pPr>
            <w:r w:rsidRPr="002B16ED">
              <w:rPr>
                <w:rFonts w:ascii="Times New Roman" w:hAnsi="Times New Roman"/>
                <w:bCs/>
                <w:iCs/>
                <w:sz w:val="20"/>
                <w:szCs w:val="20"/>
              </w:rPr>
              <w:t>E</w:t>
            </w:r>
          </w:p>
        </w:tc>
        <w:tc>
          <w:tcPr>
            <w:tcW w:w="520" w:type="dxa"/>
            <w:shd w:val="clear" w:color="auto" w:fill="F2F2F2" w:themeFill="background1" w:themeFillShade="F2"/>
            <w:vAlign w:val="center"/>
          </w:tcPr>
          <w:p w14:paraId="2397E23B" w14:textId="77777777" w:rsidR="002B16ED" w:rsidRPr="002B16ED" w:rsidRDefault="002B16ED" w:rsidP="002B16ED">
            <w:pPr>
              <w:spacing w:after="0" w:line="240" w:lineRule="auto"/>
              <w:jc w:val="both"/>
              <w:rPr>
                <w:rFonts w:ascii="Times New Roman" w:hAnsi="Times New Roman"/>
                <w:bCs/>
                <w:iCs/>
                <w:sz w:val="20"/>
                <w:szCs w:val="20"/>
              </w:rPr>
            </w:pPr>
            <w:r w:rsidRPr="002B16ED">
              <w:rPr>
                <w:rFonts w:ascii="Times New Roman" w:hAnsi="Times New Roman"/>
                <w:bCs/>
                <w:iCs/>
                <w:sz w:val="20"/>
                <w:szCs w:val="20"/>
              </w:rPr>
              <w:t>M</w:t>
            </w:r>
          </w:p>
        </w:tc>
        <w:tc>
          <w:tcPr>
            <w:tcW w:w="520" w:type="dxa"/>
            <w:shd w:val="clear" w:color="auto" w:fill="F2F2F2" w:themeFill="background1" w:themeFillShade="F2"/>
            <w:vAlign w:val="center"/>
          </w:tcPr>
          <w:p w14:paraId="14CEAB22" w14:textId="77777777" w:rsidR="002B16ED" w:rsidRPr="002B16ED" w:rsidRDefault="002B16ED" w:rsidP="002B16ED">
            <w:pPr>
              <w:spacing w:after="0" w:line="240" w:lineRule="auto"/>
              <w:jc w:val="both"/>
              <w:rPr>
                <w:rFonts w:ascii="Times New Roman" w:hAnsi="Times New Roman"/>
                <w:bCs/>
                <w:iCs/>
                <w:sz w:val="20"/>
                <w:szCs w:val="20"/>
              </w:rPr>
            </w:pPr>
            <w:r w:rsidRPr="002B16ED">
              <w:rPr>
                <w:rFonts w:ascii="Times New Roman" w:hAnsi="Times New Roman"/>
                <w:bCs/>
                <w:iCs/>
                <w:sz w:val="20"/>
                <w:szCs w:val="20"/>
              </w:rPr>
              <w:t>F-N</w:t>
            </w:r>
          </w:p>
        </w:tc>
      </w:tr>
      <w:tr w:rsidR="002B16ED" w:rsidRPr="002B16ED" w14:paraId="65AC5524" w14:textId="77777777" w:rsidTr="00414C56">
        <w:tc>
          <w:tcPr>
            <w:tcW w:w="1809" w:type="dxa"/>
            <w:vMerge w:val="restart"/>
            <w:shd w:val="clear" w:color="auto" w:fill="F2F2F2" w:themeFill="background1" w:themeFillShade="F2"/>
            <w:vAlign w:val="center"/>
          </w:tcPr>
          <w:p w14:paraId="137F61BE" w14:textId="77777777" w:rsidR="002B16ED" w:rsidRPr="002B16ED" w:rsidRDefault="002B16ED" w:rsidP="002B16ED">
            <w:pPr>
              <w:spacing w:after="0" w:line="240" w:lineRule="auto"/>
              <w:jc w:val="both"/>
              <w:rPr>
                <w:rFonts w:ascii="Times New Roman" w:hAnsi="Times New Roman"/>
                <w:bCs/>
                <w:iCs/>
                <w:sz w:val="20"/>
                <w:szCs w:val="20"/>
              </w:rPr>
            </w:pPr>
            <w:r w:rsidRPr="002B16ED">
              <w:rPr>
                <w:rFonts w:ascii="Times New Roman" w:hAnsi="Times New Roman"/>
                <w:bCs/>
                <w:iCs/>
                <w:sz w:val="20"/>
                <w:szCs w:val="20"/>
              </w:rPr>
              <w:t>D’ici à 2019, la cohésion sociale est facilitée par la justice transitionnelle, le dialogue entre communautés, la culture et l’éducation à la paix</w:t>
            </w:r>
          </w:p>
        </w:tc>
        <w:tc>
          <w:tcPr>
            <w:tcW w:w="3402" w:type="dxa"/>
            <w:shd w:val="clear" w:color="auto" w:fill="auto"/>
            <w:vAlign w:val="center"/>
          </w:tcPr>
          <w:p w14:paraId="18D57CFC" w14:textId="77777777" w:rsidR="002B16ED" w:rsidRPr="002B16ED" w:rsidRDefault="002B16ED" w:rsidP="002B16ED">
            <w:pPr>
              <w:spacing w:after="0" w:line="240" w:lineRule="auto"/>
              <w:rPr>
                <w:rFonts w:ascii="Times New Roman" w:hAnsi="Times New Roman"/>
                <w:bCs/>
                <w:iCs/>
                <w:sz w:val="20"/>
                <w:szCs w:val="20"/>
              </w:rPr>
            </w:pPr>
            <w:r w:rsidRPr="002B16ED">
              <w:rPr>
                <w:rFonts w:ascii="Times New Roman" w:hAnsi="Times New Roman"/>
                <w:bCs/>
                <w:iCs/>
                <w:sz w:val="20"/>
                <w:szCs w:val="20"/>
              </w:rPr>
              <w:t>Nombre de cas d’insécurité dans le nord (en rapport avec le conflit armé, le terrorisme, la criminalité et la guerre, par région)</w:t>
            </w:r>
          </w:p>
          <w:p w14:paraId="5128838C" w14:textId="77777777" w:rsidR="002B16ED" w:rsidRPr="002B16ED" w:rsidRDefault="002B16ED" w:rsidP="00D76EFA">
            <w:pPr>
              <w:numPr>
                <w:ilvl w:val="0"/>
                <w:numId w:val="22"/>
              </w:numPr>
              <w:spacing w:after="0" w:line="240" w:lineRule="auto"/>
              <w:rPr>
                <w:rFonts w:ascii="Times New Roman" w:hAnsi="Times New Roman"/>
                <w:bCs/>
                <w:iCs/>
                <w:sz w:val="20"/>
                <w:szCs w:val="20"/>
              </w:rPr>
            </w:pPr>
            <w:r w:rsidRPr="002B16ED">
              <w:rPr>
                <w:rFonts w:ascii="Times New Roman" w:hAnsi="Times New Roman"/>
                <w:bCs/>
                <w:iCs/>
                <w:sz w:val="20"/>
                <w:szCs w:val="20"/>
              </w:rPr>
              <w:t>Réf : Conflit ouvert et actes terroristes (2013)</w:t>
            </w:r>
          </w:p>
          <w:p w14:paraId="1A4B6DF3" w14:textId="77777777" w:rsidR="002B16ED" w:rsidRPr="002B16ED" w:rsidRDefault="002B16ED" w:rsidP="00D76EFA">
            <w:pPr>
              <w:numPr>
                <w:ilvl w:val="0"/>
                <w:numId w:val="22"/>
              </w:numPr>
              <w:spacing w:after="0" w:line="240" w:lineRule="auto"/>
              <w:rPr>
                <w:rFonts w:ascii="Times New Roman" w:hAnsi="Times New Roman"/>
                <w:bCs/>
                <w:iCs/>
                <w:sz w:val="20"/>
                <w:szCs w:val="20"/>
              </w:rPr>
            </w:pPr>
            <w:r w:rsidRPr="002B16ED">
              <w:rPr>
                <w:rFonts w:ascii="Times New Roman" w:hAnsi="Times New Roman"/>
                <w:bCs/>
                <w:iCs/>
                <w:sz w:val="20"/>
                <w:szCs w:val="20"/>
              </w:rPr>
              <w:t>Cible : Stabilisation et réconciliation</w:t>
            </w:r>
          </w:p>
        </w:tc>
        <w:tc>
          <w:tcPr>
            <w:tcW w:w="3969" w:type="dxa"/>
            <w:shd w:val="clear" w:color="auto" w:fill="auto"/>
            <w:vAlign w:val="center"/>
          </w:tcPr>
          <w:p w14:paraId="5AC5BFD1" w14:textId="77777777" w:rsidR="002B16ED" w:rsidRPr="002B16ED" w:rsidRDefault="002B16ED" w:rsidP="00D76EFA">
            <w:pPr>
              <w:numPr>
                <w:ilvl w:val="0"/>
                <w:numId w:val="59"/>
              </w:numPr>
              <w:spacing w:after="0" w:line="240" w:lineRule="auto"/>
              <w:rPr>
                <w:rFonts w:ascii="Times New Roman" w:hAnsi="Times New Roman"/>
                <w:bCs/>
                <w:iCs/>
                <w:sz w:val="20"/>
                <w:szCs w:val="20"/>
              </w:rPr>
            </w:pPr>
            <w:r w:rsidRPr="002B16ED">
              <w:rPr>
                <w:rFonts w:ascii="Times New Roman" w:hAnsi="Times New Roman"/>
                <w:bCs/>
                <w:iCs/>
                <w:sz w:val="20"/>
                <w:szCs w:val="20"/>
              </w:rPr>
              <w:t>Résultat emblématique mais relativement isolé : rencontres intercommunautaires ont permis la reprise des activités scolaires dans les 40 villages de la commune de Dongo (Cercle de Youwarou, région de Mopti)</w:t>
            </w:r>
          </w:p>
          <w:p w14:paraId="6F5CAC22" w14:textId="77777777" w:rsidR="002B16ED" w:rsidRPr="002B16ED" w:rsidRDefault="002B16ED" w:rsidP="00D76EFA">
            <w:pPr>
              <w:numPr>
                <w:ilvl w:val="0"/>
                <w:numId w:val="59"/>
              </w:numPr>
              <w:spacing w:after="0" w:line="240" w:lineRule="auto"/>
              <w:rPr>
                <w:rFonts w:ascii="Times New Roman" w:hAnsi="Times New Roman"/>
                <w:bCs/>
                <w:iCs/>
                <w:sz w:val="20"/>
                <w:szCs w:val="20"/>
              </w:rPr>
            </w:pPr>
            <w:r w:rsidRPr="002B16ED">
              <w:rPr>
                <w:rFonts w:ascii="Times New Roman" w:hAnsi="Times New Roman"/>
                <w:bCs/>
                <w:iCs/>
                <w:sz w:val="20"/>
                <w:szCs w:val="20"/>
              </w:rPr>
              <w:t>Profil sécuritaire dominant : résurgence des entreprises terroristes : au nord mais avec une expansion vers le centre et même la capitale</w:t>
            </w:r>
          </w:p>
        </w:tc>
        <w:tc>
          <w:tcPr>
            <w:tcW w:w="520" w:type="dxa"/>
            <w:shd w:val="clear" w:color="auto" w:fill="auto"/>
            <w:vAlign w:val="center"/>
          </w:tcPr>
          <w:p w14:paraId="5144942E" w14:textId="77777777" w:rsidR="002B16ED" w:rsidRPr="002B16ED" w:rsidRDefault="002B16ED" w:rsidP="002B16ED">
            <w:pPr>
              <w:spacing w:after="0" w:line="240" w:lineRule="auto"/>
              <w:jc w:val="both"/>
              <w:rPr>
                <w:rFonts w:ascii="Times New Roman" w:hAnsi="Times New Roman"/>
                <w:bCs/>
                <w:iCs/>
                <w:sz w:val="20"/>
                <w:szCs w:val="20"/>
              </w:rPr>
            </w:pPr>
          </w:p>
        </w:tc>
        <w:tc>
          <w:tcPr>
            <w:tcW w:w="520" w:type="dxa"/>
            <w:shd w:val="clear" w:color="auto" w:fill="auto"/>
            <w:vAlign w:val="center"/>
          </w:tcPr>
          <w:p w14:paraId="4EF57E0E" w14:textId="77777777" w:rsidR="002B16ED" w:rsidRPr="002B16ED" w:rsidRDefault="002B16ED" w:rsidP="002B16ED">
            <w:pPr>
              <w:spacing w:after="0" w:line="240" w:lineRule="auto"/>
              <w:jc w:val="both"/>
              <w:rPr>
                <w:rFonts w:ascii="Times New Roman" w:hAnsi="Times New Roman"/>
                <w:bCs/>
                <w:iCs/>
                <w:sz w:val="20"/>
                <w:szCs w:val="20"/>
              </w:rPr>
            </w:pPr>
          </w:p>
        </w:tc>
        <w:tc>
          <w:tcPr>
            <w:tcW w:w="520" w:type="dxa"/>
            <w:shd w:val="clear" w:color="auto" w:fill="FF0000"/>
            <w:vAlign w:val="center"/>
          </w:tcPr>
          <w:p w14:paraId="3AF1B4A8" w14:textId="77777777" w:rsidR="002B16ED" w:rsidRPr="002B16ED" w:rsidRDefault="002B16ED" w:rsidP="002B16ED">
            <w:pPr>
              <w:spacing w:after="0" w:line="240" w:lineRule="auto"/>
              <w:jc w:val="both"/>
              <w:rPr>
                <w:rFonts w:ascii="Times New Roman" w:hAnsi="Times New Roman"/>
                <w:bCs/>
                <w:iCs/>
                <w:sz w:val="20"/>
                <w:szCs w:val="20"/>
              </w:rPr>
            </w:pPr>
          </w:p>
        </w:tc>
      </w:tr>
      <w:tr w:rsidR="002B16ED" w:rsidRPr="002B16ED" w14:paraId="0B96CD4E" w14:textId="77777777" w:rsidTr="00414C56">
        <w:tc>
          <w:tcPr>
            <w:tcW w:w="1809" w:type="dxa"/>
            <w:vMerge/>
            <w:shd w:val="clear" w:color="auto" w:fill="F2F2F2" w:themeFill="background1" w:themeFillShade="F2"/>
            <w:vAlign w:val="center"/>
          </w:tcPr>
          <w:p w14:paraId="1F4B2431" w14:textId="77777777" w:rsidR="002B16ED" w:rsidRPr="002B16ED" w:rsidRDefault="002B16ED" w:rsidP="002B16ED">
            <w:pPr>
              <w:spacing w:after="0" w:line="240" w:lineRule="auto"/>
              <w:jc w:val="both"/>
              <w:rPr>
                <w:rFonts w:ascii="Times New Roman" w:hAnsi="Times New Roman"/>
                <w:bCs/>
                <w:iCs/>
                <w:sz w:val="20"/>
                <w:szCs w:val="20"/>
              </w:rPr>
            </w:pPr>
          </w:p>
        </w:tc>
        <w:tc>
          <w:tcPr>
            <w:tcW w:w="3402" w:type="dxa"/>
            <w:shd w:val="clear" w:color="auto" w:fill="auto"/>
            <w:vAlign w:val="center"/>
          </w:tcPr>
          <w:p w14:paraId="20B824AC" w14:textId="77777777" w:rsidR="002B16ED" w:rsidRPr="002B16ED" w:rsidRDefault="002B16ED" w:rsidP="002B16ED">
            <w:pPr>
              <w:spacing w:after="0" w:line="240" w:lineRule="auto"/>
              <w:jc w:val="both"/>
              <w:rPr>
                <w:rFonts w:ascii="Times New Roman" w:hAnsi="Times New Roman"/>
                <w:bCs/>
                <w:iCs/>
                <w:sz w:val="20"/>
                <w:szCs w:val="20"/>
              </w:rPr>
            </w:pPr>
            <w:r w:rsidRPr="002B16ED">
              <w:rPr>
                <w:rFonts w:ascii="Times New Roman" w:hAnsi="Times New Roman"/>
                <w:bCs/>
                <w:iCs/>
                <w:sz w:val="20"/>
                <w:szCs w:val="20"/>
              </w:rPr>
              <w:t>Degré de mise en œuvre de l’accord général de paix</w:t>
            </w:r>
          </w:p>
          <w:p w14:paraId="5363AF27" w14:textId="77777777" w:rsidR="002B16ED" w:rsidRPr="002B16ED" w:rsidRDefault="002B16ED" w:rsidP="00D76EFA">
            <w:pPr>
              <w:numPr>
                <w:ilvl w:val="0"/>
                <w:numId w:val="23"/>
              </w:numPr>
              <w:spacing w:after="0" w:line="240" w:lineRule="auto"/>
              <w:jc w:val="both"/>
              <w:rPr>
                <w:rFonts w:ascii="Times New Roman" w:hAnsi="Times New Roman"/>
                <w:bCs/>
                <w:iCs/>
                <w:sz w:val="20"/>
                <w:szCs w:val="20"/>
              </w:rPr>
            </w:pPr>
            <w:r w:rsidRPr="002B16ED">
              <w:rPr>
                <w:rFonts w:ascii="Times New Roman" w:hAnsi="Times New Roman"/>
                <w:bCs/>
                <w:iCs/>
                <w:sz w:val="20"/>
                <w:szCs w:val="20"/>
              </w:rPr>
              <w:t>Réf : Non disponible</w:t>
            </w:r>
          </w:p>
          <w:p w14:paraId="32434EC0" w14:textId="77777777" w:rsidR="002B16ED" w:rsidRPr="002B16ED" w:rsidRDefault="002B16ED" w:rsidP="00D76EFA">
            <w:pPr>
              <w:numPr>
                <w:ilvl w:val="0"/>
                <w:numId w:val="23"/>
              </w:numPr>
              <w:spacing w:after="0" w:line="240" w:lineRule="auto"/>
              <w:jc w:val="both"/>
              <w:rPr>
                <w:rFonts w:ascii="Times New Roman" w:hAnsi="Times New Roman"/>
                <w:bCs/>
                <w:iCs/>
                <w:sz w:val="20"/>
                <w:szCs w:val="20"/>
              </w:rPr>
            </w:pPr>
            <w:r w:rsidRPr="002B16ED">
              <w:rPr>
                <w:rFonts w:ascii="Times New Roman" w:hAnsi="Times New Roman"/>
                <w:bCs/>
                <w:iCs/>
                <w:sz w:val="20"/>
                <w:szCs w:val="20"/>
              </w:rPr>
              <w:t>Cible : A déterminer</w:t>
            </w:r>
          </w:p>
        </w:tc>
        <w:tc>
          <w:tcPr>
            <w:tcW w:w="3969" w:type="dxa"/>
            <w:shd w:val="clear" w:color="auto" w:fill="auto"/>
            <w:vAlign w:val="center"/>
          </w:tcPr>
          <w:p w14:paraId="5B30DE96" w14:textId="77777777" w:rsidR="002B16ED" w:rsidRPr="002B16ED" w:rsidRDefault="002B16ED" w:rsidP="00D76EFA">
            <w:pPr>
              <w:numPr>
                <w:ilvl w:val="0"/>
                <w:numId w:val="59"/>
              </w:numPr>
              <w:spacing w:after="0" w:line="240" w:lineRule="auto"/>
              <w:jc w:val="both"/>
              <w:rPr>
                <w:rFonts w:ascii="Times New Roman" w:hAnsi="Times New Roman"/>
                <w:bCs/>
                <w:iCs/>
                <w:sz w:val="20"/>
                <w:szCs w:val="20"/>
              </w:rPr>
            </w:pPr>
            <w:r w:rsidRPr="002B16ED">
              <w:rPr>
                <w:rFonts w:ascii="Times New Roman" w:hAnsi="Times New Roman"/>
                <w:bCs/>
                <w:iCs/>
                <w:sz w:val="20"/>
                <w:szCs w:val="20"/>
              </w:rPr>
              <w:t>Elections communales organisées dans 98% des communes : signe d’apaisement</w:t>
            </w:r>
          </w:p>
          <w:p w14:paraId="7CD7FB3A" w14:textId="77777777" w:rsidR="002B16ED" w:rsidRPr="002B16ED" w:rsidRDefault="002B16ED" w:rsidP="00D76EFA">
            <w:pPr>
              <w:numPr>
                <w:ilvl w:val="0"/>
                <w:numId w:val="60"/>
              </w:numPr>
              <w:spacing w:after="0" w:line="240" w:lineRule="auto"/>
              <w:jc w:val="both"/>
              <w:rPr>
                <w:rFonts w:ascii="Times New Roman" w:hAnsi="Times New Roman"/>
                <w:bCs/>
                <w:iCs/>
                <w:sz w:val="20"/>
                <w:szCs w:val="20"/>
              </w:rPr>
            </w:pPr>
            <w:r w:rsidRPr="002B16ED">
              <w:rPr>
                <w:rFonts w:ascii="Times New Roman" w:hAnsi="Times New Roman"/>
                <w:bCs/>
                <w:iCs/>
                <w:sz w:val="20"/>
                <w:szCs w:val="20"/>
              </w:rPr>
              <w:t>Autoritaires intérimaires formellement installées : mais certaines au nord absentes dans les faits pour cause de dégradation de la situation sécuritaire</w:t>
            </w:r>
          </w:p>
        </w:tc>
        <w:tc>
          <w:tcPr>
            <w:tcW w:w="520" w:type="dxa"/>
            <w:shd w:val="clear" w:color="auto" w:fill="auto"/>
            <w:vAlign w:val="center"/>
          </w:tcPr>
          <w:p w14:paraId="04CDDF01" w14:textId="77777777" w:rsidR="002B16ED" w:rsidRPr="002B16ED" w:rsidRDefault="002B16ED" w:rsidP="002B16ED">
            <w:pPr>
              <w:spacing w:after="0" w:line="240" w:lineRule="auto"/>
              <w:jc w:val="both"/>
              <w:rPr>
                <w:rFonts w:ascii="Times New Roman" w:hAnsi="Times New Roman"/>
                <w:bCs/>
                <w:iCs/>
                <w:sz w:val="20"/>
                <w:szCs w:val="20"/>
              </w:rPr>
            </w:pPr>
          </w:p>
        </w:tc>
        <w:tc>
          <w:tcPr>
            <w:tcW w:w="520" w:type="dxa"/>
            <w:shd w:val="clear" w:color="auto" w:fill="FFC000"/>
            <w:vAlign w:val="center"/>
          </w:tcPr>
          <w:p w14:paraId="68F0D173" w14:textId="77777777" w:rsidR="002B16ED" w:rsidRPr="002B16ED" w:rsidRDefault="002B16ED" w:rsidP="002B16ED">
            <w:pPr>
              <w:spacing w:after="0" w:line="240" w:lineRule="auto"/>
              <w:jc w:val="both"/>
              <w:rPr>
                <w:rFonts w:ascii="Times New Roman" w:hAnsi="Times New Roman"/>
                <w:bCs/>
                <w:iCs/>
                <w:sz w:val="20"/>
                <w:szCs w:val="20"/>
              </w:rPr>
            </w:pPr>
          </w:p>
        </w:tc>
        <w:tc>
          <w:tcPr>
            <w:tcW w:w="520" w:type="dxa"/>
            <w:shd w:val="clear" w:color="auto" w:fill="auto"/>
            <w:vAlign w:val="center"/>
          </w:tcPr>
          <w:p w14:paraId="79A0096F" w14:textId="77777777" w:rsidR="002B16ED" w:rsidRPr="002B16ED" w:rsidRDefault="002B16ED" w:rsidP="002B16ED">
            <w:pPr>
              <w:spacing w:after="0" w:line="240" w:lineRule="auto"/>
              <w:jc w:val="both"/>
              <w:rPr>
                <w:rFonts w:ascii="Times New Roman" w:hAnsi="Times New Roman"/>
                <w:bCs/>
                <w:iCs/>
                <w:sz w:val="20"/>
                <w:szCs w:val="20"/>
              </w:rPr>
            </w:pPr>
          </w:p>
        </w:tc>
      </w:tr>
      <w:tr w:rsidR="002B16ED" w:rsidRPr="002B16ED" w14:paraId="719423E7" w14:textId="77777777" w:rsidTr="00414C56">
        <w:tc>
          <w:tcPr>
            <w:tcW w:w="1809" w:type="dxa"/>
            <w:vMerge/>
            <w:shd w:val="clear" w:color="auto" w:fill="F2F2F2" w:themeFill="background1" w:themeFillShade="F2"/>
            <w:vAlign w:val="center"/>
          </w:tcPr>
          <w:p w14:paraId="334EE50E" w14:textId="77777777" w:rsidR="002B16ED" w:rsidRPr="002B16ED" w:rsidRDefault="002B16ED" w:rsidP="002B16ED">
            <w:pPr>
              <w:spacing w:after="0" w:line="240" w:lineRule="auto"/>
              <w:jc w:val="both"/>
              <w:rPr>
                <w:rFonts w:ascii="Times New Roman" w:hAnsi="Times New Roman"/>
                <w:bCs/>
                <w:iCs/>
                <w:sz w:val="20"/>
                <w:szCs w:val="20"/>
              </w:rPr>
            </w:pPr>
          </w:p>
        </w:tc>
        <w:tc>
          <w:tcPr>
            <w:tcW w:w="3402" w:type="dxa"/>
            <w:shd w:val="clear" w:color="auto" w:fill="auto"/>
            <w:vAlign w:val="center"/>
          </w:tcPr>
          <w:p w14:paraId="74B61B01" w14:textId="77777777" w:rsidR="002B16ED" w:rsidRPr="002B16ED" w:rsidRDefault="002B16ED" w:rsidP="002B16ED">
            <w:pPr>
              <w:spacing w:after="0" w:line="240" w:lineRule="auto"/>
              <w:jc w:val="both"/>
              <w:rPr>
                <w:rFonts w:ascii="Times New Roman" w:hAnsi="Times New Roman"/>
                <w:bCs/>
                <w:iCs/>
                <w:sz w:val="20"/>
                <w:szCs w:val="20"/>
              </w:rPr>
            </w:pPr>
            <w:r w:rsidRPr="002B16ED">
              <w:rPr>
                <w:rFonts w:ascii="Times New Roman" w:hAnsi="Times New Roman"/>
                <w:bCs/>
                <w:iCs/>
                <w:sz w:val="20"/>
                <w:szCs w:val="20"/>
              </w:rPr>
              <w:t>Nombre de violations du droit international humanitaire et des droits fondamentaux en rapport avec le conflit</w:t>
            </w:r>
          </w:p>
          <w:p w14:paraId="0936FC2A" w14:textId="77777777" w:rsidR="002B16ED" w:rsidRPr="002B16ED" w:rsidRDefault="002B16ED" w:rsidP="00D76EFA">
            <w:pPr>
              <w:numPr>
                <w:ilvl w:val="0"/>
                <w:numId w:val="24"/>
              </w:numPr>
              <w:spacing w:after="0" w:line="240" w:lineRule="auto"/>
              <w:jc w:val="both"/>
              <w:rPr>
                <w:rFonts w:ascii="Times New Roman" w:hAnsi="Times New Roman"/>
                <w:bCs/>
                <w:iCs/>
                <w:sz w:val="20"/>
                <w:szCs w:val="20"/>
              </w:rPr>
            </w:pPr>
            <w:r w:rsidRPr="002B16ED">
              <w:rPr>
                <w:rFonts w:ascii="Times New Roman" w:hAnsi="Times New Roman"/>
                <w:bCs/>
                <w:iCs/>
                <w:sz w:val="20"/>
                <w:szCs w:val="20"/>
              </w:rPr>
              <w:t>Réf : 112 (2012-2014)</w:t>
            </w:r>
          </w:p>
          <w:p w14:paraId="1D74820B" w14:textId="77777777" w:rsidR="002B16ED" w:rsidRPr="002B16ED" w:rsidRDefault="002B16ED" w:rsidP="00D76EFA">
            <w:pPr>
              <w:numPr>
                <w:ilvl w:val="0"/>
                <w:numId w:val="24"/>
              </w:numPr>
              <w:spacing w:after="0" w:line="240" w:lineRule="auto"/>
              <w:jc w:val="both"/>
              <w:rPr>
                <w:rFonts w:ascii="Times New Roman" w:hAnsi="Times New Roman"/>
                <w:bCs/>
                <w:iCs/>
                <w:sz w:val="20"/>
                <w:szCs w:val="20"/>
              </w:rPr>
            </w:pPr>
            <w:r w:rsidRPr="002B16ED">
              <w:rPr>
                <w:rFonts w:ascii="Times New Roman" w:hAnsi="Times New Roman"/>
                <w:bCs/>
                <w:iCs/>
                <w:sz w:val="20"/>
                <w:szCs w:val="20"/>
              </w:rPr>
              <w:t>Cible : 0</w:t>
            </w:r>
          </w:p>
        </w:tc>
        <w:tc>
          <w:tcPr>
            <w:tcW w:w="3969" w:type="dxa"/>
            <w:shd w:val="clear" w:color="auto" w:fill="auto"/>
            <w:vAlign w:val="center"/>
          </w:tcPr>
          <w:p w14:paraId="19ADAEF9" w14:textId="77777777" w:rsidR="002B16ED" w:rsidRPr="002B16ED" w:rsidRDefault="002B16ED" w:rsidP="00D76EFA">
            <w:pPr>
              <w:numPr>
                <w:ilvl w:val="0"/>
                <w:numId w:val="60"/>
              </w:numPr>
              <w:spacing w:after="0" w:line="240" w:lineRule="auto"/>
              <w:jc w:val="both"/>
              <w:rPr>
                <w:rFonts w:ascii="Times New Roman" w:hAnsi="Times New Roman"/>
                <w:bCs/>
                <w:iCs/>
                <w:sz w:val="20"/>
                <w:szCs w:val="20"/>
              </w:rPr>
            </w:pPr>
            <w:r w:rsidRPr="002B16ED">
              <w:rPr>
                <w:rFonts w:ascii="Times New Roman" w:hAnsi="Times New Roman"/>
                <w:bCs/>
                <w:iCs/>
                <w:sz w:val="20"/>
                <w:szCs w:val="20"/>
              </w:rPr>
              <w:t xml:space="preserve">Insécurité et absence persistantes de l’Administration dans nombre de localités, propice aux situations de non droit </w:t>
            </w:r>
          </w:p>
        </w:tc>
        <w:tc>
          <w:tcPr>
            <w:tcW w:w="520" w:type="dxa"/>
            <w:shd w:val="clear" w:color="auto" w:fill="auto"/>
            <w:vAlign w:val="center"/>
          </w:tcPr>
          <w:p w14:paraId="371E4B2B" w14:textId="77777777" w:rsidR="002B16ED" w:rsidRPr="002B16ED" w:rsidRDefault="002B16ED" w:rsidP="002B16ED">
            <w:pPr>
              <w:spacing w:after="0" w:line="240" w:lineRule="auto"/>
              <w:jc w:val="both"/>
              <w:rPr>
                <w:rFonts w:ascii="Times New Roman" w:hAnsi="Times New Roman"/>
                <w:bCs/>
                <w:iCs/>
                <w:sz w:val="20"/>
                <w:szCs w:val="20"/>
              </w:rPr>
            </w:pPr>
          </w:p>
        </w:tc>
        <w:tc>
          <w:tcPr>
            <w:tcW w:w="520" w:type="dxa"/>
            <w:shd w:val="clear" w:color="auto" w:fill="auto"/>
            <w:vAlign w:val="center"/>
          </w:tcPr>
          <w:p w14:paraId="203679C1" w14:textId="77777777" w:rsidR="002B16ED" w:rsidRPr="002B16ED" w:rsidRDefault="002B16ED" w:rsidP="002B16ED">
            <w:pPr>
              <w:spacing w:after="0" w:line="240" w:lineRule="auto"/>
              <w:jc w:val="both"/>
              <w:rPr>
                <w:rFonts w:ascii="Times New Roman" w:hAnsi="Times New Roman"/>
                <w:bCs/>
                <w:iCs/>
                <w:sz w:val="20"/>
                <w:szCs w:val="20"/>
              </w:rPr>
            </w:pPr>
          </w:p>
        </w:tc>
        <w:tc>
          <w:tcPr>
            <w:tcW w:w="520" w:type="dxa"/>
            <w:shd w:val="clear" w:color="auto" w:fill="FF0000"/>
            <w:vAlign w:val="center"/>
          </w:tcPr>
          <w:p w14:paraId="64E99F60" w14:textId="77777777" w:rsidR="002B16ED" w:rsidRPr="002B16ED" w:rsidRDefault="002B16ED" w:rsidP="002B16ED">
            <w:pPr>
              <w:spacing w:after="0" w:line="240" w:lineRule="auto"/>
              <w:jc w:val="both"/>
              <w:rPr>
                <w:rFonts w:ascii="Times New Roman" w:hAnsi="Times New Roman"/>
                <w:bCs/>
                <w:iCs/>
                <w:sz w:val="20"/>
                <w:szCs w:val="20"/>
              </w:rPr>
            </w:pPr>
          </w:p>
        </w:tc>
      </w:tr>
      <w:tr w:rsidR="002B16ED" w:rsidRPr="002B16ED" w14:paraId="7B164F93" w14:textId="77777777" w:rsidTr="00414C56">
        <w:tc>
          <w:tcPr>
            <w:tcW w:w="1809" w:type="dxa"/>
            <w:vMerge/>
            <w:shd w:val="clear" w:color="auto" w:fill="F2F2F2" w:themeFill="background1" w:themeFillShade="F2"/>
            <w:vAlign w:val="center"/>
          </w:tcPr>
          <w:p w14:paraId="5B3242B0" w14:textId="77777777" w:rsidR="002B16ED" w:rsidRPr="002B16ED" w:rsidRDefault="002B16ED" w:rsidP="002B16ED">
            <w:pPr>
              <w:spacing w:after="0" w:line="240" w:lineRule="auto"/>
              <w:jc w:val="both"/>
              <w:rPr>
                <w:rFonts w:ascii="Times New Roman" w:hAnsi="Times New Roman"/>
                <w:bCs/>
                <w:iCs/>
                <w:sz w:val="20"/>
                <w:szCs w:val="20"/>
              </w:rPr>
            </w:pPr>
          </w:p>
        </w:tc>
        <w:tc>
          <w:tcPr>
            <w:tcW w:w="3402" w:type="dxa"/>
            <w:shd w:val="clear" w:color="auto" w:fill="auto"/>
            <w:vAlign w:val="center"/>
          </w:tcPr>
          <w:p w14:paraId="323537D3" w14:textId="77777777" w:rsidR="002B16ED" w:rsidRPr="002B16ED" w:rsidRDefault="002B16ED" w:rsidP="002B16ED">
            <w:pPr>
              <w:spacing w:after="0" w:line="240" w:lineRule="auto"/>
              <w:jc w:val="both"/>
              <w:rPr>
                <w:rFonts w:ascii="Times New Roman" w:hAnsi="Times New Roman"/>
                <w:bCs/>
                <w:iCs/>
                <w:sz w:val="20"/>
                <w:szCs w:val="20"/>
              </w:rPr>
            </w:pPr>
            <w:r w:rsidRPr="002B16ED">
              <w:rPr>
                <w:rFonts w:ascii="Times New Roman" w:hAnsi="Times New Roman"/>
                <w:bCs/>
                <w:iCs/>
                <w:sz w:val="20"/>
                <w:szCs w:val="20"/>
              </w:rPr>
              <w:t>Nombre d’incidents impliquant une violation grave des droits des enfants touchés par un conflit armé</w:t>
            </w:r>
          </w:p>
          <w:p w14:paraId="3EAB63FB" w14:textId="77777777" w:rsidR="002B16ED" w:rsidRPr="002B16ED" w:rsidRDefault="002B16ED" w:rsidP="00D76EFA">
            <w:pPr>
              <w:numPr>
                <w:ilvl w:val="0"/>
                <w:numId w:val="25"/>
              </w:numPr>
              <w:spacing w:after="0" w:line="240" w:lineRule="auto"/>
              <w:jc w:val="both"/>
              <w:rPr>
                <w:rFonts w:ascii="Times New Roman" w:hAnsi="Times New Roman"/>
                <w:bCs/>
                <w:iCs/>
                <w:sz w:val="20"/>
                <w:szCs w:val="20"/>
              </w:rPr>
            </w:pPr>
            <w:r w:rsidRPr="002B16ED">
              <w:rPr>
                <w:rFonts w:ascii="Times New Roman" w:hAnsi="Times New Roman"/>
                <w:bCs/>
                <w:iCs/>
                <w:sz w:val="20"/>
                <w:szCs w:val="20"/>
              </w:rPr>
              <w:t>Réf : 32</w:t>
            </w:r>
          </w:p>
          <w:p w14:paraId="50277537" w14:textId="77777777" w:rsidR="002B16ED" w:rsidRPr="002B16ED" w:rsidRDefault="002B16ED" w:rsidP="00D76EFA">
            <w:pPr>
              <w:numPr>
                <w:ilvl w:val="0"/>
                <w:numId w:val="25"/>
              </w:numPr>
              <w:spacing w:after="0" w:line="240" w:lineRule="auto"/>
              <w:jc w:val="both"/>
              <w:rPr>
                <w:rFonts w:ascii="Times New Roman" w:hAnsi="Times New Roman"/>
                <w:bCs/>
                <w:iCs/>
                <w:sz w:val="20"/>
                <w:szCs w:val="20"/>
              </w:rPr>
            </w:pPr>
            <w:r w:rsidRPr="002B16ED">
              <w:rPr>
                <w:rFonts w:ascii="Times New Roman" w:hAnsi="Times New Roman"/>
                <w:bCs/>
                <w:iCs/>
                <w:sz w:val="20"/>
                <w:szCs w:val="20"/>
              </w:rPr>
              <w:t>Cible : 0</w:t>
            </w:r>
          </w:p>
        </w:tc>
        <w:tc>
          <w:tcPr>
            <w:tcW w:w="3969" w:type="dxa"/>
            <w:shd w:val="clear" w:color="auto" w:fill="auto"/>
            <w:vAlign w:val="center"/>
          </w:tcPr>
          <w:p w14:paraId="14C8A170" w14:textId="77777777" w:rsidR="002B16ED" w:rsidRPr="002B16ED" w:rsidRDefault="002B16ED" w:rsidP="002B16ED">
            <w:pPr>
              <w:spacing w:after="0" w:line="240" w:lineRule="auto"/>
              <w:jc w:val="both"/>
              <w:rPr>
                <w:rFonts w:ascii="Times New Roman" w:hAnsi="Times New Roman"/>
                <w:bCs/>
                <w:iCs/>
                <w:sz w:val="20"/>
                <w:szCs w:val="20"/>
              </w:rPr>
            </w:pPr>
          </w:p>
        </w:tc>
        <w:tc>
          <w:tcPr>
            <w:tcW w:w="520" w:type="dxa"/>
            <w:shd w:val="clear" w:color="auto" w:fill="auto"/>
            <w:vAlign w:val="center"/>
          </w:tcPr>
          <w:p w14:paraId="6FE61316" w14:textId="77777777" w:rsidR="002B16ED" w:rsidRPr="002B16ED" w:rsidRDefault="002B16ED" w:rsidP="002B16ED">
            <w:pPr>
              <w:spacing w:after="0" w:line="240" w:lineRule="auto"/>
              <w:jc w:val="both"/>
              <w:rPr>
                <w:rFonts w:ascii="Times New Roman" w:hAnsi="Times New Roman"/>
                <w:bCs/>
                <w:iCs/>
                <w:sz w:val="20"/>
                <w:szCs w:val="20"/>
              </w:rPr>
            </w:pPr>
          </w:p>
        </w:tc>
        <w:tc>
          <w:tcPr>
            <w:tcW w:w="520" w:type="dxa"/>
            <w:shd w:val="clear" w:color="auto" w:fill="auto"/>
            <w:vAlign w:val="center"/>
          </w:tcPr>
          <w:p w14:paraId="6877252E" w14:textId="77777777" w:rsidR="002B16ED" w:rsidRPr="002B16ED" w:rsidRDefault="002B16ED" w:rsidP="002B16ED">
            <w:pPr>
              <w:spacing w:after="0" w:line="240" w:lineRule="auto"/>
              <w:jc w:val="both"/>
              <w:rPr>
                <w:rFonts w:ascii="Times New Roman" w:hAnsi="Times New Roman"/>
                <w:bCs/>
                <w:iCs/>
                <w:sz w:val="20"/>
                <w:szCs w:val="20"/>
              </w:rPr>
            </w:pPr>
          </w:p>
        </w:tc>
        <w:tc>
          <w:tcPr>
            <w:tcW w:w="520" w:type="dxa"/>
            <w:shd w:val="clear" w:color="auto" w:fill="auto"/>
            <w:vAlign w:val="center"/>
          </w:tcPr>
          <w:p w14:paraId="3DDA4F05" w14:textId="77777777" w:rsidR="002B16ED" w:rsidRPr="002B16ED" w:rsidRDefault="002B16ED" w:rsidP="002B16ED">
            <w:pPr>
              <w:spacing w:after="0" w:line="240" w:lineRule="auto"/>
              <w:jc w:val="both"/>
              <w:rPr>
                <w:rFonts w:ascii="Times New Roman" w:hAnsi="Times New Roman"/>
                <w:bCs/>
                <w:iCs/>
                <w:sz w:val="20"/>
                <w:szCs w:val="20"/>
              </w:rPr>
            </w:pPr>
          </w:p>
        </w:tc>
      </w:tr>
      <w:tr w:rsidR="002B16ED" w:rsidRPr="002B16ED" w14:paraId="668FC00F" w14:textId="77777777" w:rsidTr="00414C56">
        <w:tc>
          <w:tcPr>
            <w:tcW w:w="1809" w:type="dxa"/>
            <w:vMerge/>
            <w:shd w:val="clear" w:color="auto" w:fill="F2F2F2" w:themeFill="background1" w:themeFillShade="F2"/>
            <w:vAlign w:val="center"/>
          </w:tcPr>
          <w:p w14:paraId="21F7B5A9" w14:textId="77777777" w:rsidR="002B16ED" w:rsidRPr="002B16ED" w:rsidRDefault="002B16ED" w:rsidP="002B16ED">
            <w:pPr>
              <w:spacing w:after="0" w:line="240" w:lineRule="auto"/>
              <w:jc w:val="both"/>
              <w:rPr>
                <w:rFonts w:ascii="Times New Roman" w:hAnsi="Times New Roman"/>
                <w:bCs/>
                <w:iCs/>
                <w:sz w:val="20"/>
                <w:szCs w:val="20"/>
              </w:rPr>
            </w:pPr>
          </w:p>
        </w:tc>
        <w:tc>
          <w:tcPr>
            <w:tcW w:w="3402" w:type="dxa"/>
            <w:shd w:val="clear" w:color="auto" w:fill="auto"/>
            <w:vAlign w:val="center"/>
          </w:tcPr>
          <w:p w14:paraId="3700E697" w14:textId="77777777" w:rsidR="002B16ED" w:rsidRPr="002B16ED" w:rsidRDefault="002B16ED" w:rsidP="002B16ED">
            <w:pPr>
              <w:spacing w:after="0" w:line="240" w:lineRule="auto"/>
              <w:jc w:val="both"/>
              <w:rPr>
                <w:rFonts w:ascii="Times New Roman" w:hAnsi="Times New Roman"/>
                <w:bCs/>
                <w:iCs/>
                <w:sz w:val="20"/>
                <w:szCs w:val="20"/>
              </w:rPr>
            </w:pPr>
            <w:r w:rsidRPr="002B16ED">
              <w:rPr>
                <w:rFonts w:ascii="Times New Roman" w:hAnsi="Times New Roman"/>
                <w:bCs/>
                <w:iCs/>
                <w:sz w:val="20"/>
                <w:szCs w:val="20"/>
              </w:rPr>
              <w:t>Nombre de réfugiés et de personnes déplacées à l’intérieur du pays (ventilé par statut de réfugié et de personne déplacée et par région)</w:t>
            </w:r>
          </w:p>
          <w:p w14:paraId="389B12A9" w14:textId="77777777" w:rsidR="002B16ED" w:rsidRPr="002B16ED" w:rsidRDefault="002B16ED" w:rsidP="00D76EFA">
            <w:pPr>
              <w:numPr>
                <w:ilvl w:val="0"/>
                <w:numId w:val="26"/>
              </w:numPr>
              <w:spacing w:after="0" w:line="240" w:lineRule="auto"/>
              <w:jc w:val="both"/>
              <w:rPr>
                <w:rFonts w:ascii="Times New Roman" w:hAnsi="Times New Roman"/>
                <w:bCs/>
                <w:iCs/>
                <w:sz w:val="20"/>
                <w:szCs w:val="20"/>
              </w:rPr>
            </w:pPr>
            <w:r w:rsidRPr="002B16ED">
              <w:rPr>
                <w:rFonts w:ascii="Times New Roman" w:hAnsi="Times New Roman"/>
                <w:bCs/>
                <w:iCs/>
                <w:sz w:val="20"/>
                <w:szCs w:val="20"/>
              </w:rPr>
              <w:t>Réf : 140 033 réfugiés et 126 249 personnes déplacées (au 31ier Juillet 2014)</w:t>
            </w:r>
          </w:p>
          <w:p w14:paraId="3027B523" w14:textId="77777777" w:rsidR="002B16ED" w:rsidRPr="002B16ED" w:rsidRDefault="002B16ED" w:rsidP="00D76EFA">
            <w:pPr>
              <w:numPr>
                <w:ilvl w:val="0"/>
                <w:numId w:val="26"/>
              </w:numPr>
              <w:spacing w:after="0" w:line="240" w:lineRule="auto"/>
              <w:jc w:val="both"/>
              <w:rPr>
                <w:rFonts w:ascii="Times New Roman" w:hAnsi="Times New Roman"/>
                <w:bCs/>
                <w:iCs/>
                <w:sz w:val="20"/>
                <w:szCs w:val="20"/>
              </w:rPr>
            </w:pPr>
            <w:r w:rsidRPr="002B16ED">
              <w:rPr>
                <w:rFonts w:ascii="Times New Roman" w:hAnsi="Times New Roman"/>
                <w:bCs/>
                <w:iCs/>
                <w:sz w:val="20"/>
                <w:szCs w:val="20"/>
              </w:rPr>
              <w:t>Cible : 0</w:t>
            </w:r>
          </w:p>
        </w:tc>
        <w:tc>
          <w:tcPr>
            <w:tcW w:w="3969" w:type="dxa"/>
            <w:shd w:val="clear" w:color="auto" w:fill="auto"/>
            <w:vAlign w:val="center"/>
          </w:tcPr>
          <w:p w14:paraId="7E5CCE16" w14:textId="77777777" w:rsidR="002B16ED" w:rsidRPr="002B16ED" w:rsidRDefault="002B16ED" w:rsidP="00D76EFA">
            <w:pPr>
              <w:numPr>
                <w:ilvl w:val="0"/>
                <w:numId w:val="60"/>
              </w:numPr>
              <w:spacing w:after="0" w:line="240" w:lineRule="auto"/>
              <w:jc w:val="both"/>
              <w:rPr>
                <w:rFonts w:ascii="Times New Roman" w:hAnsi="Times New Roman"/>
                <w:bCs/>
                <w:iCs/>
                <w:sz w:val="20"/>
                <w:szCs w:val="20"/>
              </w:rPr>
            </w:pPr>
            <w:r w:rsidRPr="002B16ED">
              <w:rPr>
                <w:rFonts w:ascii="Times New Roman" w:hAnsi="Times New Roman"/>
                <w:bCs/>
                <w:iCs/>
                <w:sz w:val="20"/>
                <w:szCs w:val="20"/>
              </w:rPr>
              <w:t>Déplacés : 34.353 (2016)</w:t>
            </w:r>
          </w:p>
        </w:tc>
        <w:tc>
          <w:tcPr>
            <w:tcW w:w="520" w:type="dxa"/>
            <w:shd w:val="clear" w:color="auto" w:fill="92D050"/>
            <w:vAlign w:val="center"/>
          </w:tcPr>
          <w:p w14:paraId="495B220B" w14:textId="77777777" w:rsidR="002B16ED" w:rsidRPr="002B16ED" w:rsidRDefault="002B16ED" w:rsidP="002B16ED">
            <w:pPr>
              <w:spacing w:after="0" w:line="240" w:lineRule="auto"/>
              <w:jc w:val="both"/>
              <w:rPr>
                <w:rFonts w:ascii="Times New Roman" w:hAnsi="Times New Roman"/>
                <w:bCs/>
                <w:iCs/>
                <w:sz w:val="20"/>
                <w:szCs w:val="20"/>
              </w:rPr>
            </w:pPr>
          </w:p>
        </w:tc>
        <w:tc>
          <w:tcPr>
            <w:tcW w:w="520" w:type="dxa"/>
            <w:shd w:val="clear" w:color="auto" w:fill="FFFF00"/>
            <w:vAlign w:val="center"/>
          </w:tcPr>
          <w:p w14:paraId="4835EA2B" w14:textId="77777777" w:rsidR="002B16ED" w:rsidRPr="002B16ED" w:rsidRDefault="002B16ED" w:rsidP="002B16ED">
            <w:pPr>
              <w:spacing w:after="0" w:line="240" w:lineRule="auto"/>
              <w:jc w:val="both"/>
              <w:rPr>
                <w:rFonts w:ascii="Times New Roman" w:hAnsi="Times New Roman"/>
                <w:bCs/>
                <w:iCs/>
                <w:sz w:val="20"/>
                <w:szCs w:val="20"/>
              </w:rPr>
            </w:pPr>
          </w:p>
        </w:tc>
        <w:tc>
          <w:tcPr>
            <w:tcW w:w="520" w:type="dxa"/>
            <w:shd w:val="clear" w:color="auto" w:fill="auto"/>
            <w:vAlign w:val="center"/>
          </w:tcPr>
          <w:p w14:paraId="57655C38" w14:textId="77777777" w:rsidR="002B16ED" w:rsidRPr="002B16ED" w:rsidRDefault="002B16ED" w:rsidP="002B16ED">
            <w:pPr>
              <w:spacing w:after="0" w:line="240" w:lineRule="auto"/>
              <w:jc w:val="both"/>
              <w:rPr>
                <w:rFonts w:ascii="Times New Roman" w:hAnsi="Times New Roman"/>
                <w:bCs/>
                <w:iCs/>
                <w:sz w:val="20"/>
                <w:szCs w:val="20"/>
              </w:rPr>
            </w:pPr>
          </w:p>
        </w:tc>
      </w:tr>
    </w:tbl>
    <w:p w14:paraId="33C7F8FC" w14:textId="77777777" w:rsidR="005E0CC4" w:rsidRDefault="005E0CC4" w:rsidP="005E0CC4">
      <w:pPr>
        <w:pStyle w:val="Titre1"/>
        <w:spacing w:before="0" w:line="240" w:lineRule="auto"/>
        <w:rPr>
          <w:rFonts w:ascii="Times New Roman" w:hAnsi="Times New Roman"/>
          <w:color w:val="auto"/>
          <w:sz w:val="24"/>
          <w:szCs w:val="24"/>
        </w:rPr>
      </w:pPr>
      <w:bookmarkStart w:id="111" w:name="_Toc499211609"/>
      <w:bookmarkStart w:id="112" w:name="_Toc499213882"/>
      <w:r w:rsidRPr="000442E1">
        <w:rPr>
          <w:rFonts w:ascii="Times New Roman" w:hAnsi="Times New Roman"/>
          <w:color w:val="auto"/>
          <w:sz w:val="24"/>
          <w:szCs w:val="24"/>
        </w:rPr>
        <w:t xml:space="preserve">Tableau </w:t>
      </w:r>
      <w:r>
        <w:rPr>
          <w:rFonts w:ascii="Times New Roman" w:hAnsi="Times New Roman"/>
          <w:color w:val="auto"/>
          <w:sz w:val="24"/>
          <w:szCs w:val="24"/>
        </w:rPr>
        <w:t>6</w:t>
      </w:r>
      <w:r w:rsidRPr="000442E1">
        <w:rPr>
          <w:rFonts w:ascii="Times New Roman" w:hAnsi="Times New Roman"/>
          <w:color w:val="auto"/>
          <w:sz w:val="24"/>
          <w:szCs w:val="24"/>
        </w:rPr>
        <w:t xml:space="preserve"> : </w:t>
      </w:r>
      <w:r>
        <w:rPr>
          <w:rFonts w:ascii="Times New Roman" w:hAnsi="Times New Roman"/>
          <w:color w:val="auto"/>
          <w:sz w:val="24"/>
          <w:szCs w:val="24"/>
        </w:rPr>
        <w:t>Effet 1/Performances-Pays</w:t>
      </w:r>
      <w:bookmarkEnd w:id="111"/>
      <w:bookmarkEnd w:id="112"/>
    </w:p>
    <w:p w14:paraId="19A7A6DA" w14:textId="77777777" w:rsidR="005E0CC4" w:rsidRPr="005E0CC4" w:rsidRDefault="005E0CC4" w:rsidP="005E0CC4"/>
    <w:p w14:paraId="4FB8C1BA" w14:textId="77777777" w:rsidR="009C493D" w:rsidRPr="005E0CC4" w:rsidRDefault="009C493D" w:rsidP="002B16ED">
      <w:pPr>
        <w:spacing w:after="0" w:line="240" w:lineRule="auto"/>
        <w:jc w:val="both"/>
        <w:rPr>
          <w:rFonts w:ascii="Times New Roman" w:hAnsi="Times New Roman"/>
          <w:bCs/>
          <w:iCs/>
          <w:sz w:val="24"/>
          <w:szCs w:val="24"/>
          <w:u w:val="single"/>
        </w:rPr>
      </w:pPr>
    </w:p>
    <w:p w14:paraId="7DECCFD0" w14:textId="77777777" w:rsidR="002B16ED" w:rsidRPr="009C493D" w:rsidRDefault="002B16ED" w:rsidP="002B16ED">
      <w:pPr>
        <w:spacing w:after="0" w:line="240" w:lineRule="auto"/>
        <w:jc w:val="both"/>
        <w:rPr>
          <w:rFonts w:ascii="Times New Roman" w:hAnsi="Times New Roman"/>
          <w:bCs/>
          <w:i/>
          <w:iCs/>
          <w:sz w:val="20"/>
          <w:szCs w:val="20"/>
        </w:rPr>
      </w:pPr>
      <w:r w:rsidRPr="009C493D">
        <w:rPr>
          <w:rFonts w:ascii="Times New Roman" w:hAnsi="Times New Roman"/>
          <w:bCs/>
          <w:i/>
          <w:iCs/>
          <w:sz w:val="20"/>
          <w:szCs w:val="20"/>
          <w:u w:val="single"/>
        </w:rPr>
        <w:t>Sources</w:t>
      </w:r>
      <w:r w:rsidRPr="009C493D">
        <w:rPr>
          <w:rFonts w:ascii="Times New Roman" w:hAnsi="Times New Roman"/>
          <w:bCs/>
          <w:i/>
          <w:iCs/>
          <w:sz w:val="20"/>
          <w:szCs w:val="20"/>
        </w:rPr>
        <w:t> : ROARS 2015-2016 ; Rapports de progrès/Rapports d’évaluation des projets ; entretiens Septembre 2017 ; Documents de revue CREDD, Juin 2017</w:t>
      </w:r>
    </w:p>
    <w:p w14:paraId="00ED5734" w14:textId="77777777" w:rsidR="002B16ED" w:rsidRPr="002B16ED" w:rsidRDefault="002B16ED" w:rsidP="002B16ED">
      <w:pPr>
        <w:spacing w:after="0" w:line="240" w:lineRule="auto"/>
        <w:jc w:val="both"/>
        <w:rPr>
          <w:rFonts w:ascii="Times New Roman" w:hAnsi="Times New Roman"/>
          <w:bCs/>
          <w:iCs/>
          <w:sz w:val="24"/>
          <w:szCs w:val="24"/>
        </w:rPr>
      </w:pPr>
    </w:p>
    <w:p w14:paraId="2C370417" w14:textId="77777777" w:rsidR="00171576" w:rsidRPr="006B309F" w:rsidRDefault="00171576" w:rsidP="00B026AE">
      <w:pPr>
        <w:pStyle w:val="Titre4"/>
        <w:numPr>
          <w:ilvl w:val="3"/>
          <w:numId w:val="5"/>
        </w:numPr>
        <w:spacing w:before="0" w:line="240" w:lineRule="auto"/>
        <w:rPr>
          <w:rFonts w:ascii="Times New Roman" w:hAnsi="Times New Roman"/>
          <w:i w:val="0"/>
          <w:color w:val="auto"/>
          <w:sz w:val="24"/>
          <w:szCs w:val="24"/>
        </w:rPr>
      </w:pPr>
      <w:r w:rsidRPr="006B309F">
        <w:rPr>
          <w:rFonts w:ascii="Times New Roman" w:hAnsi="Times New Roman"/>
          <w:i w:val="0"/>
          <w:color w:val="auto"/>
          <w:sz w:val="24"/>
          <w:szCs w:val="24"/>
        </w:rPr>
        <w:lastRenderedPageBreak/>
        <w:t xml:space="preserve">Contributions </w:t>
      </w:r>
      <w:r w:rsidR="002B16ED">
        <w:rPr>
          <w:rFonts w:ascii="Times New Roman" w:hAnsi="Times New Roman"/>
          <w:i w:val="0"/>
          <w:color w:val="auto"/>
          <w:sz w:val="24"/>
          <w:szCs w:val="24"/>
        </w:rPr>
        <w:t xml:space="preserve">du Programme aux Résultats </w:t>
      </w:r>
      <w:r w:rsidR="000031A7">
        <w:rPr>
          <w:rFonts w:ascii="Times New Roman" w:hAnsi="Times New Roman"/>
          <w:i w:val="0"/>
          <w:color w:val="auto"/>
          <w:sz w:val="24"/>
          <w:szCs w:val="24"/>
        </w:rPr>
        <w:t>du</w:t>
      </w:r>
      <w:r w:rsidR="002B16ED">
        <w:rPr>
          <w:rFonts w:ascii="Times New Roman" w:hAnsi="Times New Roman"/>
          <w:i w:val="0"/>
          <w:color w:val="auto"/>
          <w:sz w:val="24"/>
          <w:szCs w:val="24"/>
        </w:rPr>
        <w:t xml:space="preserve"> Mali</w:t>
      </w:r>
      <w:r w:rsidR="000031A7">
        <w:rPr>
          <w:rFonts w:ascii="Times New Roman" w:hAnsi="Times New Roman"/>
          <w:i w:val="0"/>
          <w:color w:val="auto"/>
          <w:sz w:val="24"/>
          <w:szCs w:val="24"/>
        </w:rPr>
        <w:t xml:space="preserve"> dans le domaine</w:t>
      </w:r>
    </w:p>
    <w:p w14:paraId="55A4A18D" w14:textId="77777777" w:rsidR="004A4DFB" w:rsidRPr="002B16ED" w:rsidRDefault="004A4DFB" w:rsidP="00B96F0F">
      <w:pPr>
        <w:spacing w:after="0" w:line="240" w:lineRule="auto"/>
        <w:rPr>
          <w:rFonts w:ascii="Times New Roman" w:hAnsi="Times New Roman"/>
          <w:sz w:val="24"/>
          <w:szCs w:val="24"/>
        </w:rPr>
      </w:pPr>
    </w:p>
    <w:p w14:paraId="27D6703C" w14:textId="77777777" w:rsidR="002B16ED" w:rsidRPr="002B16ED" w:rsidRDefault="00454255" w:rsidP="002B16ED">
      <w:pPr>
        <w:spacing w:after="0" w:line="240" w:lineRule="auto"/>
        <w:rPr>
          <w:rFonts w:ascii="Times New Roman" w:hAnsi="Times New Roman"/>
          <w:sz w:val="24"/>
          <w:szCs w:val="24"/>
        </w:rPr>
      </w:pPr>
      <w:r>
        <w:rPr>
          <w:rFonts w:ascii="Times New Roman" w:hAnsi="Times New Roman"/>
          <w:sz w:val="24"/>
          <w:szCs w:val="24"/>
        </w:rPr>
        <w:t>4</w:t>
      </w:r>
      <w:r w:rsidR="000B5082">
        <w:rPr>
          <w:rFonts w:ascii="Times New Roman" w:hAnsi="Times New Roman"/>
          <w:sz w:val="24"/>
          <w:szCs w:val="24"/>
        </w:rPr>
        <w:t>4</w:t>
      </w:r>
      <w:r>
        <w:rPr>
          <w:rFonts w:ascii="Times New Roman" w:hAnsi="Times New Roman"/>
          <w:sz w:val="24"/>
          <w:szCs w:val="24"/>
        </w:rPr>
        <w:t>.</w:t>
      </w:r>
      <w:r w:rsidR="002B16ED" w:rsidRPr="002B16ED">
        <w:rPr>
          <w:rFonts w:ascii="Times New Roman" w:hAnsi="Times New Roman"/>
          <w:sz w:val="24"/>
          <w:szCs w:val="24"/>
        </w:rPr>
        <w:tab/>
        <w:t xml:space="preserve">Le Résultat 1 est poursuivi </w:t>
      </w:r>
      <w:r w:rsidR="000031A7">
        <w:rPr>
          <w:rFonts w:ascii="Times New Roman" w:hAnsi="Times New Roman"/>
          <w:sz w:val="24"/>
          <w:szCs w:val="24"/>
        </w:rPr>
        <w:t xml:space="preserve">par le programme </w:t>
      </w:r>
      <w:r w:rsidR="002B16ED" w:rsidRPr="002B16ED">
        <w:rPr>
          <w:rFonts w:ascii="Times New Roman" w:hAnsi="Times New Roman"/>
          <w:sz w:val="24"/>
          <w:szCs w:val="24"/>
        </w:rPr>
        <w:t>à travers 3 produits spécifiques</w:t>
      </w:r>
      <w:r w:rsidR="000031A7">
        <w:rPr>
          <w:rFonts w:ascii="Times New Roman" w:hAnsi="Times New Roman"/>
          <w:sz w:val="24"/>
          <w:szCs w:val="24"/>
        </w:rPr>
        <w:t>, qui sont le cadre d’élaboration de ses contributions</w:t>
      </w:r>
      <w:r w:rsidR="002B16ED" w:rsidRPr="002B16ED">
        <w:rPr>
          <w:rFonts w:ascii="Times New Roman" w:hAnsi="Times New Roman"/>
          <w:sz w:val="24"/>
          <w:szCs w:val="24"/>
        </w:rPr>
        <w:t> :</w:t>
      </w:r>
    </w:p>
    <w:p w14:paraId="689C6D09" w14:textId="77777777" w:rsidR="002B16ED" w:rsidRPr="002B16ED" w:rsidRDefault="002B16ED" w:rsidP="002B16ED">
      <w:pPr>
        <w:spacing w:after="0" w:line="240" w:lineRule="auto"/>
        <w:rPr>
          <w:rFonts w:ascii="Times New Roman" w:hAnsi="Times New Roman"/>
          <w:sz w:val="24"/>
          <w:szCs w:val="24"/>
        </w:rPr>
      </w:pPr>
    </w:p>
    <w:p w14:paraId="540FD7CC" w14:textId="77777777" w:rsidR="002B16ED" w:rsidRPr="002B16ED" w:rsidRDefault="002B16ED" w:rsidP="00D76EFA">
      <w:pPr>
        <w:numPr>
          <w:ilvl w:val="0"/>
          <w:numId w:val="64"/>
        </w:numPr>
        <w:spacing w:after="0" w:line="240" w:lineRule="auto"/>
        <w:rPr>
          <w:rFonts w:ascii="Times New Roman" w:hAnsi="Times New Roman"/>
          <w:sz w:val="24"/>
          <w:szCs w:val="24"/>
        </w:rPr>
      </w:pPr>
      <w:r w:rsidRPr="002B16ED">
        <w:rPr>
          <w:rFonts w:ascii="Times New Roman" w:hAnsi="Times New Roman"/>
          <w:sz w:val="24"/>
          <w:szCs w:val="24"/>
        </w:rPr>
        <w:t>Les institutions responsables du processus de réconciliation nationale possèdent les compétences techniques et opérationnelles requises pour favoriser l’amélioration de la cohésion sociale au service d’une paix durable</w:t>
      </w:r>
    </w:p>
    <w:p w14:paraId="7ED68BAA" w14:textId="77777777" w:rsidR="002B16ED" w:rsidRPr="002B16ED" w:rsidRDefault="002B16ED" w:rsidP="00D76EFA">
      <w:pPr>
        <w:numPr>
          <w:ilvl w:val="0"/>
          <w:numId w:val="64"/>
        </w:numPr>
        <w:spacing w:after="0" w:line="240" w:lineRule="auto"/>
        <w:rPr>
          <w:rFonts w:ascii="Times New Roman" w:hAnsi="Times New Roman"/>
          <w:sz w:val="24"/>
          <w:szCs w:val="24"/>
        </w:rPr>
      </w:pPr>
      <w:r w:rsidRPr="002B16ED">
        <w:rPr>
          <w:rFonts w:ascii="Times New Roman" w:hAnsi="Times New Roman"/>
          <w:sz w:val="24"/>
          <w:szCs w:val="24"/>
        </w:rPr>
        <w:t>Les autorités locales et la</w:t>
      </w:r>
      <w:r w:rsidRPr="002B16ED">
        <w:rPr>
          <w:rFonts w:ascii="Times New Roman" w:hAnsi="Times New Roman"/>
          <w:b/>
          <w:sz w:val="24"/>
          <w:szCs w:val="24"/>
        </w:rPr>
        <w:t xml:space="preserve"> </w:t>
      </w:r>
      <w:r w:rsidRPr="002B16ED">
        <w:rPr>
          <w:rFonts w:ascii="Times New Roman" w:hAnsi="Times New Roman"/>
          <w:sz w:val="24"/>
          <w:szCs w:val="24"/>
        </w:rPr>
        <w:t>société civile (les dirigeants traditionnels, les chefs religieux et les organisations de femmes et de jeunes) du nord possèdent les capacités requises pour prévenir et régler les conflits</w:t>
      </w:r>
    </w:p>
    <w:p w14:paraId="07B901CE" w14:textId="77777777" w:rsidR="002B16ED" w:rsidRPr="002B16ED" w:rsidRDefault="002B16ED" w:rsidP="00D76EFA">
      <w:pPr>
        <w:numPr>
          <w:ilvl w:val="0"/>
          <w:numId w:val="64"/>
        </w:numPr>
        <w:spacing w:after="0" w:line="240" w:lineRule="auto"/>
        <w:rPr>
          <w:rFonts w:ascii="Times New Roman" w:hAnsi="Times New Roman"/>
          <w:sz w:val="24"/>
          <w:szCs w:val="24"/>
        </w:rPr>
      </w:pPr>
      <w:r w:rsidRPr="002B16ED">
        <w:rPr>
          <w:rFonts w:ascii="Times New Roman" w:hAnsi="Times New Roman"/>
          <w:sz w:val="24"/>
          <w:szCs w:val="24"/>
        </w:rPr>
        <w:t>La réintégration et la réadaptation des personnes déplacées à l’intérieur du pays sont garanties grâce à la mise en œuvre effective d’une stratégie de solutions durables</w:t>
      </w:r>
    </w:p>
    <w:p w14:paraId="5F86F7DA" w14:textId="77777777" w:rsidR="002B16ED" w:rsidRPr="002B16ED" w:rsidRDefault="002B16ED" w:rsidP="002B16ED">
      <w:pPr>
        <w:spacing w:after="0" w:line="240" w:lineRule="auto"/>
        <w:rPr>
          <w:rFonts w:ascii="Times New Roman" w:hAnsi="Times New Roman"/>
          <w:sz w:val="24"/>
          <w:szCs w:val="24"/>
        </w:rPr>
      </w:pPr>
    </w:p>
    <w:p w14:paraId="57DF52FD" w14:textId="77777777" w:rsidR="002B16ED" w:rsidRPr="002B16ED" w:rsidRDefault="00454255" w:rsidP="000031A7">
      <w:pPr>
        <w:spacing w:after="0" w:line="240" w:lineRule="auto"/>
        <w:jc w:val="both"/>
        <w:rPr>
          <w:rFonts w:ascii="Times New Roman" w:hAnsi="Times New Roman"/>
          <w:sz w:val="24"/>
          <w:szCs w:val="24"/>
        </w:rPr>
      </w:pPr>
      <w:r>
        <w:rPr>
          <w:rFonts w:ascii="Times New Roman" w:hAnsi="Times New Roman"/>
          <w:sz w:val="24"/>
          <w:szCs w:val="24"/>
        </w:rPr>
        <w:t>4</w:t>
      </w:r>
      <w:r w:rsidR="000B5082">
        <w:rPr>
          <w:rFonts w:ascii="Times New Roman" w:hAnsi="Times New Roman"/>
          <w:sz w:val="24"/>
          <w:szCs w:val="24"/>
        </w:rPr>
        <w:t>5</w:t>
      </w:r>
      <w:r>
        <w:rPr>
          <w:rFonts w:ascii="Times New Roman" w:hAnsi="Times New Roman"/>
          <w:sz w:val="24"/>
          <w:szCs w:val="24"/>
        </w:rPr>
        <w:t>.</w:t>
      </w:r>
      <w:r w:rsidR="002B16ED" w:rsidRPr="002B16ED">
        <w:rPr>
          <w:rFonts w:ascii="Times New Roman" w:hAnsi="Times New Roman"/>
          <w:sz w:val="24"/>
          <w:szCs w:val="24"/>
        </w:rPr>
        <w:tab/>
        <w:t>Au titre du Produit 1, le programme a à son actif des livraisons à contenu social économique ayant forcément une résonnance positive sur la réconciliation nationale. Le redéploiement des services judiciaires et de l’administration territoire est un levier de stabilisation sociale : 44 infrastructures judiciaires construites/réhabilitées : Préfectures, sous-préfectures, région Nord et Mopti. Parallèlement à ce redéploiement, de nombreuses initiatives en faveur des infrastructures communautaires et de l’emploi ont bénéficié à plusieurs dizaines de milliers de personnes, notamment dans les régions du Nord et du Centre : 5 initiatives communautaires de microprojets développement entre l’administration et les populations à Mopti ; 3 forages équipés : Tombouctou, Mopti et Kidal ; des travaux HIMO de surcreusement de chenaux pour irrigation des périmètres pour la riziculture et le maraichage, permettant à Tombouctou 7500 AGR pour les femmes et 10 500 emplois temporaires, pour les jeunes, en plus de 6500 micro exploitation au bénéfice de producteurs de céréales ; des infrastructures de maîtrise d’eau (système Faguibine, notamment), accompagnées de distribution semences ont également contribué à améliorer la résilience de 10 000 producteurs dont 40% de femmes.</w:t>
      </w:r>
    </w:p>
    <w:p w14:paraId="2D7FAA39" w14:textId="77777777" w:rsidR="002B16ED" w:rsidRPr="002B16ED" w:rsidRDefault="002B16ED" w:rsidP="002B16ED">
      <w:pPr>
        <w:spacing w:after="0" w:line="240" w:lineRule="auto"/>
        <w:rPr>
          <w:rFonts w:ascii="Times New Roman" w:hAnsi="Times New Roman"/>
          <w:sz w:val="24"/>
          <w:szCs w:val="24"/>
        </w:rPr>
      </w:pPr>
    </w:p>
    <w:p w14:paraId="15B21F48" w14:textId="77777777" w:rsidR="002B16ED" w:rsidRPr="002B16ED" w:rsidRDefault="002B16ED" w:rsidP="002B16ED">
      <w:pPr>
        <w:spacing w:after="0" w:line="240" w:lineRule="auto"/>
        <w:rPr>
          <w:rFonts w:ascii="Times New Roman" w:hAnsi="Times New Roman"/>
          <w:sz w:val="24"/>
          <w:szCs w:val="24"/>
        </w:rPr>
      </w:pPr>
    </w:p>
    <w:p w14:paraId="6D66C713" w14:textId="77777777" w:rsidR="002B16ED" w:rsidRPr="002B16ED" w:rsidRDefault="00454255" w:rsidP="000031A7">
      <w:pPr>
        <w:spacing w:after="0" w:line="240" w:lineRule="auto"/>
        <w:jc w:val="both"/>
        <w:rPr>
          <w:rFonts w:ascii="Times New Roman" w:hAnsi="Times New Roman"/>
          <w:sz w:val="24"/>
          <w:szCs w:val="24"/>
        </w:rPr>
      </w:pPr>
      <w:r>
        <w:rPr>
          <w:rFonts w:ascii="Times New Roman" w:hAnsi="Times New Roman"/>
          <w:sz w:val="24"/>
          <w:szCs w:val="24"/>
        </w:rPr>
        <w:t>4</w:t>
      </w:r>
      <w:r w:rsidR="000B5082">
        <w:rPr>
          <w:rFonts w:ascii="Times New Roman" w:hAnsi="Times New Roman"/>
          <w:sz w:val="24"/>
          <w:szCs w:val="24"/>
        </w:rPr>
        <w:t>6</w:t>
      </w:r>
      <w:r>
        <w:rPr>
          <w:rFonts w:ascii="Times New Roman" w:hAnsi="Times New Roman"/>
          <w:sz w:val="24"/>
          <w:szCs w:val="24"/>
        </w:rPr>
        <w:t>.</w:t>
      </w:r>
      <w:r w:rsidR="002B16ED" w:rsidRPr="002B16ED">
        <w:rPr>
          <w:rFonts w:ascii="Times New Roman" w:hAnsi="Times New Roman"/>
          <w:sz w:val="24"/>
          <w:szCs w:val="24"/>
        </w:rPr>
        <w:tab/>
        <w:t>Au titre du Produit 2, le programme a développé une action soutenue d’information, d’éducation et de communication sociale sur la prévention et la gestion des conflits, comme leviers de promotion de la cohésion nationale : 70 volontaires de la paix dont 17 femmes soit 24 % recrutés et formés en prévention, gestion et médiation des conflits ; 537 personnes dont 294 soit 54% de femmes par lesdits volontaires : 200 leaders communautaires (dont 64 femmes) formés : responsables d'OCB, chefs religieux, coutumiers et traditionnels (100% de la cible du CPD) : 5358 personnes dont 3438 femmes soit 64%  sensibilisées sur cohésion sociale dans 10 communes cibles ;  150 femmes bénéficiaires d’AGR d’autonomisation : communes de  Bourem (Gao), Ménaka et Taoudénit ; Rencontres intercommunautaires et reprise des activités scolaires dans 40 villages. S’ajoute à ce train de réalisations, l’installation effective et le démarrage des activités de la Commission Vérité Justice et Réconciliation (CVJR), que le programme appuie dans le cadre de la promotion d’une justice transitionnelle. Enfin, la dimension économique étant toujours un moyen de cimenter les acquis de paix, 100 jeunes dont 34 filles ont bénéficié d’emplois HIMO, dans ce cadre, ainsi que 50 jeunes dont 22 filles qui ont été parallèlement formés en coupe couture, mécanique auto et électricité bâtiment.</w:t>
      </w:r>
    </w:p>
    <w:p w14:paraId="1AF00D67" w14:textId="77777777" w:rsidR="002B16ED" w:rsidRPr="002B16ED" w:rsidRDefault="002B16ED" w:rsidP="002B16ED">
      <w:pPr>
        <w:spacing w:after="0" w:line="240" w:lineRule="auto"/>
        <w:rPr>
          <w:rFonts w:ascii="Times New Roman" w:hAnsi="Times New Roman"/>
          <w:sz w:val="24"/>
          <w:szCs w:val="24"/>
        </w:rPr>
      </w:pPr>
    </w:p>
    <w:p w14:paraId="063EF8AC" w14:textId="77777777" w:rsidR="002B16ED" w:rsidRPr="002B16ED" w:rsidRDefault="00454255" w:rsidP="002B16ED">
      <w:pPr>
        <w:spacing w:after="0" w:line="240" w:lineRule="auto"/>
        <w:rPr>
          <w:rFonts w:ascii="Times New Roman" w:hAnsi="Times New Roman"/>
          <w:sz w:val="24"/>
          <w:szCs w:val="24"/>
        </w:rPr>
      </w:pPr>
      <w:r>
        <w:rPr>
          <w:rFonts w:ascii="Times New Roman" w:hAnsi="Times New Roman"/>
          <w:sz w:val="24"/>
          <w:szCs w:val="24"/>
        </w:rPr>
        <w:t>4</w:t>
      </w:r>
      <w:r w:rsidR="000B5082">
        <w:rPr>
          <w:rFonts w:ascii="Times New Roman" w:hAnsi="Times New Roman"/>
          <w:sz w:val="24"/>
          <w:szCs w:val="24"/>
        </w:rPr>
        <w:t>7</w:t>
      </w:r>
      <w:r>
        <w:rPr>
          <w:rFonts w:ascii="Times New Roman" w:hAnsi="Times New Roman"/>
          <w:sz w:val="24"/>
          <w:szCs w:val="24"/>
        </w:rPr>
        <w:t>.</w:t>
      </w:r>
      <w:r w:rsidR="002B16ED" w:rsidRPr="002B16ED">
        <w:rPr>
          <w:rFonts w:ascii="Times New Roman" w:hAnsi="Times New Roman"/>
          <w:sz w:val="24"/>
          <w:szCs w:val="24"/>
        </w:rPr>
        <w:tab/>
        <w:t>Au titre du Produit 3, le programme n’a pas enregistré de réalisations spécifiquement dédiées : le projet qui devait prendre en charge ce volet n’a plus été mis en œuvre.</w:t>
      </w:r>
      <w:r w:rsidR="002B16ED" w:rsidRPr="002B16ED">
        <w:rPr>
          <w:rFonts w:ascii="Times New Roman" w:hAnsi="Times New Roman"/>
          <w:vanish/>
          <w:sz w:val="24"/>
          <w:szCs w:val="24"/>
        </w:rPr>
        <w:t xml:space="preserve">vrée rang [E04].t reste faible </w:t>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r w:rsidR="002B16ED" w:rsidRPr="002B16ED">
        <w:rPr>
          <w:rFonts w:ascii="Times New Roman" w:hAnsi="Times New Roman"/>
          <w:vanish/>
          <w:sz w:val="24"/>
          <w:szCs w:val="24"/>
        </w:rPr>
        <w:pgNum/>
      </w:r>
    </w:p>
    <w:p w14:paraId="38D68034" w14:textId="77777777" w:rsidR="005E0CC4" w:rsidRDefault="005E0CC4" w:rsidP="005E0CC4">
      <w:pPr>
        <w:pStyle w:val="Titre1"/>
        <w:spacing w:before="0" w:line="240" w:lineRule="auto"/>
        <w:rPr>
          <w:rFonts w:ascii="Times New Roman" w:hAnsi="Times New Roman"/>
          <w:color w:val="auto"/>
          <w:sz w:val="24"/>
          <w:szCs w:val="24"/>
        </w:rPr>
      </w:pPr>
    </w:p>
    <w:p w14:paraId="18011AB1" w14:textId="77777777" w:rsidR="005E0CC4" w:rsidRPr="000442E1" w:rsidRDefault="005E0CC4" w:rsidP="005E0CC4">
      <w:pPr>
        <w:pStyle w:val="Titre1"/>
        <w:spacing w:before="0" w:line="240" w:lineRule="auto"/>
        <w:rPr>
          <w:rFonts w:ascii="Times New Roman" w:hAnsi="Times New Roman"/>
          <w:color w:val="auto"/>
          <w:sz w:val="24"/>
          <w:szCs w:val="24"/>
        </w:rPr>
      </w:pPr>
      <w:bookmarkStart w:id="113" w:name="_Toc499211610"/>
      <w:bookmarkStart w:id="114" w:name="_Toc499213883"/>
      <w:r w:rsidRPr="000442E1">
        <w:rPr>
          <w:rFonts w:ascii="Times New Roman" w:hAnsi="Times New Roman"/>
          <w:color w:val="auto"/>
          <w:sz w:val="24"/>
          <w:szCs w:val="24"/>
        </w:rPr>
        <w:t xml:space="preserve">Tableau </w:t>
      </w:r>
      <w:r>
        <w:rPr>
          <w:rFonts w:ascii="Times New Roman" w:hAnsi="Times New Roman"/>
          <w:color w:val="auto"/>
          <w:sz w:val="24"/>
          <w:szCs w:val="24"/>
        </w:rPr>
        <w:t>7</w:t>
      </w:r>
      <w:r w:rsidRPr="000442E1">
        <w:rPr>
          <w:rFonts w:ascii="Times New Roman" w:hAnsi="Times New Roman"/>
          <w:color w:val="auto"/>
          <w:sz w:val="24"/>
          <w:szCs w:val="24"/>
        </w:rPr>
        <w:t> : C</w:t>
      </w:r>
      <w:r>
        <w:rPr>
          <w:rFonts w:ascii="Times New Roman" w:hAnsi="Times New Roman"/>
          <w:color w:val="auto"/>
          <w:sz w:val="24"/>
          <w:szCs w:val="24"/>
        </w:rPr>
        <w:t>ontribution du Programme à l’Effet 1</w:t>
      </w:r>
      <w:bookmarkEnd w:id="113"/>
      <w:bookmarkEnd w:id="114"/>
    </w:p>
    <w:p w14:paraId="7D69BCEF" w14:textId="77777777" w:rsidR="002B16ED" w:rsidRPr="002B16ED" w:rsidRDefault="002B16ED" w:rsidP="002B16ED">
      <w:pPr>
        <w:spacing w:after="0" w:line="240" w:lineRule="auto"/>
        <w:rPr>
          <w:rFonts w:ascii="Times New Roman" w:hAnsi="Times New Roman"/>
          <w:sz w:val="24"/>
          <w:szCs w:val="24"/>
        </w:rPr>
      </w:pPr>
    </w:p>
    <w:tbl>
      <w:tblPr>
        <w:tblpPr w:leftFromText="141" w:rightFromText="141" w:vertAnchor="text" w:horzAnchor="margin" w:tblpXSpec="center" w:tblpY="40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3372"/>
        <w:gridCol w:w="3948"/>
        <w:gridCol w:w="583"/>
        <w:gridCol w:w="518"/>
        <w:gridCol w:w="518"/>
      </w:tblGrid>
      <w:tr w:rsidR="002B16ED" w:rsidRPr="002B16ED" w14:paraId="03141029" w14:textId="77777777" w:rsidTr="00414C56">
        <w:tc>
          <w:tcPr>
            <w:tcW w:w="10740" w:type="dxa"/>
            <w:gridSpan w:val="6"/>
            <w:shd w:val="clear" w:color="auto" w:fill="D9D9D9" w:themeFill="background1" w:themeFillShade="D9"/>
            <w:vAlign w:val="center"/>
          </w:tcPr>
          <w:p w14:paraId="5C820559" w14:textId="77777777" w:rsidR="002B16ED" w:rsidRPr="002B16ED" w:rsidRDefault="002B16ED" w:rsidP="002B16ED">
            <w:pPr>
              <w:spacing w:after="0" w:line="240" w:lineRule="auto"/>
              <w:jc w:val="center"/>
              <w:rPr>
                <w:rFonts w:ascii="Times New Roman" w:hAnsi="Times New Roman"/>
                <w:b/>
                <w:sz w:val="20"/>
                <w:szCs w:val="20"/>
              </w:rPr>
            </w:pPr>
            <w:r w:rsidRPr="002B16ED">
              <w:rPr>
                <w:rFonts w:ascii="Times New Roman" w:hAnsi="Times New Roman"/>
                <w:b/>
                <w:sz w:val="20"/>
                <w:szCs w:val="20"/>
              </w:rPr>
              <w:t>PRODUITS</w:t>
            </w:r>
          </w:p>
        </w:tc>
      </w:tr>
      <w:tr w:rsidR="002B16ED" w:rsidRPr="002B16ED" w14:paraId="3CBCB1B7" w14:textId="77777777" w:rsidTr="00414C56">
        <w:tc>
          <w:tcPr>
            <w:tcW w:w="1809" w:type="dxa"/>
            <w:vMerge w:val="restart"/>
            <w:shd w:val="clear" w:color="auto" w:fill="F2F2F2" w:themeFill="background1" w:themeFillShade="F2"/>
            <w:vAlign w:val="center"/>
          </w:tcPr>
          <w:p w14:paraId="33BCACCB" w14:textId="77777777" w:rsidR="002B16ED" w:rsidRPr="002B16ED" w:rsidRDefault="002B16ED" w:rsidP="002B16ED">
            <w:pPr>
              <w:spacing w:after="0" w:line="240" w:lineRule="auto"/>
              <w:rPr>
                <w:rFonts w:ascii="Times New Roman" w:hAnsi="Times New Roman"/>
                <w:b/>
                <w:sz w:val="20"/>
                <w:szCs w:val="20"/>
              </w:rPr>
            </w:pPr>
            <w:r w:rsidRPr="002B16ED">
              <w:rPr>
                <w:rFonts w:ascii="Times New Roman" w:hAnsi="Times New Roman"/>
                <w:b/>
                <w:sz w:val="20"/>
                <w:szCs w:val="20"/>
              </w:rPr>
              <w:t>Libellés</w:t>
            </w:r>
          </w:p>
        </w:tc>
        <w:tc>
          <w:tcPr>
            <w:tcW w:w="3402" w:type="dxa"/>
            <w:vMerge w:val="restart"/>
            <w:shd w:val="clear" w:color="auto" w:fill="F2F2F2" w:themeFill="background1" w:themeFillShade="F2"/>
            <w:vAlign w:val="center"/>
          </w:tcPr>
          <w:p w14:paraId="683DAE8E" w14:textId="77777777" w:rsidR="002B16ED" w:rsidRPr="002B16ED" w:rsidRDefault="002B16ED" w:rsidP="002B16ED">
            <w:pPr>
              <w:spacing w:after="0" w:line="240" w:lineRule="auto"/>
              <w:rPr>
                <w:rFonts w:ascii="Times New Roman" w:hAnsi="Times New Roman"/>
                <w:b/>
                <w:sz w:val="20"/>
                <w:szCs w:val="20"/>
              </w:rPr>
            </w:pPr>
            <w:r w:rsidRPr="002B16ED">
              <w:rPr>
                <w:rFonts w:ascii="Times New Roman" w:hAnsi="Times New Roman"/>
                <w:b/>
                <w:sz w:val="20"/>
                <w:szCs w:val="20"/>
              </w:rPr>
              <w:t>Programmation</w:t>
            </w:r>
          </w:p>
        </w:tc>
        <w:tc>
          <w:tcPr>
            <w:tcW w:w="5529" w:type="dxa"/>
            <w:gridSpan w:val="4"/>
            <w:shd w:val="clear" w:color="auto" w:fill="F2F2F2" w:themeFill="background1" w:themeFillShade="F2"/>
            <w:vAlign w:val="center"/>
          </w:tcPr>
          <w:p w14:paraId="215E6105" w14:textId="77777777" w:rsidR="002B16ED" w:rsidRPr="002B16ED" w:rsidRDefault="002B16ED" w:rsidP="002B16ED">
            <w:pPr>
              <w:spacing w:after="0" w:line="240" w:lineRule="auto"/>
              <w:jc w:val="center"/>
              <w:rPr>
                <w:rFonts w:ascii="Times New Roman" w:hAnsi="Times New Roman"/>
                <w:b/>
                <w:sz w:val="20"/>
                <w:szCs w:val="20"/>
              </w:rPr>
            </w:pPr>
            <w:r w:rsidRPr="002B16ED">
              <w:rPr>
                <w:rFonts w:ascii="Times New Roman" w:hAnsi="Times New Roman"/>
                <w:b/>
                <w:sz w:val="20"/>
                <w:szCs w:val="20"/>
              </w:rPr>
              <w:t>Exécution</w:t>
            </w:r>
          </w:p>
        </w:tc>
      </w:tr>
      <w:tr w:rsidR="002B16ED" w:rsidRPr="002B16ED" w14:paraId="67134CA8" w14:textId="77777777" w:rsidTr="00414C56">
        <w:tc>
          <w:tcPr>
            <w:tcW w:w="1809" w:type="dxa"/>
            <w:vMerge/>
            <w:shd w:val="clear" w:color="auto" w:fill="F2F2F2" w:themeFill="background1" w:themeFillShade="F2"/>
            <w:vAlign w:val="center"/>
          </w:tcPr>
          <w:p w14:paraId="2DFA9C76" w14:textId="77777777" w:rsidR="002B16ED" w:rsidRPr="002B16ED" w:rsidRDefault="002B16ED" w:rsidP="002B16ED">
            <w:pPr>
              <w:spacing w:after="0" w:line="240" w:lineRule="auto"/>
              <w:rPr>
                <w:rFonts w:ascii="Times New Roman" w:hAnsi="Times New Roman"/>
                <w:b/>
                <w:sz w:val="20"/>
                <w:szCs w:val="20"/>
              </w:rPr>
            </w:pPr>
          </w:p>
        </w:tc>
        <w:tc>
          <w:tcPr>
            <w:tcW w:w="3402" w:type="dxa"/>
            <w:vMerge/>
            <w:shd w:val="clear" w:color="auto" w:fill="F2F2F2" w:themeFill="background1" w:themeFillShade="F2"/>
            <w:vAlign w:val="center"/>
          </w:tcPr>
          <w:p w14:paraId="025132B0" w14:textId="77777777" w:rsidR="002B16ED" w:rsidRPr="002B16ED" w:rsidRDefault="002B16ED" w:rsidP="002B16ED">
            <w:pPr>
              <w:spacing w:after="0" w:line="240" w:lineRule="auto"/>
              <w:rPr>
                <w:rFonts w:ascii="Times New Roman" w:hAnsi="Times New Roman"/>
                <w:b/>
                <w:sz w:val="20"/>
                <w:szCs w:val="20"/>
              </w:rPr>
            </w:pPr>
          </w:p>
        </w:tc>
        <w:tc>
          <w:tcPr>
            <w:tcW w:w="3969" w:type="dxa"/>
            <w:vMerge w:val="restart"/>
            <w:shd w:val="clear" w:color="auto" w:fill="F2F2F2" w:themeFill="background1" w:themeFillShade="F2"/>
            <w:vAlign w:val="center"/>
          </w:tcPr>
          <w:p w14:paraId="001238EC" w14:textId="77777777" w:rsidR="002B16ED" w:rsidRPr="002B16ED" w:rsidRDefault="002B16ED" w:rsidP="002B16ED">
            <w:pPr>
              <w:spacing w:after="0" w:line="240" w:lineRule="auto"/>
              <w:rPr>
                <w:rFonts w:ascii="Times New Roman" w:hAnsi="Times New Roman"/>
                <w:b/>
                <w:sz w:val="20"/>
                <w:szCs w:val="20"/>
              </w:rPr>
            </w:pPr>
            <w:r w:rsidRPr="002B16ED">
              <w:rPr>
                <w:rFonts w:ascii="Times New Roman" w:hAnsi="Times New Roman"/>
                <w:b/>
                <w:sz w:val="20"/>
                <w:szCs w:val="20"/>
              </w:rPr>
              <w:t>Réalisations/Livraisons</w:t>
            </w:r>
          </w:p>
        </w:tc>
        <w:tc>
          <w:tcPr>
            <w:tcW w:w="1560" w:type="dxa"/>
            <w:gridSpan w:val="3"/>
            <w:shd w:val="clear" w:color="auto" w:fill="F2F2F2" w:themeFill="background1" w:themeFillShade="F2"/>
            <w:vAlign w:val="center"/>
          </w:tcPr>
          <w:p w14:paraId="561E64F1" w14:textId="77777777" w:rsidR="002B16ED" w:rsidRPr="002B16ED" w:rsidRDefault="002B16ED" w:rsidP="002B16ED">
            <w:pPr>
              <w:spacing w:after="0" w:line="240" w:lineRule="auto"/>
              <w:rPr>
                <w:rFonts w:ascii="Times New Roman" w:hAnsi="Times New Roman"/>
                <w:b/>
                <w:sz w:val="20"/>
                <w:szCs w:val="20"/>
              </w:rPr>
            </w:pPr>
            <w:r w:rsidRPr="002B16ED">
              <w:rPr>
                <w:rFonts w:ascii="Times New Roman" w:hAnsi="Times New Roman"/>
                <w:b/>
                <w:sz w:val="20"/>
                <w:szCs w:val="20"/>
              </w:rPr>
              <w:t>Rating</w:t>
            </w:r>
          </w:p>
        </w:tc>
      </w:tr>
      <w:tr w:rsidR="002B16ED" w:rsidRPr="002B16ED" w14:paraId="423E9056" w14:textId="77777777" w:rsidTr="00414C56">
        <w:trPr>
          <w:trHeight w:val="370"/>
        </w:trPr>
        <w:tc>
          <w:tcPr>
            <w:tcW w:w="1809" w:type="dxa"/>
            <w:vMerge/>
            <w:shd w:val="clear" w:color="auto" w:fill="F2F2F2" w:themeFill="background1" w:themeFillShade="F2"/>
            <w:vAlign w:val="center"/>
          </w:tcPr>
          <w:p w14:paraId="6A70B381" w14:textId="77777777" w:rsidR="002B16ED" w:rsidRPr="002B16ED" w:rsidRDefault="002B16ED" w:rsidP="002B16ED">
            <w:pPr>
              <w:spacing w:after="0" w:line="240" w:lineRule="auto"/>
              <w:rPr>
                <w:rFonts w:ascii="Times New Roman" w:hAnsi="Times New Roman"/>
                <w:b/>
                <w:sz w:val="20"/>
                <w:szCs w:val="20"/>
              </w:rPr>
            </w:pPr>
          </w:p>
        </w:tc>
        <w:tc>
          <w:tcPr>
            <w:tcW w:w="3402" w:type="dxa"/>
            <w:vMerge/>
            <w:shd w:val="clear" w:color="auto" w:fill="F2F2F2" w:themeFill="background1" w:themeFillShade="F2"/>
            <w:vAlign w:val="center"/>
          </w:tcPr>
          <w:p w14:paraId="00A339FA" w14:textId="77777777" w:rsidR="002B16ED" w:rsidRPr="002B16ED" w:rsidRDefault="002B16ED" w:rsidP="002B16ED">
            <w:pPr>
              <w:spacing w:after="0" w:line="240" w:lineRule="auto"/>
              <w:rPr>
                <w:rFonts w:ascii="Times New Roman" w:hAnsi="Times New Roman"/>
                <w:b/>
                <w:sz w:val="20"/>
                <w:szCs w:val="20"/>
              </w:rPr>
            </w:pPr>
          </w:p>
        </w:tc>
        <w:tc>
          <w:tcPr>
            <w:tcW w:w="3969" w:type="dxa"/>
            <w:vMerge/>
            <w:shd w:val="clear" w:color="auto" w:fill="F2F2F2" w:themeFill="background1" w:themeFillShade="F2"/>
            <w:vAlign w:val="center"/>
          </w:tcPr>
          <w:p w14:paraId="10F3E4B2" w14:textId="77777777" w:rsidR="002B16ED" w:rsidRPr="002B16ED" w:rsidRDefault="002B16ED" w:rsidP="002B16ED">
            <w:pPr>
              <w:spacing w:after="0" w:line="240" w:lineRule="auto"/>
              <w:rPr>
                <w:rFonts w:ascii="Times New Roman" w:hAnsi="Times New Roman"/>
                <w:b/>
                <w:sz w:val="20"/>
                <w:szCs w:val="20"/>
              </w:rPr>
            </w:pPr>
          </w:p>
        </w:tc>
        <w:tc>
          <w:tcPr>
            <w:tcW w:w="520" w:type="dxa"/>
            <w:shd w:val="clear" w:color="auto" w:fill="F2F2F2" w:themeFill="background1" w:themeFillShade="F2"/>
            <w:vAlign w:val="center"/>
          </w:tcPr>
          <w:p w14:paraId="77992EF8" w14:textId="77777777" w:rsidR="002B16ED" w:rsidRPr="002B16ED" w:rsidRDefault="002B16ED" w:rsidP="002B16ED">
            <w:pPr>
              <w:spacing w:after="0" w:line="240" w:lineRule="auto"/>
              <w:rPr>
                <w:rFonts w:ascii="Times New Roman" w:hAnsi="Times New Roman"/>
                <w:b/>
                <w:sz w:val="20"/>
                <w:szCs w:val="20"/>
              </w:rPr>
            </w:pPr>
            <w:r w:rsidRPr="002B16ED">
              <w:rPr>
                <w:rFonts w:ascii="Times New Roman" w:hAnsi="Times New Roman"/>
                <w:b/>
                <w:sz w:val="20"/>
                <w:szCs w:val="20"/>
              </w:rPr>
              <w:t>E</w:t>
            </w:r>
          </w:p>
        </w:tc>
        <w:tc>
          <w:tcPr>
            <w:tcW w:w="520" w:type="dxa"/>
            <w:shd w:val="clear" w:color="auto" w:fill="F2F2F2" w:themeFill="background1" w:themeFillShade="F2"/>
            <w:vAlign w:val="center"/>
          </w:tcPr>
          <w:p w14:paraId="4AABCF2D" w14:textId="77777777" w:rsidR="002B16ED" w:rsidRPr="002B16ED" w:rsidRDefault="002B16ED" w:rsidP="002B16ED">
            <w:pPr>
              <w:spacing w:after="0" w:line="240" w:lineRule="auto"/>
              <w:rPr>
                <w:rFonts w:ascii="Times New Roman" w:hAnsi="Times New Roman"/>
                <w:b/>
                <w:sz w:val="20"/>
                <w:szCs w:val="20"/>
              </w:rPr>
            </w:pPr>
            <w:r w:rsidRPr="002B16ED">
              <w:rPr>
                <w:rFonts w:ascii="Times New Roman" w:hAnsi="Times New Roman"/>
                <w:b/>
                <w:sz w:val="20"/>
                <w:szCs w:val="20"/>
              </w:rPr>
              <w:t>M</w:t>
            </w:r>
          </w:p>
        </w:tc>
        <w:tc>
          <w:tcPr>
            <w:tcW w:w="520" w:type="dxa"/>
            <w:shd w:val="clear" w:color="auto" w:fill="F2F2F2" w:themeFill="background1" w:themeFillShade="F2"/>
            <w:vAlign w:val="center"/>
          </w:tcPr>
          <w:p w14:paraId="3C37C2F2" w14:textId="77777777" w:rsidR="002B16ED" w:rsidRPr="002B16ED" w:rsidRDefault="002B16ED" w:rsidP="002B16ED">
            <w:pPr>
              <w:spacing w:after="0" w:line="240" w:lineRule="auto"/>
              <w:rPr>
                <w:rFonts w:ascii="Times New Roman" w:hAnsi="Times New Roman"/>
                <w:b/>
                <w:sz w:val="20"/>
                <w:szCs w:val="20"/>
              </w:rPr>
            </w:pPr>
            <w:r w:rsidRPr="002B16ED">
              <w:rPr>
                <w:rFonts w:ascii="Times New Roman" w:hAnsi="Times New Roman"/>
                <w:b/>
                <w:sz w:val="20"/>
                <w:szCs w:val="20"/>
              </w:rPr>
              <w:t>F-N</w:t>
            </w:r>
          </w:p>
        </w:tc>
      </w:tr>
      <w:tr w:rsidR="002B16ED" w:rsidRPr="002B16ED" w14:paraId="3BD95C4B" w14:textId="77777777" w:rsidTr="00414C56">
        <w:tc>
          <w:tcPr>
            <w:tcW w:w="1809" w:type="dxa"/>
            <w:shd w:val="clear" w:color="auto" w:fill="F2F2F2" w:themeFill="background1" w:themeFillShade="F2"/>
            <w:vAlign w:val="center"/>
          </w:tcPr>
          <w:p w14:paraId="75340596" w14:textId="77777777" w:rsidR="002B16ED" w:rsidRPr="002B16ED" w:rsidRDefault="002B16ED" w:rsidP="002B16ED">
            <w:pPr>
              <w:spacing w:after="0" w:line="240" w:lineRule="auto"/>
              <w:rPr>
                <w:rFonts w:ascii="Times New Roman" w:hAnsi="Times New Roman"/>
                <w:sz w:val="20"/>
                <w:szCs w:val="20"/>
              </w:rPr>
            </w:pPr>
            <w:r w:rsidRPr="002B16ED">
              <w:rPr>
                <w:rFonts w:ascii="Times New Roman" w:hAnsi="Times New Roman"/>
                <w:sz w:val="20"/>
                <w:szCs w:val="20"/>
              </w:rPr>
              <w:t>Les institutions responsables du processus de réconciliation nationale possèdent les compétences techniques et opérationnelles requises pour favoriser l’amélioration de la cohésion sociale au service d’une paix durable</w:t>
            </w:r>
          </w:p>
        </w:tc>
        <w:tc>
          <w:tcPr>
            <w:tcW w:w="3402" w:type="dxa"/>
            <w:shd w:val="clear" w:color="auto" w:fill="auto"/>
            <w:vAlign w:val="center"/>
          </w:tcPr>
          <w:p w14:paraId="67C73D3B" w14:textId="77777777" w:rsidR="002B16ED" w:rsidRPr="002B16ED" w:rsidRDefault="002B16ED" w:rsidP="002B16ED">
            <w:pPr>
              <w:spacing w:after="0" w:line="240" w:lineRule="auto"/>
              <w:rPr>
                <w:rFonts w:ascii="Times New Roman" w:hAnsi="Times New Roman"/>
                <w:sz w:val="20"/>
                <w:szCs w:val="20"/>
              </w:rPr>
            </w:pPr>
            <w:r w:rsidRPr="002B16ED">
              <w:rPr>
                <w:rFonts w:ascii="Times New Roman" w:hAnsi="Times New Roman"/>
                <w:sz w:val="20"/>
                <w:szCs w:val="20"/>
              </w:rPr>
              <w:t>Degré de mise en œuvre de</w:t>
            </w:r>
            <w:r w:rsidRPr="002B16ED">
              <w:rPr>
                <w:rFonts w:ascii="Times New Roman" w:hAnsi="Times New Roman"/>
                <w:b/>
                <w:i/>
                <w:sz w:val="20"/>
                <w:szCs w:val="20"/>
              </w:rPr>
              <w:t xml:space="preserve"> </w:t>
            </w:r>
            <w:r w:rsidRPr="002B16ED">
              <w:rPr>
                <w:rFonts w:ascii="Times New Roman" w:hAnsi="Times New Roman"/>
                <w:sz w:val="20"/>
                <w:szCs w:val="20"/>
              </w:rPr>
              <w:t>la stratégie de réconciliation nationale</w:t>
            </w:r>
            <w:r w:rsidR="0047103B">
              <w:rPr>
                <w:rFonts w:ascii="Times New Roman" w:hAnsi="Times New Roman"/>
                <w:sz w:val="20"/>
                <w:szCs w:val="20"/>
              </w:rPr>
              <w:t xml:space="preserve"> (SRN)</w:t>
            </w:r>
          </w:p>
          <w:p w14:paraId="6184F672" w14:textId="77777777" w:rsidR="002B16ED" w:rsidRPr="002B16ED" w:rsidRDefault="002B16ED" w:rsidP="00D76EFA">
            <w:pPr>
              <w:numPr>
                <w:ilvl w:val="0"/>
                <w:numId w:val="42"/>
              </w:numPr>
              <w:spacing w:after="0" w:line="240" w:lineRule="auto"/>
              <w:rPr>
                <w:rFonts w:ascii="Times New Roman" w:hAnsi="Times New Roman"/>
                <w:sz w:val="20"/>
                <w:szCs w:val="20"/>
              </w:rPr>
            </w:pPr>
            <w:r w:rsidRPr="002B16ED">
              <w:rPr>
                <w:rFonts w:ascii="Times New Roman" w:hAnsi="Times New Roman"/>
                <w:sz w:val="20"/>
                <w:szCs w:val="20"/>
              </w:rPr>
              <w:t>Réf : 0%</w:t>
            </w:r>
          </w:p>
          <w:p w14:paraId="44EF507A" w14:textId="77777777" w:rsidR="002B16ED" w:rsidRPr="002B16ED" w:rsidRDefault="002B16ED" w:rsidP="00D76EFA">
            <w:pPr>
              <w:numPr>
                <w:ilvl w:val="0"/>
                <w:numId w:val="42"/>
              </w:numPr>
              <w:spacing w:after="0" w:line="240" w:lineRule="auto"/>
              <w:rPr>
                <w:rFonts w:ascii="Times New Roman" w:hAnsi="Times New Roman"/>
                <w:sz w:val="20"/>
                <w:szCs w:val="20"/>
              </w:rPr>
            </w:pPr>
            <w:r w:rsidRPr="002B16ED">
              <w:rPr>
                <w:rFonts w:ascii="Times New Roman" w:hAnsi="Times New Roman"/>
                <w:sz w:val="20"/>
                <w:szCs w:val="20"/>
              </w:rPr>
              <w:t>Cible : 75%</w:t>
            </w:r>
          </w:p>
        </w:tc>
        <w:tc>
          <w:tcPr>
            <w:tcW w:w="3969" w:type="dxa"/>
            <w:shd w:val="clear" w:color="auto" w:fill="auto"/>
            <w:vAlign w:val="center"/>
          </w:tcPr>
          <w:p w14:paraId="2BEF22BA" w14:textId="77777777" w:rsidR="002B16ED" w:rsidRPr="002B16ED" w:rsidRDefault="002B16ED" w:rsidP="00D76EFA">
            <w:pPr>
              <w:numPr>
                <w:ilvl w:val="0"/>
                <w:numId w:val="61"/>
              </w:numPr>
              <w:spacing w:after="0" w:line="240" w:lineRule="auto"/>
              <w:rPr>
                <w:rFonts w:ascii="Times New Roman" w:hAnsi="Times New Roman"/>
                <w:sz w:val="20"/>
                <w:szCs w:val="20"/>
              </w:rPr>
            </w:pPr>
            <w:r w:rsidRPr="002B16ED">
              <w:rPr>
                <w:rFonts w:ascii="Times New Roman" w:hAnsi="Times New Roman"/>
                <w:sz w:val="20"/>
                <w:szCs w:val="20"/>
              </w:rPr>
              <w:t xml:space="preserve">44 infrastructures judiciaires construites/réhabilitées : Préfectures, sous-préfectures, région Nord et Mopti : </w:t>
            </w:r>
          </w:p>
          <w:p w14:paraId="1013FB36" w14:textId="77777777" w:rsidR="002B16ED" w:rsidRPr="002B16ED" w:rsidRDefault="002B16ED" w:rsidP="00D76EFA">
            <w:pPr>
              <w:numPr>
                <w:ilvl w:val="0"/>
                <w:numId w:val="61"/>
              </w:numPr>
              <w:spacing w:after="0" w:line="240" w:lineRule="auto"/>
              <w:rPr>
                <w:rFonts w:ascii="Times New Roman" w:hAnsi="Times New Roman"/>
                <w:sz w:val="20"/>
                <w:szCs w:val="20"/>
              </w:rPr>
            </w:pPr>
            <w:r w:rsidRPr="002B16ED">
              <w:rPr>
                <w:rFonts w:ascii="Times New Roman" w:hAnsi="Times New Roman"/>
                <w:sz w:val="20"/>
                <w:szCs w:val="20"/>
              </w:rPr>
              <w:t>5 initiatives communautaires de microprojets développement entre l’administration et les populations à Mopti</w:t>
            </w:r>
          </w:p>
          <w:p w14:paraId="6998FE96" w14:textId="77777777" w:rsidR="002B16ED" w:rsidRPr="002B16ED" w:rsidRDefault="002B16ED" w:rsidP="00D76EFA">
            <w:pPr>
              <w:numPr>
                <w:ilvl w:val="0"/>
                <w:numId w:val="61"/>
              </w:numPr>
              <w:spacing w:after="0" w:line="240" w:lineRule="auto"/>
              <w:rPr>
                <w:rFonts w:ascii="Times New Roman" w:hAnsi="Times New Roman"/>
                <w:sz w:val="20"/>
                <w:szCs w:val="20"/>
              </w:rPr>
            </w:pPr>
            <w:r w:rsidRPr="002B16ED">
              <w:rPr>
                <w:rFonts w:ascii="Times New Roman" w:hAnsi="Times New Roman"/>
                <w:sz w:val="20"/>
                <w:szCs w:val="20"/>
              </w:rPr>
              <w:t>3 forages équipés : Tombouctou, Mopti et Kidal</w:t>
            </w:r>
          </w:p>
          <w:p w14:paraId="2D6BB4A2" w14:textId="77777777" w:rsidR="002B16ED" w:rsidRPr="002B16ED" w:rsidRDefault="002B16ED" w:rsidP="00D76EFA">
            <w:pPr>
              <w:numPr>
                <w:ilvl w:val="0"/>
                <w:numId w:val="61"/>
              </w:numPr>
              <w:spacing w:after="0" w:line="240" w:lineRule="auto"/>
              <w:rPr>
                <w:rFonts w:ascii="Times New Roman" w:hAnsi="Times New Roman"/>
                <w:sz w:val="20"/>
                <w:szCs w:val="20"/>
              </w:rPr>
            </w:pPr>
            <w:r w:rsidRPr="002B16ED">
              <w:rPr>
                <w:rFonts w:ascii="Times New Roman" w:hAnsi="Times New Roman"/>
                <w:sz w:val="20"/>
                <w:szCs w:val="20"/>
              </w:rPr>
              <w:t xml:space="preserve">Stratégie nationale de réconciliation réalisée à 30% (selon le </w:t>
            </w:r>
            <w:r w:rsidRPr="002B16ED">
              <w:rPr>
                <w:rFonts w:ascii="Times New Roman" w:hAnsi="Times New Roman"/>
                <w:i/>
                <w:sz w:val="20"/>
                <w:szCs w:val="20"/>
              </w:rPr>
              <w:t xml:space="preserve">Bilan du Plan d'Action de la Réconciliation Nationale, </w:t>
            </w:r>
            <w:r w:rsidRPr="002B16ED">
              <w:rPr>
                <w:rFonts w:ascii="Times New Roman" w:hAnsi="Times New Roman"/>
                <w:sz w:val="20"/>
                <w:szCs w:val="20"/>
              </w:rPr>
              <w:t>du Ministère de la Réconciliation Nationale).</w:t>
            </w:r>
          </w:p>
          <w:p w14:paraId="17FD7329" w14:textId="77777777" w:rsidR="002B16ED" w:rsidRPr="002B16ED" w:rsidRDefault="002B16ED" w:rsidP="00D76EFA">
            <w:pPr>
              <w:numPr>
                <w:ilvl w:val="0"/>
                <w:numId w:val="61"/>
              </w:numPr>
              <w:spacing w:after="0" w:line="240" w:lineRule="auto"/>
              <w:rPr>
                <w:rFonts w:ascii="Times New Roman" w:hAnsi="Times New Roman"/>
                <w:sz w:val="20"/>
                <w:szCs w:val="20"/>
              </w:rPr>
            </w:pPr>
            <w:r w:rsidRPr="002B16ED">
              <w:rPr>
                <w:rFonts w:ascii="Times New Roman" w:hAnsi="Times New Roman"/>
                <w:sz w:val="20"/>
                <w:szCs w:val="20"/>
              </w:rPr>
              <w:t>HIMO de surcreusement de chenaux pour irrigation des périmètres pour la riziculture et le maraichage : Tombouctou</w:t>
            </w:r>
          </w:p>
          <w:p w14:paraId="7137AA3B" w14:textId="77777777" w:rsidR="002B16ED" w:rsidRPr="002B16ED" w:rsidRDefault="002B16ED" w:rsidP="00D76EFA">
            <w:pPr>
              <w:numPr>
                <w:ilvl w:val="0"/>
                <w:numId w:val="61"/>
              </w:numPr>
              <w:spacing w:after="0" w:line="240" w:lineRule="auto"/>
              <w:rPr>
                <w:rFonts w:ascii="Times New Roman" w:hAnsi="Times New Roman"/>
                <w:sz w:val="20"/>
                <w:szCs w:val="20"/>
              </w:rPr>
            </w:pPr>
            <w:r w:rsidRPr="002B16ED">
              <w:rPr>
                <w:rFonts w:ascii="Times New Roman" w:hAnsi="Times New Roman"/>
                <w:sz w:val="20"/>
                <w:szCs w:val="20"/>
              </w:rPr>
              <w:t xml:space="preserve">AGR maraîchers pour 7500 femmes </w:t>
            </w:r>
          </w:p>
          <w:p w14:paraId="7F8A9E6E" w14:textId="77777777" w:rsidR="002B16ED" w:rsidRPr="002B16ED" w:rsidRDefault="002B16ED" w:rsidP="00D76EFA">
            <w:pPr>
              <w:numPr>
                <w:ilvl w:val="0"/>
                <w:numId w:val="61"/>
              </w:numPr>
              <w:spacing w:after="0" w:line="240" w:lineRule="auto"/>
              <w:rPr>
                <w:rFonts w:ascii="Times New Roman" w:hAnsi="Times New Roman"/>
                <w:sz w:val="20"/>
                <w:szCs w:val="20"/>
              </w:rPr>
            </w:pPr>
            <w:r w:rsidRPr="002B16ED">
              <w:rPr>
                <w:rFonts w:ascii="Times New Roman" w:hAnsi="Times New Roman"/>
                <w:sz w:val="20"/>
                <w:szCs w:val="20"/>
              </w:rPr>
              <w:t>10 500 emplois temporaires, pour les jeunes</w:t>
            </w:r>
          </w:p>
          <w:p w14:paraId="03ECCBB0" w14:textId="77777777" w:rsidR="002B16ED" w:rsidRPr="002B16ED" w:rsidRDefault="002B16ED" w:rsidP="00D76EFA">
            <w:pPr>
              <w:numPr>
                <w:ilvl w:val="0"/>
                <w:numId w:val="61"/>
              </w:numPr>
              <w:spacing w:after="0" w:line="240" w:lineRule="auto"/>
              <w:rPr>
                <w:rFonts w:ascii="Times New Roman" w:hAnsi="Times New Roman"/>
                <w:sz w:val="20"/>
                <w:szCs w:val="20"/>
              </w:rPr>
            </w:pPr>
            <w:r w:rsidRPr="002B16ED">
              <w:rPr>
                <w:rFonts w:ascii="Times New Roman" w:hAnsi="Times New Roman"/>
                <w:sz w:val="20"/>
                <w:szCs w:val="20"/>
              </w:rPr>
              <w:t>AGR pour 6500 producteurs de céréales</w:t>
            </w:r>
          </w:p>
          <w:p w14:paraId="2E4EDDCE" w14:textId="77777777" w:rsidR="002B16ED" w:rsidRDefault="002B16ED" w:rsidP="00D76EFA">
            <w:pPr>
              <w:numPr>
                <w:ilvl w:val="0"/>
                <w:numId w:val="61"/>
              </w:numPr>
              <w:spacing w:after="0" w:line="240" w:lineRule="auto"/>
              <w:rPr>
                <w:rFonts w:ascii="Times New Roman" w:hAnsi="Times New Roman"/>
                <w:sz w:val="20"/>
                <w:szCs w:val="20"/>
              </w:rPr>
            </w:pPr>
            <w:r w:rsidRPr="002B16ED">
              <w:rPr>
                <w:rFonts w:ascii="Times New Roman" w:hAnsi="Times New Roman"/>
                <w:sz w:val="20"/>
                <w:szCs w:val="20"/>
              </w:rPr>
              <w:t>Infrastructures de ma^trise d’eau et semences à 10 000 producteurs dont 40% de femmes</w:t>
            </w:r>
          </w:p>
          <w:p w14:paraId="229FEA86" w14:textId="77777777" w:rsidR="0047103B" w:rsidRPr="002B16ED" w:rsidRDefault="0047103B" w:rsidP="00D76EFA">
            <w:pPr>
              <w:numPr>
                <w:ilvl w:val="0"/>
                <w:numId w:val="61"/>
              </w:numPr>
              <w:spacing w:after="0" w:line="240" w:lineRule="auto"/>
              <w:rPr>
                <w:rFonts w:ascii="Times New Roman" w:hAnsi="Times New Roman"/>
                <w:sz w:val="20"/>
                <w:szCs w:val="20"/>
              </w:rPr>
            </w:pPr>
            <w:r>
              <w:rPr>
                <w:rFonts w:ascii="Times New Roman" w:hAnsi="Times New Roman"/>
                <w:sz w:val="20"/>
                <w:szCs w:val="20"/>
              </w:rPr>
              <w:t>SRN mise en œuvre à 30% (Ministère)</w:t>
            </w:r>
          </w:p>
        </w:tc>
        <w:tc>
          <w:tcPr>
            <w:tcW w:w="520" w:type="dxa"/>
            <w:shd w:val="clear" w:color="auto" w:fill="92D050"/>
            <w:vAlign w:val="center"/>
          </w:tcPr>
          <w:p w14:paraId="6BF4E37B" w14:textId="77777777" w:rsidR="002B16ED" w:rsidRDefault="002B16ED" w:rsidP="002B16ED">
            <w:pPr>
              <w:spacing w:after="0" w:line="240" w:lineRule="auto"/>
              <w:rPr>
                <w:rFonts w:ascii="Times New Roman" w:hAnsi="Times New Roman"/>
                <w:sz w:val="20"/>
                <w:szCs w:val="20"/>
              </w:rPr>
            </w:pPr>
          </w:p>
          <w:p w14:paraId="2CC7C67E" w14:textId="77777777" w:rsidR="0047103B" w:rsidRDefault="0047103B" w:rsidP="002B16ED">
            <w:pPr>
              <w:spacing w:after="0" w:line="240" w:lineRule="auto"/>
              <w:rPr>
                <w:rFonts w:ascii="Times New Roman" w:hAnsi="Times New Roman"/>
                <w:sz w:val="20"/>
                <w:szCs w:val="20"/>
              </w:rPr>
            </w:pPr>
          </w:p>
          <w:p w14:paraId="07169D54" w14:textId="77777777" w:rsidR="0047103B" w:rsidRDefault="0047103B" w:rsidP="002B16ED">
            <w:pPr>
              <w:spacing w:after="0" w:line="240" w:lineRule="auto"/>
              <w:rPr>
                <w:rFonts w:ascii="Times New Roman" w:hAnsi="Times New Roman"/>
                <w:sz w:val="20"/>
                <w:szCs w:val="20"/>
              </w:rPr>
            </w:pPr>
          </w:p>
          <w:p w14:paraId="099E52EC" w14:textId="77777777" w:rsidR="0047103B" w:rsidRDefault="0047103B" w:rsidP="002B16ED">
            <w:pPr>
              <w:spacing w:after="0" w:line="240" w:lineRule="auto"/>
              <w:rPr>
                <w:rFonts w:ascii="Times New Roman" w:hAnsi="Times New Roman"/>
                <w:sz w:val="20"/>
                <w:szCs w:val="20"/>
              </w:rPr>
            </w:pPr>
          </w:p>
          <w:p w14:paraId="19DFCC14" w14:textId="77777777" w:rsidR="0047103B" w:rsidRDefault="0047103B" w:rsidP="002B16ED">
            <w:pPr>
              <w:spacing w:after="0" w:line="240" w:lineRule="auto"/>
              <w:rPr>
                <w:rFonts w:ascii="Times New Roman" w:hAnsi="Times New Roman"/>
                <w:sz w:val="20"/>
                <w:szCs w:val="20"/>
              </w:rPr>
            </w:pPr>
          </w:p>
          <w:p w14:paraId="39A4D26A" w14:textId="77777777" w:rsidR="0047103B" w:rsidRDefault="0047103B" w:rsidP="002B16ED">
            <w:pPr>
              <w:spacing w:after="0" w:line="240" w:lineRule="auto"/>
              <w:rPr>
                <w:rFonts w:ascii="Times New Roman" w:hAnsi="Times New Roman"/>
                <w:sz w:val="20"/>
                <w:szCs w:val="20"/>
              </w:rPr>
            </w:pPr>
          </w:p>
          <w:p w14:paraId="0328FA5D" w14:textId="77777777" w:rsidR="0047103B" w:rsidRDefault="0047103B" w:rsidP="002B16ED">
            <w:pPr>
              <w:spacing w:after="0" w:line="240" w:lineRule="auto"/>
              <w:rPr>
                <w:rFonts w:ascii="Times New Roman" w:hAnsi="Times New Roman"/>
                <w:sz w:val="20"/>
                <w:szCs w:val="20"/>
              </w:rPr>
            </w:pPr>
          </w:p>
          <w:p w14:paraId="56196AB2" w14:textId="77777777" w:rsidR="0047103B" w:rsidRDefault="0047103B" w:rsidP="002B16ED">
            <w:pPr>
              <w:spacing w:after="0" w:line="240" w:lineRule="auto"/>
              <w:rPr>
                <w:rFonts w:ascii="Times New Roman" w:hAnsi="Times New Roman"/>
                <w:sz w:val="20"/>
                <w:szCs w:val="20"/>
              </w:rPr>
            </w:pPr>
          </w:p>
          <w:p w14:paraId="281F0F40" w14:textId="77777777" w:rsidR="0047103B" w:rsidRDefault="0047103B" w:rsidP="002B16ED">
            <w:pPr>
              <w:spacing w:after="0" w:line="240" w:lineRule="auto"/>
              <w:rPr>
                <w:rFonts w:ascii="Times New Roman" w:hAnsi="Times New Roman"/>
                <w:sz w:val="20"/>
                <w:szCs w:val="20"/>
              </w:rPr>
            </w:pPr>
          </w:p>
          <w:p w14:paraId="4A98D9E6" w14:textId="77777777" w:rsidR="0047103B" w:rsidRDefault="0047103B" w:rsidP="002B16ED">
            <w:pPr>
              <w:spacing w:after="0" w:line="240" w:lineRule="auto"/>
              <w:rPr>
                <w:rFonts w:ascii="Times New Roman" w:hAnsi="Times New Roman"/>
                <w:sz w:val="20"/>
                <w:szCs w:val="20"/>
              </w:rPr>
            </w:pPr>
          </w:p>
          <w:p w14:paraId="64EC299D" w14:textId="77777777" w:rsidR="0047103B" w:rsidRPr="002B16ED" w:rsidRDefault="0047103B" w:rsidP="002B16ED">
            <w:pPr>
              <w:spacing w:after="0" w:line="240" w:lineRule="auto"/>
              <w:rPr>
                <w:rFonts w:ascii="Times New Roman" w:hAnsi="Times New Roman"/>
                <w:sz w:val="20"/>
                <w:szCs w:val="20"/>
              </w:rPr>
            </w:pPr>
            <w:r>
              <w:rPr>
                <w:rFonts w:ascii="Times New Roman" w:hAnsi="Times New Roman"/>
                <w:sz w:val="20"/>
                <w:szCs w:val="20"/>
              </w:rPr>
              <w:t>40%</w:t>
            </w:r>
          </w:p>
        </w:tc>
        <w:tc>
          <w:tcPr>
            <w:tcW w:w="520" w:type="dxa"/>
            <w:shd w:val="clear" w:color="auto" w:fill="FFFF00"/>
            <w:vAlign w:val="center"/>
          </w:tcPr>
          <w:p w14:paraId="53055CCD" w14:textId="77777777" w:rsidR="002B16ED" w:rsidRPr="002B16ED" w:rsidRDefault="002B16ED" w:rsidP="002B16ED">
            <w:pPr>
              <w:spacing w:after="0" w:line="240" w:lineRule="auto"/>
              <w:rPr>
                <w:rFonts w:ascii="Times New Roman" w:hAnsi="Times New Roman"/>
                <w:sz w:val="20"/>
                <w:szCs w:val="20"/>
              </w:rPr>
            </w:pPr>
          </w:p>
        </w:tc>
        <w:tc>
          <w:tcPr>
            <w:tcW w:w="520" w:type="dxa"/>
            <w:shd w:val="clear" w:color="auto" w:fill="auto"/>
            <w:vAlign w:val="center"/>
          </w:tcPr>
          <w:p w14:paraId="0FC60C7A" w14:textId="77777777" w:rsidR="002B16ED" w:rsidRPr="002B16ED" w:rsidRDefault="002B16ED" w:rsidP="002B16ED">
            <w:pPr>
              <w:spacing w:after="0" w:line="240" w:lineRule="auto"/>
              <w:rPr>
                <w:rFonts w:ascii="Times New Roman" w:hAnsi="Times New Roman"/>
                <w:sz w:val="20"/>
                <w:szCs w:val="20"/>
              </w:rPr>
            </w:pPr>
          </w:p>
        </w:tc>
      </w:tr>
      <w:tr w:rsidR="002B16ED" w:rsidRPr="002B16ED" w14:paraId="2C6C0440" w14:textId="77777777" w:rsidTr="00414C56">
        <w:tc>
          <w:tcPr>
            <w:tcW w:w="1809" w:type="dxa"/>
            <w:vMerge w:val="restart"/>
            <w:shd w:val="clear" w:color="auto" w:fill="F2F2F2" w:themeFill="background1" w:themeFillShade="F2"/>
            <w:vAlign w:val="center"/>
          </w:tcPr>
          <w:p w14:paraId="1CB67706" w14:textId="77777777" w:rsidR="002B16ED" w:rsidRPr="002B16ED" w:rsidRDefault="002B16ED" w:rsidP="002B16ED">
            <w:pPr>
              <w:spacing w:after="0" w:line="240" w:lineRule="auto"/>
              <w:rPr>
                <w:rFonts w:ascii="Times New Roman" w:hAnsi="Times New Roman"/>
                <w:sz w:val="20"/>
                <w:szCs w:val="20"/>
              </w:rPr>
            </w:pPr>
            <w:r w:rsidRPr="002B16ED">
              <w:rPr>
                <w:rFonts w:ascii="Times New Roman" w:hAnsi="Times New Roman"/>
                <w:sz w:val="20"/>
                <w:szCs w:val="20"/>
              </w:rPr>
              <w:t>les autorités locales et la</w:t>
            </w:r>
            <w:r w:rsidRPr="002B16ED">
              <w:rPr>
                <w:rFonts w:ascii="Times New Roman" w:hAnsi="Times New Roman"/>
                <w:b/>
                <w:sz w:val="20"/>
                <w:szCs w:val="20"/>
              </w:rPr>
              <w:t xml:space="preserve"> </w:t>
            </w:r>
            <w:r w:rsidRPr="002B16ED">
              <w:rPr>
                <w:rFonts w:ascii="Times New Roman" w:hAnsi="Times New Roman"/>
                <w:sz w:val="20"/>
                <w:szCs w:val="20"/>
              </w:rPr>
              <w:t>société civile (les dirigeants traditionnels, les chefs religieux et les organisations de femmes et de jeunes) du nord possèdent les capacités requises pour prévenir et régler les conflits</w:t>
            </w:r>
          </w:p>
        </w:tc>
        <w:tc>
          <w:tcPr>
            <w:tcW w:w="3402" w:type="dxa"/>
            <w:shd w:val="clear" w:color="auto" w:fill="auto"/>
            <w:vAlign w:val="center"/>
          </w:tcPr>
          <w:p w14:paraId="1F00E97D" w14:textId="77777777" w:rsidR="002B16ED" w:rsidRPr="002B16ED" w:rsidRDefault="002B16ED" w:rsidP="002B16ED">
            <w:pPr>
              <w:spacing w:after="0" w:line="240" w:lineRule="auto"/>
              <w:rPr>
                <w:rFonts w:ascii="Times New Roman" w:hAnsi="Times New Roman"/>
                <w:sz w:val="20"/>
                <w:szCs w:val="20"/>
              </w:rPr>
            </w:pPr>
            <w:r w:rsidRPr="002B16ED">
              <w:rPr>
                <w:rFonts w:ascii="Times New Roman" w:hAnsi="Times New Roman"/>
                <w:sz w:val="20"/>
                <w:szCs w:val="20"/>
              </w:rPr>
              <w:t>Nombre de membres d’organisations de la société civile, d’acteurs et de dirigeants locaux ayant suivi une formation du PNUD dans le domaine de la prévention et de la gestion des conflits, de la médiation, du dialogue et de l’alerte rapide</w:t>
            </w:r>
          </w:p>
          <w:p w14:paraId="010A1EC1" w14:textId="77777777" w:rsidR="002B16ED" w:rsidRPr="002B16ED" w:rsidRDefault="002B16ED" w:rsidP="00D76EFA">
            <w:pPr>
              <w:numPr>
                <w:ilvl w:val="0"/>
                <w:numId w:val="43"/>
              </w:numPr>
              <w:spacing w:after="0" w:line="240" w:lineRule="auto"/>
              <w:rPr>
                <w:rFonts w:ascii="Times New Roman" w:hAnsi="Times New Roman"/>
                <w:sz w:val="20"/>
                <w:szCs w:val="20"/>
              </w:rPr>
            </w:pPr>
            <w:r w:rsidRPr="002B16ED">
              <w:rPr>
                <w:rFonts w:ascii="Times New Roman" w:hAnsi="Times New Roman"/>
                <w:sz w:val="20"/>
                <w:szCs w:val="20"/>
              </w:rPr>
              <w:t>Réf : 0</w:t>
            </w:r>
          </w:p>
          <w:p w14:paraId="7C4A8A62" w14:textId="77777777" w:rsidR="002B16ED" w:rsidRPr="002B16ED" w:rsidRDefault="002B16ED" w:rsidP="00D76EFA">
            <w:pPr>
              <w:numPr>
                <w:ilvl w:val="0"/>
                <w:numId w:val="43"/>
              </w:numPr>
              <w:spacing w:after="0" w:line="240" w:lineRule="auto"/>
              <w:rPr>
                <w:rFonts w:ascii="Times New Roman" w:hAnsi="Times New Roman"/>
                <w:sz w:val="20"/>
                <w:szCs w:val="20"/>
              </w:rPr>
            </w:pPr>
            <w:r w:rsidRPr="002B16ED">
              <w:rPr>
                <w:rFonts w:ascii="Times New Roman" w:hAnsi="Times New Roman"/>
                <w:sz w:val="20"/>
                <w:szCs w:val="20"/>
              </w:rPr>
              <w:t>Cible : 200 ; dont 50% Femmes</w:t>
            </w:r>
          </w:p>
        </w:tc>
        <w:tc>
          <w:tcPr>
            <w:tcW w:w="3969" w:type="dxa"/>
            <w:shd w:val="clear" w:color="auto" w:fill="auto"/>
            <w:vAlign w:val="center"/>
          </w:tcPr>
          <w:p w14:paraId="52ABBB40" w14:textId="77777777" w:rsidR="002B16ED" w:rsidRPr="002B16ED" w:rsidRDefault="002B16ED" w:rsidP="00D76EFA">
            <w:pPr>
              <w:numPr>
                <w:ilvl w:val="0"/>
                <w:numId w:val="63"/>
              </w:numPr>
              <w:spacing w:after="0" w:line="240" w:lineRule="auto"/>
              <w:rPr>
                <w:rFonts w:ascii="Times New Roman" w:hAnsi="Times New Roman"/>
                <w:sz w:val="20"/>
                <w:szCs w:val="20"/>
              </w:rPr>
            </w:pPr>
            <w:r w:rsidRPr="002B16ED">
              <w:rPr>
                <w:rFonts w:ascii="Times New Roman" w:hAnsi="Times New Roman"/>
                <w:sz w:val="20"/>
                <w:szCs w:val="20"/>
              </w:rPr>
              <w:t>70 volontaires de la paix dont 17 femmes soit 24 % recrutés et formés en prévention, gestion et médiation des conflits.</w:t>
            </w:r>
          </w:p>
          <w:p w14:paraId="213B6FFA" w14:textId="77777777" w:rsidR="002B16ED" w:rsidRPr="002B16ED" w:rsidRDefault="002B16ED" w:rsidP="00D76EFA">
            <w:pPr>
              <w:numPr>
                <w:ilvl w:val="0"/>
                <w:numId w:val="63"/>
              </w:numPr>
              <w:spacing w:after="0" w:line="240" w:lineRule="auto"/>
              <w:rPr>
                <w:rFonts w:ascii="Times New Roman" w:hAnsi="Times New Roman"/>
                <w:sz w:val="20"/>
                <w:szCs w:val="20"/>
              </w:rPr>
            </w:pPr>
            <w:r w:rsidRPr="002B16ED">
              <w:rPr>
                <w:rFonts w:ascii="Times New Roman" w:hAnsi="Times New Roman"/>
                <w:sz w:val="20"/>
                <w:szCs w:val="20"/>
              </w:rPr>
              <w:t>537 personnes dont 294 soit 54% de femmes par lesdits volontaires</w:t>
            </w:r>
          </w:p>
          <w:p w14:paraId="0043889D" w14:textId="77777777" w:rsidR="002B16ED" w:rsidRPr="002B16ED" w:rsidRDefault="002B16ED" w:rsidP="00D76EFA">
            <w:pPr>
              <w:numPr>
                <w:ilvl w:val="0"/>
                <w:numId w:val="63"/>
              </w:numPr>
              <w:spacing w:after="0" w:line="240" w:lineRule="auto"/>
              <w:rPr>
                <w:rFonts w:ascii="Times New Roman" w:hAnsi="Times New Roman"/>
                <w:sz w:val="20"/>
                <w:szCs w:val="20"/>
              </w:rPr>
            </w:pPr>
            <w:r w:rsidRPr="002B16ED">
              <w:rPr>
                <w:rFonts w:ascii="Times New Roman" w:hAnsi="Times New Roman"/>
                <w:sz w:val="20"/>
                <w:szCs w:val="20"/>
              </w:rPr>
              <w:t>200 leaders communautaires (dont 64 femmes) formés : responsables d'OCB, chefs religieux, coutumiers et traditionnels (100% de la cible du CPD)</w:t>
            </w:r>
          </w:p>
          <w:p w14:paraId="39DCAAC1" w14:textId="77777777" w:rsidR="002B16ED" w:rsidRPr="002B16ED" w:rsidRDefault="002B16ED" w:rsidP="00D76EFA">
            <w:pPr>
              <w:numPr>
                <w:ilvl w:val="0"/>
                <w:numId w:val="63"/>
              </w:numPr>
              <w:spacing w:after="0" w:line="240" w:lineRule="auto"/>
              <w:rPr>
                <w:rFonts w:ascii="Times New Roman" w:hAnsi="Times New Roman"/>
                <w:sz w:val="20"/>
                <w:szCs w:val="20"/>
              </w:rPr>
            </w:pPr>
            <w:r w:rsidRPr="002B16ED">
              <w:rPr>
                <w:rFonts w:ascii="Times New Roman" w:hAnsi="Times New Roman"/>
                <w:sz w:val="20"/>
                <w:szCs w:val="20"/>
              </w:rPr>
              <w:t xml:space="preserve">5358 personnes dont 3438 femmes soit 64%  sensibilisées sur cohésion sociale dans 10 communes cibles </w:t>
            </w:r>
          </w:p>
          <w:p w14:paraId="618F7F09" w14:textId="77777777" w:rsidR="002B16ED" w:rsidRPr="002B16ED" w:rsidRDefault="002B16ED" w:rsidP="00D76EFA">
            <w:pPr>
              <w:numPr>
                <w:ilvl w:val="0"/>
                <w:numId w:val="63"/>
              </w:numPr>
              <w:spacing w:after="0" w:line="240" w:lineRule="auto"/>
              <w:rPr>
                <w:rFonts w:ascii="Times New Roman" w:hAnsi="Times New Roman"/>
                <w:sz w:val="20"/>
                <w:szCs w:val="20"/>
              </w:rPr>
            </w:pPr>
            <w:r w:rsidRPr="002B16ED">
              <w:rPr>
                <w:rFonts w:ascii="Times New Roman" w:hAnsi="Times New Roman"/>
                <w:sz w:val="20"/>
                <w:szCs w:val="20"/>
              </w:rPr>
              <w:t>150 femmes bénéficiaires d’AGR d’autonomisation : communes de  Bourem (Gao), Ménaka et Taoudénit</w:t>
            </w:r>
          </w:p>
          <w:p w14:paraId="59096B16" w14:textId="77777777" w:rsidR="002B16ED" w:rsidRPr="002B16ED" w:rsidRDefault="002B16ED" w:rsidP="002B16ED">
            <w:pPr>
              <w:spacing w:after="0" w:line="240" w:lineRule="auto"/>
              <w:rPr>
                <w:rFonts w:ascii="Times New Roman" w:hAnsi="Times New Roman"/>
                <w:sz w:val="20"/>
                <w:szCs w:val="20"/>
              </w:rPr>
            </w:pPr>
          </w:p>
          <w:p w14:paraId="595E1DA2" w14:textId="77777777" w:rsidR="002B16ED" w:rsidRPr="002B16ED" w:rsidRDefault="002B16ED" w:rsidP="00D76EFA">
            <w:pPr>
              <w:numPr>
                <w:ilvl w:val="0"/>
                <w:numId w:val="62"/>
              </w:numPr>
              <w:spacing w:after="0" w:line="240" w:lineRule="auto"/>
              <w:rPr>
                <w:rFonts w:ascii="Times New Roman" w:hAnsi="Times New Roman"/>
                <w:sz w:val="20"/>
                <w:szCs w:val="20"/>
              </w:rPr>
            </w:pPr>
            <w:r w:rsidRPr="002B16ED">
              <w:rPr>
                <w:rFonts w:ascii="Times New Roman" w:hAnsi="Times New Roman"/>
                <w:sz w:val="20"/>
                <w:szCs w:val="20"/>
              </w:rPr>
              <w:t>100 jeunes dont 34 filles bénéficiaires d’emplois HIMO</w:t>
            </w:r>
          </w:p>
          <w:p w14:paraId="0AA3A63F" w14:textId="77777777" w:rsidR="002B16ED" w:rsidRPr="002B16ED" w:rsidRDefault="002B16ED" w:rsidP="00D76EFA">
            <w:pPr>
              <w:numPr>
                <w:ilvl w:val="0"/>
                <w:numId w:val="62"/>
              </w:numPr>
              <w:spacing w:after="0" w:line="240" w:lineRule="auto"/>
              <w:rPr>
                <w:rFonts w:ascii="Times New Roman" w:hAnsi="Times New Roman"/>
                <w:sz w:val="20"/>
                <w:szCs w:val="20"/>
              </w:rPr>
            </w:pPr>
            <w:r w:rsidRPr="002B16ED">
              <w:rPr>
                <w:rFonts w:ascii="Times New Roman" w:hAnsi="Times New Roman"/>
                <w:sz w:val="20"/>
                <w:szCs w:val="20"/>
              </w:rPr>
              <w:lastRenderedPageBreak/>
              <w:t>50 jeunes dont 22 filles formés : coupe couture, mécanique auto et électricité bâtiment</w:t>
            </w:r>
          </w:p>
          <w:p w14:paraId="432D82EC" w14:textId="77777777" w:rsidR="002B16ED" w:rsidRPr="002B16ED" w:rsidRDefault="002B16ED" w:rsidP="00D76EFA">
            <w:pPr>
              <w:numPr>
                <w:ilvl w:val="0"/>
                <w:numId w:val="62"/>
              </w:numPr>
              <w:spacing w:after="0" w:line="240" w:lineRule="auto"/>
              <w:rPr>
                <w:rFonts w:ascii="Times New Roman" w:hAnsi="Times New Roman"/>
                <w:sz w:val="20"/>
                <w:szCs w:val="20"/>
              </w:rPr>
            </w:pPr>
            <w:r w:rsidRPr="002B16ED">
              <w:rPr>
                <w:rFonts w:ascii="Times New Roman" w:hAnsi="Times New Roman"/>
                <w:sz w:val="20"/>
                <w:szCs w:val="20"/>
              </w:rPr>
              <w:t>Installation effective et démarrage des activités de la Commission Vérité Justice et Réconciliation (CVJR) : Justice Transitionnelle</w:t>
            </w:r>
          </w:p>
        </w:tc>
        <w:tc>
          <w:tcPr>
            <w:tcW w:w="520" w:type="dxa"/>
            <w:shd w:val="clear" w:color="auto" w:fill="92D050"/>
            <w:vAlign w:val="center"/>
          </w:tcPr>
          <w:p w14:paraId="44046EE0" w14:textId="77777777" w:rsidR="002B16ED" w:rsidRPr="002B16ED" w:rsidRDefault="002B16ED" w:rsidP="002B16ED">
            <w:pPr>
              <w:spacing w:after="0" w:line="240" w:lineRule="auto"/>
              <w:rPr>
                <w:rFonts w:ascii="Times New Roman" w:hAnsi="Times New Roman"/>
                <w:sz w:val="20"/>
                <w:szCs w:val="20"/>
              </w:rPr>
            </w:pPr>
          </w:p>
        </w:tc>
        <w:tc>
          <w:tcPr>
            <w:tcW w:w="520" w:type="dxa"/>
            <w:shd w:val="clear" w:color="auto" w:fill="auto"/>
            <w:vAlign w:val="center"/>
          </w:tcPr>
          <w:p w14:paraId="791E6ABA" w14:textId="77777777" w:rsidR="002B16ED" w:rsidRPr="002B16ED" w:rsidRDefault="002B16ED" w:rsidP="002B16ED">
            <w:pPr>
              <w:spacing w:after="0" w:line="240" w:lineRule="auto"/>
              <w:rPr>
                <w:rFonts w:ascii="Times New Roman" w:hAnsi="Times New Roman"/>
                <w:sz w:val="20"/>
                <w:szCs w:val="20"/>
              </w:rPr>
            </w:pPr>
          </w:p>
        </w:tc>
        <w:tc>
          <w:tcPr>
            <w:tcW w:w="520" w:type="dxa"/>
            <w:shd w:val="clear" w:color="auto" w:fill="auto"/>
            <w:vAlign w:val="center"/>
          </w:tcPr>
          <w:p w14:paraId="1EF15C3B" w14:textId="77777777" w:rsidR="002B16ED" w:rsidRPr="002B16ED" w:rsidRDefault="002B16ED" w:rsidP="002B16ED">
            <w:pPr>
              <w:spacing w:after="0" w:line="240" w:lineRule="auto"/>
              <w:rPr>
                <w:rFonts w:ascii="Times New Roman" w:hAnsi="Times New Roman"/>
                <w:sz w:val="20"/>
                <w:szCs w:val="20"/>
              </w:rPr>
            </w:pPr>
          </w:p>
        </w:tc>
      </w:tr>
      <w:tr w:rsidR="002B16ED" w:rsidRPr="002B16ED" w14:paraId="7B569E7E" w14:textId="77777777" w:rsidTr="00414C56">
        <w:tc>
          <w:tcPr>
            <w:tcW w:w="1809" w:type="dxa"/>
            <w:vMerge/>
            <w:shd w:val="clear" w:color="auto" w:fill="F2F2F2" w:themeFill="background1" w:themeFillShade="F2"/>
            <w:vAlign w:val="center"/>
          </w:tcPr>
          <w:p w14:paraId="46EBC34C" w14:textId="77777777" w:rsidR="002B16ED" w:rsidRPr="002B16ED" w:rsidRDefault="002B16ED" w:rsidP="002B16ED">
            <w:pPr>
              <w:spacing w:after="0" w:line="240" w:lineRule="auto"/>
              <w:rPr>
                <w:rFonts w:ascii="Times New Roman" w:hAnsi="Times New Roman"/>
                <w:sz w:val="20"/>
                <w:szCs w:val="20"/>
              </w:rPr>
            </w:pPr>
          </w:p>
        </w:tc>
        <w:tc>
          <w:tcPr>
            <w:tcW w:w="3402" w:type="dxa"/>
            <w:shd w:val="clear" w:color="auto" w:fill="auto"/>
            <w:vAlign w:val="center"/>
          </w:tcPr>
          <w:p w14:paraId="5DB00F5A" w14:textId="77777777" w:rsidR="002B16ED" w:rsidRPr="002B16ED" w:rsidRDefault="002B16ED" w:rsidP="002B16ED">
            <w:pPr>
              <w:spacing w:after="0" w:line="240" w:lineRule="auto"/>
              <w:rPr>
                <w:rFonts w:ascii="Times New Roman" w:hAnsi="Times New Roman"/>
                <w:sz w:val="20"/>
                <w:szCs w:val="20"/>
              </w:rPr>
            </w:pPr>
            <w:r w:rsidRPr="002B16ED">
              <w:rPr>
                <w:rFonts w:ascii="Times New Roman" w:hAnsi="Times New Roman"/>
                <w:sz w:val="20"/>
                <w:szCs w:val="20"/>
              </w:rPr>
              <w:t>Nombre d’instances locales ayant mis en place des dispositifs en faveur du dialogue intra- et intercommunautaire et les utilisant dans les débats locaux</w:t>
            </w:r>
          </w:p>
          <w:p w14:paraId="4649DA3E" w14:textId="77777777" w:rsidR="002B16ED" w:rsidRPr="002B16ED" w:rsidRDefault="002B16ED" w:rsidP="00D76EFA">
            <w:pPr>
              <w:numPr>
                <w:ilvl w:val="0"/>
                <w:numId w:val="44"/>
              </w:numPr>
              <w:spacing w:after="0" w:line="240" w:lineRule="auto"/>
              <w:rPr>
                <w:rFonts w:ascii="Times New Roman" w:hAnsi="Times New Roman"/>
                <w:sz w:val="20"/>
                <w:szCs w:val="20"/>
              </w:rPr>
            </w:pPr>
            <w:r w:rsidRPr="002B16ED">
              <w:rPr>
                <w:rFonts w:ascii="Times New Roman" w:hAnsi="Times New Roman"/>
                <w:sz w:val="20"/>
                <w:szCs w:val="20"/>
              </w:rPr>
              <w:t>Réf : 0</w:t>
            </w:r>
          </w:p>
          <w:p w14:paraId="1A46619B" w14:textId="77777777" w:rsidR="002B16ED" w:rsidRPr="002B16ED" w:rsidRDefault="002B16ED" w:rsidP="00D76EFA">
            <w:pPr>
              <w:numPr>
                <w:ilvl w:val="0"/>
                <w:numId w:val="44"/>
              </w:numPr>
              <w:spacing w:after="0" w:line="240" w:lineRule="auto"/>
              <w:rPr>
                <w:rFonts w:ascii="Times New Roman" w:hAnsi="Times New Roman"/>
                <w:sz w:val="20"/>
                <w:szCs w:val="20"/>
              </w:rPr>
            </w:pPr>
            <w:r w:rsidRPr="002B16ED">
              <w:rPr>
                <w:rFonts w:ascii="Times New Roman" w:hAnsi="Times New Roman"/>
                <w:sz w:val="20"/>
                <w:szCs w:val="20"/>
              </w:rPr>
              <w:t>Cible 17</w:t>
            </w:r>
          </w:p>
        </w:tc>
        <w:tc>
          <w:tcPr>
            <w:tcW w:w="3969" w:type="dxa"/>
            <w:shd w:val="clear" w:color="auto" w:fill="auto"/>
            <w:vAlign w:val="center"/>
          </w:tcPr>
          <w:p w14:paraId="191B2C10" w14:textId="77777777" w:rsidR="002B16ED" w:rsidRPr="002B16ED" w:rsidRDefault="002B16ED" w:rsidP="00D76EFA">
            <w:pPr>
              <w:numPr>
                <w:ilvl w:val="0"/>
                <w:numId w:val="63"/>
              </w:numPr>
              <w:spacing w:after="0" w:line="240" w:lineRule="auto"/>
              <w:rPr>
                <w:rFonts w:ascii="Times New Roman" w:hAnsi="Times New Roman"/>
                <w:sz w:val="20"/>
                <w:szCs w:val="20"/>
              </w:rPr>
            </w:pPr>
            <w:r w:rsidRPr="002B16ED">
              <w:rPr>
                <w:rFonts w:ascii="Times New Roman" w:hAnsi="Times New Roman"/>
                <w:sz w:val="20"/>
                <w:szCs w:val="20"/>
              </w:rPr>
              <w:t>Rencontres intercommunautaires et reprise des activités scolaires dans 40 villages</w:t>
            </w:r>
          </w:p>
          <w:p w14:paraId="4276107E" w14:textId="77777777" w:rsidR="002B16ED" w:rsidRPr="002B16ED" w:rsidRDefault="002B16ED" w:rsidP="002B16ED">
            <w:pPr>
              <w:spacing w:after="0" w:line="240" w:lineRule="auto"/>
              <w:rPr>
                <w:rFonts w:ascii="Times New Roman" w:hAnsi="Times New Roman"/>
                <w:sz w:val="20"/>
                <w:szCs w:val="20"/>
              </w:rPr>
            </w:pPr>
          </w:p>
        </w:tc>
        <w:tc>
          <w:tcPr>
            <w:tcW w:w="520" w:type="dxa"/>
            <w:shd w:val="clear" w:color="auto" w:fill="auto"/>
            <w:vAlign w:val="center"/>
          </w:tcPr>
          <w:p w14:paraId="466391D5" w14:textId="77777777" w:rsidR="002B16ED" w:rsidRPr="002B16ED" w:rsidRDefault="002B16ED" w:rsidP="002B16ED">
            <w:pPr>
              <w:spacing w:after="0" w:line="240" w:lineRule="auto"/>
              <w:rPr>
                <w:rFonts w:ascii="Times New Roman" w:hAnsi="Times New Roman"/>
                <w:sz w:val="20"/>
                <w:szCs w:val="20"/>
              </w:rPr>
            </w:pPr>
          </w:p>
        </w:tc>
        <w:tc>
          <w:tcPr>
            <w:tcW w:w="520" w:type="dxa"/>
            <w:shd w:val="clear" w:color="auto" w:fill="FFC000"/>
            <w:vAlign w:val="center"/>
          </w:tcPr>
          <w:p w14:paraId="74DE6CF8" w14:textId="77777777" w:rsidR="002B16ED" w:rsidRPr="002B16ED" w:rsidRDefault="002B16ED" w:rsidP="002B16ED">
            <w:pPr>
              <w:spacing w:after="0" w:line="240" w:lineRule="auto"/>
              <w:rPr>
                <w:rFonts w:ascii="Times New Roman" w:hAnsi="Times New Roman"/>
                <w:sz w:val="20"/>
                <w:szCs w:val="20"/>
              </w:rPr>
            </w:pPr>
          </w:p>
        </w:tc>
        <w:tc>
          <w:tcPr>
            <w:tcW w:w="520" w:type="dxa"/>
            <w:shd w:val="clear" w:color="auto" w:fill="C00000"/>
            <w:vAlign w:val="center"/>
          </w:tcPr>
          <w:p w14:paraId="14076912" w14:textId="77777777" w:rsidR="002B16ED" w:rsidRPr="002B16ED" w:rsidRDefault="002B16ED" w:rsidP="002B16ED">
            <w:pPr>
              <w:spacing w:after="0" w:line="240" w:lineRule="auto"/>
              <w:rPr>
                <w:rFonts w:ascii="Times New Roman" w:hAnsi="Times New Roman"/>
                <w:sz w:val="20"/>
                <w:szCs w:val="20"/>
              </w:rPr>
            </w:pPr>
          </w:p>
        </w:tc>
      </w:tr>
      <w:tr w:rsidR="002B16ED" w:rsidRPr="002B16ED" w14:paraId="4F5E6718" w14:textId="77777777" w:rsidTr="00414C56">
        <w:tc>
          <w:tcPr>
            <w:tcW w:w="1809" w:type="dxa"/>
            <w:shd w:val="clear" w:color="auto" w:fill="F2F2F2" w:themeFill="background1" w:themeFillShade="F2"/>
            <w:vAlign w:val="center"/>
          </w:tcPr>
          <w:p w14:paraId="450B4880" w14:textId="77777777" w:rsidR="002B16ED" w:rsidRPr="002B16ED" w:rsidRDefault="002B16ED" w:rsidP="002B16ED">
            <w:pPr>
              <w:spacing w:after="0" w:line="240" w:lineRule="auto"/>
              <w:rPr>
                <w:rFonts w:ascii="Times New Roman" w:hAnsi="Times New Roman"/>
                <w:sz w:val="20"/>
                <w:szCs w:val="20"/>
              </w:rPr>
            </w:pPr>
            <w:r w:rsidRPr="002B16ED">
              <w:rPr>
                <w:rFonts w:ascii="Times New Roman" w:hAnsi="Times New Roman"/>
                <w:sz w:val="20"/>
                <w:szCs w:val="20"/>
              </w:rPr>
              <w:t>La réintégration et la réadaptation des personnes déplacées à l’intérieur du pays sont garanties grâce à la mise en œuvre effective d’une stratégie de solutions durables</w:t>
            </w:r>
          </w:p>
        </w:tc>
        <w:tc>
          <w:tcPr>
            <w:tcW w:w="3402" w:type="dxa"/>
            <w:shd w:val="clear" w:color="auto" w:fill="auto"/>
            <w:vAlign w:val="center"/>
          </w:tcPr>
          <w:p w14:paraId="5CE932BC" w14:textId="77777777" w:rsidR="002B16ED" w:rsidRPr="002B16ED" w:rsidRDefault="002B16ED" w:rsidP="002B16ED">
            <w:pPr>
              <w:spacing w:after="0" w:line="240" w:lineRule="auto"/>
              <w:rPr>
                <w:rFonts w:ascii="Times New Roman" w:hAnsi="Times New Roman"/>
                <w:sz w:val="20"/>
                <w:szCs w:val="20"/>
              </w:rPr>
            </w:pPr>
            <w:r w:rsidRPr="002B16ED">
              <w:rPr>
                <w:rFonts w:ascii="Times New Roman" w:hAnsi="Times New Roman"/>
                <w:sz w:val="20"/>
                <w:szCs w:val="20"/>
              </w:rPr>
              <w:t>Nombre de réfugiés et</w:t>
            </w:r>
          </w:p>
          <w:p w14:paraId="794C4723" w14:textId="77777777" w:rsidR="002B16ED" w:rsidRPr="002B16ED" w:rsidRDefault="002B16ED" w:rsidP="002B16ED">
            <w:pPr>
              <w:spacing w:after="0" w:line="240" w:lineRule="auto"/>
              <w:rPr>
                <w:rFonts w:ascii="Times New Roman" w:hAnsi="Times New Roman"/>
                <w:sz w:val="20"/>
                <w:szCs w:val="20"/>
              </w:rPr>
            </w:pPr>
            <w:r w:rsidRPr="002B16ED">
              <w:rPr>
                <w:rFonts w:ascii="Times New Roman" w:hAnsi="Times New Roman"/>
                <w:sz w:val="20"/>
                <w:szCs w:val="20"/>
              </w:rPr>
              <w:t>de personnes déplacées bénéficiant d’un appui à la réintégration socio-économique</w:t>
            </w:r>
          </w:p>
          <w:p w14:paraId="7E51F8AE" w14:textId="77777777" w:rsidR="002B16ED" w:rsidRPr="002B16ED" w:rsidRDefault="002B16ED" w:rsidP="00D76EFA">
            <w:pPr>
              <w:numPr>
                <w:ilvl w:val="0"/>
                <w:numId w:val="45"/>
              </w:numPr>
              <w:spacing w:after="0" w:line="240" w:lineRule="auto"/>
              <w:rPr>
                <w:rFonts w:ascii="Times New Roman" w:hAnsi="Times New Roman"/>
                <w:sz w:val="20"/>
                <w:szCs w:val="20"/>
              </w:rPr>
            </w:pPr>
            <w:r w:rsidRPr="002B16ED">
              <w:rPr>
                <w:rFonts w:ascii="Times New Roman" w:hAnsi="Times New Roman"/>
                <w:sz w:val="20"/>
                <w:szCs w:val="20"/>
              </w:rPr>
              <w:t>Réf : 400.000</w:t>
            </w:r>
          </w:p>
          <w:p w14:paraId="29BE2BDD" w14:textId="77777777" w:rsidR="002B16ED" w:rsidRPr="002B16ED" w:rsidRDefault="002B16ED" w:rsidP="00D76EFA">
            <w:pPr>
              <w:numPr>
                <w:ilvl w:val="0"/>
                <w:numId w:val="45"/>
              </w:numPr>
              <w:spacing w:after="0" w:line="240" w:lineRule="auto"/>
              <w:rPr>
                <w:rFonts w:ascii="Times New Roman" w:hAnsi="Times New Roman"/>
                <w:sz w:val="20"/>
                <w:szCs w:val="20"/>
              </w:rPr>
            </w:pPr>
            <w:r w:rsidRPr="002B16ED">
              <w:rPr>
                <w:rFonts w:ascii="Times New Roman" w:hAnsi="Times New Roman"/>
                <w:sz w:val="20"/>
                <w:szCs w:val="20"/>
              </w:rPr>
              <w:t>Cible : 265 740, dont 60 % Femmes</w:t>
            </w:r>
          </w:p>
        </w:tc>
        <w:tc>
          <w:tcPr>
            <w:tcW w:w="3969" w:type="dxa"/>
            <w:shd w:val="clear" w:color="auto" w:fill="auto"/>
            <w:vAlign w:val="center"/>
          </w:tcPr>
          <w:p w14:paraId="7FA5927A" w14:textId="77777777" w:rsidR="002B16ED" w:rsidRPr="002B16ED" w:rsidRDefault="002B16ED" w:rsidP="002B16ED">
            <w:pPr>
              <w:spacing w:after="0" w:line="240" w:lineRule="auto"/>
              <w:rPr>
                <w:rFonts w:ascii="Times New Roman" w:hAnsi="Times New Roman"/>
                <w:sz w:val="20"/>
                <w:szCs w:val="20"/>
              </w:rPr>
            </w:pPr>
          </w:p>
        </w:tc>
        <w:tc>
          <w:tcPr>
            <w:tcW w:w="520" w:type="dxa"/>
            <w:shd w:val="clear" w:color="auto" w:fill="auto"/>
            <w:vAlign w:val="center"/>
          </w:tcPr>
          <w:p w14:paraId="0DF14052" w14:textId="77777777" w:rsidR="002B16ED" w:rsidRPr="002B16ED" w:rsidRDefault="002B16ED" w:rsidP="002B16ED">
            <w:pPr>
              <w:spacing w:after="0" w:line="240" w:lineRule="auto"/>
              <w:rPr>
                <w:rFonts w:ascii="Times New Roman" w:hAnsi="Times New Roman"/>
                <w:sz w:val="20"/>
                <w:szCs w:val="20"/>
              </w:rPr>
            </w:pPr>
          </w:p>
        </w:tc>
        <w:tc>
          <w:tcPr>
            <w:tcW w:w="520" w:type="dxa"/>
            <w:shd w:val="clear" w:color="auto" w:fill="auto"/>
            <w:vAlign w:val="center"/>
          </w:tcPr>
          <w:p w14:paraId="7B3D2FC6" w14:textId="77777777" w:rsidR="002B16ED" w:rsidRPr="002B16ED" w:rsidRDefault="002B16ED" w:rsidP="002B16ED">
            <w:pPr>
              <w:spacing w:after="0" w:line="240" w:lineRule="auto"/>
              <w:rPr>
                <w:rFonts w:ascii="Times New Roman" w:hAnsi="Times New Roman"/>
                <w:sz w:val="20"/>
                <w:szCs w:val="20"/>
              </w:rPr>
            </w:pPr>
          </w:p>
        </w:tc>
        <w:tc>
          <w:tcPr>
            <w:tcW w:w="520" w:type="dxa"/>
            <w:shd w:val="clear" w:color="auto" w:fill="FF0000"/>
            <w:vAlign w:val="center"/>
          </w:tcPr>
          <w:p w14:paraId="755EC2A7" w14:textId="77777777" w:rsidR="002B16ED" w:rsidRPr="000031A7" w:rsidRDefault="000031A7" w:rsidP="000031A7">
            <w:pPr>
              <w:spacing w:after="0" w:line="240" w:lineRule="auto"/>
              <w:jc w:val="center"/>
              <w:rPr>
                <w:rFonts w:ascii="Times New Roman" w:hAnsi="Times New Roman"/>
                <w:b/>
                <w:color w:val="FFFFFF" w:themeColor="background1"/>
                <w:sz w:val="20"/>
                <w:szCs w:val="20"/>
              </w:rPr>
            </w:pPr>
            <w:r w:rsidRPr="000031A7">
              <w:rPr>
                <w:rFonts w:ascii="Times New Roman" w:hAnsi="Times New Roman"/>
                <w:b/>
                <w:color w:val="FFFFFF" w:themeColor="background1"/>
                <w:sz w:val="20"/>
                <w:szCs w:val="20"/>
              </w:rPr>
              <w:t>0</w:t>
            </w:r>
          </w:p>
        </w:tc>
      </w:tr>
    </w:tbl>
    <w:p w14:paraId="73A5E93E" w14:textId="77777777" w:rsidR="002B16ED" w:rsidRPr="002B16ED" w:rsidRDefault="002B16ED" w:rsidP="002B16ED">
      <w:pPr>
        <w:spacing w:after="0" w:line="240" w:lineRule="auto"/>
        <w:rPr>
          <w:rFonts w:ascii="Times New Roman" w:hAnsi="Times New Roman"/>
          <w:i/>
          <w:sz w:val="24"/>
          <w:szCs w:val="24"/>
        </w:rPr>
      </w:pPr>
      <w:r w:rsidRPr="002B16ED">
        <w:rPr>
          <w:rFonts w:ascii="Times New Roman" w:hAnsi="Times New Roman"/>
          <w:i/>
          <w:sz w:val="24"/>
          <w:szCs w:val="24"/>
          <w:u w:val="single"/>
        </w:rPr>
        <w:t>Sources</w:t>
      </w:r>
      <w:r w:rsidRPr="002B16ED">
        <w:rPr>
          <w:rFonts w:ascii="Times New Roman" w:hAnsi="Times New Roman"/>
          <w:i/>
          <w:sz w:val="24"/>
          <w:szCs w:val="24"/>
        </w:rPr>
        <w:t xml:space="preserve"> : ROARS 2015-2016 ; Rapports de progrès/Rapports d’évaluation des projets ; entretiens Septembre 2017. </w:t>
      </w:r>
    </w:p>
    <w:p w14:paraId="3EF1F472" w14:textId="77777777" w:rsidR="002B16ED" w:rsidRPr="002B16ED" w:rsidRDefault="002B16ED" w:rsidP="002B16ED">
      <w:pPr>
        <w:spacing w:after="0" w:line="240" w:lineRule="auto"/>
        <w:rPr>
          <w:rFonts w:ascii="Times New Roman" w:hAnsi="Times New Roman"/>
          <w:sz w:val="24"/>
          <w:szCs w:val="24"/>
        </w:rPr>
      </w:pPr>
    </w:p>
    <w:p w14:paraId="633B9C3E" w14:textId="77777777" w:rsidR="00BA3DC6" w:rsidRPr="000031A7" w:rsidRDefault="000031A7" w:rsidP="00796A1E">
      <w:pPr>
        <w:pStyle w:val="Titre3"/>
        <w:numPr>
          <w:ilvl w:val="2"/>
          <w:numId w:val="5"/>
        </w:numPr>
        <w:shd w:val="clear" w:color="auto" w:fill="DEEAF6" w:themeFill="accent1" w:themeFillTint="33"/>
        <w:spacing w:before="0" w:line="240" w:lineRule="auto"/>
        <w:jc w:val="both"/>
        <w:rPr>
          <w:rFonts w:ascii="Times New Roman" w:hAnsi="Times New Roman"/>
          <w:color w:val="auto"/>
          <w:sz w:val="24"/>
          <w:szCs w:val="24"/>
        </w:rPr>
      </w:pPr>
      <w:bookmarkStart w:id="115" w:name="_Toc499211611"/>
      <w:bookmarkStart w:id="116" w:name="_Toc499213884"/>
      <w:r w:rsidRPr="000031A7">
        <w:rPr>
          <w:rFonts w:ascii="Times New Roman" w:hAnsi="Times New Roman"/>
          <w:color w:val="auto"/>
          <w:sz w:val="24"/>
          <w:szCs w:val="24"/>
        </w:rPr>
        <w:t>Résultat/Effet 2 : "D’ici à 2019, les populations vulnérables, en particulier les femmes et les jeunes, utilisent des capacités de production dans un environnement (naturel) sain qui est propice à la réduction de la pauvreté."</w:t>
      </w:r>
      <w:bookmarkEnd w:id="115"/>
      <w:bookmarkEnd w:id="116"/>
    </w:p>
    <w:p w14:paraId="00E5E6C5" w14:textId="77777777" w:rsidR="00972907" w:rsidRDefault="00972907" w:rsidP="00B96F0F">
      <w:pPr>
        <w:spacing w:after="0" w:line="240" w:lineRule="auto"/>
        <w:jc w:val="both"/>
        <w:rPr>
          <w:rFonts w:ascii="Times New Roman" w:eastAsia="Times New Roman" w:hAnsi="Times New Roman"/>
          <w:bCs/>
          <w:sz w:val="24"/>
          <w:szCs w:val="24"/>
        </w:rPr>
      </w:pPr>
    </w:p>
    <w:p w14:paraId="0ED2CACB" w14:textId="77777777" w:rsidR="000031A7" w:rsidRPr="006B309F" w:rsidRDefault="000031A7" w:rsidP="00B96F0F">
      <w:pPr>
        <w:spacing w:after="0" w:line="240" w:lineRule="auto"/>
        <w:jc w:val="both"/>
        <w:rPr>
          <w:rFonts w:ascii="Times New Roman" w:eastAsia="Times New Roman" w:hAnsi="Times New Roman"/>
          <w:bCs/>
          <w:sz w:val="24"/>
          <w:szCs w:val="24"/>
        </w:rPr>
      </w:pPr>
    </w:p>
    <w:p w14:paraId="47BA7C34" w14:textId="77777777" w:rsidR="00FC1E36" w:rsidRPr="006B309F" w:rsidRDefault="000031A7" w:rsidP="00B026AE">
      <w:pPr>
        <w:pStyle w:val="Titre4"/>
        <w:numPr>
          <w:ilvl w:val="3"/>
          <w:numId w:val="5"/>
        </w:numPr>
        <w:spacing w:before="0" w:line="240" w:lineRule="auto"/>
        <w:rPr>
          <w:rFonts w:ascii="Times New Roman" w:hAnsi="Times New Roman"/>
          <w:i w:val="0"/>
          <w:color w:val="auto"/>
          <w:sz w:val="24"/>
          <w:szCs w:val="24"/>
        </w:rPr>
      </w:pPr>
      <w:r>
        <w:rPr>
          <w:rFonts w:ascii="Times New Roman" w:hAnsi="Times New Roman"/>
          <w:i w:val="0"/>
          <w:color w:val="auto"/>
          <w:sz w:val="24"/>
          <w:szCs w:val="24"/>
        </w:rPr>
        <w:t>Résultats obtenus par le pays dans le domaine</w:t>
      </w:r>
    </w:p>
    <w:p w14:paraId="583BAD8B" w14:textId="77777777" w:rsidR="0057261A" w:rsidRDefault="0057261A" w:rsidP="00B96F0F">
      <w:pPr>
        <w:spacing w:after="0" w:line="240" w:lineRule="auto"/>
        <w:jc w:val="both"/>
        <w:rPr>
          <w:rFonts w:ascii="Times New Roman" w:eastAsia="Times New Roman" w:hAnsi="Times New Roman"/>
          <w:bCs/>
          <w:sz w:val="24"/>
          <w:szCs w:val="24"/>
        </w:rPr>
      </w:pPr>
    </w:p>
    <w:p w14:paraId="047D9D25" w14:textId="77777777" w:rsidR="00796A1E" w:rsidRDefault="00454255" w:rsidP="00796A1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4</w:t>
      </w:r>
      <w:r w:rsidR="000B5082">
        <w:rPr>
          <w:rFonts w:ascii="Times New Roman" w:eastAsia="Times New Roman" w:hAnsi="Times New Roman"/>
          <w:bCs/>
          <w:sz w:val="24"/>
          <w:szCs w:val="24"/>
        </w:rPr>
        <w:t>8</w:t>
      </w:r>
      <w:r>
        <w:rPr>
          <w:rFonts w:ascii="Times New Roman" w:eastAsia="Times New Roman" w:hAnsi="Times New Roman"/>
          <w:bCs/>
          <w:sz w:val="24"/>
          <w:szCs w:val="24"/>
        </w:rPr>
        <w:t>.</w:t>
      </w:r>
      <w:r w:rsidR="00796A1E" w:rsidRPr="00796A1E">
        <w:rPr>
          <w:rFonts w:ascii="Times New Roman" w:eastAsia="Times New Roman" w:hAnsi="Times New Roman"/>
          <w:bCs/>
          <w:sz w:val="24"/>
          <w:szCs w:val="24"/>
        </w:rPr>
        <w:tab/>
        <w:t>Les performances du pays en rapport avec les indicateurs d’effet du Résultat 2 sont mitigées. Le taux de chômage est le premier de ces indicateurs : à 10,05% en 2016, il est en baisse de 0,45 point par rapport à 2015, ce qui est une performance nettement en deçà des 2 points de baisse annuelle fixés comme cible. Le taux de croissance affiche 5,8% en 2016, soit un léger repli par rapport à 2015 où il a atteint 6%, mais tout compte fait une bonne performance puique représentant déjà, à mi-parcours, 83% des 7% retenus comme cible de fin de cycle.  L’incidence de pauvreté s’aggrave en revanche, y compris par rapport à son niveau d’avant programme : 46,8% contre 43,6% ; le pays s’éloigne d’autant de la cible de 21% de taux de pauvreté fixée pour la fin du cycle. La part du budget dirigée vers l’environnement est de 3%, soit, à mi-parcours, déjà 62% de la cible de 4% fixée pour 2019</w:t>
      </w:r>
      <w:r w:rsidR="00796A1E">
        <w:rPr>
          <w:rFonts w:ascii="Times New Roman" w:eastAsia="Times New Roman" w:hAnsi="Times New Roman"/>
          <w:bCs/>
          <w:sz w:val="24"/>
          <w:szCs w:val="24"/>
        </w:rPr>
        <w:t>.</w:t>
      </w:r>
    </w:p>
    <w:p w14:paraId="62023A47" w14:textId="77777777" w:rsidR="00796A1E" w:rsidRDefault="00796A1E" w:rsidP="00796A1E">
      <w:pPr>
        <w:spacing w:after="0" w:line="240" w:lineRule="auto"/>
        <w:jc w:val="both"/>
        <w:rPr>
          <w:rFonts w:ascii="Times New Roman" w:eastAsia="Times New Roman" w:hAnsi="Times New Roman"/>
          <w:bCs/>
          <w:sz w:val="24"/>
          <w:szCs w:val="24"/>
        </w:rPr>
      </w:pPr>
    </w:p>
    <w:p w14:paraId="0A82AB95" w14:textId="77777777" w:rsidR="00796A1E" w:rsidRDefault="000B5082" w:rsidP="00796A1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49</w:t>
      </w:r>
      <w:r w:rsidR="00454255">
        <w:rPr>
          <w:rFonts w:ascii="Times New Roman" w:eastAsia="Times New Roman" w:hAnsi="Times New Roman"/>
          <w:bCs/>
          <w:sz w:val="24"/>
          <w:szCs w:val="24"/>
        </w:rPr>
        <w:t>.</w:t>
      </w:r>
      <w:r w:rsidR="00796A1E">
        <w:rPr>
          <w:rFonts w:ascii="Times New Roman" w:eastAsia="Times New Roman" w:hAnsi="Times New Roman"/>
          <w:bCs/>
          <w:sz w:val="24"/>
          <w:szCs w:val="24"/>
        </w:rPr>
        <w:tab/>
      </w:r>
      <w:r w:rsidR="00796A1E" w:rsidRPr="00796A1E">
        <w:rPr>
          <w:rFonts w:ascii="Times New Roman" w:eastAsia="Times New Roman" w:hAnsi="Times New Roman"/>
          <w:bCs/>
          <w:sz w:val="24"/>
          <w:szCs w:val="24"/>
        </w:rPr>
        <w:t>Le classement du pays dans l’indice "Doing business" s’améliore nettement : Même si situation de référence et cible sont restées indéterminées dans la matrice du programme, un bond de 10 places entre 2015 et 2016 constitue une performance incontestable. Enfin, en matière d’insécurité alimentaire la situation reste préoccupante, même si l’indicateur renseigné dans le cadre du suivi du CREDD ne coïncide pas tout à fait avec celui qui est retenu dans la matrice du programme. Le stock de sécurité alimentaire de 2016 est en hausse de 16% par rapport à 2015, mais ne représente que 37%de l’objectif du pays pour 2016.</w:t>
      </w:r>
    </w:p>
    <w:p w14:paraId="51FD3B49" w14:textId="77777777" w:rsidR="005E0CC4" w:rsidRDefault="005E0CC4" w:rsidP="00796A1E">
      <w:pPr>
        <w:spacing w:after="0" w:line="240" w:lineRule="auto"/>
        <w:jc w:val="both"/>
        <w:rPr>
          <w:rFonts w:ascii="Times New Roman" w:eastAsia="Times New Roman" w:hAnsi="Times New Roman"/>
          <w:bCs/>
          <w:sz w:val="24"/>
          <w:szCs w:val="24"/>
        </w:rPr>
      </w:pPr>
    </w:p>
    <w:p w14:paraId="7AD83649" w14:textId="77777777" w:rsidR="005E0CC4" w:rsidRPr="000442E1" w:rsidRDefault="005E0CC4" w:rsidP="005E0CC4">
      <w:pPr>
        <w:pStyle w:val="Titre1"/>
        <w:spacing w:before="0" w:line="240" w:lineRule="auto"/>
        <w:rPr>
          <w:rFonts w:ascii="Times New Roman" w:hAnsi="Times New Roman"/>
          <w:color w:val="auto"/>
          <w:sz w:val="24"/>
          <w:szCs w:val="24"/>
        </w:rPr>
      </w:pPr>
      <w:bookmarkStart w:id="117" w:name="_Toc499211612"/>
      <w:bookmarkStart w:id="118" w:name="_Toc499213885"/>
      <w:r w:rsidRPr="000442E1">
        <w:rPr>
          <w:rFonts w:ascii="Times New Roman" w:hAnsi="Times New Roman"/>
          <w:color w:val="auto"/>
          <w:sz w:val="24"/>
          <w:szCs w:val="24"/>
        </w:rPr>
        <w:t xml:space="preserve">Tableau </w:t>
      </w:r>
      <w:r>
        <w:rPr>
          <w:rFonts w:ascii="Times New Roman" w:hAnsi="Times New Roman"/>
          <w:color w:val="auto"/>
          <w:sz w:val="24"/>
          <w:szCs w:val="24"/>
        </w:rPr>
        <w:t>8</w:t>
      </w:r>
      <w:r w:rsidRPr="000442E1">
        <w:rPr>
          <w:rFonts w:ascii="Times New Roman" w:hAnsi="Times New Roman"/>
          <w:color w:val="auto"/>
          <w:sz w:val="24"/>
          <w:szCs w:val="24"/>
        </w:rPr>
        <w:t xml:space="preserve"> : </w:t>
      </w:r>
      <w:r>
        <w:rPr>
          <w:rFonts w:ascii="Times New Roman" w:hAnsi="Times New Roman"/>
          <w:color w:val="auto"/>
          <w:sz w:val="24"/>
          <w:szCs w:val="24"/>
        </w:rPr>
        <w:t>Effet 2/Performances-Pays</w:t>
      </w:r>
      <w:bookmarkEnd w:id="117"/>
      <w:bookmarkEnd w:id="118"/>
    </w:p>
    <w:p w14:paraId="53A77565" w14:textId="77777777" w:rsidR="005E0CC4" w:rsidRPr="00796A1E" w:rsidRDefault="005E0CC4" w:rsidP="00796A1E">
      <w:pPr>
        <w:spacing w:after="0" w:line="240" w:lineRule="auto"/>
        <w:jc w:val="both"/>
        <w:rPr>
          <w:rFonts w:ascii="Times New Roman" w:eastAsia="Times New Roman" w:hAnsi="Times New Roman"/>
          <w:bCs/>
          <w:sz w:val="24"/>
          <w:szCs w:val="24"/>
        </w:rPr>
      </w:pPr>
    </w:p>
    <w:tbl>
      <w:tblPr>
        <w:tblpPr w:leftFromText="141" w:rightFromText="141" w:vertAnchor="text" w:horzAnchor="margin" w:tblpXSpec="center" w:tblpY="40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3309"/>
        <w:gridCol w:w="3896"/>
        <w:gridCol w:w="616"/>
        <w:gridCol w:w="514"/>
        <w:gridCol w:w="616"/>
      </w:tblGrid>
      <w:tr w:rsidR="00796A1E" w:rsidRPr="00796A1E" w14:paraId="251C3838" w14:textId="77777777" w:rsidTr="00414C56">
        <w:tc>
          <w:tcPr>
            <w:tcW w:w="1809" w:type="dxa"/>
            <w:vMerge w:val="restart"/>
            <w:shd w:val="clear" w:color="auto" w:fill="F2F2F2" w:themeFill="background1" w:themeFillShade="F2"/>
            <w:vAlign w:val="center"/>
          </w:tcPr>
          <w:p w14:paraId="5A4F8CAA" w14:textId="77777777" w:rsidR="00796A1E" w:rsidRPr="00796A1E" w:rsidRDefault="00796A1E" w:rsidP="00796A1E">
            <w:pPr>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lastRenderedPageBreak/>
              <w:t>Résultat/</w:t>
            </w:r>
            <w:r w:rsidRPr="00796A1E">
              <w:rPr>
                <w:rFonts w:ascii="Times New Roman" w:eastAsia="Times New Roman" w:hAnsi="Times New Roman"/>
                <w:bCs/>
                <w:sz w:val="20"/>
                <w:szCs w:val="20"/>
              </w:rPr>
              <w:t>Effet 2</w:t>
            </w:r>
          </w:p>
        </w:tc>
        <w:tc>
          <w:tcPr>
            <w:tcW w:w="3402" w:type="dxa"/>
            <w:vMerge w:val="restart"/>
            <w:shd w:val="clear" w:color="auto" w:fill="F2F2F2" w:themeFill="background1" w:themeFillShade="F2"/>
            <w:vAlign w:val="center"/>
          </w:tcPr>
          <w:p w14:paraId="38D441F4" w14:textId="77777777" w:rsidR="00796A1E" w:rsidRPr="00796A1E" w:rsidRDefault="00796A1E" w:rsidP="00796A1E">
            <w:p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Attendus</w:t>
            </w:r>
          </w:p>
        </w:tc>
        <w:tc>
          <w:tcPr>
            <w:tcW w:w="5529" w:type="dxa"/>
            <w:gridSpan w:val="4"/>
            <w:shd w:val="clear" w:color="auto" w:fill="F2F2F2" w:themeFill="background1" w:themeFillShade="F2"/>
            <w:vAlign w:val="center"/>
          </w:tcPr>
          <w:p w14:paraId="41F31292" w14:textId="77777777" w:rsidR="00796A1E" w:rsidRPr="00796A1E" w:rsidRDefault="00796A1E" w:rsidP="00796A1E">
            <w:p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Exécution</w:t>
            </w:r>
          </w:p>
        </w:tc>
      </w:tr>
      <w:tr w:rsidR="00796A1E" w:rsidRPr="00796A1E" w14:paraId="2188CA1E" w14:textId="77777777" w:rsidTr="00414C56">
        <w:tc>
          <w:tcPr>
            <w:tcW w:w="1809" w:type="dxa"/>
            <w:vMerge/>
            <w:shd w:val="clear" w:color="auto" w:fill="F2F2F2" w:themeFill="background1" w:themeFillShade="F2"/>
            <w:vAlign w:val="center"/>
          </w:tcPr>
          <w:p w14:paraId="46A57344" w14:textId="77777777" w:rsidR="00796A1E" w:rsidRPr="00796A1E" w:rsidRDefault="00796A1E" w:rsidP="00796A1E">
            <w:pPr>
              <w:spacing w:after="0" w:line="240" w:lineRule="auto"/>
              <w:jc w:val="both"/>
              <w:rPr>
                <w:rFonts w:ascii="Times New Roman" w:eastAsia="Times New Roman" w:hAnsi="Times New Roman"/>
                <w:bCs/>
                <w:sz w:val="20"/>
                <w:szCs w:val="20"/>
              </w:rPr>
            </w:pPr>
          </w:p>
        </w:tc>
        <w:tc>
          <w:tcPr>
            <w:tcW w:w="3402" w:type="dxa"/>
            <w:vMerge/>
            <w:shd w:val="clear" w:color="auto" w:fill="F2F2F2" w:themeFill="background1" w:themeFillShade="F2"/>
            <w:vAlign w:val="center"/>
          </w:tcPr>
          <w:p w14:paraId="5443D703" w14:textId="77777777" w:rsidR="00796A1E" w:rsidRPr="00796A1E" w:rsidRDefault="00796A1E" w:rsidP="00796A1E">
            <w:pPr>
              <w:spacing w:after="0" w:line="240" w:lineRule="auto"/>
              <w:jc w:val="both"/>
              <w:rPr>
                <w:rFonts w:ascii="Times New Roman" w:eastAsia="Times New Roman" w:hAnsi="Times New Roman"/>
                <w:bCs/>
                <w:sz w:val="20"/>
                <w:szCs w:val="20"/>
              </w:rPr>
            </w:pPr>
          </w:p>
        </w:tc>
        <w:tc>
          <w:tcPr>
            <w:tcW w:w="3969" w:type="dxa"/>
            <w:vMerge w:val="restart"/>
            <w:shd w:val="clear" w:color="auto" w:fill="F2F2F2" w:themeFill="background1" w:themeFillShade="F2"/>
            <w:vAlign w:val="center"/>
          </w:tcPr>
          <w:p w14:paraId="499C69BA" w14:textId="77777777" w:rsidR="00796A1E" w:rsidRPr="00796A1E" w:rsidRDefault="00796A1E" w:rsidP="00796A1E">
            <w:p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Réalisations/Livraisons</w:t>
            </w:r>
          </w:p>
        </w:tc>
        <w:tc>
          <w:tcPr>
            <w:tcW w:w="1560" w:type="dxa"/>
            <w:gridSpan w:val="3"/>
            <w:shd w:val="clear" w:color="auto" w:fill="F2F2F2" w:themeFill="background1" w:themeFillShade="F2"/>
            <w:vAlign w:val="center"/>
          </w:tcPr>
          <w:p w14:paraId="1090E408" w14:textId="77777777" w:rsidR="00796A1E" w:rsidRPr="00796A1E" w:rsidRDefault="00796A1E" w:rsidP="00796A1E">
            <w:p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Rating</w:t>
            </w:r>
          </w:p>
        </w:tc>
      </w:tr>
      <w:tr w:rsidR="00796A1E" w:rsidRPr="00796A1E" w14:paraId="41878F4C" w14:textId="77777777" w:rsidTr="00414C56">
        <w:trPr>
          <w:trHeight w:val="370"/>
        </w:trPr>
        <w:tc>
          <w:tcPr>
            <w:tcW w:w="1809" w:type="dxa"/>
            <w:vMerge/>
            <w:shd w:val="clear" w:color="auto" w:fill="F2F2F2" w:themeFill="background1" w:themeFillShade="F2"/>
            <w:vAlign w:val="center"/>
          </w:tcPr>
          <w:p w14:paraId="17BEB81E" w14:textId="77777777" w:rsidR="00796A1E" w:rsidRPr="00796A1E" w:rsidRDefault="00796A1E" w:rsidP="00796A1E">
            <w:pPr>
              <w:spacing w:after="0" w:line="240" w:lineRule="auto"/>
              <w:jc w:val="both"/>
              <w:rPr>
                <w:rFonts w:ascii="Times New Roman" w:eastAsia="Times New Roman" w:hAnsi="Times New Roman"/>
                <w:bCs/>
                <w:sz w:val="20"/>
                <w:szCs w:val="20"/>
              </w:rPr>
            </w:pPr>
          </w:p>
        </w:tc>
        <w:tc>
          <w:tcPr>
            <w:tcW w:w="3402" w:type="dxa"/>
            <w:vMerge/>
            <w:shd w:val="clear" w:color="auto" w:fill="F2F2F2" w:themeFill="background1" w:themeFillShade="F2"/>
            <w:vAlign w:val="center"/>
          </w:tcPr>
          <w:p w14:paraId="0AAA1ADD" w14:textId="77777777" w:rsidR="00796A1E" w:rsidRPr="00796A1E" w:rsidRDefault="00796A1E" w:rsidP="00796A1E">
            <w:pPr>
              <w:spacing w:after="0" w:line="240" w:lineRule="auto"/>
              <w:jc w:val="both"/>
              <w:rPr>
                <w:rFonts w:ascii="Times New Roman" w:eastAsia="Times New Roman" w:hAnsi="Times New Roman"/>
                <w:bCs/>
                <w:sz w:val="20"/>
                <w:szCs w:val="20"/>
              </w:rPr>
            </w:pPr>
          </w:p>
        </w:tc>
        <w:tc>
          <w:tcPr>
            <w:tcW w:w="3969" w:type="dxa"/>
            <w:vMerge/>
            <w:shd w:val="clear" w:color="auto" w:fill="F2F2F2" w:themeFill="background1" w:themeFillShade="F2"/>
            <w:vAlign w:val="center"/>
          </w:tcPr>
          <w:p w14:paraId="3AD53A19" w14:textId="77777777" w:rsidR="00796A1E" w:rsidRPr="00796A1E" w:rsidRDefault="00796A1E" w:rsidP="00796A1E">
            <w:pPr>
              <w:spacing w:after="0" w:line="240" w:lineRule="auto"/>
              <w:jc w:val="both"/>
              <w:rPr>
                <w:rFonts w:ascii="Times New Roman" w:eastAsia="Times New Roman" w:hAnsi="Times New Roman"/>
                <w:bCs/>
                <w:sz w:val="20"/>
                <w:szCs w:val="20"/>
              </w:rPr>
            </w:pPr>
          </w:p>
        </w:tc>
        <w:tc>
          <w:tcPr>
            <w:tcW w:w="520" w:type="dxa"/>
            <w:shd w:val="clear" w:color="auto" w:fill="F2F2F2" w:themeFill="background1" w:themeFillShade="F2"/>
            <w:vAlign w:val="center"/>
          </w:tcPr>
          <w:p w14:paraId="21229232" w14:textId="77777777" w:rsidR="00796A1E" w:rsidRPr="00796A1E" w:rsidRDefault="00796A1E" w:rsidP="00796A1E">
            <w:p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E</w:t>
            </w:r>
          </w:p>
        </w:tc>
        <w:tc>
          <w:tcPr>
            <w:tcW w:w="520" w:type="dxa"/>
            <w:shd w:val="clear" w:color="auto" w:fill="F2F2F2" w:themeFill="background1" w:themeFillShade="F2"/>
            <w:vAlign w:val="center"/>
          </w:tcPr>
          <w:p w14:paraId="464F5C15" w14:textId="77777777" w:rsidR="00796A1E" w:rsidRPr="00796A1E" w:rsidRDefault="00796A1E" w:rsidP="00796A1E">
            <w:p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M</w:t>
            </w:r>
          </w:p>
        </w:tc>
        <w:tc>
          <w:tcPr>
            <w:tcW w:w="520" w:type="dxa"/>
            <w:shd w:val="clear" w:color="auto" w:fill="F2F2F2" w:themeFill="background1" w:themeFillShade="F2"/>
            <w:vAlign w:val="center"/>
          </w:tcPr>
          <w:p w14:paraId="6D8C7C40" w14:textId="77777777" w:rsidR="00796A1E" w:rsidRPr="00796A1E" w:rsidRDefault="00796A1E" w:rsidP="00796A1E">
            <w:p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F-N</w:t>
            </w:r>
          </w:p>
        </w:tc>
      </w:tr>
      <w:tr w:rsidR="00796A1E" w:rsidRPr="00796A1E" w14:paraId="5E549D18" w14:textId="77777777" w:rsidTr="00414C56">
        <w:tc>
          <w:tcPr>
            <w:tcW w:w="1809" w:type="dxa"/>
            <w:vMerge w:val="restart"/>
            <w:shd w:val="clear" w:color="auto" w:fill="F2F2F2" w:themeFill="background1" w:themeFillShade="F2"/>
            <w:vAlign w:val="center"/>
          </w:tcPr>
          <w:p w14:paraId="08912DC1" w14:textId="77777777" w:rsidR="00796A1E" w:rsidRPr="00796A1E" w:rsidRDefault="00796A1E" w:rsidP="00796A1E">
            <w:p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D’ici à 2019, les populations vulnérables, en particulier les femmes et les jeunes, utilisent des capacités de production dans un environnement (naturel) sain qui est propice à la réduction de la pauvreté</w:t>
            </w:r>
          </w:p>
        </w:tc>
        <w:tc>
          <w:tcPr>
            <w:tcW w:w="3402" w:type="dxa"/>
            <w:shd w:val="clear" w:color="auto" w:fill="auto"/>
            <w:vAlign w:val="center"/>
          </w:tcPr>
          <w:p w14:paraId="4495021B" w14:textId="77777777" w:rsidR="00796A1E" w:rsidRPr="00796A1E" w:rsidRDefault="00796A1E" w:rsidP="00796A1E">
            <w:p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Taux de chômage</w:t>
            </w:r>
          </w:p>
          <w:p w14:paraId="237E9A1B" w14:textId="77777777" w:rsidR="00796A1E" w:rsidRPr="00796A1E" w:rsidRDefault="00796A1E" w:rsidP="00D76EFA">
            <w:pPr>
              <w:numPr>
                <w:ilvl w:val="0"/>
                <w:numId w:val="27"/>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Réf : 13,5 % (estimation)</w:t>
            </w:r>
          </w:p>
          <w:p w14:paraId="4AEABE8C" w14:textId="77777777" w:rsidR="00796A1E" w:rsidRPr="00796A1E" w:rsidRDefault="00796A1E" w:rsidP="00D76EFA">
            <w:pPr>
              <w:numPr>
                <w:ilvl w:val="0"/>
                <w:numId w:val="27"/>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Cible : Réduction de 2 % par</w:t>
            </w:r>
            <w:r w:rsidRPr="00796A1E">
              <w:rPr>
                <w:rFonts w:ascii="Times New Roman" w:eastAsia="Times New Roman" w:hAnsi="Times New Roman"/>
                <w:b/>
                <w:bCs/>
                <w:sz w:val="20"/>
                <w:szCs w:val="20"/>
              </w:rPr>
              <w:t xml:space="preserve"> </w:t>
            </w:r>
            <w:r w:rsidRPr="00796A1E">
              <w:rPr>
                <w:rFonts w:ascii="Times New Roman" w:eastAsia="Times New Roman" w:hAnsi="Times New Roman"/>
                <w:bCs/>
                <w:sz w:val="20"/>
                <w:szCs w:val="20"/>
              </w:rPr>
              <w:t>an</w:t>
            </w:r>
          </w:p>
        </w:tc>
        <w:tc>
          <w:tcPr>
            <w:tcW w:w="3969" w:type="dxa"/>
            <w:shd w:val="clear" w:color="auto" w:fill="auto"/>
            <w:vAlign w:val="center"/>
          </w:tcPr>
          <w:p w14:paraId="2A9CD84D" w14:textId="77777777" w:rsidR="00796A1E" w:rsidRPr="00796A1E" w:rsidRDefault="00796A1E" w:rsidP="00D76EFA">
            <w:pPr>
              <w:numPr>
                <w:ilvl w:val="0"/>
                <w:numId w:val="86"/>
              </w:numPr>
              <w:spacing w:after="0" w:line="240" w:lineRule="auto"/>
              <w:jc w:val="both"/>
              <w:rPr>
                <w:rFonts w:ascii="Times New Roman" w:eastAsia="Times New Roman" w:hAnsi="Times New Roman"/>
                <w:b/>
                <w:bCs/>
                <w:sz w:val="20"/>
                <w:szCs w:val="20"/>
              </w:rPr>
            </w:pPr>
            <w:r w:rsidRPr="00796A1E">
              <w:rPr>
                <w:rFonts w:ascii="Times New Roman" w:eastAsia="Times New Roman" w:hAnsi="Times New Roman"/>
                <w:b/>
                <w:bCs/>
                <w:sz w:val="20"/>
                <w:szCs w:val="20"/>
              </w:rPr>
              <w:t>10,05% en 2016 (baisse de 0,45 pt par rapport à 2015, au lieu des 2 pts de réduction ciblée)</w:t>
            </w:r>
          </w:p>
          <w:p w14:paraId="5E22DAD6" w14:textId="77777777" w:rsidR="00796A1E" w:rsidRPr="00796A1E" w:rsidRDefault="00796A1E" w:rsidP="00D76EFA">
            <w:pPr>
              <w:numPr>
                <w:ilvl w:val="0"/>
                <w:numId w:val="86"/>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
                <w:bCs/>
                <w:sz w:val="20"/>
                <w:szCs w:val="20"/>
              </w:rPr>
              <w:t>Contributions PNUD à la création nationale d’emplois</w:t>
            </w:r>
            <w:r w:rsidRPr="00796A1E">
              <w:rPr>
                <w:rFonts w:ascii="Times New Roman" w:eastAsia="Times New Roman" w:hAnsi="Times New Roman"/>
                <w:bCs/>
                <w:sz w:val="20"/>
                <w:szCs w:val="20"/>
              </w:rPr>
              <w:t> :</w:t>
            </w:r>
          </w:p>
          <w:p w14:paraId="7A322DEA" w14:textId="77777777" w:rsidR="00796A1E" w:rsidRPr="00796A1E" w:rsidRDefault="00796A1E" w:rsidP="00796A1E">
            <w:pPr>
              <w:spacing w:after="0" w:line="240" w:lineRule="auto"/>
              <w:jc w:val="both"/>
              <w:rPr>
                <w:rFonts w:ascii="Times New Roman" w:eastAsia="Times New Roman" w:hAnsi="Times New Roman"/>
                <w:b/>
                <w:bCs/>
                <w:sz w:val="20"/>
                <w:szCs w:val="20"/>
              </w:rPr>
            </w:pPr>
            <w:r w:rsidRPr="00796A1E">
              <w:rPr>
                <w:rFonts w:ascii="Times New Roman" w:eastAsia="Times New Roman" w:hAnsi="Times New Roman"/>
                <w:b/>
                <w:bCs/>
                <w:sz w:val="20"/>
                <w:szCs w:val="20"/>
              </w:rPr>
              <w:t>Soutien directe à la Résilience économique</w:t>
            </w:r>
          </w:p>
          <w:p w14:paraId="7218529B" w14:textId="77777777" w:rsidR="00796A1E" w:rsidRPr="00796A1E" w:rsidRDefault="00796A1E" w:rsidP="00D76EFA">
            <w:pPr>
              <w:numPr>
                <w:ilvl w:val="0"/>
                <w:numId w:val="68"/>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6000 emplois temporaires créés pour les jeunes dans la foresterie et la protection environnementale</w:t>
            </w:r>
          </w:p>
          <w:p w14:paraId="2A25F407" w14:textId="77777777" w:rsidR="00796A1E" w:rsidRPr="00796A1E" w:rsidRDefault="00796A1E" w:rsidP="00D76EFA">
            <w:pPr>
              <w:numPr>
                <w:ilvl w:val="0"/>
                <w:numId w:val="68"/>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6500 producteurs mènent des AGRs en riziculture</w:t>
            </w:r>
          </w:p>
          <w:p w14:paraId="0D0F83CB" w14:textId="77777777" w:rsidR="00796A1E" w:rsidRPr="00796A1E" w:rsidRDefault="00796A1E" w:rsidP="00D76EFA">
            <w:pPr>
              <w:numPr>
                <w:ilvl w:val="0"/>
                <w:numId w:val="68"/>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8 000 jeunes en emploi</w:t>
            </w:r>
          </w:p>
          <w:p w14:paraId="273FAEA8" w14:textId="77777777" w:rsidR="00796A1E" w:rsidRPr="00796A1E" w:rsidRDefault="00796A1E" w:rsidP="00D76EFA">
            <w:pPr>
              <w:numPr>
                <w:ilvl w:val="0"/>
                <w:numId w:val="68"/>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7 500 femmes chefs de ménage bénéficiaires d’activités génératrices de revenu</w:t>
            </w:r>
          </w:p>
          <w:p w14:paraId="511C2771" w14:textId="77777777" w:rsidR="00796A1E" w:rsidRPr="00796A1E" w:rsidRDefault="00796A1E" w:rsidP="00D76EFA">
            <w:pPr>
              <w:numPr>
                <w:ilvl w:val="0"/>
                <w:numId w:val="68"/>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Filières Mangue, Gomme arabique, Karité et viande- bétail, appuyées : 300 femmes capacitées</w:t>
            </w:r>
          </w:p>
          <w:p w14:paraId="4021EDAC" w14:textId="77777777" w:rsidR="00796A1E" w:rsidRPr="0027472B" w:rsidRDefault="00796A1E" w:rsidP="00D76EFA">
            <w:pPr>
              <w:numPr>
                <w:ilvl w:val="0"/>
                <w:numId w:val="68"/>
              </w:numPr>
              <w:spacing w:after="0" w:line="240" w:lineRule="auto"/>
              <w:jc w:val="both"/>
              <w:rPr>
                <w:rFonts w:ascii="Times New Roman" w:eastAsia="Times New Roman" w:hAnsi="Times New Roman"/>
                <w:bCs/>
                <w:sz w:val="20"/>
                <w:szCs w:val="20"/>
              </w:rPr>
            </w:pPr>
            <w:r w:rsidRPr="0027472B">
              <w:rPr>
                <w:rFonts w:ascii="Times New Roman" w:eastAsia="Times New Roman" w:hAnsi="Times New Roman"/>
                <w:bCs/>
                <w:sz w:val="20"/>
                <w:szCs w:val="20"/>
              </w:rPr>
              <w:t>2500 femmes ont bénéficié d’activités génératrices de revenu</w:t>
            </w:r>
            <w:r w:rsidR="0027472B" w:rsidRPr="0027472B">
              <w:rPr>
                <w:rFonts w:ascii="Times New Roman" w:eastAsia="Times New Roman" w:hAnsi="Times New Roman"/>
                <w:bCs/>
                <w:sz w:val="20"/>
                <w:szCs w:val="20"/>
              </w:rPr>
              <w:t> :</w:t>
            </w:r>
            <w:r w:rsidR="0027472B">
              <w:rPr>
                <w:rFonts w:ascii="Times New Roman" w:eastAsia="Times New Roman" w:hAnsi="Times New Roman"/>
                <w:bCs/>
                <w:sz w:val="20"/>
                <w:szCs w:val="20"/>
              </w:rPr>
              <w:t xml:space="preserve"> f</w:t>
            </w:r>
            <w:r w:rsidRPr="0027472B">
              <w:rPr>
                <w:rFonts w:ascii="Times New Roman" w:eastAsia="Times New Roman" w:hAnsi="Times New Roman"/>
                <w:bCs/>
                <w:sz w:val="20"/>
                <w:szCs w:val="20"/>
              </w:rPr>
              <w:t>ilières Mangue, Gomme arabique, Karité et viande- bétail, appuyées : 300 femmes capacités</w:t>
            </w:r>
          </w:p>
          <w:p w14:paraId="70A7AE3B" w14:textId="77777777" w:rsidR="00796A1E" w:rsidRPr="00796A1E" w:rsidRDefault="00796A1E" w:rsidP="00D76EFA">
            <w:pPr>
              <w:numPr>
                <w:ilvl w:val="0"/>
                <w:numId w:val="68"/>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Infrastructures hydro agricoles développées avec le  système Faguibine (Région de Tombouctou)</w:t>
            </w:r>
          </w:p>
          <w:p w14:paraId="6BD409F6" w14:textId="77777777" w:rsidR="00796A1E" w:rsidRPr="00796A1E" w:rsidRDefault="00796A1E" w:rsidP="00D76EFA">
            <w:pPr>
              <w:numPr>
                <w:ilvl w:val="0"/>
                <w:numId w:val="68"/>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 xml:space="preserve">300 femmes pisteurs qui jouent un rôle d'intermédiaires dans le processus de production et de commercialisation des mangues ont pu diversifier leurs revenus et améliorer leurs conditions de vie. </w:t>
            </w:r>
          </w:p>
          <w:p w14:paraId="408F1E60" w14:textId="77777777" w:rsidR="00796A1E" w:rsidRPr="00796A1E" w:rsidRDefault="00796A1E" w:rsidP="00796A1E">
            <w:pPr>
              <w:spacing w:after="0" w:line="240" w:lineRule="auto"/>
              <w:jc w:val="both"/>
              <w:rPr>
                <w:rFonts w:ascii="Times New Roman" w:eastAsia="Times New Roman" w:hAnsi="Times New Roman"/>
                <w:b/>
                <w:bCs/>
                <w:sz w:val="20"/>
                <w:szCs w:val="20"/>
              </w:rPr>
            </w:pPr>
            <w:r w:rsidRPr="00796A1E">
              <w:rPr>
                <w:rFonts w:ascii="Times New Roman" w:eastAsia="Times New Roman" w:hAnsi="Times New Roman"/>
                <w:b/>
                <w:bCs/>
                <w:sz w:val="20"/>
                <w:szCs w:val="20"/>
              </w:rPr>
              <w:t>Stratégies d’appui à la réconciliation</w:t>
            </w:r>
          </w:p>
          <w:p w14:paraId="4D8D1407" w14:textId="77777777" w:rsidR="00796A1E" w:rsidRPr="00796A1E" w:rsidRDefault="00796A1E" w:rsidP="00D76EFA">
            <w:pPr>
              <w:numPr>
                <w:ilvl w:val="0"/>
                <w:numId w:val="61"/>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HIMO de surcreusement de chenaux pour irrigation des périmètres pour la riziculture et le maraichage : Tombouctou</w:t>
            </w:r>
          </w:p>
          <w:p w14:paraId="38463180" w14:textId="77777777" w:rsidR="00796A1E" w:rsidRPr="00796A1E" w:rsidRDefault="00796A1E" w:rsidP="00D76EFA">
            <w:pPr>
              <w:numPr>
                <w:ilvl w:val="0"/>
                <w:numId w:val="61"/>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 xml:space="preserve">AGR maraîchers pour 7500 femmes </w:t>
            </w:r>
          </w:p>
          <w:p w14:paraId="77E5D6FC" w14:textId="77777777" w:rsidR="00796A1E" w:rsidRPr="00796A1E" w:rsidRDefault="00796A1E" w:rsidP="00D76EFA">
            <w:pPr>
              <w:numPr>
                <w:ilvl w:val="0"/>
                <w:numId w:val="61"/>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10 500 emplois temporaires, pour les jeunes</w:t>
            </w:r>
          </w:p>
          <w:p w14:paraId="4775796F" w14:textId="77777777" w:rsidR="00796A1E" w:rsidRPr="00796A1E" w:rsidRDefault="00796A1E" w:rsidP="00D76EFA">
            <w:pPr>
              <w:numPr>
                <w:ilvl w:val="0"/>
                <w:numId w:val="61"/>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AGR pour 6500 producteurs de céréales</w:t>
            </w:r>
          </w:p>
          <w:p w14:paraId="00C062C8" w14:textId="77777777" w:rsidR="00796A1E" w:rsidRPr="00796A1E" w:rsidRDefault="00796A1E" w:rsidP="00D76EFA">
            <w:pPr>
              <w:numPr>
                <w:ilvl w:val="0"/>
                <w:numId w:val="61"/>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 xml:space="preserve">10 000 autres producteurs (dont 40% de femmes) améliorent leurs potentiel de production, et donc d’emploi, grâce aux infrastructures de maîtrise d’eau et aux semences mises à disposition </w:t>
            </w:r>
          </w:p>
        </w:tc>
        <w:tc>
          <w:tcPr>
            <w:tcW w:w="520" w:type="dxa"/>
            <w:shd w:val="clear" w:color="auto" w:fill="auto"/>
            <w:vAlign w:val="center"/>
          </w:tcPr>
          <w:p w14:paraId="6F9A42C2" w14:textId="77777777" w:rsidR="00796A1E" w:rsidRPr="00796A1E" w:rsidRDefault="00796A1E" w:rsidP="00796A1E">
            <w:pPr>
              <w:spacing w:after="0" w:line="240" w:lineRule="auto"/>
              <w:jc w:val="both"/>
              <w:rPr>
                <w:rFonts w:ascii="Times New Roman" w:eastAsia="Times New Roman" w:hAnsi="Times New Roman"/>
                <w:bCs/>
                <w:sz w:val="20"/>
                <w:szCs w:val="20"/>
              </w:rPr>
            </w:pPr>
          </w:p>
        </w:tc>
        <w:tc>
          <w:tcPr>
            <w:tcW w:w="520" w:type="dxa"/>
            <w:shd w:val="clear" w:color="auto" w:fill="auto"/>
            <w:vAlign w:val="center"/>
          </w:tcPr>
          <w:p w14:paraId="0BFFFDD9" w14:textId="77777777" w:rsidR="00796A1E" w:rsidRPr="00796A1E" w:rsidRDefault="00796A1E" w:rsidP="00796A1E">
            <w:pPr>
              <w:spacing w:after="0" w:line="240" w:lineRule="auto"/>
              <w:jc w:val="both"/>
              <w:rPr>
                <w:rFonts w:ascii="Times New Roman" w:eastAsia="Times New Roman" w:hAnsi="Times New Roman"/>
                <w:bCs/>
                <w:sz w:val="20"/>
                <w:szCs w:val="20"/>
              </w:rPr>
            </w:pPr>
          </w:p>
        </w:tc>
        <w:tc>
          <w:tcPr>
            <w:tcW w:w="520" w:type="dxa"/>
            <w:shd w:val="clear" w:color="auto" w:fill="FF0000"/>
            <w:vAlign w:val="center"/>
          </w:tcPr>
          <w:p w14:paraId="76BA261A" w14:textId="77777777" w:rsidR="00796A1E" w:rsidRPr="00796A1E" w:rsidRDefault="00796A1E" w:rsidP="00796A1E">
            <w:pPr>
              <w:spacing w:after="0" w:line="240" w:lineRule="auto"/>
              <w:jc w:val="both"/>
              <w:rPr>
                <w:rFonts w:ascii="Times New Roman" w:eastAsia="Times New Roman" w:hAnsi="Times New Roman"/>
                <w:b/>
                <w:bCs/>
                <w:sz w:val="20"/>
                <w:szCs w:val="20"/>
              </w:rPr>
            </w:pPr>
            <w:r w:rsidRPr="00796A1E">
              <w:rPr>
                <w:rFonts w:ascii="Times New Roman" w:eastAsia="Times New Roman" w:hAnsi="Times New Roman"/>
                <w:b/>
                <w:bCs/>
                <w:sz w:val="20"/>
                <w:szCs w:val="20"/>
              </w:rPr>
              <w:t>22%</w:t>
            </w:r>
          </w:p>
        </w:tc>
      </w:tr>
      <w:tr w:rsidR="00796A1E" w:rsidRPr="00796A1E" w14:paraId="28266842" w14:textId="77777777" w:rsidTr="00414C56">
        <w:tc>
          <w:tcPr>
            <w:tcW w:w="1809" w:type="dxa"/>
            <w:vMerge/>
            <w:shd w:val="clear" w:color="auto" w:fill="F2F2F2" w:themeFill="background1" w:themeFillShade="F2"/>
            <w:vAlign w:val="center"/>
          </w:tcPr>
          <w:p w14:paraId="6F1B800D" w14:textId="77777777" w:rsidR="00796A1E" w:rsidRPr="00796A1E" w:rsidRDefault="00796A1E" w:rsidP="00796A1E">
            <w:pPr>
              <w:spacing w:after="0" w:line="240" w:lineRule="auto"/>
              <w:jc w:val="both"/>
              <w:rPr>
                <w:rFonts w:ascii="Times New Roman" w:eastAsia="Times New Roman" w:hAnsi="Times New Roman"/>
                <w:bCs/>
                <w:sz w:val="20"/>
                <w:szCs w:val="20"/>
              </w:rPr>
            </w:pPr>
          </w:p>
        </w:tc>
        <w:tc>
          <w:tcPr>
            <w:tcW w:w="3402" w:type="dxa"/>
            <w:shd w:val="clear" w:color="auto" w:fill="auto"/>
            <w:vAlign w:val="center"/>
          </w:tcPr>
          <w:p w14:paraId="0D0C66DD" w14:textId="77777777" w:rsidR="00796A1E" w:rsidRPr="00796A1E" w:rsidRDefault="00796A1E" w:rsidP="00796A1E">
            <w:p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Taux de croissance</w:t>
            </w:r>
          </w:p>
          <w:p w14:paraId="2FD2F4BE" w14:textId="77777777" w:rsidR="00796A1E" w:rsidRPr="00796A1E" w:rsidRDefault="00796A1E" w:rsidP="00D76EFA">
            <w:pPr>
              <w:numPr>
                <w:ilvl w:val="0"/>
                <w:numId w:val="28"/>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Réf : 1,7% (2013)</w:t>
            </w:r>
          </w:p>
          <w:p w14:paraId="4B03E94D" w14:textId="77777777" w:rsidR="00796A1E" w:rsidRPr="00796A1E" w:rsidRDefault="00796A1E" w:rsidP="00D76EFA">
            <w:pPr>
              <w:numPr>
                <w:ilvl w:val="0"/>
                <w:numId w:val="28"/>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Cible : 7 %</w:t>
            </w:r>
          </w:p>
        </w:tc>
        <w:tc>
          <w:tcPr>
            <w:tcW w:w="3969" w:type="dxa"/>
            <w:shd w:val="clear" w:color="auto" w:fill="auto"/>
            <w:vAlign w:val="center"/>
          </w:tcPr>
          <w:p w14:paraId="701A055D" w14:textId="77777777" w:rsidR="00796A1E" w:rsidRPr="00796A1E" w:rsidRDefault="00796A1E" w:rsidP="00D76EFA">
            <w:pPr>
              <w:numPr>
                <w:ilvl w:val="0"/>
                <w:numId w:val="28"/>
              </w:numPr>
              <w:spacing w:after="0" w:line="240" w:lineRule="auto"/>
              <w:jc w:val="both"/>
              <w:rPr>
                <w:rFonts w:ascii="Times New Roman" w:eastAsia="Times New Roman" w:hAnsi="Times New Roman"/>
                <w:b/>
                <w:bCs/>
                <w:sz w:val="20"/>
                <w:szCs w:val="20"/>
              </w:rPr>
            </w:pPr>
            <w:r w:rsidRPr="00796A1E">
              <w:rPr>
                <w:rFonts w:ascii="Times New Roman" w:eastAsia="Times New Roman" w:hAnsi="Times New Roman"/>
                <w:b/>
                <w:bCs/>
                <w:sz w:val="20"/>
                <w:szCs w:val="20"/>
              </w:rPr>
              <w:t>5,8 % en 2016 : en repli par rapport à 2015 (6%)</w:t>
            </w:r>
          </w:p>
          <w:p w14:paraId="314CAB2F" w14:textId="77777777" w:rsidR="00796A1E" w:rsidRPr="00796A1E" w:rsidRDefault="00796A1E" w:rsidP="00D76EFA">
            <w:pPr>
              <w:numPr>
                <w:ilvl w:val="0"/>
                <w:numId w:val="28"/>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
                <w:bCs/>
                <w:sz w:val="20"/>
                <w:szCs w:val="20"/>
              </w:rPr>
              <w:t>Contributions avérées du programme cependant</w:t>
            </w:r>
            <w:r w:rsidRPr="00796A1E">
              <w:rPr>
                <w:rFonts w:ascii="Times New Roman" w:eastAsia="Times New Roman" w:hAnsi="Times New Roman"/>
                <w:bCs/>
                <w:sz w:val="20"/>
                <w:szCs w:val="20"/>
              </w:rPr>
              <w:t> :</w:t>
            </w:r>
          </w:p>
          <w:p w14:paraId="65500137" w14:textId="77777777" w:rsidR="00796A1E" w:rsidRPr="00796A1E" w:rsidRDefault="00796A1E" w:rsidP="00D76EFA">
            <w:pPr>
              <w:numPr>
                <w:ilvl w:val="0"/>
                <w:numId w:val="67"/>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Production accrue dans la filière mangue à Mopti : 300 X 30 = 9 000 t de production ; pour un revenu de 13,000 USD</w:t>
            </w:r>
          </w:p>
          <w:p w14:paraId="494B7E56" w14:textId="77777777" w:rsidR="00796A1E" w:rsidRPr="00796A1E" w:rsidRDefault="00796A1E" w:rsidP="00D76EFA">
            <w:pPr>
              <w:numPr>
                <w:ilvl w:val="0"/>
                <w:numId w:val="67"/>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lastRenderedPageBreak/>
              <w:t>3000 d’hectares plantés autour de 130 plateformes multifonctionnelles : production de 3 millions de plants par 14 pépiniéristes locaux</w:t>
            </w:r>
          </w:p>
          <w:p w14:paraId="703A7D89" w14:textId="77777777" w:rsidR="00796A1E" w:rsidRPr="00796A1E" w:rsidRDefault="00796A1E" w:rsidP="00D76EFA">
            <w:pPr>
              <w:numPr>
                <w:ilvl w:val="0"/>
                <w:numId w:val="67"/>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40% de croissance de production céréalière : 491 paysans encadrés et dotés de (i) 8 tonnes 245 kilos de  semences de variétés adaptées de céréales et légumineuses (mil, sorgho, riz, arachide, niébé et sésame) et de cultures fourragères (niébé et gliricidia) ;  (ii) 42 tonnes 100 kilos d’engrais minéraux</w:t>
            </w:r>
          </w:p>
          <w:p w14:paraId="0EEED7E0" w14:textId="77777777" w:rsidR="00796A1E" w:rsidRPr="00796A1E" w:rsidRDefault="00796A1E" w:rsidP="00D76EFA">
            <w:pPr>
              <w:numPr>
                <w:ilvl w:val="0"/>
                <w:numId w:val="67"/>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 xml:space="preserve">Exportations nationales de mangue en croissance de 13% (43 854 t contre 38 799 t) entre 2015 et 2016  </w:t>
            </w:r>
          </w:p>
          <w:p w14:paraId="7BDC5D73" w14:textId="77777777" w:rsidR="00796A1E" w:rsidRPr="00796A1E" w:rsidRDefault="00796A1E" w:rsidP="00D76EFA">
            <w:pPr>
              <w:numPr>
                <w:ilvl w:val="0"/>
                <w:numId w:val="67"/>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Filière Mangue se classe désormais comme le 5eme produit d'exportation du Mali : plus de USD 20 millions de devises</w:t>
            </w:r>
          </w:p>
          <w:p w14:paraId="4FFA0401" w14:textId="77777777" w:rsidR="00796A1E" w:rsidRPr="00796A1E" w:rsidRDefault="00796A1E" w:rsidP="00796A1E">
            <w:p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Amélioration des facteurs de production :</w:t>
            </w:r>
          </w:p>
          <w:p w14:paraId="457884B0" w14:textId="77777777" w:rsidR="00796A1E" w:rsidRPr="00796A1E" w:rsidRDefault="00796A1E" w:rsidP="00D76EFA">
            <w:pPr>
              <w:numPr>
                <w:ilvl w:val="0"/>
                <w:numId w:val="78"/>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 xml:space="preserve">50 000 personnes raccordées aux énergies renouvelables : construction de trois villages solaires et installation de 500 kits solaires familiaux : contribution nette à deux statistiques sectorielles </w:t>
            </w:r>
          </w:p>
          <w:p w14:paraId="3B87241D" w14:textId="77777777" w:rsidR="00796A1E" w:rsidRPr="00796A1E" w:rsidRDefault="00796A1E" w:rsidP="00D76EFA">
            <w:pPr>
              <w:numPr>
                <w:ilvl w:val="0"/>
                <w:numId w:val="79"/>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Part de la population ayant accès à l’électricité au Mali est passée de 34% en 2014 à 36% en 2015</w:t>
            </w:r>
          </w:p>
          <w:p w14:paraId="4A812DA6" w14:textId="77777777" w:rsidR="00796A1E" w:rsidRPr="00796A1E" w:rsidRDefault="00796A1E" w:rsidP="00D76EFA">
            <w:pPr>
              <w:numPr>
                <w:ilvl w:val="0"/>
                <w:numId w:val="79"/>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Energies renouvelables dans la production d’électricité, représentent 6% en 2010 à  plus de 10% en 2015, avec une progression soutenue en 2016</w:t>
            </w:r>
          </w:p>
          <w:p w14:paraId="58C10D39" w14:textId="77777777" w:rsidR="00796A1E" w:rsidRPr="00796A1E" w:rsidRDefault="00796A1E" w:rsidP="00D76EFA">
            <w:pPr>
              <w:numPr>
                <w:ilvl w:val="0"/>
                <w:numId w:val="70"/>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 xml:space="preserve">Accès à l’eau de 140.000 habitants ont désormais accès à l'eau potable grâce à la réhabilitation de 11 points d'eau : Production céréalière et maraîchère a augmenté de 35 % ; Aviculture et élevage de bovins : augmentation de la production de 20%. </w:t>
            </w:r>
          </w:p>
        </w:tc>
        <w:tc>
          <w:tcPr>
            <w:tcW w:w="520" w:type="dxa"/>
            <w:shd w:val="clear" w:color="auto" w:fill="92D050"/>
            <w:vAlign w:val="center"/>
          </w:tcPr>
          <w:p w14:paraId="01252E56" w14:textId="77777777" w:rsidR="00796A1E" w:rsidRPr="00796A1E" w:rsidRDefault="00796A1E" w:rsidP="00796A1E">
            <w:p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lastRenderedPageBreak/>
              <w:t>83%</w:t>
            </w:r>
          </w:p>
        </w:tc>
        <w:tc>
          <w:tcPr>
            <w:tcW w:w="520" w:type="dxa"/>
            <w:shd w:val="clear" w:color="auto" w:fill="auto"/>
            <w:vAlign w:val="center"/>
          </w:tcPr>
          <w:p w14:paraId="0A6F3891" w14:textId="77777777" w:rsidR="00796A1E" w:rsidRPr="00796A1E" w:rsidRDefault="00796A1E" w:rsidP="00796A1E">
            <w:pPr>
              <w:spacing w:after="0" w:line="240" w:lineRule="auto"/>
              <w:jc w:val="both"/>
              <w:rPr>
                <w:rFonts w:ascii="Times New Roman" w:eastAsia="Times New Roman" w:hAnsi="Times New Roman"/>
                <w:bCs/>
                <w:sz w:val="20"/>
                <w:szCs w:val="20"/>
              </w:rPr>
            </w:pPr>
          </w:p>
        </w:tc>
        <w:tc>
          <w:tcPr>
            <w:tcW w:w="520" w:type="dxa"/>
            <w:shd w:val="clear" w:color="auto" w:fill="auto"/>
            <w:vAlign w:val="center"/>
          </w:tcPr>
          <w:p w14:paraId="67D9C34E" w14:textId="77777777" w:rsidR="00796A1E" w:rsidRPr="00796A1E" w:rsidRDefault="00796A1E" w:rsidP="00796A1E">
            <w:pPr>
              <w:spacing w:after="0" w:line="240" w:lineRule="auto"/>
              <w:jc w:val="both"/>
              <w:rPr>
                <w:rFonts w:ascii="Times New Roman" w:eastAsia="Times New Roman" w:hAnsi="Times New Roman"/>
                <w:bCs/>
                <w:sz w:val="20"/>
                <w:szCs w:val="20"/>
              </w:rPr>
            </w:pPr>
          </w:p>
        </w:tc>
      </w:tr>
      <w:tr w:rsidR="00796A1E" w:rsidRPr="00796A1E" w14:paraId="04990EB1" w14:textId="77777777" w:rsidTr="00414C56">
        <w:tc>
          <w:tcPr>
            <w:tcW w:w="1809" w:type="dxa"/>
            <w:vMerge/>
            <w:shd w:val="clear" w:color="auto" w:fill="F2F2F2" w:themeFill="background1" w:themeFillShade="F2"/>
            <w:vAlign w:val="center"/>
          </w:tcPr>
          <w:p w14:paraId="647A70C2" w14:textId="77777777" w:rsidR="00796A1E" w:rsidRPr="00796A1E" w:rsidRDefault="00796A1E" w:rsidP="00796A1E">
            <w:pPr>
              <w:spacing w:after="0" w:line="240" w:lineRule="auto"/>
              <w:jc w:val="both"/>
              <w:rPr>
                <w:rFonts w:ascii="Times New Roman" w:eastAsia="Times New Roman" w:hAnsi="Times New Roman"/>
                <w:bCs/>
                <w:sz w:val="20"/>
                <w:szCs w:val="20"/>
              </w:rPr>
            </w:pPr>
          </w:p>
        </w:tc>
        <w:tc>
          <w:tcPr>
            <w:tcW w:w="3402" w:type="dxa"/>
            <w:shd w:val="clear" w:color="auto" w:fill="auto"/>
            <w:vAlign w:val="center"/>
          </w:tcPr>
          <w:p w14:paraId="4844B8F0" w14:textId="77777777" w:rsidR="00796A1E" w:rsidRPr="00796A1E" w:rsidRDefault="00796A1E" w:rsidP="00796A1E">
            <w:p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Taux de pauvreté</w:t>
            </w:r>
          </w:p>
          <w:p w14:paraId="0F77AFB3" w14:textId="77777777" w:rsidR="00796A1E" w:rsidRPr="00796A1E" w:rsidRDefault="00796A1E" w:rsidP="00D76EFA">
            <w:pPr>
              <w:numPr>
                <w:ilvl w:val="0"/>
                <w:numId w:val="29"/>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Réf : 43,6 %</w:t>
            </w:r>
          </w:p>
          <w:p w14:paraId="7D9C17B4" w14:textId="77777777" w:rsidR="00796A1E" w:rsidRPr="00796A1E" w:rsidRDefault="00796A1E" w:rsidP="00D76EFA">
            <w:pPr>
              <w:numPr>
                <w:ilvl w:val="0"/>
                <w:numId w:val="29"/>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Cible : 21%</w:t>
            </w:r>
          </w:p>
        </w:tc>
        <w:tc>
          <w:tcPr>
            <w:tcW w:w="3969" w:type="dxa"/>
            <w:shd w:val="clear" w:color="auto" w:fill="auto"/>
            <w:vAlign w:val="center"/>
          </w:tcPr>
          <w:p w14:paraId="68463EA3" w14:textId="77777777" w:rsidR="00796A1E" w:rsidRPr="00796A1E" w:rsidRDefault="00796A1E" w:rsidP="00D76EFA">
            <w:pPr>
              <w:numPr>
                <w:ilvl w:val="0"/>
                <w:numId w:val="29"/>
              </w:numPr>
              <w:spacing w:after="0" w:line="240" w:lineRule="auto"/>
              <w:jc w:val="both"/>
              <w:rPr>
                <w:rFonts w:ascii="Times New Roman" w:eastAsia="Times New Roman" w:hAnsi="Times New Roman"/>
                <w:b/>
                <w:bCs/>
                <w:sz w:val="20"/>
                <w:szCs w:val="20"/>
              </w:rPr>
            </w:pPr>
            <w:r w:rsidRPr="00796A1E">
              <w:rPr>
                <w:rFonts w:ascii="Times New Roman" w:eastAsia="Times New Roman" w:hAnsi="Times New Roman"/>
                <w:b/>
                <w:bCs/>
                <w:sz w:val="20"/>
                <w:szCs w:val="20"/>
              </w:rPr>
              <w:t>46,8% : en nette dégradation</w:t>
            </w:r>
          </w:p>
          <w:p w14:paraId="69DDE2EE" w14:textId="77777777" w:rsidR="00796A1E" w:rsidRPr="00796A1E" w:rsidRDefault="00796A1E" w:rsidP="00D76EFA">
            <w:pPr>
              <w:numPr>
                <w:ilvl w:val="0"/>
                <w:numId w:val="29"/>
              </w:numPr>
              <w:spacing w:after="0" w:line="240" w:lineRule="auto"/>
              <w:jc w:val="both"/>
              <w:rPr>
                <w:rFonts w:ascii="Times New Roman" w:eastAsia="Times New Roman" w:hAnsi="Times New Roman"/>
                <w:b/>
                <w:bCs/>
                <w:sz w:val="20"/>
                <w:szCs w:val="20"/>
              </w:rPr>
            </w:pPr>
            <w:r w:rsidRPr="00796A1E">
              <w:rPr>
                <w:rFonts w:ascii="Times New Roman" w:eastAsia="Times New Roman" w:hAnsi="Times New Roman"/>
                <w:b/>
                <w:bCs/>
                <w:sz w:val="20"/>
                <w:szCs w:val="20"/>
              </w:rPr>
              <w:t>Contributions nettes du programme à la lutte contre la pauvreté :</w:t>
            </w:r>
          </w:p>
          <w:p w14:paraId="0057BE00" w14:textId="77777777" w:rsidR="00796A1E" w:rsidRPr="00796A1E" w:rsidRDefault="00796A1E" w:rsidP="00D76EFA">
            <w:pPr>
              <w:numPr>
                <w:ilvl w:val="0"/>
                <w:numId w:val="70"/>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 xml:space="preserve">Stratégies économiques de résilience et de relèvement développées par le programme : près de 23,000 emplois créés </w:t>
            </w:r>
          </w:p>
          <w:p w14:paraId="4120AAF1" w14:textId="77777777" w:rsidR="00796A1E" w:rsidRPr="00796A1E" w:rsidRDefault="00796A1E" w:rsidP="00D76EFA">
            <w:pPr>
              <w:numPr>
                <w:ilvl w:val="0"/>
                <w:numId w:val="70"/>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35,500 emplois et autres AGR développées au profit des populations en marges des stratégies de promotion de la réconciliation nationale</w:t>
            </w:r>
          </w:p>
          <w:p w14:paraId="1D4AA816" w14:textId="77777777" w:rsidR="00796A1E" w:rsidRPr="00796A1E" w:rsidRDefault="00796A1E" w:rsidP="00D76EFA">
            <w:pPr>
              <w:numPr>
                <w:ilvl w:val="0"/>
                <w:numId w:val="70"/>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Services sociaux de base</w:t>
            </w:r>
          </w:p>
          <w:p w14:paraId="541F0F42" w14:textId="77777777" w:rsidR="00796A1E" w:rsidRPr="00796A1E" w:rsidRDefault="00796A1E" w:rsidP="00D76EFA">
            <w:pPr>
              <w:numPr>
                <w:ilvl w:val="1"/>
                <w:numId w:val="70"/>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Taux d’accès à l’électricité passé de 34% en 2014 à 36 % en 2015 : soit 340 000 personnes de plus dont 51 % de femmes</w:t>
            </w:r>
          </w:p>
          <w:p w14:paraId="46994AD1" w14:textId="77777777" w:rsidR="00796A1E" w:rsidRPr="00796A1E" w:rsidRDefault="00796A1E" w:rsidP="00D76EFA">
            <w:pPr>
              <w:numPr>
                <w:ilvl w:val="0"/>
                <w:numId w:val="81"/>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 xml:space="preserve">Part des énergies renouvelables dans la production d’électricité en hausse de 4 points de pourcentage entre 2010 et  2015 : énergie solaire </w:t>
            </w:r>
            <w:r w:rsidRPr="00796A1E">
              <w:rPr>
                <w:rFonts w:ascii="Times New Roman" w:eastAsia="Times New Roman" w:hAnsi="Times New Roman"/>
                <w:bCs/>
                <w:sz w:val="20"/>
                <w:szCs w:val="20"/>
              </w:rPr>
              <w:lastRenderedPageBreak/>
              <w:t>essentiellement qui s’implante en milieu rural et constitue un levier de lutte contre la pauvreté</w:t>
            </w:r>
          </w:p>
          <w:p w14:paraId="01D806BA" w14:textId="77777777" w:rsidR="00796A1E" w:rsidRPr="00796A1E" w:rsidRDefault="00796A1E" w:rsidP="00D76EFA">
            <w:pPr>
              <w:numPr>
                <w:ilvl w:val="0"/>
                <w:numId w:val="80"/>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Contribution nette du programme : 50 000 personnes raccordées aux énergies renouvelables : construction de trois villages solaires et installation de 500 kits solaires familiaux </w:t>
            </w:r>
          </w:p>
          <w:p w14:paraId="5786B608" w14:textId="77777777" w:rsidR="00796A1E" w:rsidRPr="00796A1E" w:rsidRDefault="00796A1E" w:rsidP="00D76EFA">
            <w:pPr>
              <w:numPr>
                <w:ilvl w:val="0"/>
                <w:numId w:val="80"/>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600 000 femmes bénéficiaires d’un accès amélioré aux services sociaux de base (éclairage des centres de santé et des maternités, mise en place d’une chaine de froid, énergie solaire permettant de développer des entreprises de transformation des produits agricoles [E23].</w:t>
            </w:r>
          </w:p>
        </w:tc>
        <w:tc>
          <w:tcPr>
            <w:tcW w:w="520" w:type="dxa"/>
            <w:shd w:val="clear" w:color="auto" w:fill="auto"/>
            <w:vAlign w:val="center"/>
          </w:tcPr>
          <w:p w14:paraId="66022E0B" w14:textId="77777777" w:rsidR="00796A1E" w:rsidRPr="00796A1E" w:rsidRDefault="00796A1E" w:rsidP="00796A1E">
            <w:pPr>
              <w:spacing w:after="0" w:line="240" w:lineRule="auto"/>
              <w:jc w:val="both"/>
              <w:rPr>
                <w:rFonts w:ascii="Times New Roman" w:eastAsia="Times New Roman" w:hAnsi="Times New Roman"/>
                <w:bCs/>
                <w:sz w:val="20"/>
                <w:szCs w:val="20"/>
              </w:rPr>
            </w:pPr>
          </w:p>
        </w:tc>
        <w:tc>
          <w:tcPr>
            <w:tcW w:w="520" w:type="dxa"/>
            <w:shd w:val="clear" w:color="auto" w:fill="auto"/>
            <w:vAlign w:val="center"/>
          </w:tcPr>
          <w:p w14:paraId="7CAD445E" w14:textId="77777777" w:rsidR="00796A1E" w:rsidRPr="00796A1E" w:rsidRDefault="00796A1E" w:rsidP="00796A1E">
            <w:pPr>
              <w:spacing w:after="0" w:line="240" w:lineRule="auto"/>
              <w:jc w:val="both"/>
              <w:rPr>
                <w:rFonts w:ascii="Times New Roman" w:eastAsia="Times New Roman" w:hAnsi="Times New Roman"/>
                <w:bCs/>
                <w:sz w:val="20"/>
                <w:szCs w:val="20"/>
              </w:rPr>
            </w:pPr>
          </w:p>
        </w:tc>
        <w:tc>
          <w:tcPr>
            <w:tcW w:w="520" w:type="dxa"/>
            <w:shd w:val="clear" w:color="auto" w:fill="FF0000"/>
            <w:vAlign w:val="center"/>
          </w:tcPr>
          <w:p w14:paraId="1E24CB54" w14:textId="77777777" w:rsidR="00796A1E" w:rsidRPr="00796A1E" w:rsidRDefault="00796A1E" w:rsidP="00796A1E">
            <w:p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w:t>
            </w:r>
          </w:p>
        </w:tc>
      </w:tr>
      <w:tr w:rsidR="00796A1E" w:rsidRPr="00796A1E" w14:paraId="19EDFCFD" w14:textId="77777777" w:rsidTr="00414C56">
        <w:tc>
          <w:tcPr>
            <w:tcW w:w="1809" w:type="dxa"/>
            <w:vMerge/>
            <w:shd w:val="clear" w:color="auto" w:fill="F2F2F2" w:themeFill="background1" w:themeFillShade="F2"/>
            <w:vAlign w:val="center"/>
          </w:tcPr>
          <w:p w14:paraId="7ED5401D" w14:textId="77777777" w:rsidR="00796A1E" w:rsidRPr="00796A1E" w:rsidRDefault="00796A1E" w:rsidP="00796A1E">
            <w:pPr>
              <w:spacing w:after="0" w:line="240" w:lineRule="auto"/>
              <w:jc w:val="both"/>
              <w:rPr>
                <w:rFonts w:ascii="Times New Roman" w:eastAsia="Times New Roman" w:hAnsi="Times New Roman"/>
                <w:bCs/>
                <w:sz w:val="20"/>
                <w:szCs w:val="20"/>
              </w:rPr>
            </w:pPr>
          </w:p>
        </w:tc>
        <w:tc>
          <w:tcPr>
            <w:tcW w:w="3402" w:type="dxa"/>
            <w:shd w:val="clear" w:color="auto" w:fill="auto"/>
            <w:vAlign w:val="center"/>
          </w:tcPr>
          <w:p w14:paraId="560991FE" w14:textId="77777777" w:rsidR="00796A1E" w:rsidRPr="00796A1E" w:rsidRDefault="00796A1E" w:rsidP="00796A1E">
            <w:p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Part du budget national vers Environnement</w:t>
            </w:r>
          </w:p>
          <w:p w14:paraId="4832A80C" w14:textId="77777777" w:rsidR="00796A1E" w:rsidRPr="00796A1E" w:rsidRDefault="00796A1E" w:rsidP="00D76EFA">
            <w:pPr>
              <w:numPr>
                <w:ilvl w:val="0"/>
                <w:numId w:val="30"/>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Réf : 1%</w:t>
            </w:r>
          </w:p>
          <w:p w14:paraId="5A65A7FA" w14:textId="77777777" w:rsidR="00796A1E" w:rsidRPr="00796A1E" w:rsidRDefault="00796A1E" w:rsidP="00D76EFA">
            <w:pPr>
              <w:numPr>
                <w:ilvl w:val="0"/>
                <w:numId w:val="30"/>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Cible : 4,8%</w:t>
            </w:r>
          </w:p>
        </w:tc>
        <w:tc>
          <w:tcPr>
            <w:tcW w:w="3969" w:type="dxa"/>
            <w:shd w:val="clear" w:color="auto" w:fill="auto"/>
            <w:vAlign w:val="center"/>
          </w:tcPr>
          <w:p w14:paraId="08EA16F0" w14:textId="77777777" w:rsidR="00796A1E" w:rsidRPr="00796A1E" w:rsidRDefault="00796A1E" w:rsidP="00D76EFA">
            <w:pPr>
              <w:numPr>
                <w:ilvl w:val="0"/>
                <w:numId w:val="85"/>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Part du budget alloué à la protection de l’environnement : 3%</w:t>
            </w:r>
          </w:p>
        </w:tc>
        <w:tc>
          <w:tcPr>
            <w:tcW w:w="520" w:type="dxa"/>
            <w:shd w:val="clear" w:color="auto" w:fill="92D050"/>
            <w:vAlign w:val="center"/>
          </w:tcPr>
          <w:p w14:paraId="177EA4FF" w14:textId="77777777" w:rsidR="00796A1E" w:rsidRPr="00796A1E" w:rsidRDefault="00796A1E" w:rsidP="00796A1E">
            <w:pPr>
              <w:spacing w:after="0" w:line="240" w:lineRule="auto"/>
              <w:jc w:val="both"/>
              <w:rPr>
                <w:rFonts w:ascii="Times New Roman" w:eastAsia="Times New Roman" w:hAnsi="Times New Roman"/>
                <w:b/>
                <w:bCs/>
                <w:sz w:val="20"/>
                <w:szCs w:val="20"/>
              </w:rPr>
            </w:pPr>
            <w:r w:rsidRPr="00796A1E">
              <w:rPr>
                <w:rFonts w:ascii="Times New Roman" w:eastAsia="Times New Roman" w:hAnsi="Times New Roman"/>
                <w:b/>
                <w:bCs/>
                <w:sz w:val="20"/>
                <w:szCs w:val="20"/>
              </w:rPr>
              <w:t>62%</w:t>
            </w:r>
          </w:p>
        </w:tc>
        <w:tc>
          <w:tcPr>
            <w:tcW w:w="520" w:type="dxa"/>
            <w:shd w:val="clear" w:color="auto" w:fill="auto"/>
            <w:vAlign w:val="center"/>
          </w:tcPr>
          <w:p w14:paraId="708C79C4" w14:textId="77777777" w:rsidR="00796A1E" w:rsidRPr="00796A1E" w:rsidRDefault="00796A1E" w:rsidP="00796A1E">
            <w:pPr>
              <w:spacing w:after="0" w:line="240" w:lineRule="auto"/>
              <w:jc w:val="both"/>
              <w:rPr>
                <w:rFonts w:ascii="Times New Roman" w:eastAsia="Times New Roman" w:hAnsi="Times New Roman"/>
                <w:bCs/>
                <w:sz w:val="20"/>
                <w:szCs w:val="20"/>
              </w:rPr>
            </w:pPr>
          </w:p>
        </w:tc>
        <w:tc>
          <w:tcPr>
            <w:tcW w:w="520" w:type="dxa"/>
            <w:shd w:val="clear" w:color="auto" w:fill="auto"/>
            <w:vAlign w:val="center"/>
          </w:tcPr>
          <w:p w14:paraId="582837B5" w14:textId="77777777" w:rsidR="00796A1E" w:rsidRPr="00796A1E" w:rsidRDefault="00796A1E" w:rsidP="00796A1E">
            <w:pPr>
              <w:spacing w:after="0" w:line="240" w:lineRule="auto"/>
              <w:jc w:val="both"/>
              <w:rPr>
                <w:rFonts w:ascii="Times New Roman" w:eastAsia="Times New Roman" w:hAnsi="Times New Roman"/>
                <w:bCs/>
                <w:sz w:val="20"/>
                <w:szCs w:val="20"/>
              </w:rPr>
            </w:pPr>
          </w:p>
        </w:tc>
      </w:tr>
      <w:tr w:rsidR="00796A1E" w:rsidRPr="00796A1E" w14:paraId="7E05B082" w14:textId="77777777" w:rsidTr="00414C56">
        <w:tc>
          <w:tcPr>
            <w:tcW w:w="1809" w:type="dxa"/>
            <w:vMerge/>
            <w:shd w:val="clear" w:color="auto" w:fill="F2F2F2" w:themeFill="background1" w:themeFillShade="F2"/>
            <w:vAlign w:val="center"/>
          </w:tcPr>
          <w:p w14:paraId="5A0F2E68" w14:textId="77777777" w:rsidR="00796A1E" w:rsidRPr="00796A1E" w:rsidRDefault="00796A1E" w:rsidP="00796A1E">
            <w:pPr>
              <w:spacing w:after="0" w:line="240" w:lineRule="auto"/>
              <w:jc w:val="both"/>
              <w:rPr>
                <w:rFonts w:ascii="Times New Roman" w:eastAsia="Times New Roman" w:hAnsi="Times New Roman"/>
                <w:bCs/>
                <w:sz w:val="20"/>
                <w:szCs w:val="20"/>
              </w:rPr>
            </w:pPr>
          </w:p>
        </w:tc>
        <w:tc>
          <w:tcPr>
            <w:tcW w:w="3402" w:type="dxa"/>
            <w:shd w:val="clear" w:color="auto" w:fill="auto"/>
            <w:vAlign w:val="center"/>
          </w:tcPr>
          <w:p w14:paraId="137423FA" w14:textId="77777777" w:rsidR="00796A1E" w:rsidRPr="00796A1E" w:rsidRDefault="00796A1E" w:rsidP="00796A1E">
            <w:p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Classement Doing Business (objectif à déterminer)</w:t>
            </w:r>
          </w:p>
          <w:p w14:paraId="6994D947" w14:textId="77777777" w:rsidR="00796A1E" w:rsidRPr="00796A1E" w:rsidRDefault="00796A1E" w:rsidP="00D76EFA">
            <w:pPr>
              <w:numPr>
                <w:ilvl w:val="0"/>
                <w:numId w:val="31"/>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Réf : Non disponible</w:t>
            </w:r>
          </w:p>
          <w:p w14:paraId="0E60601F" w14:textId="77777777" w:rsidR="00796A1E" w:rsidRPr="00796A1E" w:rsidRDefault="00796A1E" w:rsidP="00D76EFA">
            <w:pPr>
              <w:numPr>
                <w:ilvl w:val="0"/>
                <w:numId w:val="31"/>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Cible : Non déterminé</w:t>
            </w:r>
          </w:p>
        </w:tc>
        <w:tc>
          <w:tcPr>
            <w:tcW w:w="3969" w:type="dxa"/>
            <w:shd w:val="clear" w:color="auto" w:fill="auto"/>
            <w:vAlign w:val="center"/>
          </w:tcPr>
          <w:p w14:paraId="22544B3F" w14:textId="77777777" w:rsidR="00796A1E" w:rsidRPr="00796A1E" w:rsidRDefault="00796A1E" w:rsidP="00D76EFA">
            <w:pPr>
              <w:numPr>
                <w:ilvl w:val="0"/>
                <w:numId w:val="84"/>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Classement "Doind business" : 2015 : 115ème rang ; 2016 : 95ème rang [E04]/Bond de 10 place en 1 année !</w:t>
            </w:r>
          </w:p>
          <w:p w14:paraId="16D77C64" w14:textId="77777777" w:rsidR="00796A1E" w:rsidRPr="00796A1E" w:rsidRDefault="00796A1E" w:rsidP="00D76EFA">
            <w:pPr>
              <w:numPr>
                <w:ilvl w:val="0"/>
                <w:numId w:val="84"/>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2016 : 1er rang des pays réformateurs de l’UEMOA : 143ème rang mondial en 2014 à 141ème en 2016</w:t>
            </w:r>
          </w:p>
          <w:p w14:paraId="63CBCD43" w14:textId="77777777" w:rsidR="00796A1E" w:rsidRPr="00796A1E" w:rsidRDefault="00796A1E" w:rsidP="00D76EFA">
            <w:pPr>
              <w:numPr>
                <w:ilvl w:val="0"/>
                <w:numId w:val="84"/>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Taux de pression fiscale passant de 12.5% du PIB en 2014 à 14.8% en 2016 [E07].</w:t>
            </w:r>
          </w:p>
          <w:p w14:paraId="1C8E6161" w14:textId="77777777" w:rsidR="00796A1E" w:rsidRPr="00796A1E" w:rsidRDefault="00796A1E" w:rsidP="00D76EFA">
            <w:pPr>
              <w:numPr>
                <w:ilvl w:val="0"/>
                <w:numId w:val="84"/>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 xml:space="preserve">6,7 points de baisse de la part de l’aide publique au développement non répertoriée dans le budget national : 34,5% en 2016, contre 41,2% 2015 </w:t>
            </w:r>
          </w:p>
          <w:p w14:paraId="1D3A7825" w14:textId="77777777" w:rsidR="00796A1E" w:rsidRPr="00796A1E" w:rsidRDefault="00796A1E" w:rsidP="00796A1E">
            <w:p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
                <w:bCs/>
                <w:sz w:val="20"/>
                <w:szCs w:val="20"/>
              </w:rPr>
              <w:t>Contributions nettes du programme</w:t>
            </w:r>
            <w:r w:rsidRPr="00796A1E">
              <w:rPr>
                <w:rFonts w:ascii="Times New Roman" w:eastAsia="Times New Roman" w:hAnsi="Times New Roman"/>
                <w:bCs/>
                <w:sz w:val="20"/>
                <w:szCs w:val="20"/>
              </w:rPr>
              <w:t> :</w:t>
            </w:r>
          </w:p>
          <w:p w14:paraId="671FD5DE" w14:textId="77777777" w:rsidR="00796A1E" w:rsidRPr="00796A1E" w:rsidRDefault="00796A1E" w:rsidP="00D76EFA">
            <w:pPr>
              <w:numPr>
                <w:ilvl w:val="0"/>
                <w:numId w:val="82"/>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Fonction de contrôle de l'exécution de la loi des Finances, et des comptes publics, nationaux et territoriaux, mieux assumés grâce à la formation de 20 Conseillers et Auditeurs Section des Comptes/Cour Suprême</w:t>
            </w:r>
          </w:p>
          <w:p w14:paraId="4B5C88DA" w14:textId="77777777" w:rsidR="00796A1E" w:rsidRPr="00796A1E" w:rsidRDefault="00796A1E" w:rsidP="00D76EFA">
            <w:pPr>
              <w:numPr>
                <w:ilvl w:val="0"/>
                <w:numId w:val="82"/>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Procédures de création d'entreprise et d’investissement simplifiée en ligne</w:t>
            </w:r>
          </w:p>
          <w:p w14:paraId="37FAFFEB" w14:textId="77777777" w:rsidR="00796A1E" w:rsidRPr="00796A1E" w:rsidRDefault="00796A1E" w:rsidP="00D76EFA">
            <w:pPr>
              <w:numPr>
                <w:ilvl w:val="0"/>
                <w:numId w:val="82"/>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Déclaration des impôts simplifiée en ligne</w:t>
            </w:r>
          </w:p>
          <w:p w14:paraId="3338A35A" w14:textId="77777777" w:rsidR="00796A1E" w:rsidRPr="00796A1E" w:rsidRDefault="00796A1E" w:rsidP="00D76EFA">
            <w:pPr>
              <w:numPr>
                <w:ilvl w:val="0"/>
                <w:numId w:val="82"/>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Permis de construire rationalisé et simplifié en ligne</w:t>
            </w:r>
          </w:p>
          <w:p w14:paraId="1EDF8A64" w14:textId="77777777" w:rsidR="00796A1E" w:rsidRPr="00796A1E" w:rsidRDefault="00796A1E" w:rsidP="00D76EFA">
            <w:pPr>
              <w:numPr>
                <w:ilvl w:val="0"/>
                <w:numId w:val="82"/>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Internalisation des directives UEMOA dans les procédures budgétaires nationales : Plan de Collaboration tripartite PNUD-Pôle-Gouvernement</w:t>
            </w:r>
          </w:p>
        </w:tc>
        <w:tc>
          <w:tcPr>
            <w:tcW w:w="520" w:type="dxa"/>
            <w:shd w:val="clear" w:color="auto" w:fill="92D050"/>
            <w:vAlign w:val="center"/>
          </w:tcPr>
          <w:p w14:paraId="00CCD7E1" w14:textId="77777777" w:rsidR="00796A1E" w:rsidRPr="00796A1E" w:rsidRDefault="00796A1E" w:rsidP="00796A1E">
            <w:pPr>
              <w:spacing w:after="0" w:line="240" w:lineRule="auto"/>
              <w:jc w:val="both"/>
              <w:rPr>
                <w:rFonts w:ascii="Times New Roman" w:eastAsia="Times New Roman" w:hAnsi="Times New Roman"/>
                <w:bCs/>
                <w:sz w:val="20"/>
                <w:szCs w:val="20"/>
              </w:rPr>
            </w:pPr>
          </w:p>
        </w:tc>
        <w:tc>
          <w:tcPr>
            <w:tcW w:w="520" w:type="dxa"/>
            <w:shd w:val="clear" w:color="auto" w:fill="auto"/>
            <w:vAlign w:val="center"/>
          </w:tcPr>
          <w:p w14:paraId="4D827308" w14:textId="77777777" w:rsidR="00796A1E" w:rsidRPr="00796A1E" w:rsidRDefault="00796A1E" w:rsidP="00796A1E">
            <w:pPr>
              <w:spacing w:after="0" w:line="240" w:lineRule="auto"/>
              <w:jc w:val="both"/>
              <w:rPr>
                <w:rFonts w:ascii="Times New Roman" w:eastAsia="Times New Roman" w:hAnsi="Times New Roman"/>
                <w:bCs/>
                <w:sz w:val="20"/>
                <w:szCs w:val="20"/>
              </w:rPr>
            </w:pPr>
          </w:p>
        </w:tc>
        <w:tc>
          <w:tcPr>
            <w:tcW w:w="520" w:type="dxa"/>
            <w:shd w:val="clear" w:color="auto" w:fill="auto"/>
            <w:vAlign w:val="center"/>
          </w:tcPr>
          <w:p w14:paraId="2083DEC3" w14:textId="77777777" w:rsidR="00796A1E" w:rsidRPr="00796A1E" w:rsidRDefault="00796A1E" w:rsidP="00796A1E">
            <w:pPr>
              <w:spacing w:after="0" w:line="240" w:lineRule="auto"/>
              <w:jc w:val="both"/>
              <w:rPr>
                <w:rFonts w:ascii="Times New Roman" w:eastAsia="Times New Roman" w:hAnsi="Times New Roman"/>
                <w:bCs/>
                <w:sz w:val="20"/>
                <w:szCs w:val="20"/>
              </w:rPr>
            </w:pPr>
          </w:p>
        </w:tc>
      </w:tr>
      <w:tr w:rsidR="00796A1E" w:rsidRPr="00796A1E" w14:paraId="6DEFDFD0" w14:textId="77777777" w:rsidTr="00414C56">
        <w:tc>
          <w:tcPr>
            <w:tcW w:w="1809" w:type="dxa"/>
            <w:vMerge/>
            <w:shd w:val="clear" w:color="auto" w:fill="F2F2F2" w:themeFill="background1" w:themeFillShade="F2"/>
            <w:vAlign w:val="center"/>
          </w:tcPr>
          <w:p w14:paraId="3B516AFB" w14:textId="77777777" w:rsidR="00796A1E" w:rsidRPr="00796A1E" w:rsidRDefault="00796A1E" w:rsidP="00796A1E">
            <w:pPr>
              <w:spacing w:after="0" w:line="240" w:lineRule="auto"/>
              <w:jc w:val="both"/>
              <w:rPr>
                <w:rFonts w:ascii="Times New Roman" w:eastAsia="Times New Roman" w:hAnsi="Times New Roman"/>
                <w:bCs/>
                <w:sz w:val="20"/>
                <w:szCs w:val="20"/>
              </w:rPr>
            </w:pPr>
          </w:p>
        </w:tc>
        <w:tc>
          <w:tcPr>
            <w:tcW w:w="3402" w:type="dxa"/>
            <w:shd w:val="clear" w:color="auto" w:fill="auto"/>
            <w:vAlign w:val="center"/>
          </w:tcPr>
          <w:p w14:paraId="3D81ED7C" w14:textId="77777777" w:rsidR="00796A1E" w:rsidRPr="00796A1E" w:rsidRDefault="00796A1E" w:rsidP="00796A1E">
            <w:p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Taux d’insécurité alimentaire</w:t>
            </w:r>
          </w:p>
          <w:p w14:paraId="3C8080C5" w14:textId="77777777" w:rsidR="00796A1E" w:rsidRPr="00796A1E" w:rsidRDefault="00796A1E" w:rsidP="00D76EFA">
            <w:pPr>
              <w:numPr>
                <w:ilvl w:val="0"/>
                <w:numId w:val="32"/>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Réf : 29%</w:t>
            </w:r>
          </w:p>
          <w:p w14:paraId="28D8CD6D" w14:textId="77777777" w:rsidR="00796A1E" w:rsidRPr="00796A1E" w:rsidRDefault="00796A1E" w:rsidP="00D76EFA">
            <w:pPr>
              <w:numPr>
                <w:ilvl w:val="0"/>
                <w:numId w:val="32"/>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Cible : 14%</w:t>
            </w:r>
          </w:p>
        </w:tc>
        <w:tc>
          <w:tcPr>
            <w:tcW w:w="3969" w:type="dxa"/>
            <w:shd w:val="clear" w:color="auto" w:fill="auto"/>
            <w:vAlign w:val="center"/>
          </w:tcPr>
          <w:p w14:paraId="204D897E" w14:textId="77777777" w:rsidR="00796A1E" w:rsidRPr="00796A1E" w:rsidRDefault="00796A1E" w:rsidP="00D76EFA">
            <w:pPr>
              <w:numPr>
                <w:ilvl w:val="0"/>
                <w:numId w:val="83"/>
              </w:numPr>
              <w:spacing w:after="0" w:line="240" w:lineRule="auto"/>
              <w:jc w:val="both"/>
              <w:rPr>
                <w:rFonts w:ascii="Times New Roman" w:eastAsia="Times New Roman" w:hAnsi="Times New Roman"/>
                <w:b/>
                <w:bCs/>
                <w:sz w:val="20"/>
                <w:szCs w:val="20"/>
              </w:rPr>
            </w:pPr>
            <w:r w:rsidRPr="00796A1E">
              <w:rPr>
                <w:rFonts w:ascii="Times New Roman" w:eastAsia="Times New Roman" w:hAnsi="Times New Roman"/>
                <w:b/>
                <w:bCs/>
                <w:sz w:val="20"/>
                <w:szCs w:val="20"/>
              </w:rPr>
              <w:t>Stock de sécurité alimentaire de 2016 en hausse de 16% par rapport à 2015, mais ne représente que 37%de l’objectif du pays pour 2016</w:t>
            </w:r>
          </w:p>
          <w:p w14:paraId="59A077C5" w14:textId="77777777" w:rsidR="00796A1E" w:rsidRPr="00796A1E" w:rsidRDefault="00796A1E" w:rsidP="00D76EFA">
            <w:pPr>
              <w:numPr>
                <w:ilvl w:val="0"/>
                <w:numId w:val="83"/>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
                <w:bCs/>
                <w:sz w:val="20"/>
                <w:szCs w:val="20"/>
              </w:rPr>
              <w:t>Contributions nettes du programme</w:t>
            </w:r>
            <w:r w:rsidRPr="00796A1E">
              <w:rPr>
                <w:rFonts w:ascii="Times New Roman" w:eastAsia="Times New Roman" w:hAnsi="Times New Roman"/>
                <w:bCs/>
                <w:sz w:val="20"/>
                <w:szCs w:val="20"/>
              </w:rPr>
              <w:t> :</w:t>
            </w:r>
          </w:p>
          <w:p w14:paraId="7C1FA7F7" w14:textId="77777777" w:rsidR="0027472B" w:rsidRPr="004F261E" w:rsidRDefault="0027472B" w:rsidP="00D76EFA">
            <w:pPr>
              <w:numPr>
                <w:ilvl w:val="0"/>
                <w:numId w:val="87"/>
              </w:numPr>
              <w:spacing w:after="0" w:line="240" w:lineRule="auto"/>
              <w:jc w:val="both"/>
              <w:rPr>
                <w:rFonts w:ascii="Times New Roman" w:eastAsia="Times New Roman" w:hAnsi="Times New Roman"/>
                <w:bCs/>
                <w:sz w:val="20"/>
                <w:szCs w:val="20"/>
              </w:rPr>
            </w:pPr>
            <w:r w:rsidRPr="004F261E">
              <w:rPr>
                <w:rFonts w:ascii="Times New Roman" w:eastAsia="Times New Roman" w:hAnsi="Times New Roman"/>
                <w:bCs/>
                <w:sz w:val="20"/>
                <w:szCs w:val="20"/>
              </w:rPr>
              <w:t xml:space="preserve">Disponibilité en fin 2016 de la Politique Nationale de Sécurité </w:t>
            </w:r>
            <w:r w:rsidRPr="004F261E">
              <w:rPr>
                <w:rFonts w:ascii="Times New Roman" w:eastAsia="Times New Roman" w:hAnsi="Times New Roman"/>
                <w:bCs/>
                <w:sz w:val="20"/>
                <w:szCs w:val="20"/>
              </w:rPr>
              <w:lastRenderedPageBreak/>
              <w:t>Alimentaire et Nutritionnelle et de son plan d’action de mise en œuvre</w:t>
            </w:r>
          </w:p>
          <w:p w14:paraId="657BA20B" w14:textId="77777777" w:rsidR="00796A1E" w:rsidRPr="00796A1E" w:rsidRDefault="00796A1E" w:rsidP="00D76EFA">
            <w:pPr>
              <w:numPr>
                <w:ilvl w:val="0"/>
                <w:numId w:val="87"/>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 xml:space="preserve">Stratégies économiques de résilience et de relèvement développées par le programme : près de 23,000 emplois créés </w:t>
            </w:r>
          </w:p>
          <w:p w14:paraId="53046ED0" w14:textId="77777777" w:rsidR="00796A1E" w:rsidRPr="00796A1E" w:rsidRDefault="00796A1E" w:rsidP="00D76EFA">
            <w:pPr>
              <w:numPr>
                <w:ilvl w:val="0"/>
                <w:numId w:val="87"/>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35,500 emplois et autres AGR développées au profit des populations en marges des stratégies de promotion de la réconciliation nationale</w:t>
            </w:r>
          </w:p>
          <w:p w14:paraId="6C1C1433" w14:textId="77777777" w:rsidR="00796A1E" w:rsidRPr="00796A1E" w:rsidRDefault="00796A1E" w:rsidP="00D76EFA">
            <w:pPr>
              <w:numPr>
                <w:ilvl w:val="0"/>
                <w:numId w:val="87"/>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Plus de 170.000 habitants ont accès à l'eau potable.</w:t>
            </w:r>
          </w:p>
        </w:tc>
        <w:tc>
          <w:tcPr>
            <w:tcW w:w="520" w:type="dxa"/>
            <w:shd w:val="clear" w:color="auto" w:fill="auto"/>
            <w:vAlign w:val="center"/>
          </w:tcPr>
          <w:p w14:paraId="0C3FE549" w14:textId="77777777" w:rsidR="00796A1E" w:rsidRPr="00796A1E" w:rsidRDefault="00796A1E" w:rsidP="00796A1E">
            <w:pPr>
              <w:spacing w:after="0" w:line="240" w:lineRule="auto"/>
              <w:jc w:val="both"/>
              <w:rPr>
                <w:rFonts w:ascii="Times New Roman" w:eastAsia="Times New Roman" w:hAnsi="Times New Roman"/>
                <w:bCs/>
                <w:sz w:val="20"/>
                <w:szCs w:val="20"/>
              </w:rPr>
            </w:pPr>
          </w:p>
        </w:tc>
        <w:tc>
          <w:tcPr>
            <w:tcW w:w="520" w:type="dxa"/>
            <w:shd w:val="clear" w:color="auto" w:fill="FFFF00"/>
            <w:vAlign w:val="center"/>
          </w:tcPr>
          <w:p w14:paraId="0A4BE5A2" w14:textId="77777777" w:rsidR="00796A1E" w:rsidRPr="00796A1E" w:rsidRDefault="00796A1E" w:rsidP="00796A1E">
            <w:pPr>
              <w:spacing w:after="0" w:line="240" w:lineRule="auto"/>
              <w:jc w:val="both"/>
              <w:rPr>
                <w:rFonts w:ascii="Times New Roman" w:eastAsia="Times New Roman" w:hAnsi="Times New Roman"/>
                <w:bCs/>
                <w:sz w:val="20"/>
                <w:szCs w:val="20"/>
              </w:rPr>
            </w:pPr>
          </w:p>
        </w:tc>
        <w:tc>
          <w:tcPr>
            <w:tcW w:w="520" w:type="dxa"/>
            <w:shd w:val="clear" w:color="auto" w:fill="FF0000"/>
            <w:vAlign w:val="center"/>
          </w:tcPr>
          <w:p w14:paraId="1CB52F9A" w14:textId="77777777" w:rsidR="00796A1E" w:rsidRPr="00796A1E" w:rsidRDefault="00796A1E" w:rsidP="00796A1E">
            <w:pPr>
              <w:spacing w:after="0" w:line="240" w:lineRule="auto"/>
              <w:jc w:val="both"/>
              <w:rPr>
                <w:rFonts w:ascii="Times New Roman" w:eastAsia="Times New Roman" w:hAnsi="Times New Roman"/>
                <w:bCs/>
                <w:sz w:val="20"/>
                <w:szCs w:val="20"/>
              </w:rPr>
            </w:pPr>
          </w:p>
        </w:tc>
      </w:tr>
      <w:tr w:rsidR="00796A1E" w:rsidRPr="00796A1E" w14:paraId="18300CF5" w14:textId="77777777" w:rsidTr="00414C56">
        <w:tc>
          <w:tcPr>
            <w:tcW w:w="1809" w:type="dxa"/>
            <w:vMerge/>
            <w:shd w:val="clear" w:color="auto" w:fill="F2F2F2" w:themeFill="background1" w:themeFillShade="F2"/>
            <w:vAlign w:val="center"/>
          </w:tcPr>
          <w:p w14:paraId="266A2999" w14:textId="77777777" w:rsidR="00796A1E" w:rsidRPr="00796A1E" w:rsidRDefault="00796A1E" w:rsidP="00796A1E">
            <w:pPr>
              <w:spacing w:after="0" w:line="240" w:lineRule="auto"/>
              <w:jc w:val="both"/>
              <w:rPr>
                <w:rFonts w:ascii="Times New Roman" w:eastAsia="Times New Roman" w:hAnsi="Times New Roman"/>
                <w:bCs/>
                <w:sz w:val="20"/>
                <w:szCs w:val="20"/>
              </w:rPr>
            </w:pPr>
          </w:p>
        </w:tc>
        <w:tc>
          <w:tcPr>
            <w:tcW w:w="3402" w:type="dxa"/>
            <w:shd w:val="clear" w:color="auto" w:fill="auto"/>
            <w:vAlign w:val="center"/>
          </w:tcPr>
          <w:p w14:paraId="51CA8FF3" w14:textId="77777777" w:rsidR="00796A1E" w:rsidRPr="00796A1E" w:rsidRDefault="00796A1E" w:rsidP="00796A1E">
            <w:p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Part du budget consacrée à la réduction des effets négatifs de l’environnement sur l’économie</w:t>
            </w:r>
          </w:p>
          <w:p w14:paraId="63012E0C" w14:textId="77777777" w:rsidR="00796A1E" w:rsidRPr="00796A1E" w:rsidRDefault="00796A1E" w:rsidP="00D76EFA">
            <w:pPr>
              <w:numPr>
                <w:ilvl w:val="0"/>
                <w:numId w:val="77"/>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Réf : 1%</w:t>
            </w:r>
          </w:p>
          <w:p w14:paraId="3F507B38" w14:textId="77777777" w:rsidR="00796A1E" w:rsidRPr="00796A1E" w:rsidRDefault="00796A1E" w:rsidP="00D76EFA">
            <w:pPr>
              <w:numPr>
                <w:ilvl w:val="0"/>
                <w:numId w:val="77"/>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Cible : 4,8%</w:t>
            </w:r>
          </w:p>
        </w:tc>
        <w:tc>
          <w:tcPr>
            <w:tcW w:w="3969" w:type="dxa"/>
            <w:shd w:val="clear" w:color="auto" w:fill="auto"/>
            <w:vAlign w:val="center"/>
          </w:tcPr>
          <w:p w14:paraId="0D93ECA9" w14:textId="77777777" w:rsidR="00796A1E" w:rsidRPr="00796A1E" w:rsidRDefault="00796A1E" w:rsidP="00D76EFA">
            <w:pPr>
              <w:numPr>
                <w:ilvl w:val="0"/>
                <w:numId w:val="85"/>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Part du budget alloué à la protection de l’environnement : 3%</w:t>
            </w:r>
          </w:p>
          <w:p w14:paraId="7EEAD6A6" w14:textId="77777777" w:rsidR="00796A1E" w:rsidRPr="00796A1E" w:rsidRDefault="00796A1E" w:rsidP="00D76EFA">
            <w:pPr>
              <w:numPr>
                <w:ilvl w:val="0"/>
                <w:numId w:val="85"/>
              </w:num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Importante mobilisation de ressources auprès des  nouveaux mécanismes de financement du secteur : USD 22 millions du Fonds Vert Climat (FVC) et USD 10 millions du Fond Climat Mali</w:t>
            </w:r>
          </w:p>
        </w:tc>
        <w:tc>
          <w:tcPr>
            <w:tcW w:w="520" w:type="dxa"/>
            <w:shd w:val="clear" w:color="auto" w:fill="92D050"/>
            <w:vAlign w:val="center"/>
          </w:tcPr>
          <w:p w14:paraId="1239948B" w14:textId="77777777" w:rsidR="00796A1E" w:rsidRPr="00796A1E" w:rsidRDefault="00796A1E" w:rsidP="00796A1E">
            <w:pPr>
              <w:spacing w:after="0" w:line="240" w:lineRule="auto"/>
              <w:jc w:val="both"/>
              <w:rPr>
                <w:rFonts w:ascii="Times New Roman" w:eastAsia="Times New Roman" w:hAnsi="Times New Roman"/>
                <w:bCs/>
                <w:sz w:val="20"/>
                <w:szCs w:val="20"/>
              </w:rPr>
            </w:pPr>
            <w:r w:rsidRPr="00796A1E">
              <w:rPr>
                <w:rFonts w:ascii="Times New Roman" w:eastAsia="Times New Roman" w:hAnsi="Times New Roman"/>
                <w:bCs/>
                <w:sz w:val="20"/>
                <w:szCs w:val="20"/>
              </w:rPr>
              <w:t>63%</w:t>
            </w:r>
          </w:p>
        </w:tc>
        <w:tc>
          <w:tcPr>
            <w:tcW w:w="520" w:type="dxa"/>
            <w:shd w:val="clear" w:color="auto" w:fill="auto"/>
            <w:vAlign w:val="center"/>
          </w:tcPr>
          <w:p w14:paraId="46046440" w14:textId="77777777" w:rsidR="00796A1E" w:rsidRPr="00796A1E" w:rsidRDefault="00796A1E" w:rsidP="00796A1E">
            <w:pPr>
              <w:spacing w:after="0" w:line="240" w:lineRule="auto"/>
              <w:jc w:val="both"/>
              <w:rPr>
                <w:rFonts w:ascii="Times New Roman" w:eastAsia="Times New Roman" w:hAnsi="Times New Roman"/>
                <w:bCs/>
                <w:sz w:val="20"/>
                <w:szCs w:val="20"/>
              </w:rPr>
            </w:pPr>
          </w:p>
        </w:tc>
        <w:tc>
          <w:tcPr>
            <w:tcW w:w="520" w:type="dxa"/>
            <w:shd w:val="clear" w:color="auto" w:fill="auto"/>
            <w:vAlign w:val="center"/>
          </w:tcPr>
          <w:p w14:paraId="3186B73A" w14:textId="77777777" w:rsidR="00796A1E" w:rsidRPr="00796A1E" w:rsidRDefault="00796A1E" w:rsidP="00796A1E">
            <w:pPr>
              <w:spacing w:after="0" w:line="240" w:lineRule="auto"/>
              <w:jc w:val="both"/>
              <w:rPr>
                <w:rFonts w:ascii="Times New Roman" w:eastAsia="Times New Roman" w:hAnsi="Times New Roman"/>
                <w:bCs/>
                <w:sz w:val="20"/>
                <w:szCs w:val="20"/>
              </w:rPr>
            </w:pPr>
          </w:p>
        </w:tc>
      </w:tr>
    </w:tbl>
    <w:p w14:paraId="066DC12A" w14:textId="77777777" w:rsidR="00796A1E" w:rsidRPr="009C493D" w:rsidRDefault="00796A1E" w:rsidP="00796A1E">
      <w:pPr>
        <w:spacing w:after="0" w:line="240" w:lineRule="auto"/>
        <w:jc w:val="both"/>
        <w:rPr>
          <w:rFonts w:ascii="Times New Roman" w:eastAsia="Times New Roman" w:hAnsi="Times New Roman"/>
          <w:bCs/>
          <w:i/>
          <w:sz w:val="20"/>
          <w:szCs w:val="20"/>
        </w:rPr>
      </w:pPr>
      <w:r w:rsidRPr="009C493D">
        <w:rPr>
          <w:rFonts w:ascii="Times New Roman" w:eastAsia="Times New Roman" w:hAnsi="Times New Roman"/>
          <w:bCs/>
          <w:i/>
          <w:sz w:val="20"/>
          <w:szCs w:val="20"/>
          <w:u w:val="single"/>
        </w:rPr>
        <w:t>Sources</w:t>
      </w:r>
      <w:r w:rsidRPr="009C493D">
        <w:rPr>
          <w:rFonts w:ascii="Times New Roman" w:eastAsia="Times New Roman" w:hAnsi="Times New Roman"/>
          <w:bCs/>
          <w:i/>
          <w:sz w:val="20"/>
          <w:szCs w:val="20"/>
        </w:rPr>
        <w:t> : ROARS 2015-2016 ; Rapports de progrès/Rapports d’évaluation des projets ; entretiens Septembre 2017 ; Documents de revue CREDD.</w:t>
      </w:r>
    </w:p>
    <w:p w14:paraId="3B98178A" w14:textId="77777777" w:rsidR="00796A1E" w:rsidRPr="00796A1E" w:rsidRDefault="00796A1E" w:rsidP="00796A1E">
      <w:pPr>
        <w:spacing w:after="0" w:line="240" w:lineRule="auto"/>
        <w:jc w:val="both"/>
        <w:rPr>
          <w:rFonts w:ascii="Times New Roman" w:eastAsia="Times New Roman" w:hAnsi="Times New Roman"/>
          <w:bCs/>
          <w:sz w:val="24"/>
          <w:szCs w:val="24"/>
        </w:rPr>
      </w:pPr>
    </w:p>
    <w:p w14:paraId="54CBD436" w14:textId="77777777" w:rsidR="00171576" w:rsidRPr="006B309F" w:rsidRDefault="000031A7" w:rsidP="00B026AE">
      <w:pPr>
        <w:pStyle w:val="Titre4"/>
        <w:numPr>
          <w:ilvl w:val="3"/>
          <w:numId w:val="5"/>
        </w:numPr>
        <w:spacing w:before="0" w:line="240" w:lineRule="auto"/>
        <w:rPr>
          <w:rFonts w:ascii="Times New Roman" w:hAnsi="Times New Roman"/>
          <w:i w:val="0"/>
          <w:color w:val="auto"/>
          <w:sz w:val="24"/>
          <w:szCs w:val="24"/>
        </w:rPr>
      </w:pPr>
      <w:r>
        <w:rPr>
          <w:rFonts w:ascii="Times New Roman" w:hAnsi="Times New Roman"/>
          <w:i w:val="0"/>
          <w:color w:val="auto"/>
          <w:sz w:val="24"/>
          <w:szCs w:val="24"/>
        </w:rPr>
        <w:t>Contributions du Programme a</w:t>
      </w:r>
      <w:r w:rsidR="00171576" w:rsidRPr="006B309F">
        <w:rPr>
          <w:rFonts w:ascii="Times New Roman" w:hAnsi="Times New Roman"/>
          <w:i w:val="0"/>
          <w:color w:val="auto"/>
          <w:sz w:val="24"/>
          <w:szCs w:val="24"/>
        </w:rPr>
        <w:t xml:space="preserve">ux </w:t>
      </w:r>
      <w:r>
        <w:rPr>
          <w:rFonts w:ascii="Times New Roman" w:hAnsi="Times New Roman"/>
          <w:i w:val="0"/>
          <w:color w:val="auto"/>
          <w:sz w:val="24"/>
          <w:szCs w:val="24"/>
        </w:rPr>
        <w:t>résultats du pays dans le domaine</w:t>
      </w:r>
    </w:p>
    <w:p w14:paraId="2A98F59C" w14:textId="77777777" w:rsidR="00171576" w:rsidRPr="000031A7" w:rsidRDefault="00171576" w:rsidP="00B96F0F">
      <w:pPr>
        <w:spacing w:after="0" w:line="240" w:lineRule="auto"/>
        <w:rPr>
          <w:rFonts w:ascii="Times New Roman" w:hAnsi="Times New Roman"/>
          <w:sz w:val="24"/>
          <w:szCs w:val="24"/>
        </w:rPr>
      </w:pPr>
    </w:p>
    <w:p w14:paraId="49131AEB" w14:textId="77777777" w:rsidR="000031A7" w:rsidRPr="000031A7" w:rsidRDefault="00454255" w:rsidP="00414C56">
      <w:pPr>
        <w:spacing w:after="0" w:line="240" w:lineRule="auto"/>
        <w:jc w:val="both"/>
        <w:rPr>
          <w:rFonts w:ascii="Times New Roman" w:hAnsi="Times New Roman"/>
          <w:sz w:val="24"/>
          <w:szCs w:val="24"/>
        </w:rPr>
      </w:pPr>
      <w:r>
        <w:rPr>
          <w:rFonts w:ascii="Times New Roman" w:hAnsi="Times New Roman"/>
          <w:sz w:val="24"/>
          <w:szCs w:val="24"/>
        </w:rPr>
        <w:t>5</w:t>
      </w:r>
      <w:r w:rsidR="000B5082">
        <w:rPr>
          <w:rFonts w:ascii="Times New Roman" w:hAnsi="Times New Roman"/>
          <w:sz w:val="24"/>
          <w:szCs w:val="24"/>
        </w:rPr>
        <w:t>0</w:t>
      </w:r>
      <w:r>
        <w:rPr>
          <w:rFonts w:ascii="Times New Roman" w:hAnsi="Times New Roman"/>
          <w:sz w:val="24"/>
          <w:szCs w:val="24"/>
        </w:rPr>
        <w:t>.</w:t>
      </w:r>
      <w:r w:rsidR="000031A7" w:rsidRPr="000031A7">
        <w:rPr>
          <w:rFonts w:ascii="Times New Roman" w:hAnsi="Times New Roman"/>
          <w:sz w:val="24"/>
          <w:szCs w:val="24"/>
        </w:rPr>
        <w:tab/>
        <w:t>Le programme organise ses contributions au Résultat 2 à travers trois produits spécifiques :</w:t>
      </w:r>
    </w:p>
    <w:p w14:paraId="7CFC7A84" w14:textId="77777777" w:rsidR="000031A7" w:rsidRPr="000031A7" w:rsidRDefault="000031A7" w:rsidP="00D76EFA">
      <w:pPr>
        <w:numPr>
          <w:ilvl w:val="0"/>
          <w:numId w:val="75"/>
        </w:numPr>
        <w:spacing w:after="0" w:line="240" w:lineRule="auto"/>
        <w:rPr>
          <w:rFonts w:ascii="Times New Roman" w:hAnsi="Times New Roman"/>
          <w:sz w:val="24"/>
          <w:szCs w:val="24"/>
        </w:rPr>
      </w:pPr>
      <w:r w:rsidRPr="000031A7">
        <w:rPr>
          <w:rFonts w:ascii="Times New Roman" w:hAnsi="Times New Roman"/>
          <w:sz w:val="24"/>
          <w:szCs w:val="24"/>
        </w:rPr>
        <w:t>Les Ministères ayant l’économie, les finances et la planification dans leurs attributions ont amélioré leurs capacités de formulation des politiques, de gestion des finances publiques et de coordination de l’aide pour stimuler une croissance diversifiée et réduire l’inégalité</w:t>
      </w:r>
    </w:p>
    <w:p w14:paraId="7CF50F4A" w14:textId="77777777" w:rsidR="000031A7" w:rsidRPr="000031A7" w:rsidRDefault="000031A7" w:rsidP="00D76EFA">
      <w:pPr>
        <w:numPr>
          <w:ilvl w:val="0"/>
          <w:numId w:val="75"/>
        </w:numPr>
        <w:spacing w:after="0" w:line="240" w:lineRule="auto"/>
        <w:rPr>
          <w:rFonts w:ascii="Times New Roman" w:hAnsi="Times New Roman"/>
          <w:sz w:val="24"/>
          <w:szCs w:val="24"/>
        </w:rPr>
      </w:pPr>
      <w:r w:rsidRPr="000031A7">
        <w:rPr>
          <w:rFonts w:ascii="Times New Roman" w:hAnsi="Times New Roman"/>
          <w:sz w:val="24"/>
          <w:szCs w:val="24"/>
        </w:rPr>
        <w:t>La résilience des populations les plus vulnérables en milieu rural est renforcée au travers de l’amélioration de l’utilisation des ressources naturelles, de la promotion de la réduction des risques de catastrophe et des risques climatiques, de l’utilisation des sources d’énergie renouvelable, de la multiplication des débouchés économiques et de l’amélioration de l’accès aux services financiers</w:t>
      </w:r>
    </w:p>
    <w:p w14:paraId="6058751B" w14:textId="77777777" w:rsidR="000031A7" w:rsidRPr="000031A7" w:rsidRDefault="000031A7" w:rsidP="00D76EFA">
      <w:pPr>
        <w:numPr>
          <w:ilvl w:val="0"/>
          <w:numId w:val="75"/>
        </w:numPr>
        <w:spacing w:after="0" w:line="240" w:lineRule="auto"/>
        <w:rPr>
          <w:rFonts w:ascii="Times New Roman" w:hAnsi="Times New Roman"/>
          <w:sz w:val="24"/>
          <w:szCs w:val="24"/>
        </w:rPr>
      </w:pPr>
      <w:r w:rsidRPr="000031A7">
        <w:rPr>
          <w:rFonts w:ascii="Times New Roman" w:hAnsi="Times New Roman"/>
          <w:sz w:val="24"/>
          <w:szCs w:val="24"/>
        </w:rPr>
        <w:t>Les capacités de planification, d’évaluation et d’affectation des ressources des institutions responsables de l’environnement sont renforcées pour mettre en œuvre les plans sectoriels visant mieux intégrer les liens entre la pauvreté et l’environnement et les préoccupations en matière de réduction des risques de catastrophe et des risques climatiques</w:t>
      </w:r>
    </w:p>
    <w:p w14:paraId="3C9163F3" w14:textId="77777777" w:rsidR="000031A7" w:rsidRPr="000031A7" w:rsidRDefault="000031A7" w:rsidP="000031A7">
      <w:pPr>
        <w:spacing w:after="0" w:line="240" w:lineRule="auto"/>
        <w:rPr>
          <w:rFonts w:ascii="Times New Roman" w:hAnsi="Times New Roman"/>
          <w:sz w:val="24"/>
          <w:szCs w:val="24"/>
        </w:rPr>
      </w:pPr>
    </w:p>
    <w:p w14:paraId="30B444A2" w14:textId="77777777" w:rsidR="000031A7" w:rsidRPr="000031A7" w:rsidRDefault="00454255" w:rsidP="000031A7">
      <w:pPr>
        <w:spacing w:after="0" w:line="240" w:lineRule="auto"/>
        <w:rPr>
          <w:rFonts w:ascii="Times New Roman" w:hAnsi="Times New Roman"/>
          <w:sz w:val="24"/>
          <w:szCs w:val="24"/>
        </w:rPr>
      </w:pPr>
      <w:r>
        <w:rPr>
          <w:rFonts w:ascii="Times New Roman" w:hAnsi="Times New Roman"/>
          <w:sz w:val="24"/>
          <w:szCs w:val="24"/>
        </w:rPr>
        <w:t>5</w:t>
      </w:r>
      <w:r w:rsidR="000B5082">
        <w:rPr>
          <w:rFonts w:ascii="Times New Roman" w:hAnsi="Times New Roman"/>
          <w:sz w:val="24"/>
          <w:szCs w:val="24"/>
        </w:rPr>
        <w:t>1</w:t>
      </w:r>
      <w:r>
        <w:rPr>
          <w:rFonts w:ascii="Times New Roman" w:hAnsi="Times New Roman"/>
          <w:sz w:val="24"/>
          <w:szCs w:val="24"/>
        </w:rPr>
        <w:t>.</w:t>
      </w:r>
      <w:r w:rsidR="000031A7" w:rsidRPr="000031A7">
        <w:rPr>
          <w:rFonts w:ascii="Times New Roman" w:hAnsi="Times New Roman"/>
          <w:sz w:val="24"/>
          <w:szCs w:val="24"/>
        </w:rPr>
        <w:tab/>
        <w:t>Au titre du Produit 1, le programme a contribué à la formulation de plusieurs cadres de programmation du développement et de suivi de leur mise en œuvre. L’assistance technique et financière fournies notamment aux départements en charge de la planification, de l’économie et de la coopération au développement, a aidé à rendre disponible les outils clés ci-dessous :</w:t>
      </w:r>
    </w:p>
    <w:p w14:paraId="0EB9CF26" w14:textId="77777777" w:rsidR="000031A7" w:rsidRPr="000031A7" w:rsidRDefault="000031A7" w:rsidP="000031A7">
      <w:pPr>
        <w:spacing w:after="0" w:line="240" w:lineRule="auto"/>
        <w:rPr>
          <w:rFonts w:ascii="Times New Roman" w:hAnsi="Times New Roman"/>
          <w:sz w:val="24"/>
          <w:szCs w:val="24"/>
        </w:rPr>
      </w:pPr>
    </w:p>
    <w:p w14:paraId="094CA58C" w14:textId="77777777" w:rsidR="000031A7" w:rsidRPr="004F261E" w:rsidRDefault="000031A7" w:rsidP="00D76EFA">
      <w:pPr>
        <w:numPr>
          <w:ilvl w:val="0"/>
          <w:numId w:val="76"/>
        </w:numPr>
        <w:spacing w:after="0" w:line="240" w:lineRule="auto"/>
        <w:rPr>
          <w:rFonts w:ascii="Times New Roman" w:hAnsi="Times New Roman"/>
          <w:sz w:val="24"/>
          <w:szCs w:val="24"/>
        </w:rPr>
      </w:pPr>
      <w:r w:rsidRPr="004F261E">
        <w:rPr>
          <w:rFonts w:ascii="Times New Roman" w:hAnsi="Times New Roman"/>
          <w:sz w:val="24"/>
          <w:szCs w:val="24"/>
        </w:rPr>
        <w:t xml:space="preserve">CSCRP mis à jour par rapport à relance économique du Nord prévue dans l’Accord </w:t>
      </w:r>
      <w:r w:rsidR="0027472B" w:rsidRPr="004F261E">
        <w:rPr>
          <w:rFonts w:ascii="Times New Roman" w:hAnsi="Times New Roman"/>
          <w:sz w:val="24"/>
          <w:szCs w:val="24"/>
        </w:rPr>
        <w:t>pour la</w:t>
      </w:r>
      <w:r w:rsidRPr="004F261E">
        <w:rPr>
          <w:rFonts w:ascii="Times New Roman" w:hAnsi="Times New Roman"/>
          <w:sz w:val="24"/>
          <w:szCs w:val="24"/>
        </w:rPr>
        <w:t xml:space="preserve"> Paix</w:t>
      </w:r>
      <w:r w:rsidR="0027472B" w:rsidRPr="004F261E">
        <w:rPr>
          <w:rFonts w:ascii="Times New Roman" w:hAnsi="Times New Roman"/>
          <w:sz w:val="24"/>
          <w:szCs w:val="24"/>
        </w:rPr>
        <w:t xml:space="preserve"> et la Réconciliation au Mali</w:t>
      </w:r>
    </w:p>
    <w:p w14:paraId="5C779CF0" w14:textId="77777777" w:rsidR="000031A7" w:rsidRPr="004F261E" w:rsidRDefault="000031A7" w:rsidP="00D76EFA">
      <w:pPr>
        <w:numPr>
          <w:ilvl w:val="0"/>
          <w:numId w:val="76"/>
        </w:numPr>
        <w:spacing w:after="0" w:line="240" w:lineRule="auto"/>
        <w:rPr>
          <w:rFonts w:ascii="Times New Roman" w:hAnsi="Times New Roman"/>
          <w:sz w:val="24"/>
          <w:szCs w:val="24"/>
        </w:rPr>
      </w:pPr>
      <w:r w:rsidRPr="004F261E">
        <w:rPr>
          <w:rFonts w:ascii="Times New Roman" w:hAnsi="Times New Roman"/>
          <w:sz w:val="24"/>
          <w:szCs w:val="24"/>
        </w:rPr>
        <w:t xml:space="preserve">Cadre Stratégique pour la Relance économique et le Développement Durable (CREDD 2016-2018) </w:t>
      </w:r>
    </w:p>
    <w:p w14:paraId="73CC7C0D" w14:textId="77777777" w:rsidR="000031A7" w:rsidRPr="000031A7" w:rsidRDefault="000031A7" w:rsidP="00D76EFA">
      <w:pPr>
        <w:numPr>
          <w:ilvl w:val="0"/>
          <w:numId w:val="76"/>
        </w:numPr>
        <w:spacing w:after="0" w:line="240" w:lineRule="auto"/>
        <w:rPr>
          <w:rFonts w:ascii="Times New Roman" w:hAnsi="Times New Roman"/>
          <w:sz w:val="24"/>
          <w:szCs w:val="24"/>
        </w:rPr>
      </w:pPr>
      <w:r w:rsidRPr="000031A7">
        <w:rPr>
          <w:rFonts w:ascii="Times New Roman" w:hAnsi="Times New Roman"/>
          <w:sz w:val="24"/>
          <w:szCs w:val="24"/>
        </w:rPr>
        <w:t>Priorisation des ODD amorcée : cibles nationales retenues</w:t>
      </w:r>
    </w:p>
    <w:p w14:paraId="06BFE8E6" w14:textId="77777777" w:rsidR="000031A7" w:rsidRPr="000031A7" w:rsidRDefault="000031A7" w:rsidP="00D76EFA">
      <w:pPr>
        <w:numPr>
          <w:ilvl w:val="0"/>
          <w:numId w:val="76"/>
        </w:numPr>
        <w:spacing w:after="0" w:line="240" w:lineRule="auto"/>
        <w:rPr>
          <w:rFonts w:ascii="Times New Roman" w:hAnsi="Times New Roman"/>
          <w:sz w:val="24"/>
          <w:szCs w:val="24"/>
        </w:rPr>
      </w:pPr>
      <w:r w:rsidRPr="000031A7">
        <w:rPr>
          <w:rFonts w:ascii="Times New Roman" w:hAnsi="Times New Roman"/>
          <w:sz w:val="24"/>
          <w:szCs w:val="24"/>
        </w:rPr>
        <w:t>Feuille de route Agenda 2030 élaborée avec 3 niveaux : national, régional et local.</w:t>
      </w:r>
    </w:p>
    <w:p w14:paraId="0B5681DF" w14:textId="77777777" w:rsidR="000031A7" w:rsidRPr="000031A7" w:rsidRDefault="000031A7" w:rsidP="00D76EFA">
      <w:pPr>
        <w:numPr>
          <w:ilvl w:val="0"/>
          <w:numId w:val="76"/>
        </w:numPr>
        <w:spacing w:after="0" w:line="240" w:lineRule="auto"/>
        <w:rPr>
          <w:rFonts w:ascii="Times New Roman" w:hAnsi="Times New Roman"/>
          <w:sz w:val="24"/>
          <w:szCs w:val="24"/>
        </w:rPr>
      </w:pPr>
      <w:r w:rsidRPr="000031A7">
        <w:rPr>
          <w:rFonts w:ascii="Times New Roman" w:hAnsi="Times New Roman"/>
          <w:sz w:val="24"/>
          <w:szCs w:val="24"/>
        </w:rPr>
        <w:lastRenderedPageBreak/>
        <w:t>Rapport National pour le Développement Humain RNDH 2016 disponible : "Migration et le Développement Humain"</w:t>
      </w:r>
    </w:p>
    <w:p w14:paraId="10C0F1FA" w14:textId="77777777" w:rsidR="000031A7" w:rsidRPr="000031A7" w:rsidRDefault="000031A7" w:rsidP="00D76EFA">
      <w:pPr>
        <w:numPr>
          <w:ilvl w:val="0"/>
          <w:numId w:val="76"/>
        </w:numPr>
        <w:spacing w:after="0" w:line="240" w:lineRule="auto"/>
        <w:rPr>
          <w:rFonts w:ascii="Times New Roman" w:hAnsi="Times New Roman"/>
          <w:sz w:val="24"/>
          <w:szCs w:val="24"/>
        </w:rPr>
      </w:pPr>
      <w:r w:rsidRPr="000031A7">
        <w:rPr>
          <w:rFonts w:ascii="Times New Roman" w:hAnsi="Times New Roman"/>
          <w:sz w:val="24"/>
          <w:szCs w:val="24"/>
        </w:rPr>
        <w:t xml:space="preserve">Rapport sur </w:t>
      </w:r>
      <w:r w:rsidR="0027472B">
        <w:rPr>
          <w:rFonts w:ascii="Times New Roman" w:hAnsi="Times New Roman"/>
          <w:sz w:val="24"/>
          <w:szCs w:val="24"/>
        </w:rPr>
        <w:t>le Développement Industriel, l'E</w:t>
      </w:r>
      <w:r w:rsidRPr="000031A7">
        <w:rPr>
          <w:rFonts w:ascii="Times New Roman" w:hAnsi="Times New Roman"/>
          <w:sz w:val="24"/>
          <w:szCs w:val="24"/>
        </w:rPr>
        <w:t>mergence et l</w:t>
      </w:r>
      <w:r w:rsidR="0027472B">
        <w:rPr>
          <w:rFonts w:ascii="Times New Roman" w:hAnsi="Times New Roman"/>
          <w:sz w:val="24"/>
          <w:szCs w:val="24"/>
        </w:rPr>
        <w:t>a R</w:t>
      </w:r>
      <w:r w:rsidRPr="000031A7">
        <w:rPr>
          <w:rFonts w:ascii="Times New Roman" w:hAnsi="Times New Roman"/>
          <w:sz w:val="24"/>
          <w:szCs w:val="24"/>
        </w:rPr>
        <w:t xml:space="preserve">éduction de la </w:t>
      </w:r>
      <w:r w:rsidR="0027472B">
        <w:rPr>
          <w:rFonts w:ascii="Times New Roman" w:hAnsi="Times New Roman"/>
          <w:sz w:val="24"/>
          <w:szCs w:val="24"/>
        </w:rPr>
        <w:t>P</w:t>
      </w:r>
      <w:r w:rsidRPr="000031A7">
        <w:rPr>
          <w:rFonts w:ascii="Times New Roman" w:hAnsi="Times New Roman"/>
          <w:sz w:val="24"/>
          <w:szCs w:val="24"/>
        </w:rPr>
        <w:t>auvreté au Mali, disponible</w:t>
      </w:r>
    </w:p>
    <w:p w14:paraId="550FAC81" w14:textId="77777777" w:rsidR="000031A7" w:rsidRPr="000031A7" w:rsidRDefault="000031A7" w:rsidP="00D76EFA">
      <w:pPr>
        <w:numPr>
          <w:ilvl w:val="0"/>
          <w:numId w:val="76"/>
        </w:numPr>
        <w:spacing w:after="0" w:line="240" w:lineRule="auto"/>
        <w:rPr>
          <w:rFonts w:ascii="Times New Roman" w:hAnsi="Times New Roman"/>
          <w:sz w:val="24"/>
          <w:szCs w:val="24"/>
        </w:rPr>
      </w:pPr>
      <w:r w:rsidRPr="000031A7">
        <w:rPr>
          <w:rFonts w:ascii="Times New Roman" w:hAnsi="Times New Roman"/>
          <w:sz w:val="24"/>
          <w:szCs w:val="24"/>
        </w:rPr>
        <w:t>Stratégie Commune d'Assistance Pays-SCAP, disponible</w:t>
      </w:r>
    </w:p>
    <w:p w14:paraId="5559C2E7" w14:textId="77777777" w:rsidR="000031A7" w:rsidRPr="000031A7" w:rsidRDefault="000031A7" w:rsidP="00D76EFA">
      <w:pPr>
        <w:numPr>
          <w:ilvl w:val="0"/>
          <w:numId w:val="76"/>
        </w:numPr>
        <w:spacing w:after="0" w:line="240" w:lineRule="auto"/>
        <w:rPr>
          <w:rFonts w:ascii="Times New Roman" w:hAnsi="Times New Roman"/>
          <w:sz w:val="24"/>
          <w:szCs w:val="24"/>
        </w:rPr>
      </w:pPr>
      <w:r w:rsidRPr="000031A7">
        <w:rPr>
          <w:rFonts w:ascii="Times New Roman" w:hAnsi="Times New Roman"/>
          <w:sz w:val="24"/>
          <w:szCs w:val="24"/>
        </w:rPr>
        <w:t>Rapports annuels d’analyse de l’aide extérieure, disponible grâce à l’assistance technique fournie au SHA</w:t>
      </w:r>
    </w:p>
    <w:p w14:paraId="6F97034A" w14:textId="77777777" w:rsidR="000031A7" w:rsidRPr="000031A7" w:rsidRDefault="000031A7" w:rsidP="00D76EFA">
      <w:pPr>
        <w:numPr>
          <w:ilvl w:val="0"/>
          <w:numId w:val="76"/>
        </w:numPr>
        <w:spacing w:after="0" w:line="240" w:lineRule="auto"/>
        <w:rPr>
          <w:rFonts w:ascii="Times New Roman" w:hAnsi="Times New Roman"/>
          <w:sz w:val="24"/>
          <w:szCs w:val="24"/>
        </w:rPr>
      </w:pPr>
      <w:r w:rsidRPr="000031A7">
        <w:rPr>
          <w:rFonts w:ascii="Times New Roman" w:hAnsi="Times New Roman"/>
          <w:sz w:val="24"/>
          <w:szCs w:val="24"/>
        </w:rPr>
        <w:t>Cadre national de planification du développement unifié et harmonisé (CREDD)</w:t>
      </w:r>
    </w:p>
    <w:p w14:paraId="0F6612E4" w14:textId="77777777" w:rsidR="000031A7" w:rsidRPr="000031A7" w:rsidRDefault="000031A7" w:rsidP="00D76EFA">
      <w:pPr>
        <w:numPr>
          <w:ilvl w:val="0"/>
          <w:numId w:val="76"/>
        </w:numPr>
        <w:spacing w:after="0" w:line="240" w:lineRule="auto"/>
        <w:rPr>
          <w:rFonts w:ascii="Times New Roman" w:hAnsi="Times New Roman"/>
          <w:sz w:val="24"/>
          <w:szCs w:val="24"/>
        </w:rPr>
      </w:pPr>
      <w:r w:rsidRPr="000031A7">
        <w:rPr>
          <w:rFonts w:ascii="Times New Roman" w:hAnsi="Times New Roman"/>
          <w:sz w:val="24"/>
          <w:szCs w:val="24"/>
        </w:rPr>
        <w:t>Rapports de gestion et d’analyse de l'Aide</w:t>
      </w:r>
    </w:p>
    <w:p w14:paraId="59EF629C" w14:textId="77777777" w:rsidR="000031A7" w:rsidRPr="000031A7" w:rsidRDefault="000031A7" w:rsidP="000031A7">
      <w:pPr>
        <w:spacing w:after="0" w:line="240" w:lineRule="auto"/>
        <w:rPr>
          <w:rFonts w:ascii="Times New Roman" w:hAnsi="Times New Roman"/>
          <w:sz w:val="24"/>
          <w:szCs w:val="24"/>
        </w:rPr>
      </w:pPr>
    </w:p>
    <w:p w14:paraId="4FA6D3D6" w14:textId="77777777" w:rsidR="000031A7" w:rsidRPr="000031A7" w:rsidRDefault="00454255" w:rsidP="00414C56">
      <w:pPr>
        <w:spacing w:after="0" w:line="240" w:lineRule="auto"/>
        <w:jc w:val="both"/>
        <w:rPr>
          <w:rFonts w:ascii="Times New Roman" w:hAnsi="Times New Roman"/>
          <w:sz w:val="24"/>
          <w:szCs w:val="24"/>
        </w:rPr>
      </w:pPr>
      <w:r>
        <w:rPr>
          <w:rFonts w:ascii="Times New Roman" w:hAnsi="Times New Roman"/>
          <w:sz w:val="24"/>
          <w:szCs w:val="24"/>
        </w:rPr>
        <w:t>5</w:t>
      </w:r>
      <w:r w:rsidR="000B5082">
        <w:rPr>
          <w:rFonts w:ascii="Times New Roman" w:hAnsi="Times New Roman"/>
          <w:sz w:val="24"/>
          <w:szCs w:val="24"/>
        </w:rPr>
        <w:t>2</w:t>
      </w:r>
      <w:r>
        <w:rPr>
          <w:rFonts w:ascii="Times New Roman" w:hAnsi="Times New Roman"/>
          <w:sz w:val="24"/>
          <w:szCs w:val="24"/>
        </w:rPr>
        <w:t>.</w:t>
      </w:r>
      <w:r w:rsidR="000031A7" w:rsidRPr="000031A7">
        <w:rPr>
          <w:rFonts w:ascii="Times New Roman" w:hAnsi="Times New Roman"/>
          <w:sz w:val="24"/>
          <w:szCs w:val="24"/>
        </w:rPr>
        <w:tab/>
        <w:t>Sur le plan des réformes, le programme a également aidé le pays dans un certain nombre de réformes ou de réaménagements de son environnement d’affaires et de développement : Procédures de création d'entreprise et d’investissement simplifiée en ligne ; Déclaration des impôts simplifiée en ligne ; Permis de construire rationalisé et simplifié en ligne ; Internalisation des directives UEMOA dans les procédures budgétaires nationales ; notamment.</w:t>
      </w:r>
    </w:p>
    <w:p w14:paraId="4E19986D" w14:textId="77777777" w:rsidR="000031A7" w:rsidRPr="000031A7" w:rsidRDefault="000031A7" w:rsidP="000031A7">
      <w:pPr>
        <w:spacing w:after="0" w:line="240" w:lineRule="auto"/>
        <w:rPr>
          <w:rFonts w:ascii="Times New Roman" w:hAnsi="Times New Roman"/>
          <w:sz w:val="24"/>
          <w:szCs w:val="24"/>
        </w:rPr>
      </w:pPr>
    </w:p>
    <w:p w14:paraId="46F965B7" w14:textId="77777777" w:rsidR="000031A7" w:rsidRPr="000031A7" w:rsidRDefault="00454255" w:rsidP="00414C56">
      <w:pPr>
        <w:spacing w:after="0" w:line="240" w:lineRule="auto"/>
        <w:jc w:val="both"/>
        <w:rPr>
          <w:rFonts w:ascii="Times New Roman" w:hAnsi="Times New Roman"/>
          <w:sz w:val="24"/>
          <w:szCs w:val="24"/>
        </w:rPr>
      </w:pPr>
      <w:r>
        <w:rPr>
          <w:rFonts w:ascii="Times New Roman" w:hAnsi="Times New Roman"/>
          <w:sz w:val="24"/>
          <w:szCs w:val="24"/>
        </w:rPr>
        <w:t>5</w:t>
      </w:r>
      <w:r w:rsidR="000B5082">
        <w:rPr>
          <w:rFonts w:ascii="Times New Roman" w:hAnsi="Times New Roman"/>
          <w:sz w:val="24"/>
          <w:szCs w:val="24"/>
        </w:rPr>
        <w:t>3</w:t>
      </w:r>
      <w:r>
        <w:rPr>
          <w:rFonts w:ascii="Times New Roman" w:hAnsi="Times New Roman"/>
          <w:sz w:val="24"/>
          <w:szCs w:val="24"/>
        </w:rPr>
        <w:t>.</w:t>
      </w:r>
      <w:r w:rsidR="000031A7" w:rsidRPr="000031A7">
        <w:rPr>
          <w:rFonts w:ascii="Times New Roman" w:hAnsi="Times New Roman"/>
          <w:sz w:val="24"/>
          <w:szCs w:val="24"/>
        </w:rPr>
        <w:tab/>
        <w:t xml:space="preserve">Ces acquis stratégiques sont d’autant plus intéressants pour le pays qu’ils sont ancrés au niveau de structures nationales qui accroissent de plus en plus leur robustesse technique. C’est le cas notamment de la Direction de la Coopération Multilatérale, de la Cellule Technique du Cadre Stratégique de Lutte contre la Pauvreté, du Secrétariat à l’Harmonisation de l’Aide, de l’Observatoire du Développement Humain Durable, de la Cellule Technique des Réformes du Climat des Affaires, la Section des Comptes de la Cour Suprême, ou encore des Cellules sectorielles de Planification et de Statistique. Plus globalement, le programme TOKTEN a donné au maliens de l’extérieur l’opportunité de féconder les capacités nationales de leur expertise et expérience internationales, à travers plus de 50 mission d’appui aux entités </w:t>
      </w:r>
      <w:r w:rsidR="00414C56" w:rsidRPr="000031A7">
        <w:rPr>
          <w:rFonts w:ascii="Times New Roman" w:hAnsi="Times New Roman"/>
          <w:sz w:val="24"/>
          <w:szCs w:val="24"/>
        </w:rPr>
        <w:t>nationales</w:t>
      </w:r>
      <w:r w:rsidR="000031A7" w:rsidRPr="000031A7">
        <w:rPr>
          <w:rFonts w:ascii="Times New Roman" w:hAnsi="Times New Roman"/>
          <w:sz w:val="24"/>
          <w:szCs w:val="24"/>
        </w:rPr>
        <w:t>.</w:t>
      </w:r>
    </w:p>
    <w:p w14:paraId="68BFE855" w14:textId="77777777" w:rsidR="000031A7" w:rsidRPr="000031A7" w:rsidRDefault="000031A7" w:rsidP="000031A7">
      <w:pPr>
        <w:spacing w:after="0" w:line="240" w:lineRule="auto"/>
        <w:rPr>
          <w:rFonts w:ascii="Times New Roman" w:hAnsi="Times New Roman"/>
          <w:sz w:val="24"/>
          <w:szCs w:val="24"/>
        </w:rPr>
      </w:pPr>
    </w:p>
    <w:p w14:paraId="2540F054" w14:textId="77777777" w:rsidR="000031A7" w:rsidRPr="000031A7" w:rsidRDefault="00454255" w:rsidP="00414C56">
      <w:pPr>
        <w:spacing w:after="0" w:line="240" w:lineRule="auto"/>
        <w:jc w:val="both"/>
        <w:rPr>
          <w:rFonts w:ascii="Times New Roman" w:hAnsi="Times New Roman"/>
          <w:sz w:val="24"/>
          <w:szCs w:val="24"/>
        </w:rPr>
      </w:pPr>
      <w:r>
        <w:rPr>
          <w:rFonts w:ascii="Times New Roman" w:hAnsi="Times New Roman"/>
          <w:sz w:val="24"/>
          <w:szCs w:val="24"/>
        </w:rPr>
        <w:t>5</w:t>
      </w:r>
      <w:r w:rsidR="000B5082">
        <w:rPr>
          <w:rFonts w:ascii="Times New Roman" w:hAnsi="Times New Roman"/>
          <w:sz w:val="24"/>
          <w:szCs w:val="24"/>
        </w:rPr>
        <w:t>4</w:t>
      </w:r>
      <w:r>
        <w:rPr>
          <w:rFonts w:ascii="Times New Roman" w:hAnsi="Times New Roman"/>
          <w:sz w:val="24"/>
          <w:szCs w:val="24"/>
        </w:rPr>
        <w:t>.</w:t>
      </w:r>
      <w:r w:rsidR="000031A7" w:rsidRPr="000031A7">
        <w:rPr>
          <w:rFonts w:ascii="Times New Roman" w:hAnsi="Times New Roman"/>
          <w:sz w:val="24"/>
          <w:szCs w:val="24"/>
        </w:rPr>
        <w:tab/>
        <w:t xml:space="preserve">Au titre du Produit 2, le programme a développé des stratégies en faveur de la résilience des plus fragiles. Il favorisé leur accès à l’emploi : 8 000 jeunes en emploi, 7 500 femmes chefs de ménage bénéficiaires d’activités génératrices de revenu ; filières Mangue, Gomme arabique, Karité et viande- bétail, appuyées : 300 femmes </w:t>
      </w:r>
      <w:r w:rsidR="00414C56" w:rsidRPr="000031A7">
        <w:rPr>
          <w:rFonts w:ascii="Times New Roman" w:hAnsi="Times New Roman"/>
          <w:sz w:val="24"/>
          <w:szCs w:val="24"/>
        </w:rPr>
        <w:t>capacités</w:t>
      </w:r>
      <w:r w:rsidR="000031A7" w:rsidRPr="000031A7">
        <w:rPr>
          <w:rFonts w:ascii="Times New Roman" w:hAnsi="Times New Roman"/>
          <w:sz w:val="24"/>
          <w:szCs w:val="24"/>
        </w:rPr>
        <w:t> ; etc. Le programme a également rendu plus access</w:t>
      </w:r>
      <w:r w:rsidR="005F5FEF">
        <w:rPr>
          <w:rFonts w:ascii="Times New Roman" w:hAnsi="Times New Roman"/>
          <w:sz w:val="24"/>
          <w:szCs w:val="24"/>
        </w:rPr>
        <w:t>ibles les infrastructures socio-</w:t>
      </w:r>
      <w:r w:rsidR="00414C56" w:rsidRPr="000031A7">
        <w:rPr>
          <w:rFonts w:ascii="Times New Roman" w:hAnsi="Times New Roman"/>
          <w:sz w:val="24"/>
          <w:szCs w:val="24"/>
        </w:rPr>
        <w:t>économiques</w:t>
      </w:r>
      <w:r w:rsidR="000031A7" w:rsidRPr="000031A7">
        <w:rPr>
          <w:rFonts w:ascii="Times New Roman" w:hAnsi="Times New Roman"/>
          <w:sz w:val="24"/>
          <w:szCs w:val="24"/>
        </w:rPr>
        <w:t xml:space="preserve"> de production comme les aménagements hydro agricoles développées avec le  système Faguibine (Région de Tombouctou) ; 170 000 habitants (51% des femmes) ont désormais accès à l’eau potable, la production agricole s’est accrue de 35% dans les zones concernées. Par ailleurs, 50 000 personnes raccordées aux énergies renouvelables : construction de trois villages solaires et installation </w:t>
      </w:r>
      <w:r w:rsidR="009C493D">
        <w:rPr>
          <w:rFonts w:ascii="Times New Roman" w:hAnsi="Times New Roman"/>
          <w:sz w:val="24"/>
          <w:szCs w:val="24"/>
        </w:rPr>
        <w:t xml:space="preserve">de 500 kits solaires familiaux. </w:t>
      </w:r>
      <w:r w:rsidR="000031A7" w:rsidRPr="000031A7">
        <w:rPr>
          <w:rFonts w:ascii="Times New Roman" w:hAnsi="Times New Roman"/>
          <w:sz w:val="24"/>
          <w:szCs w:val="24"/>
        </w:rPr>
        <w:t>14,5ha de périmètres de reboisement/agroforesterie ont été aménagés.</w:t>
      </w:r>
    </w:p>
    <w:p w14:paraId="47508C20" w14:textId="77777777" w:rsidR="000031A7" w:rsidRPr="000031A7" w:rsidRDefault="000031A7" w:rsidP="000031A7">
      <w:pPr>
        <w:spacing w:after="0" w:line="240" w:lineRule="auto"/>
        <w:rPr>
          <w:rFonts w:ascii="Times New Roman" w:hAnsi="Times New Roman"/>
          <w:sz w:val="24"/>
          <w:szCs w:val="24"/>
        </w:rPr>
      </w:pPr>
    </w:p>
    <w:p w14:paraId="781C77A5" w14:textId="77777777" w:rsidR="000031A7" w:rsidRPr="004F261E" w:rsidRDefault="00454255" w:rsidP="00414C56">
      <w:pPr>
        <w:spacing w:after="0" w:line="240" w:lineRule="auto"/>
        <w:jc w:val="both"/>
        <w:rPr>
          <w:rFonts w:ascii="Times New Roman" w:hAnsi="Times New Roman"/>
          <w:sz w:val="24"/>
          <w:szCs w:val="24"/>
        </w:rPr>
      </w:pPr>
      <w:r>
        <w:rPr>
          <w:rFonts w:ascii="Times New Roman" w:hAnsi="Times New Roman"/>
          <w:sz w:val="24"/>
          <w:szCs w:val="24"/>
        </w:rPr>
        <w:t>5</w:t>
      </w:r>
      <w:r w:rsidR="000B5082">
        <w:rPr>
          <w:rFonts w:ascii="Times New Roman" w:hAnsi="Times New Roman"/>
          <w:sz w:val="24"/>
          <w:szCs w:val="24"/>
        </w:rPr>
        <w:t>5</w:t>
      </w:r>
      <w:r>
        <w:rPr>
          <w:rFonts w:ascii="Times New Roman" w:hAnsi="Times New Roman"/>
          <w:sz w:val="24"/>
          <w:szCs w:val="24"/>
        </w:rPr>
        <w:t>.</w:t>
      </w:r>
      <w:r w:rsidR="000031A7" w:rsidRPr="000031A7">
        <w:rPr>
          <w:rFonts w:ascii="Times New Roman" w:hAnsi="Times New Roman"/>
          <w:sz w:val="24"/>
          <w:szCs w:val="24"/>
        </w:rPr>
        <w:tab/>
        <w:t xml:space="preserve">Au titre du Produit 3, le programme a aidé le secteur de l’environnement à élaborer ses documents de planification et de gestion, notamment : Cadre Stratégique pour la Relance économique et le Développement Durable (CREDD 2016-2018) ;  Document de Contributions Determinées au Niveau national en matière de réduction des émissions de gaz à </w:t>
      </w:r>
      <w:r w:rsidR="000031A7" w:rsidRPr="004F261E">
        <w:rPr>
          <w:rFonts w:ascii="Times New Roman" w:hAnsi="Times New Roman"/>
          <w:sz w:val="24"/>
          <w:szCs w:val="24"/>
        </w:rPr>
        <w:t>effet de serre et d'adaptation aux changements climatiques </w:t>
      </w:r>
      <w:r w:rsidR="00B23DEE" w:rsidRPr="004F261E">
        <w:rPr>
          <w:rFonts w:ascii="Times New Roman" w:hAnsi="Times New Roman"/>
          <w:sz w:val="24"/>
          <w:szCs w:val="24"/>
        </w:rPr>
        <w:t>(assortie d’une feuille de route et d’un plan d’investissement) ; rapport de la 3ème communication nationale élaboré et disponible en Septembre 2017)</w:t>
      </w:r>
      <w:r w:rsidR="000031A7" w:rsidRPr="004F261E">
        <w:rPr>
          <w:rFonts w:ascii="Times New Roman" w:hAnsi="Times New Roman"/>
          <w:sz w:val="24"/>
          <w:szCs w:val="24"/>
        </w:rPr>
        <w:t>; 11 Plans communaux d’action environnementale intégrant dimension biodiversité ; Document de participation du Mali à la COP21 (Rapport des intentions de réductions d'émissions de gaz à effet</w:t>
      </w:r>
      <w:r w:rsidR="009C493D" w:rsidRPr="004F261E">
        <w:rPr>
          <w:rFonts w:ascii="Times New Roman" w:hAnsi="Times New Roman"/>
          <w:sz w:val="24"/>
          <w:szCs w:val="24"/>
        </w:rPr>
        <w:t xml:space="preserve"> de serre sur le Mali</w:t>
      </w:r>
      <w:r w:rsidR="000031A7" w:rsidRPr="004F261E">
        <w:rPr>
          <w:rFonts w:ascii="Times New Roman" w:hAnsi="Times New Roman"/>
          <w:sz w:val="24"/>
          <w:szCs w:val="24"/>
        </w:rPr>
        <w:t xml:space="preserve">) mais également à la préparation d'un side event incluant la réalisation d'un film documentaire sur les activités financées à travers le Fonds Climat du Mali). La matérialisation d’aires protégées notamment dans  des couloirs de </w:t>
      </w:r>
      <w:r w:rsidR="000031A7" w:rsidRPr="004F261E">
        <w:rPr>
          <w:rFonts w:ascii="Times New Roman" w:hAnsi="Times New Roman"/>
          <w:sz w:val="24"/>
          <w:szCs w:val="24"/>
        </w:rPr>
        <w:lastRenderedPageBreak/>
        <w:t xml:space="preserve">migration de la faune, ont permis une meilleure protection des aires protégées avec l'appui des communautés. Des Concertations régionales et nationales sur les sur les projets de textes de gestion de la faune et son habitat, ont eu lieu. Trente bureaux de comités villageois de surveillance ainsi qu’un bureau du Comité Intercommunal d’Orientation et de Gestion des Aires Protégées, ont été officiellement mis en place avec l’appui du programme : ils garantissent l’implication effective des populations dans la surveillance des aires protégées et obtention de revenus supplémentaires. </w:t>
      </w:r>
    </w:p>
    <w:p w14:paraId="7726F4D7" w14:textId="77777777" w:rsidR="000031A7" w:rsidRPr="004F261E" w:rsidRDefault="000031A7" w:rsidP="000031A7">
      <w:pPr>
        <w:spacing w:after="0" w:line="240" w:lineRule="auto"/>
        <w:rPr>
          <w:rFonts w:ascii="Times New Roman" w:hAnsi="Times New Roman"/>
          <w:sz w:val="24"/>
          <w:szCs w:val="24"/>
        </w:rPr>
      </w:pPr>
    </w:p>
    <w:p w14:paraId="2C8BDEB5" w14:textId="77777777" w:rsidR="000031A7" w:rsidRDefault="00454255" w:rsidP="00414C56">
      <w:pPr>
        <w:spacing w:after="0" w:line="240" w:lineRule="auto"/>
        <w:jc w:val="both"/>
        <w:rPr>
          <w:rFonts w:ascii="Times New Roman" w:hAnsi="Times New Roman"/>
          <w:sz w:val="24"/>
          <w:szCs w:val="24"/>
        </w:rPr>
      </w:pPr>
      <w:r w:rsidRPr="004F261E">
        <w:rPr>
          <w:rFonts w:ascii="Times New Roman" w:hAnsi="Times New Roman"/>
          <w:sz w:val="24"/>
          <w:szCs w:val="24"/>
        </w:rPr>
        <w:t>5</w:t>
      </w:r>
      <w:r w:rsidR="000B5082" w:rsidRPr="004F261E">
        <w:rPr>
          <w:rFonts w:ascii="Times New Roman" w:hAnsi="Times New Roman"/>
          <w:sz w:val="24"/>
          <w:szCs w:val="24"/>
        </w:rPr>
        <w:t>6</w:t>
      </w:r>
      <w:r w:rsidRPr="004F261E">
        <w:rPr>
          <w:rFonts w:ascii="Times New Roman" w:hAnsi="Times New Roman"/>
          <w:sz w:val="24"/>
          <w:szCs w:val="24"/>
        </w:rPr>
        <w:t>.</w:t>
      </w:r>
      <w:r w:rsidR="000031A7" w:rsidRPr="004F261E">
        <w:rPr>
          <w:rFonts w:ascii="Times New Roman" w:hAnsi="Times New Roman"/>
          <w:sz w:val="24"/>
          <w:szCs w:val="24"/>
        </w:rPr>
        <w:tab/>
        <w:t xml:space="preserve">Les instruments de prévention et de gestion des risques et catastrophes ont également été développés avec l’aide du programme : Plan de prévention et de réduction des risques de catastrophes qui a été approuvé par le Gouvernement ; 5 nouveaux plans de réduction et gestion de risques ont été développés au niveau national ; Plateforme nationale de réduction des risques des catastrophes a été finalisée et adoptée par le conseil des ministres ; Plan de contingence multirisque disponible pour 2017 ; </w:t>
      </w:r>
      <w:r w:rsidR="00B23DEE" w:rsidRPr="004F261E">
        <w:rPr>
          <w:rFonts w:ascii="Times New Roman" w:hAnsi="Times New Roman"/>
          <w:sz w:val="24"/>
          <w:szCs w:val="24"/>
        </w:rPr>
        <w:t>Stratégie nationale de réduction des risques de catastrophes adoptée en Conseil des Ministres ; P</w:t>
      </w:r>
      <w:r w:rsidR="000031A7" w:rsidRPr="004F261E">
        <w:rPr>
          <w:rFonts w:ascii="Times New Roman" w:hAnsi="Times New Roman"/>
          <w:sz w:val="24"/>
          <w:szCs w:val="24"/>
        </w:rPr>
        <w:t xml:space="preserve">rojet/FEM </w:t>
      </w:r>
      <w:r w:rsidR="00B23DEE" w:rsidRPr="004F261E">
        <w:rPr>
          <w:rFonts w:ascii="Times New Roman" w:hAnsi="Times New Roman"/>
          <w:sz w:val="24"/>
          <w:szCs w:val="24"/>
        </w:rPr>
        <w:t>opérationnel depuis avril 2017 mais officie</w:t>
      </w:r>
      <w:r w:rsidR="005E0CC4" w:rsidRPr="004F261E">
        <w:rPr>
          <w:rFonts w:ascii="Times New Roman" w:hAnsi="Times New Roman"/>
          <w:sz w:val="24"/>
          <w:szCs w:val="24"/>
        </w:rPr>
        <w:t>llement lancé en septembre 2017.</w:t>
      </w:r>
    </w:p>
    <w:p w14:paraId="0CEB9050" w14:textId="77777777" w:rsidR="005E0CC4" w:rsidRDefault="005E0CC4" w:rsidP="00414C56">
      <w:pPr>
        <w:spacing w:after="0" w:line="240" w:lineRule="auto"/>
        <w:jc w:val="both"/>
        <w:rPr>
          <w:rFonts w:ascii="Times New Roman" w:hAnsi="Times New Roman"/>
          <w:sz w:val="24"/>
          <w:szCs w:val="24"/>
        </w:rPr>
      </w:pPr>
    </w:p>
    <w:p w14:paraId="440BF646" w14:textId="77777777" w:rsidR="005E0CC4" w:rsidRPr="000442E1" w:rsidRDefault="005E0CC4" w:rsidP="005E0CC4">
      <w:pPr>
        <w:pStyle w:val="Titre1"/>
        <w:spacing w:before="0" w:line="240" w:lineRule="auto"/>
        <w:rPr>
          <w:rFonts w:ascii="Times New Roman" w:hAnsi="Times New Roman"/>
          <w:color w:val="auto"/>
          <w:sz w:val="24"/>
          <w:szCs w:val="24"/>
        </w:rPr>
      </w:pPr>
      <w:bookmarkStart w:id="119" w:name="_Toc499211613"/>
      <w:bookmarkStart w:id="120" w:name="_Toc499213886"/>
      <w:r w:rsidRPr="000442E1">
        <w:rPr>
          <w:rFonts w:ascii="Times New Roman" w:hAnsi="Times New Roman"/>
          <w:color w:val="auto"/>
          <w:sz w:val="24"/>
          <w:szCs w:val="24"/>
        </w:rPr>
        <w:t xml:space="preserve">Tableau </w:t>
      </w:r>
      <w:r>
        <w:rPr>
          <w:rFonts w:ascii="Times New Roman" w:hAnsi="Times New Roman"/>
          <w:color w:val="auto"/>
          <w:sz w:val="24"/>
          <w:szCs w:val="24"/>
        </w:rPr>
        <w:t>8</w:t>
      </w:r>
      <w:r w:rsidRPr="000442E1">
        <w:rPr>
          <w:rFonts w:ascii="Times New Roman" w:hAnsi="Times New Roman"/>
          <w:color w:val="auto"/>
          <w:sz w:val="24"/>
          <w:szCs w:val="24"/>
        </w:rPr>
        <w:t> : C</w:t>
      </w:r>
      <w:r>
        <w:rPr>
          <w:rFonts w:ascii="Times New Roman" w:hAnsi="Times New Roman"/>
          <w:color w:val="auto"/>
          <w:sz w:val="24"/>
          <w:szCs w:val="24"/>
        </w:rPr>
        <w:t>ontribution du Programme à l’Effet 2</w:t>
      </w:r>
      <w:bookmarkEnd w:id="119"/>
      <w:bookmarkEnd w:id="120"/>
    </w:p>
    <w:p w14:paraId="19F3B186" w14:textId="77777777" w:rsidR="005E0CC4" w:rsidRPr="000031A7" w:rsidRDefault="005E0CC4" w:rsidP="00414C56">
      <w:pPr>
        <w:spacing w:after="0" w:line="240" w:lineRule="auto"/>
        <w:jc w:val="both"/>
        <w:rPr>
          <w:rFonts w:ascii="Times New Roman" w:hAnsi="Times New Roman"/>
          <w:sz w:val="24"/>
          <w:szCs w:val="24"/>
        </w:rPr>
      </w:pPr>
    </w:p>
    <w:tbl>
      <w:tblPr>
        <w:tblpPr w:leftFromText="141" w:rightFromText="141" w:vertAnchor="text" w:horzAnchor="margin" w:tblpXSpec="center" w:tblpY="40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3296"/>
        <w:gridCol w:w="3874"/>
        <w:gridCol w:w="683"/>
        <w:gridCol w:w="583"/>
        <w:gridCol w:w="512"/>
      </w:tblGrid>
      <w:tr w:rsidR="00414C56" w:rsidRPr="000031A7" w14:paraId="55EFFE94" w14:textId="77777777" w:rsidTr="00414C56">
        <w:tc>
          <w:tcPr>
            <w:tcW w:w="1792" w:type="dxa"/>
            <w:shd w:val="clear" w:color="auto" w:fill="F2F2F2" w:themeFill="background1" w:themeFillShade="F2"/>
            <w:vAlign w:val="center"/>
          </w:tcPr>
          <w:p w14:paraId="34EE3035" w14:textId="77777777" w:rsidR="00414C56" w:rsidRPr="000031A7" w:rsidRDefault="00414C56" w:rsidP="000031A7">
            <w:pPr>
              <w:spacing w:after="0" w:line="240" w:lineRule="auto"/>
              <w:rPr>
                <w:rFonts w:ascii="Times New Roman" w:hAnsi="Times New Roman"/>
                <w:sz w:val="20"/>
                <w:szCs w:val="20"/>
              </w:rPr>
            </w:pPr>
            <w:r>
              <w:rPr>
                <w:rFonts w:ascii="Times New Roman" w:hAnsi="Times New Roman"/>
                <w:sz w:val="20"/>
                <w:szCs w:val="20"/>
              </w:rPr>
              <w:t>Résultat/Effet 2</w:t>
            </w:r>
          </w:p>
        </w:tc>
        <w:tc>
          <w:tcPr>
            <w:tcW w:w="3296" w:type="dxa"/>
            <w:vMerge w:val="restart"/>
            <w:shd w:val="clear" w:color="auto" w:fill="F2F2F2" w:themeFill="background1" w:themeFillShade="F2"/>
            <w:vAlign w:val="center"/>
          </w:tcPr>
          <w:p w14:paraId="30BC2285" w14:textId="77777777" w:rsidR="00414C56" w:rsidRPr="000031A7" w:rsidRDefault="00414C56" w:rsidP="000031A7">
            <w:pPr>
              <w:spacing w:after="0" w:line="240" w:lineRule="auto"/>
              <w:rPr>
                <w:rFonts w:ascii="Times New Roman" w:hAnsi="Times New Roman"/>
                <w:sz w:val="20"/>
                <w:szCs w:val="20"/>
              </w:rPr>
            </w:pPr>
            <w:r w:rsidRPr="000031A7">
              <w:rPr>
                <w:rFonts w:ascii="Times New Roman" w:hAnsi="Times New Roman"/>
                <w:sz w:val="20"/>
                <w:szCs w:val="20"/>
              </w:rPr>
              <w:t>Planification</w:t>
            </w:r>
          </w:p>
        </w:tc>
        <w:tc>
          <w:tcPr>
            <w:tcW w:w="5652" w:type="dxa"/>
            <w:gridSpan w:val="4"/>
            <w:shd w:val="clear" w:color="auto" w:fill="F2F2F2" w:themeFill="background1" w:themeFillShade="F2"/>
            <w:vAlign w:val="center"/>
          </w:tcPr>
          <w:p w14:paraId="3C8503CF" w14:textId="77777777" w:rsidR="00414C56" w:rsidRPr="000031A7" w:rsidRDefault="00414C56" w:rsidP="000031A7">
            <w:pPr>
              <w:spacing w:after="0" w:line="240" w:lineRule="auto"/>
              <w:rPr>
                <w:rFonts w:ascii="Times New Roman" w:hAnsi="Times New Roman"/>
                <w:sz w:val="20"/>
                <w:szCs w:val="20"/>
              </w:rPr>
            </w:pPr>
            <w:r w:rsidRPr="000031A7">
              <w:rPr>
                <w:rFonts w:ascii="Times New Roman" w:hAnsi="Times New Roman"/>
                <w:sz w:val="20"/>
                <w:szCs w:val="20"/>
              </w:rPr>
              <w:t>Exécution</w:t>
            </w:r>
          </w:p>
        </w:tc>
      </w:tr>
      <w:tr w:rsidR="00414C56" w:rsidRPr="000031A7" w14:paraId="15CE497E" w14:textId="77777777" w:rsidTr="00414C56">
        <w:tc>
          <w:tcPr>
            <w:tcW w:w="1792" w:type="dxa"/>
            <w:vMerge w:val="restart"/>
            <w:shd w:val="clear" w:color="auto" w:fill="F2F2F2" w:themeFill="background1" w:themeFillShade="F2"/>
            <w:vAlign w:val="center"/>
          </w:tcPr>
          <w:p w14:paraId="7306608F" w14:textId="77777777" w:rsidR="00414C56" w:rsidRPr="000031A7" w:rsidRDefault="00414C56" w:rsidP="000031A7">
            <w:pPr>
              <w:spacing w:after="0" w:line="240" w:lineRule="auto"/>
              <w:rPr>
                <w:rFonts w:ascii="Times New Roman" w:hAnsi="Times New Roman"/>
                <w:sz w:val="20"/>
                <w:szCs w:val="20"/>
              </w:rPr>
            </w:pPr>
            <w:r w:rsidRPr="000031A7">
              <w:rPr>
                <w:rFonts w:ascii="Times New Roman" w:hAnsi="Times New Roman"/>
                <w:sz w:val="20"/>
                <w:szCs w:val="20"/>
              </w:rPr>
              <w:t>Produit 1-3</w:t>
            </w:r>
          </w:p>
        </w:tc>
        <w:tc>
          <w:tcPr>
            <w:tcW w:w="3296" w:type="dxa"/>
            <w:vMerge/>
            <w:shd w:val="clear" w:color="auto" w:fill="F2F2F2" w:themeFill="background1" w:themeFillShade="F2"/>
            <w:vAlign w:val="center"/>
          </w:tcPr>
          <w:p w14:paraId="56B34443" w14:textId="77777777" w:rsidR="00414C56" w:rsidRPr="000031A7" w:rsidRDefault="00414C56" w:rsidP="000031A7">
            <w:pPr>
              <w:spacing w:after="0" w:line="240" w:lineRule="auto"/>
              <w:rPr>
                <w:rFonts w:ascii="Times New Roman" w:hAnsi="Times New Roman"/>
                <w:sz w:val="20"/>
                <w:szCs w:val="20"/>
              </w:rPr>
            </w:pPr>
          </w:p>
        </w:tc>
        <w:tc>
          <w:tcPr>
            <w:tcW w:w="3874" w:type="dxa"/>
            <w:vMerge w:val="restart"/>
            <w:shd w:val="clear" w:color="auto" w:fill="F2F2F2" w:themeFill="background1" w:themeFillShade="F2"/>
            <w:vAlign w:val="center"/>
          </w:tcPr>
          <w:p w14:paraId="364E90FD" w14:textId="77777777" w:rsidR="00414C56" w:rsidRPr="000031A7" w:rsidRDefault="00414C56" w:rsidP="000031A7">
            <w:pPr>
              <w:spacing w:after="0" w:line="240" w:lineRule="auto"/>
              <w:rPr>
                <w:rFonts w:ascii="Times New Roman" w:hAnsi="Times New Roman"/>
                <w:sz w:val="20"/>
                <w:szCs w:val="20"/>
              </w:rPr>
            </w:pPr>
            <w:r w:rsidRPr="000031A7">
              <w:rPr>
                <w:rFonts w:ascii="Times New Roman" w:hAnsi="Times New Roman"/>
                <w:sz w:val="20"/>
                <w:szCs w:val="20"/>
              </w:rPr>
              <w:t>Réalisations/Livraisons</w:t>
            </w:r>
          </w:p>
        </w:tc>
        <w:tc>
          <w:tcPr>
            <w:tcW w:w="1778" w:type="dxa"/>
            <w:gridSpan w:val="3"/>
            <w:shd w:val="clear" w:color="auto" w:fill="F2F2F2" w:themeFill="background1" w:themeFillShade="F2"/>
            <w:vAlign w:val="center"/>
          </w:tcPr>
          <w:p w14:paraId="7F1CFACB" w14:textId="77777777" w:rsidR="00414C56" w:rsidRPr="000031A7" w:rsidRDefault="00414C56" w:rsidP="000031A7">
            <w:pPr>
              <w:spacing w:after="0" w:line="240" w:lineRule="auto"/>
              <w:rPr>
                <w:rFonts w:ascii="Times New Roman" w:hAnsi="Times New Roman"/>
                <w:sz w:val="20"/>
                <w:szCs w:val="20"/>
              </w:rPr>
            </w:pPr>
            <w:r w:rsidRPr="000031A7">
              <w:rPr>
                <w:rFonts w:ascii="Times New Roman" w:hAnsi="Times New Roman"/>
                <w:sz w:val="20"/>
                <w:szCs w:val="20"/>
              </w:rPr>
              <w:t>Rating</w:t>
            </w:r>
          </w:p>
        </w:tc>
      </w:tr>
      <w:tr w:rsidR="00414C56" w:rsidRPr="000031A7" w14:paraId="4FFC05A7" w14:textId="77777777" w:rsidTr="00414C56">
        <w:trPr>
          <w:trHeight w:val="370"/>
        </w:trPr>
        <w:tc>
          <w:tcPr>
            <w:tcW w:w="1792" w:type="dxa"/>
            <w:vMerge/>
            <w:shd w:val="clear" w:color="auto" w:fill="F2F2F2" w:themeFill="background1" w:themeFillShade="F2"/>
            <w:vAlign w:val="center"/>
          </w:tcPr>
          <w:p w14:paraId="25E6111C" w14:textId="77777777" w:rsidR="00414C56" w:rsidRPr="000031A7" w:rsidRDefault="00414C56" w:rsidP="000031A7">
            <w:pPr>
              <w:spacing w:after="0" w:line="240" w:lineRule="auto"/>
              <w:rPr>
                <w:rFonts w:ascii="Times New Roman" w:hAnsi="Times New Roman"/>
                <w:sz w:val="20"/>
                <w:szCs w:val="20"/>
              </w:rPr>
            </w:pPr>
          </w:p>
        </w:tc>
        <w:tc>
          <w:tcPr>
            <w:tcW w:w="3296" w:type="dxa"/>
            <w:vMerge/>
            <w:shd w:val="clear" w:color="auto" w:fill="F2F2F2" w:themeFill="background1" w:themeFillShade="F2"/>
            <w:vAlign w:val="center"/>
          </w:tcPr>
          <w:p w14:paraId="062B2AB4" w14:textId="77777777" w:rsidR="00414C56" w:rsidRPr="000031A7" w:rsidRDefault="00414C56" w:rsidP="000031A7">
            <w:pPr>
              <w:spacing w:after="0" w:line="240" w:lineRule="auto"/>
              <w:rPr>
                <w:rFonts w:ascii="Times New Roman" w:hAnsi="Times New Roman"/>
                <w:sz w:val="20"/>
                <w:szCs w:val="20"/>
              </w:rPr>
            </w:pPr>
          </w:p>
        </w:tc>
        <w:tc>
          <w:tcPr>
            <w:tcW w:w="3874" w:type="dxa"/>
            <w:vMerge/>
            <w:shd w:val="clear" w:color="auto" w:fill="F2F2F2" w:themeFill="background1" w:themeFillShade="F2"/>
            <w:vAlign w:val="center"/>
          </w:tcPr>
          <w:p w14:paraId="4111F277" w14:textId="77777777" w:rsidR="00414C56" w:rsidRPr="000031A7" w:rsidRDefault="00414C56" w:rsidP="000031A7">
            <w:pPr>
              <w:spacing w:after="0" w:line="240" w:lineRule="auto"/>
              <w:rPr>
                <w:rFonts w:ascii="Times New Roman" w:hAnsi="Times New Roman"/>
                <w:sz w:val="20"/>
                <w:szCs w:val="20"/>
              </w:rPr>
            </w:pPr>
          </w:p>
        </w:tc>
        <w:tc>
          <w:tcPr>
            <w:tcW w:w="683" w:type="dxa"/>
            <w:shd w:val="clear" w:color="auto" w:fill="F2F2F2" w:themeFill="background1" w:themeFillShade="F2"/>
            <w:vAlign w:val="center"/>
          </w:tcPr>
          <w:p w14:paraId="688F861C" w14:textId="77777777" w:rsidR="00414C56" w:rsidRPr="000031A7" w:rsidRDefault="00414C56" w:rsidP="000031A7">
            <w:pPr>
              <w:spacing w:after="0" w:line="240" w:lineRule="auto"/>
              <w:rPr>
                <w:rFonts w:ascii="Times New Roman" w:hAnsi="Times New Roman"/>
                <w:sz w:val="20"/>
                <w:szCs w:val="20"/>
              </w:rPr>
            </w:pPr>
            <w:r w:rsidRPr="000031A7">
              <w:rPr>
                <w:rFonts w:ascii="Times New Roman" w:hAnsi="Times New Roman"/>
                <w:sz w:val="20"/>
                <w:szCs w:val="20"/>
              </w:rPr>
              <w:t>E</w:t>
            </w:r>
          </w:p>
        </w:tc>
        <w:tc>
          <w:tcPr>
            <w:tcW w:w="583" w:type="dxa"/>
            <w:shd w:val="clear" w:color="auto" w:fill="F2F2F2" w:themeFill="background1" w:themeFillShade="F2"/>
            <w:vAlign w:val="center"/>
          </w:tcPr>
          <w:p w14:paraId="6518D9EE" w14:textId="77777777" w:rsidR="00414C56" w:rsidRPr="000031A7" w:rsidRDefault="00414C56" w:rsidP="000031A7">
            <w:pPr>
              <w:spacing w:after="0" w:line="240" w:lineRule="auto"/>
              <w:rPr>
                <w:rFonts w:ascii="Times New Roman" w:hAnsi="Times New Roman"/>
                <w:sz w:val="20"/>
                <w:szCs w:val="20"/>
              </w:rPr>
            </w:pPr>
            <w:r w:rsidRPr="000031A7">
              <w:rPr>
                <w:rFonts w:ascii="Times New Roman" w:hAnsi="Times New Roman"/>
                <w:sz w:val="20"/>
                <w:szCs w:val="20"/>
              </w:rPr>
              <w:t>M</w:t>
            </w:r>
          </w:p>
        </w:tc>
        <w:tc>
          <w:tcPr>
            <w:tcW w:w="512" w:type="dxa"/>
            <w:shd w:val="clear" w:color="auto" w:fill="F2F2F2" w:themeFill="background1" w:themeFillShade="F2"/>
            <w:vAlign w:val="center"/>
          </w:tcPr>
          <w:p w14:paraId="056D5FAC" w14:textId="77777777" w:rsidR="00414C56" w:rsidRPr="000031A7" w:rsidRDefault="00414C56" w:rsidP="000031A7">
            <w:pPr>
              <w:spacing w:after="0" w:line="240" w:lineRule="auto"/>
              <w:rPr>
                <w:rFonts w:ascii="Times New Roman" w:hAnsi="Times New Roman"/>
                <w:sz w:val="20"/>
                <w:szCs w:val="20"/>
              </w:rPr>
            </w:pPr>
            <w:r w:rsidRPr="000031A7">
              <w:rPr>
                <w:rFonts w:ascii="Times New Roman" w:hAnsi="Times New Roman"/>
                <w:sz w:val="20"/>
                <w:szCs w:val="20"/>
              </w:rPr>
              <w:t>F-N</w:t>
            </w:r>
          </w:p>
        </w:tc>
      </w:tr>
      <w:tr w:rsidR="000031A7" w:rsidRPr="000031A7" w14:paraId="2A82468E" w14:textId="77777777" w:rsidTr="00414C56">
        <w:tc>
          <w:tcPr>
            <w:tcW w:w="1792" w:type="dxa"/>
            <w:vMerge w:val="restart"/>
            <w:shd w:val="clear" w:color="auto" w:fill="F2F2F2" w:themeFill="background1" w:themeFillShade="F2"/>
            <w:vAlign w:val="center"/>
          </w:tcPr>
          <w:p w14:paraId="1271AC0A" w14:textId="77777777" w:rsidR="000031A7" w:rsidRPr="000031A7" w:rsidRDefault="000031A7" w:rsidP="000031A7">
            <w:pPr>
              <w:spacing w:after="0" w:line="240" w:lineRule="auto"/>
              <w:rPr>
                <w:rFonts w:ascii="Times New Roman" w:hAnsi="Times New Roman"/>
                <w:sz w:val="20"/>
                <w:szCs w:val="20"/>
              </w:rPr>
            </w:pPr>
            <w:r w:rsidRPr="000031A7">
              <w:rPr>
                <w:rFonts w:ascii="Times New Roman" w:hAnsi="Times New Roman"/>
                <w:sz w:val="20"/>
                <w:szCs w:val="20"/>
              </w:rPr>
              <w:t>Les Ministères ayant l’économie, les finances et la planification dans leurs attributions ont amélioré leurs capacités de formulation des politiques, de gestion des finances publiques et de coordination de l’aide pour stimuler une croissance diversifiée et réduire l’inégalité</w:t>
            </w:r>
          </w:p>
        </w:tc>
        <w:tc>
          <w:tcPr>
            <w:tcW w:w="3296" w:type="dxa"/>
            <w:shd w:val="clear" w:color="auto" w:fill="auto"/>
            <w:vAlign w:val="center"/>
          </w:tcPr>
          <w:p w14:paraId="2DE1C357" w14:textId="77777777" w:rsidR="000031A7" w:rsidRPr="000031A7" w:rsidRDefault="000031A7" w:rsidP="000031A7">
            <w:pPr>
              <w:spacing w:after="0" w:line="240" w:lineRule="auto"/>
              <w:rPr>
                <w:rFonts w:ascii="Times New Roman" w:hAnsi="Times New Roman"/>
                <w:sz w:val="20"/>
                <w:szCs w:val="20"/>
              </w:rPr>
            </w:pPr>
            <w:r w:rsidRPr="000031A7">
              <w:rPr>
                <w:rFonts w:ascii="Times New Roman" w:hAnsi="Times New Roman"/>
                <w:sz w:val="20"/>
                <w:szCs w:val="20"/>
              </w:rPr>
              <w:t>Nombre de documents de</w:t>
            </w:r>
            <w:r w:rsidRPr="000031A7">
              <w:rPr>
                <w:rFonts w:ascii="Times New Roman" w:hAnsi="Times New Roman"/>
                <w:b/>
                <w:sz w:val="20"/>
                <w:szCs w:val="20"/>
              </w:rPr>
              <w:t xml:space="preserve"> </w:t>
            </w:r>
            <w:r w:rsidRPr="000031A7">
              <w:rPr>
                <w:rFonts w:ascii="Times New Roman" w:hAnsi="Times New Roman"/>
                <w:sz w:val="20"/>
                <w:szCs w:val="20"/>
              </w:rPr>
              <w:t>politique et d’analyse économique approuvés à l’échelle nationale</w:t>
            </w:r>
          </w:p>
          <w:p w14:paraId="490FB3ED" w14:textId="77777777" w:rsidR="000031A7" w:rsidRPr="000031A7" w:rsidRDefault="000031A7" w:rsidP="00D76EFA">
            <w:pPr>
              <w:numPr>
                <w:ilvl w:val="0"/>
                <w:numId w:val="46"/>
              </w:numPr>
              <w:spacing w:after="0" w:line="240" w:lineRule="auto"/>
              <w:rPr>
                <w:rFonts w:ascii="Times New Roman" w:hAnsi="Times New Roman"/>
                <w:sz w:val="20"/>
                <w:szCs w:val="20"/>
              </w:rPr>
            </w:pPr>
            <w:r w:rsidRPr="000031A7">
              <w:rPr>
                <w:rFonts w:ascii="Times New Roman" w:hAnsi="Times New Roman"/>
                <w:sz w:val="20"/>
                <w:szCs w:val="20"/>
              </w:rPr>
              <w:t>Réf : 10</w:t>
            </w:r>
          </w:p>
          <w:p w14:paraId="7A766456" w14:textId="77777777" w:rsidR="000031A7" w:rsidRPr="000031A7" w:rsidRDefault="000031A7" w:rsidP="00D76EFA">
            <w:pPr>
              <w:numPr>
                <w:ilvl w:val="0"/>
                <w:numId w:val="46"/>
              </w:numPr>
              <w:spacing w:after="0" w:line="240" w:lineRule="auto"/>
              <w:rPr>
                <w:rFonts w:ascii="Times New Roman" w:hAnsi="Times New Roman"/>
                <w:sz w:val="20"/>
                <w:szCs w:val="20"/>
              </w:rPr>
            </w:pPr>
            <w:r w:rsidRPr="000031A7">
              <w:rPr>
                <w:rFonts w:ascii="Times New Roman" w:hAnsi="Times New Roman"/>
                <w:sz w:val="20"/>
                <w:szCs w:val="20"/>
              </w:rPr>
              <w:t>Cible : 20</w:t>
            </w:r>
          </w:p>
        </w:tc>
        <w:tc>
          <w:tcPr>
            <w:tcW w:w="3874" w:type="dxa"/>
            <w:shd w:val="clear" w:color="auto" w:fill="auto"/>
            <w:vAlign w:val="center"/>
          </w:tcPr>
          <w:p w14:paraId="2AF41DE5" w14:textId="77777777" w:rsidR="000031A7" w:rsidRPr="000031A7" w:rsidRDefault="000031A7" w:rsidP="00D76EFA">
            <w:pPr>
              <w:numPr>
                <w:ilvl w:val="0"/>
                <w:numId w:val="65"/>
              </w:numPr>
              <w:spacing w:after="0" w:line="240" w:lineRule="auto"/>
              <w:rPr>
                <w:rFonts w:ascii="Times New Roman" w:hAnsi="Times New Roman"/>
                <w:sz w:val="20"/>
                <w:szCs w:val="20"/>
              </w:rPr>
            </w:pPr>
            <w:r w:rsidRPr="000031A7">
              <w:rPr>
                <w:rFonts w:ascii="Times New Roman" w:hAnsi="Times New Roman"/>
                <w:sz w:val="20"/>
                <w:szCs w:val="20"/>
              </w:rPr>
              <w:t>CSCRP mis à jour par rapport à relance économique du Nord prévue dans l’Accord de Paix</w:t>
            </w:r>
          </w:p>
          <w:p w14:paraId="722BAE55" w14:textId="77777777" w:rsidR="000031A7" w:rsidRPr="000031A7" w:rsidRDefault="000031A7" w:rsidP="00D76EFA">
            <w:pPr>
              <w:numPr>
                <w:ilvl w:val="0"/>
                <w:numId w:val="65"/>
              </w:numPr>
              <w:spacing w:after="0" w:line="240" w:lineRule="auto"/>
              <w:rPr>
                <w:rFonts w:ascii="Times New Roman" w:hAnsi="Times New Roman"/>
                <w:sz w:val="20"/>
                <w:szCs w:val="20"/>
              </w:rPr>
            </w:pPr>
            <w:r w:rsidRPr="000031A7">
              <w:rPr>
                <w:rFonts w:ascii="Times New Roman" w:hAnsi="Times New Roman"/>
                <w:sz w:val="20"/>
                <w:szCs w:val="20"/>
              </w:rPr>
              <w:t xml:space="preserve">Cadre Stratégique pour la Relance économique et le Développement Durable (CREDD 2016-2018) </w:t>
            </w:r>
          </w:p>
          <w:p w14:paraId="10CBF269" w14:textId="77777777" w:rsidR="000031A7" w:rsidRPr="000031A7" w:rsidRDefault="000031A7" w:rsidP="00D76EFA">
            <w:pPr>
              <w:numPr>
                <w:ilvl w:val="0"/>
                <w:numId w:val="65"/>
              </w:numPr>
              <w:spacing w:after="0" w:line="240" w:lineRule="auto"/>
              <w:rPr>
                <w:rFonts w:ascii="Times New Roman" w:hAnsi="Times New Roman"/>
                <w:sz w:val="20"/>
                <w:szCs w:val="20"/>
              </w:rPr>
            </w:pPr>
            <w:r w:rsidRPr="000031A7">
              <w:rPr>
                <w:rFonts w:ascii="Times New Roman" w:hAnsi="Times New Roman"/>
                <w:sz w:val="20"/>
                <w:szCs w:val="20"/>
              </w:rPr>
              <w:t>Processus de priorisation des ODD amorcé : cibles nationales retenues</w:t>
            </w:r>
          </w:p>
          <w:p w14:paraId="7B1F5F9C" w14:textId="77777777" w:rsidR="000031A7" w:rsidRPr="000031A7" w:rsidRDefault="000031A7" w:rsidP="00D76EFA">
            <w:pPr>
              <w:numPr>
                <w:ilvl w:val="0"/>
                <w:numId w:val="65"/>
              </w:numPr>
              <w:spacing w:after="0" w:line="240" w:lineRule="auto"/>
              <w:rPr>
                <w:rFonts w:ascii="Times New Roman" w:hAnsi="Times New Roman"/>
                <w:sz w:val="20"/>
                <w:szCs w:val="20"/>
              </w:rPr>
            </w:pPr>
            <w:r w:rsidRPr="000031A7">
              <w:rPr>
                <w:rFonts w:ascii="Times New Roman" w:hAnsi="Times New Roman"/>
                <w:sz w:val="20"/>
                <w:szCs w:val="20"/>
              </w:rPr>
              <w:t>Feuille de route Agenda 2030 élaborée avec 3 niveaux : national, régional et local.</w:t>
            </w:r>
          </w:p>
          <w:p w14:paraId="7DA3F016" w14:textId="77777777" w:rsidR="000031A7" w:rsidRPr="000031A7" w:rsidRDefault="000031A7" w:rsidP="00D76EFA">
            <w:pPr>
              <w:numPr>
                <w:ilvl w:val="0"/>
                <w:numId w:val="65"/>
              </w:numPr>
              <w:spacing w:after="0" w:line="240" w:lineRule="auto"/>
              <w:rPr>
                <w:rFonts w:ascii="Times New Roman" w:hAnsi="Times New Roman"/>
                <w:sz w:val="20"/>
                <w:szCs w:val="20"/>
              </w:rPr>
            </w:pPr>
            <w:r w:rsidRPr="000031A7">
              <w:rPr>
                <w:rFonts w:ascii="Times New Roman" w:hAnsi="Times New Roman"/>
                <w:sz w:val="20"/>
                <w:szCs w:val="20"/>
              </w:rPr>
              <w:t>Rapport National pour le Développement Humain RNDH 2016 disponible : "Migration et le Développement Humain"</w:t>
            </w:r>
          </w:p>
          <w:p w14:paraId="153E651F" w14:textId="77777777" w:rsidR="000031A7" w:rsidRPr="000031A7" w:rsidRDefault="000031A7" w:rsidP="00D76EFA">
            <w:pPr>
              <w:numPr>
                <w:ilvl w:val="0"/>
                <w:numId w:val="65"/>
              </w:numPr>
              <w:spacing w:after="0" w:line="240" w:lineRule="auto"/>
              <w:rPr>
                <w:rFonts w:ascii="Times New Roman" w:hAnsi="Times New Roman"/>
                <w:sz w:val="20"/>
                <w:szCs w:val="20"/>
              </w:rPr>
            </w:pPr>
            <w:r w:rsidRPr="000031A7">
              <w:rPr>
                <w:rFonts w:ascii="Times New Roman" w:hAnsi="Times New Roman"/>
                <w:sz w:val="20"/>
                <w:szCs w:val="20"/>
              </w:rPr>
              <w:t>Rapport sur le Développement Industriel, l'émergence et le réduction de la pauvreté au Mali, disponible</w:t>
            </w:r>
          </w:p>
          <w:p w14:paraId="15BA03BF" w14:textId="77777777" w:rsidR="000031A7" w:rsidRPr="000031A7" w:rsidRDefault="000031A7" w:rsidP="00D76EFA">
            <w:pPr>
              <w:numPr>
                <w:ilvl w:val="0"/>
                <w:numId w:val="65"/>
              </w:numPr>
              <w:spacing w:after="0" w:line="240" w:lineRule="auto"/>
              <w:rPr>
                <w:rFonts w:ascii="Times New Roman" w:hAnsi="Times New Roman"/>
                <w:sz w:val="20"/>
                <w:szCs w:val="20"/>
              </w:rPr>
            </w:pPr>
            <w:r w:rsidRPr="000031A7">
              <w:rPr>
                <w:rFonts w:ascii="Times New Roman" w:hAnsi="Times New Roman"/>
                <w:sz w:val="20"/>
                <w:szCs w:val="20"/>
              </w:rPr>
              <w:t>Stratégie Commune d'Assistance Pays-SCAP, disponible</w:t>
            </w:r>
          </w:p>
          <w:p w14:paraId="1C2E73AE" w14:textId="77777777" w:rsidR="000031A7" w:rsidRPr="000031A7" w:rsidRDefault="000031A7" w:rsidP="00D76EFA">
            <w:pPr>
              <w:numPr>
                <w:ilvl w:val="0"/>
                <w:numId w:val="65"/>
              </w:numPr>
              <w:spacing w:after="0" w:line="240" w:lineRule="auto"/>
              <w:rPr>
                <w:rFonts w:ascii="Times New Roman" w:hAnsi="Times New Roman"/>
                <w:sz w:val="20"/>
                <w:szCs w:val="20"/>
              </w:rPr>
            </w:pPr>
            <w:r w:rsidRPr="000031A7">
              <w:rPr>
                <w:rFonts w:ascii="Times New Roman" w:hAnsi="Times New Roman"/>
                <w:sz w:val="20"/>
                <w:szCs w:val="20"/>
              </w:rPr>
              <w:t>Rapports annuels d’analyse de l’aide extérieure, disponible grâce à l’assistance technique fournie au SHA</w:t>
            </w:r>
          </w:p>
          <w:p w14:paraId="3D18A404" w14:textId="77777777" w:rsidR="000031A7" w:rsidRPr="000031A7" w:rsidRDefault="000031A7" w:rsidP="00D76EFA">
            <w:pPr>
              <w:numPr>
                <w:ilvl w:val="0"/>
                <w:numId w:val="65"/>
              </w:numPr>
              <w:spacing w:after="0" w:line="240" w:lineRule="auto"/>
              <w:rPr>
                <w:rFonts w:ascii="Times New Roman" w:hAnsi="Times New Roman"/>
                <w:sz w:val="20"/>
                <w:szCs w:val="20"/>
              </w:rPr>
            </w:pPr>
            <w:r w:rsidRPr="000031A7">
              <w:rPr>
                <w:rFonts w:ascii="Times New Roman" w:hAnsi="Times New Roman"/>
                <w:sz w:val="20"/>
                <w:szCs w:val="20"/>
              </w:rPr>
              <w:t>Cadre national de planification du développement unifié et harmonisé (CREDD)</w:t>
            </w:r>
          </w:p>
          <w:p w14:paraId="75590411" w14:textId="77777777" w:rsidR="000031A7" w:rsidRPr="000031A7" w:rsidRDefault="000031A7" w:rsidP="00D76EFA">
            <w:pPr>
              <w:numPr>
                <w:ilvl w:val="0"/>
                <w:numId w:val="65"/>
              </w:numPr>
              <w:spacing w:after="0" w:line="240" w:lineRule="auto"/>
              <w:rPr>
                <w:rFonts w:ascii="Times New Roman" w:hAnsi="Times New Roman"/>
                <w:sz w:val="20"/>
                <w:szCs w:val="20"/>
              </w:rPr>
            </w:pPr>
            <w:r w:rsidRPr="000031A7">
              <w:rPr>
                <w:rFonts w:ascii="Times New Roman" w:hAnsi="Times New Roman"/>
                <w:sz w:val="20"/>
                <w:szCs w:val="20"/>
              </w:rPr>
              <w:t xml:space="preserve">Capacités de coordination, de gestion et d’analyse de l'Aide améliorée grâce à l’assistance fournie aux  structures compétentes des Ministères en charge de la Coopération, de la Planification et de l’Economie </w:t>
            </w:r>
          </w:p>
          <w:p w14:paraId="72FDFF7A" w14:textId="77777777" w:rsidR="000031A7" w:rsidRPr="000031A7" w:rsidRDefault="000031A7" w:rsidP="00D76EFA">
            <w:pPr>
              <w:numPr>
                <w:ilvl w:val="0"/>
                <w:numId w:val="65"/>
              </w:numPr>
              <w:spacing w:after="0" w:line="240" w:lineRule="auto"/>
              <w:rPr>
                <w:rFonts w:ascii="Times New Roman" w:hAnsi="Times New Roman"/>
                <w:sz w:val="20"/>
                <w:szCs w:val="20"/>
              </w:rPr>
            </w:pPr>
            <w:r w:rsidRPr="000031A7">
              <w:rPr>
                <w:rFonts w:ascii="Times New Roman" w:hAnsi="Times New Roman"/>
                <w:sz w:val="20"/>
                <w:szCs w:val="20"/>
              </w:rPr>
              <w:lastRenderedPageBreak/>
              <w:t>(Liste non exhaustive )</w:t>
            </w:r>
          </w:p>
        </w:tc>
        <w:tc>
          <w:tcPr>
            <w:tcW w:w="683" w:type="dxa"/>
            <w:shd w:val="clear" w:color="auto" w:fill="92D050"/>
            <w:vAlign w:val="center"/>
          </w:tcPr>
          <w:p w14:paraId="153EDC8A" w14:textId="77777777" w:rsidR="000031A7" w:rsidRPr="000031A7" w:rsidRDefault="000031A7" w:rsidP="000031A7">
            <w:pPr>
              <w:spacing w:after="0" w:line="240" w:lineRule="auto"/>
              <w:rPr>
                <w:rFonts w:ascii="Times New Roman" w:hAnsi="Times New Roman"/>
                <w:sz w:val="20"/>
                <w:szCs w:val="20"/>
              </w:rPr>
            </w:pPr>
            <w:r w:rsidRPr="000031A7">
              <w:rPr>
                <w:rFonts w:ascii="Times New Roman" w:hAnsi="Times New Roman"/>
                <w:sz w:val="20"/>
                <w:szCs w:val="20"/>
              </w:rPr>
              <w:lastRenderedPageBreak/>
              <w:t>50%</w:t>
            </w:r>
          </w:p>
        </w:tc>
        <w:tc>
          <w:tcPr>
            <w:tcW w:w="583" w:type="dxa"/>
            <w:shd w:val="clear" w:color="auto" w:fill="auto"/>
            <w:vAlign w:val="center"/>
          </w:tcPr>
          <w:p w14:paraId="279F5F4B" w14:textId="77777777" w:rsidR="000031A7" w:rsidRPr="000031A7" w:rsidRDefault="000031A7" w:rsidP="000031A7">
            <w:pPr>
              <w:spacing w:after="0" w:line="240" w:lineRule="auto"/>
              <w:rPr>
                <w:rFonts w:ascii="Times New Roman" w:hAnsi="Times New Roman"/>
                <w:sz w:val="20"/>
                <w:szCs w:val="20"/>
              </w:rPr>
            </w:pPr>
          </w:p>
        </w:tc>
        <w:tc>
          <w:tcPr>
            <w:tcW w:w="512" w:type="dxa"/>
            <w:shd w:val="clear" w:color="auto" w:fill="auto"/>
            <w:vAlign w:val="center"/>
          </w:tcPr>
          <w:p w14:paraId="28178CD3" w14:textId="77777777" w:rsidR="000031A7" w:rsidRPr="000031A7" w:rsidRDefault="000031A7" w:rsidP="000031A7">
            <w:pPr>
              <w:spacing w:after="0" w:line="240" w:lineRule="auto"/>
              <w:rPr>
                <w:rFonts w:ascii="Times New Roman" w:hAnsi="Times New Roman"/>
                <w:sz w:val="20"/>
                <w:szCs w:val="20"/>
              </w:rPr>
            </w:pPr>
          </w:p>
        </w:tc>
      </w:tr>
      <w:tr w:rsidR="000031A7" w:rsidRPr="000031A7" w14:paraId="5D8EB6A0" w14:textId="77777777" w:rsidTr="00414C56">
        <w:tc>
          <w:tcPr>
            <w:tcW w:w="1792" w:type="dxa"/>
            <w:vMerge/>
            <w:shd w:val="clear" w:color="auto" w:fill="F2F2F2" w:themeFill="background1" w:themeFillShade="F2"/>
            <w:vAlign w:val="center"/>
          </w:tcPr>
          <w:p w14:paraId="62D98F80" w14:textId="77777777" w:rsidR="000031A7" w:rsidRPr="000031A7" w:rsidRDefault="000031A7" w:rsidP="000031A7">
            <w:pPr>
              <w:spacing w:after="0" w:line="240" w:lineRule="auto"/>
              <w:rPr>
                <w:rFonts w:ascii="Times New Roman" w:hAnsi="Times New Roman"/>
                <w:sz w:val="20"/>
                <w:szCs w:val="20"/>
              </w:rPr>
            </w:pPr>
          </w:p>
        </w:tc>
        <w:tc>
          <w:tcPr>
            <w:tcW w:w="3296" w:type="dxa"/>
            <w:shd w:val="clear" w:color="auto" w:fill="auto"/>
            <w:vAlign w:val="center"/>
          </w:tcPr>
          <w:p w14:paraId="4F62FA24" w14:textId="77777777" w:rsidR="000031A7" w:rsidRPr="000031A7" w:rsidRDefault="000031A7" w:rsidP="000031A7">
            <w:pPr>
              <w:spacing w:after="0" w:line="240" w:lineRule="auto"/>
              <w:rPr>
                <w:rFonts w:ascii="Times New Roman" w:hAnsi="Times New Roman"/>
                <w:sz w:val="20"/>
                <w:szCs w:val="20"/>
              </w:rPr>
            </w:pPr>
            <w:r w:rsidRPr="000031A7">
              <w:rPr>
                <w:rFonts w:ascii="Times New Roman" w:hAnsi="Times New Roman"/>
                <w:sz w:val="20"/>
                <w:szCs w:val="20"/>
              </w:rPr>
              <w:t>Nombre de réformes</w:t>
            </w:r>
            <w:r w:rsidRPr="000031A7">
              <w:rPr>
                <w:rFonts w:ascii="Times New Roman" w:hAnsi="Times New Roman"/>
                <w:b/>
                <w:sz w:val="20"/>
                <w:szCs w:val="20"/>
              </w:rPr>
              <w:t xml:space="preserve"> </w:t>
            </w:r>
            <w:r w:rsidRPr="000031A7">
              <w:rPr>
                <w:rFonts w:ascii="Times New Roman" w:hAnsi="Times New Roman"/>
                <w:sz w:val="20"/>
                <w:szCs w:val="20"/>
              </w:rPr>
              <w:t>économiques, légales, administratives et fiscales entreprises dans les secteurs de l’agriculture, de l’extraction minière et des services pour diversifier les sources de croissance et réduire l’inégalité</w:t>
            </w:r>
          </w:p>
          <w:p w14:paraId="23230C59" w14:textId="77777777" w:rsidR="000031A7" w:rsidRPr="000031A7" w:rsidRDefault="000031A7" w:rsidP="00D76EFA">
            <w:pPr>
              <w:numPr>
                <w:ilvl w:val="0"/>
                <w:numId w:val="47"/>
              </w:numPr>
              <w:spacing w:after="0" w:line="240" w:lineRule="auto"/>
              <w:rPr>
                <w:rFonts w:ascii="Times New Roman" w:hAnsi="Times New Roman"/>
                <w:sz w:val="20"/>
                <w:szCs w:val="20"/>
              </w:rPr>
            </w:pPr>
            <w:r w:rsidRPr="000031A7">
              <w:rPr>
                <w:rFonts w:ascii="Times New Roman" w:hAnsi="Times New Roman"/>
                <w:sz w:val="20"/>
                <w:szCs w:val="20"/>
              </w:rPr>
              <w:t>Réf : 5</w:t>
            </w:r>
          </w:p>
          <w:p w14:paraId="129D80EF" w14:textId="77777777" w:rsidR="000031A7" w:rsidRPr="000031A7" w:rsidRDefault="000031A7" w:rsidP="00D76EFA">
            <w:pPr>
              <w:numPr>
                <w:ilvl w:val="0"/>
                <w:numId w:val="47"/>
              </w:numPr>
              <w:spacing w:after="0" w:line="240" w:lineRule="auto"/>
              <w:rPr>
                <w:rFonts w:ascii="Times New Roman" w:hAnsi="Times New Roman"/>
                <w:sz w:val="20"/>
                <w:szCs w:val="20"/>
              </w:rPr>
            </w:pPr>
            <w:r w:rsidRPr="000031A7">
              <w:rPr>
                <w:rFonts w:ascii="Times New Roman" w:hAnsi="Times New Roman"/>
                <w:sz w:val="20"/>
                <w:szCs w:val="20"/>
              </w:rPr>
              <w:t>Cible : 12</w:t>
            </w:r>
          </w:p>
        </w:tc>
        <w:tc>
          <w:tcPr>
            <w:tcW w:w="3874" w:type="dxa"/>
            <w:shd w:val="clear" w:color="auto" w:fill="auto"/>
            <w:vAlign w:val="center"/>
          </w:tcPr>
          <w:p w14:paraId="3F68190E" w14:textId="77777777" w:rsidR="000031A7" w:rsidRPr="000031A7" w:rsidRDefault="000031A7" w:rsidP="00D76EFA">
            <w:pPr>
              <w:numPr>
                <w:ilvl w:val="0"/>
                <w:numId w:val="66"/>
              </w:numPr>
              <w:spacing w:after="0" w:line="240" w:lineRule="auto"/>
              <w:rPr>
                <w:rFonts w:ascii="Times New Roman" w:hAnsi="Times New Roman"/>
                <w:sz w:val="20"/>
                <w:szCs w:val="20"/>
              </w:rPr>
            </w:pPr>
            <w:r w:rsidRPr="000031A7">
              <w:rPr>
                <w:rFonts w:ascii="Times New Roman" w:hAnsi="Times New Roman"/>
                <w:sz w:val="20"/>
                <w:szCs w:val="20"/>
              </w:rPr>
              <w:t>Procédures de création d'entreprise et d’investissement simplifiée en ligne</w:t>
            </w:r>
          </w:p>
          <w:p w14:paraId="17960BD3" w14:textId="77777777" w:rsidR="000031A7" w:rsidRPr="000031A7" w:rsidRDefault="000031A7" w:rsidP="00D76EFA">
            <w:pPr>
              <w:numPr>
                <w:ilvl w:val="0"/>
                <w:numId w:val="66"/>
              </w:numPr>
              <w:spacing w:after="0" w:line="240" w:lineRule="auto"/>
              <w:rPr>
                <w:rFonts w:ascii="Times New Roman" w:hAnsi="Times New Roman"/>
                <w:sz w:val="20"/>
                <w:szCs w:val="20"/>
              </w:rPr>
            </w:pPr>
            <w:r w:rsidRPr="000031A7">
              <w:rPr>
                <w:rFonts w:ascii="Times New Roman" w:hAnsi="Times New Roman"/>
                <w:sz w:val="20"/>
                <w:szCs w:val="20"/>
              </w:rPr>
              <w:t>Déclaration des impôts simplifiée en ligne</w:t>
            </w:r>
          </w:p>
          <w:p w14:paraId="72505A0B" w14:textId="77777777" w:rsidR="000031A7" w:rsidRPr="000031A7" w:rsidRDefault="000031A7" w:rsidP="00D76EFA">
            <w:pPr>
              <w:numPr>
                <w:ilvl w:val="0"/>
                <w:numId w:val="66"/>
              </w:numPr>
              <w:spacing w:after="0" w:line="240" w:lineRule="auto"/>
              <w:rPr>
                <w:rFonts w:ascii="Times New Roman" w:hAnsi="Times New Roman"/>
                <w:sz w:val="20"/>
                <w:szCs w:val="20"/>
              </w:rPr>
            </w:pPr>
            <w:r w:rsidRPr="000031A7">
              <w:rPr>
                <w:rFonts w:ascii="Times New Roman" w:hAnsi="Times New Roman"/>
                <w:sz w:val="20"/>
                <w:szCs w:val="20"/>
              </w:rPr>
              <w:t>Permis de construire rationalisé et simplifié en ligne</w:t>
            </w:r>
          </w:p>
          <w:p w14:paraId="0F9B4146" w14:textId="77777777" w:rsidR="000031A7" w:rsidRPr="000031A7" w:rsidRDefault="000031A7" w:rsidP="00D76EFA">
            <w:pPr>
              <w:numPr>
                <w:ilvl w:val="0"/>
                <w:numId w:val="66"/>
              </w:numPr>
              <w:spacing w:after="0" w:line="240" w:lineRule="auto"/>
              <w:rPr>
                <w:rFonts w:ascii="Times New Roman" w:hAnsi="Times New Roman"/>
                <w:sz w:val="20"/>
                <w:szCs w:val="20"/>
              </w:rPr>
            </w:pPr>
            <w:r w:rsidRPr="000031A7">
              <w:rPr>
                <w:rFonts w:ascii="Times New Roman" w:hAnsi="Times New Roman"/>
                <w:sz w:val="20"/>
                <w:szCs w:val="20"/>
              </w:rPr>
              <w:t>Internalisation des directives UEMOA dans les procédures budgétaires nationales : Plan de Collaboration tripartite PNUD-Pôle-Gouvernement</w:t>
            </w:r>
          </w:p>
        </w:tc>
        <w:tc>
          <w:tcPr>
            <w:tcW w:w="683" w:type="dxa"/>
            <w:shd w:val="clear" w:color="auto" w:fill="auto"/>
            <w:vAlign w:val="center"/>
          </w:tcPr>
          <w:p w14:paraId="5223D5D9" w14:textId="77777777" w:rsidR="000031A7" w:rsidRPr="000031A7" w:rsidRDefault="000031A7" w:rsidP="000031A7">
            <w:pPr>
              <w:spacing w:after="0" w:line="240" w:lineRule="auto"/>
              <w:rPr>
                <w:rFonts w:ascii="Times New Roman" w:hAnsi="Times New Roman"/>
                <w:sz w:val="20"/>
                <w:szCs w:val="20"/>
              </w:rPr>
            </w:pPr>
          </w:p>
        </w:tc>
        <w:tc>
          <w:tcPr>
            <w:tcW w:w="583" w:type="dxa"/>
            <w:shd w:val="clear" w:color="auto" w:fill="FFFF00"/>
            <w:vAlign w:val="center"/>
          </w:tcPr>
          <w:p w14:paraId="43CFC13F" w14:textId="77777777" w:rsidR="000031A7" w:rsidRPr="000031A7" w:rsidRDefault="000031A7" w:rsidP="000031A7">
            <w:pPr>
              <w:spacing w:after="0" w:line="240" w:lineRule="auto"/>
              <w:rPr>
                <w:rFonts w:ascii="Times New Roman" w:hAnsi="Times New Roman"/>
                <w:sz w:val="20"/>
                <w:szCs w:val="20"/>
              </w:rPr>
            </w:pPr>
            <w:r w:rsidRPr="000031A7">
              <w:rPr>
                <w:rFonts w:ascii="Times New Roman" w:hAnsi="Times New Roman"/>
                <w:sz w:val="20"/>
                <w:szCs w:val="20"/>
              </w:rPr>
              <w:t>33%</w:t>
            </w:r>
          </w:p>
        </w:tc>
        <w:tc>
          <w:tcPr>
            <w:tcW w:w="512" w:type="dxa"/>
            <w:shd w:val="clear" w:color="auto" w:fill="auto"/>
            <w:vAlign w:val="center"/>
          </w:tcPr>
          <w:p w14:paraId="14355872" w14:textId="77777777" w:rsidR="000031A7" w:rsidRPr="000031A7" w:rsidRDefault="000031A7" w:rsidP="000031A7">
            <w:pPr>
              <w:spacing w:after="0" w:line="240" w:lineRule="auto"/>
              <w:rPr>
                <w:rFonts w:ascii="Times New Roman" w:hAnsi="Times New Roman"/>
                <w:sz w:val="20"/>
                <w:szCs w:val="20"/>
              </w:rPr>
            </w:pPr>
          </w:p>
        </w:tc>
      </w:tr>
      <w:tr w:rsidR="000031A7" w:rsidRPr="000031A7" w14:paraId="5EC8D1A4" w14:textId="77777777" w:rsidTr="00414C56">
        <w:tc>
          <w:tcPr>
            <w:tcW w:w="1792" w:type="dxa"/>
            <w:vMerge/>
            <w:shd w:val="clear" w:color="auto" w:fill="F2F2F2" w:themeFill="background1" w:themeFillShade="F2"/>
            <w:vAlign w:val="center"/>
          </w:tcPr>
          <w:p w14:paraId="4700EE38" w14:textId="77777777" w:rsidR="000031A7" w:rsidRPr="000031A7" w:rsidRDefault="000031A7" w:rsidP="000031A7">
            <w:pPr>
              <w:spacing w:after="0" w:line="240" w:lineRule="auto"/>
              <w:rPr>
                <w:rFonts w:ascii="Times New Roman" w:hAnsi="Times New Roman"/>
                <w:sz w:val="20"/>
                <w:szCs w:val="20"/>
              </w:rPr>
            </w:pPr>
          </w:p>
        </w:tc>
        <w:tc>
          <w:tcPr>
            <w:tcW w:w="3296" w:type="dxa"/>
            <w:shd w:val="clear" w:color="auto" w:fill="8EAADB" w:themeFill="accent5" w:themeFillTint="99"/>
            <w:vAlign w:val="center"/>
          </w:tcPr>
          <w:p w14:paraId="09BFA8DF" w14:textId="77777777" w:rsidR="000031A7" w:rsidRPr="000031A7" w:rsidRDefault="009C493D" w:rsidP="000031A7">
            <w:pPr>
              <w:spacing w:after="0" w:line="240" w:lineRule="auto"/>
              <w:rPr>
                <w:rFonts w:ascii="Times New Roman" w:hAnsi="Times New Roman"/>
                <w:sz w:val="20"/>
                <w:szCs w:val="20"/>
              </w:rPr>
            </w:pPr>
            <w:r>
              <w:rPr>
                <w:rFonts w:ascii="Times New Roman" w:hAnsi="Times New Roman"/>
                <w:sz w:val="20"/>
                <w:szCs w:val="20"/>
              </w:rPr>
              <w:t>Pas d’indicateur correspondant</w:t>
            </w:r>
          </w:p>
        </w:tc>
        <w:tc>
          <w:tcPr>
            <w:tcW w:w="3874" w:type="dxa"/>
            <w:shd w:val="clear" w:color="auto" w:fill="auto"/>
            <w:vAlign w:val="center"/>
          </w:tcPr>
          <w:p w14:paraId="18BE3447" w14:textId="77777777" w:rsidR="000031A7" w:rsidRPr="000031A7" w:rsidRDefault="000031A7" w:rsidP="00D76EFA">
            <w:pPr>
              <w:numPr>
                <w:ilvl w:val="0"/>
                <w:numId w:val="74"/>
              </w:numPr>
              <w:spacing w:after="0" w:line="240" w:lineRule="auto"/>
              <w:rPr>
                <w:rFonts w:ascii="Times New Roman" w:hAnsi="Times New Roman"/>
                <w:sz w:val="20"/>
                <w:szCs w:val="20"/>
              </w:rPr>
            </w:pPr>
            <w:r w:rsidRPr="000031A7">
              <w:rPr>
                <w:rFonts w:ascii="Times New Roman" w:hAnsi="Times New Roman"/>
                <w:sz w:val="20"/>
                <w:szCs w:val="20"/>
              </w:rPr>
              <w:t>20 Conseillers de la Section des Comptes de la Cour Suprême dotés de capacités nécessaires leur permettant d'assurer le contrôle de la Loi des Finances</w:t>
            </w:r>
          </w:p>
        </w:tc>
        <w:tc>
          <w:tcPr>
            <w:tcW w:w="683" w:type="dxa"/>
            <w:shd w:val="clear" w:color="auto" w:fill="auto"/>
            <w:vAlign w:val="center"/>
          </w:tcPr>
          <w:p w14:paraId="53E84349" w14:textId="77777777" w:rsidR="000031A7" w:rsidRPr="000031A7" w:rsidRDefault="000031A7" w:rsidP="000031A7">
            <w:pPr>
              <w:spacing w:after="0" w:line="240" w:lineRule="auto"/>
              <w:rPr>
                <w:rFonts w:ascii="Times New Roman" w:hAnsi="Times New Roman"/>
                <w:sz w:val="20"/>
                <w:szCs w:val="20"/>
              </w:rPr>
            </w:pPr>
          </w:p>
        </w:tc>
        <w:tc>
          <w:tcPr>
            <w:tcW w:w="583" w:type="dxa"/>
            <w:shd w:val="clear" w:color="auto" w:fill="auto"/>
            <w:vAlign w:val="center"/>
          </w:tcPr>
          <w:p w14:paraId="106A29E7" w14:textId="77777777" w:rsidR="000031A7" w:rsidRPr="000031A7" w:rsidRDefault="000031A7" w:rsidP="000031A7">
            <w:pPr>
              <w:spacing w:after="0" w:line="240" w:lineRule="auto"/>
              <w:rPr>
                <w:rFonts w:ascii="Times New Roman" w:hAnsi="Times New Roman"/>
                <w:sz w:val="20"/>
                <w:szCs w:val="20"/>
              </w:rPr>
            </w:pPr>
          </w:p>
        </w:tc>
        <w:tc>
          <w:tcPr>
            <w:tcW w:w="512" w:type="dxa"/>
            <w:shd w:val="clear" w:color="auto" w:fill="auto"/>
            <w:vAlign w:val="center"/>
          </w:tcPr>
          <w:p w14:paraId="53D6495A" w14:textId="77777777" w:rsidR="000031A7" w:rsidRPr="000031A7" w:rsidRDefault="000031A7" w:rsidP="000031A7">
            <w:pPr>
              <w:spacing w:after="0" w:line="240" w:lineRule="auto"/>
              <w:rPr>
                <w:rFonts w:ascii="Times New Roman" w:hAnsi="Times New Roman"/>
                <w:sz w:val="20"/>
                <w:szCs w:val="20"/>
              </w:rPr>
            </w:pPr>
          </w:p>
        </w:tc>
      </w:tr>
      <w:tr w:rsidR="009C493D" w:rsidRPr="000031A7" w14:paraId="1D9A0C8A" w14:textId="77777777" w:rsidTr="00414C56">
        <w:tc>
          <w:tcPr>
            <w:tcW w:w="1792" w:type="dxa"/>
            <w:vMerge/>
            <w:shd w:val="clear" w:color="auto" w:fill="F2F2F2" w:themeFill="background1" w:themeFillShade="F2"/>
            <w:vAlign w:val="center"/>
          </w:tcPr>
          <w:p w14:paraId="591F7983" w14:textId="77777777" w:rsidR="009C493D" w:rsidRPr="000031A7" w:rsidRDefault="009C493D" w:rsidP="009C493D">
            <w:pPr>
              <w:spacing w:after="0" w:line="240" w:lineRule="auto"/>
              <w:rPr>
                <w:rFonts w:ascii="Times New Roman" w:hAnsi="Times New Roman"/>
                <w:sz w:val="20"/>
                <w:szCs w:val="20"/>
              </w:rPr>
            </w:pPr>
          </w:p>
        </w:tc>
        <w:tc>
          <w:tcPr>
            <w:tcW w:w="3296" w:type="dxa"/>
            <w:shd w:val="clear" w:color="auto" w:fill="8EAADB" w:themeFill="accent5" w:themeFillTint="99"/>
            <w:vAlign w:val="center"/>
          </w:tcPr>
          <w:p w14:paraId="278576E0" w14:textId="77777777" w:rsidR="009C493D" w:rsidRPr="000031A7" w:rsidRDefault="009C493D" w:rsidP="009C493D">
            <w:pPr>
              <w:spacing w:after="0" w:line="240" w:lineRule="auto"/>
              <w:rPr>
                <w:rFonts w:ascii="Times New Roman" w:hAnsi="Times New Roman"/>
                <w:sz w:val="20"/>
                <w:szCs w:val="20"/>
              </w:rPr>
            </w:pPr>
            <w:r>
              <w:rPr>
                <w:rFonts w:ascii="Times New Roman" w:hAnsi="Times New Roman"/>
                <w:sz w:val="20"/>
                <w:szCs w:val="20"/>
              </w:rPr>
              <w:t>Pas d’indicateur correspondant</w:t>
            </w:r>
          </w:p>
        </w:tc>
        <w:tc>
          <w:tcPr>
            <w:tcW w:w="3874" w:type="dxa"/>
            <w:shd w:val="clear" w:color="auto" w:fill="auto"/>
            <w:vAlign w:val="center"/>
          </w:tcPr>
          <w:p w14:paraId="462E3283" w14:textId="77777777" w:rsidR="009C493D" w:rsidRPr="000031A7" w:rsidRDefault="009C493D" w:rsidP="00D76EFA">
            <w:pPr>
              <w:numPr>
                <w:ilvl w:val="0"/>
                <w:numId w:val="74"/>
              </w:numPr>
              <w:spacing w:after="0" w:line="240" w:lineRule="auto"/>
              <w:rPr>
                <w:rFonts w:ascii="Times New Roman" w:hAnsi="Times New Roman"/>
                <w:sz w:val="20"/>
                <w:szCs w:val="20"/>
              </w:rPr>
            </w:pPr>
            <w:r w:rsidRPr="000031A7">
              <w:rPr>
                <w:rFonts w:ascii="Times New Roman" w:hAnsi="Times New Roman"/>
                <w:sz w:val="20"/>
                <w:szCs w:val="20"/>
              </w:rPr>
              <w:t>165 structures et institutions, pour un total de 1 206 agents, capacités par 53 experts nationaux expatriés mobilisé dans le cadre de 53 missions TOKTEN, en appui aux structures nationales ou liées à des études sectorielles, notamment dans les secteurs Education et Santé (provenance : :France (25), USA (05), Canada (10), Hongrie (01), Japon (02), Brésil (01), Sénégal (02), Côte d’Ivoire (05), Niger (01), Cameroun (01).</w:t>
            </w:r>
          </w:p>
        </w:tc>
        <w:tc>
          <w:tcPr>
            <w:tcW w:w="683" w:type="dxa"/>
            <w:shd w:val="clear" w:color="auto" w:fill="auto"/>
            <w:vAlign w:val="center"/>
          </w:tcPr>
          <w:p w14:paraId="75549BD6" w14:textId="77777777" w:rsidR="009C493D" w:rsidRPr="000031A7" w:rsidRDefault="009C493D" w:rsidP="009C493D">
            <w:pPr>
              <w:spacing w:after="0" w:line="240" w:lineRule="auto"/>
              <w:rPr>
                <w:rFonts w:ascii="Times New Roman" w:hAnsi="Times New Roman"/>
                <w:sz w:val="20"/>
                <w:szCs w:val="20"/>
              </w:rPr>
            </w:pPr>
          </w:p>
        </w:tc>
        <w:tc>
          <w:tcPr>
            <w:tcW w:w="583" w:type="dxa"/>
            <w:shd w:val="clear" w:color="auto" w:fill="auto"/>
            <w:vAlign w:val="center"/>
          </w:tcPr>
          <w:p w14:paraId="49EB4F30" w14:textId="77777777" w:rsidR="009C493D" w:rsidRPr="000031A7" w:rsidRDefault="009C493D" w:rsidP="009C493D">
            <w:pPr>
              <w:spacing w:after="0" w:line="240" w:lineRule="auto"/>
              <w:rPr>
                <w:rFonts w:ascii="Times New Roman" w:hAnsi="Times New Roman"/>
                <w:sz w:val="20"/>
                <w:szCs w:val="20"/>
              </w:rPr>
            </w:pPr>
          </w:p>
        </w:tc>
        <w:tc>
          <w:tcPr>
            <w:tcW w:w="512" w:type="dxa"/>
            <w:shd w:val="clear" w:color="auto" w:fill="auto"/>
            <w:vAlign w:val="center"/>
          </w:tcPr>
          <w:p w14:paraId="6349B462" w14:textId="77777777" w:rsidR="009C493D" w:rsidRPr="000031A7" w:rsidRDefault="009C493D" w:rsidP="009C493D">
            <w:pPr>
              <w:spacing w:after="0" w:line="240" w:lineRule="auto"/>
              <w:rPr>
                <w:rFonts w:ascii="Times New Roman" w:hAnsi="Times New Roman"/>
                <w:sz w:val="20"/>
                <w:szCs w:val="20"/>
              </w:rPr>
            </w:pPr>
          </w:p>
        </w:tc>
      </w:tr>
      <w:tr w:rsidR="009C493D" w:rsidRPr="000031A7" w14:paraId="0665B275" w14:textId="77777777" w:rsidTr="00414C56">
        <w:tc>
          <w:tcPr>
            <w:tcW w:w="1792" w:type="dxa"/>
            <w:vMerge w:val="restart"/>
            <w:shd w:val="clear" w:color="auto" w:fill="F2F2F2" w:themeFill="background1" w:themeFillShade="F2"/>
            <w:vAlign w:val="center"/>
          </w:tcPr>
          <w:p w14:paraId="39DFC40E" w14:textId="77777777" w:rsidR="009C493D" w:rsidRPr="000031A7" w:rsidRDefault="009C493D" w:rsidP="009C493D">
            <w:pPr>
              <w:spacing w:after="0" w:line="240" w:lineRule="auto"/>
              <w:rPr>
                <w:rFonts w:ascii="Times New Roman" w:hAnsi="Times New Roman"/>
                <w:sz w:val="20"/>
                <w:szCs w:val="20"/>
              </w:rPr>
            </w:pPr>
            <w:r w:rsidRPr="000031A7">
              <w:rPr>
                <w:rFonts w:ascii="Times New Roman" w:hAnsi="Times New Roman"/>
                <w:sz w:val="20"/>
                <w:szCs w:val="20"/>
              </w:rPr>
              <w:t>La résilience des populations les plus vulnérables en milieu rural est renforcée au travers de l’amélioration de l’utilisation des ressources naturelles, de la promotion de la réduction des risques de catastrophe et des risques climatiques, de l’utilisation des sources d’énergie renouvelable, de la multiplication des débouchés économiques et de l’amélioration de l’accès aux services financiers</w:t>
            </w:r>
          </w:p>
        </w:tc>
        <w:tc>
          <w:tcPr>
            <w:tcW w:w="3296" w:type="dxa"/>
            <w:shd w:val="clear" w:color="auto" w:fill="auto"/>
            <w:vAlign w:val="center"/>
          </w:tcPr>
          <w:p w14:paraId="58711038" w14:textId="77777777" w:rsidR="009C493D" w:rsidRPr="000031A7" w:rsidRDefault="009C493D" w:rsidP="009C493D">
            <w:pPr>
              <w:spacing w:after="0" w:line="240" w:lineRule="auto"/>
              <w:rPr>
                <w:rFonts w:ascii="Times New Roman" w:hAnsi="Times New Roman"/>
                <w:sz w:val="20"/>
                <w:szCs w:val="20"/>
              </w:rPr>
            </w:pPr>
            <w:r w:rsidRPr="000031A7">
              <w:rPr>
                <w:rFonts w:ascii="Times New Roman" w:hAnsi="Times New Roman"/>
                <w:sz w:val="20"/>
                <w:szCs w:val="20"/>
              </w:rPr>
              <w:t>Nombre de petits fermiers,</w:t>
            </w:r>
            <w:r w:rsidRPr="000031A7">
              <w:rPr>
                <w:rFonts w:ascii="Times New Roman" w:hAnsi="Times New Roman"/>
                <w:b/>
                <w:sz w:val="20"/>
                <w:szCs w:val="20"/>
              </w:rPr>
              <w:t xml:space="preserve"> </w:t>
            </w:r>
            <w:r w:rsidRPr="000031A7">
              <w:rPr>
                <w:rFonts w:ascii="Times New Roman" w:hAnsi="Times New Roman"/>
                <w:sz w:val="20"/>
                <w:szCs w:val="20"/>
              </w:rPr>
              <w:t>de jeunes et de femmes en milieu rural engagés dans des activités rémunératrices durables</w:t>
            </w:r>
          </w:p>
          <w:p w14:paraId="04882AF6" w14:textId="77777777" w:rsidR="009C493D" w:rsidRPr="000031A7" w:rsidRDefault="009C493D" w:rsidP="009C493D">
            <w:pPr>
              <w:spacing w:after="0" w:line="240" w:lineRule="auto"/>
              <w:rPr>
                <w:rFonts w:ascii="Times New Roman" w:hAnsi="Times New Roman"/>
                <w:sz w:val="20"/>
                <w:szCs w:val="20"/>
              </w:rPr>
            </w:pPr>
            <w:r w:rsidRPr="000031A7">
              <w:rPr>
                <w:rFonts w:ascii="Times New Roman" w:hAnsi="Times New Roman"/>
                <w:sz w:val="20"/>
                <w:szCs w:val="20"/>
              </w:rPr>
              <w:t>Réf : 200.000</w:t>
            </w:r>
          </w:p>
          <w:p w14:paraId="76E4C115" w14:textId="77777777" w:rsidR="009C493D" w:rsidRPr="000031A7" w:rsidRDefault="009C493D" w:rsidP="009C493D">
            <w:pPr>
              <w:spacing w:after="0" w:line="240" w:lineRule="auto"/>
              <w:rPr>
                <w:rFonts w:ascii="Times New Roman" w:hAnsi="Times New Roman"/>
                <w:sz w:val="20"/>
                <w:szCs w:val="20"/>
              </w:rPr>
            </w:pPr>
            <w:r w:rsidRPr="000031A7">
              <w:rPr>
                <w:rFonts w:ascii="Times New Roman" w:hAnsi="Times New Roman"/>
                <w:sz w:val="20"/>
                <w:szCs w:val="20"/>
              </w:rPr>
              <w:t>Cible : 1.500.000</w:t>
            </w:r>
          </w:p>
        </w:tc>
        <w:tc>
          <w:tcPr>
            <w:tcW w:w="3874" w:type="dxa"/>
            <w:shd w:val="clear" w:color="auto" w:fill="auto"/>
            <w:vAlign w:val="center"/>
          </w:tcPr>
          <w:p w14:paraId="40D038CB" w14:textId="77777777" w:rsidR="009C493D" w:rsidRPr="000031A7" w:rsidRDefault="009C493D" w:rsidP="00D76EFA">
            <w:pPr>
              <w:numPr>
                <w:ilvl w:val="0"/>
                <w:numId w:val="68"/>
              </w:numPr>
              <w:spacing w:after="0" w:line="240" w:lineRule="auto"/>
              <w:rPr>
                <w:rFonts w:ascii="Times New Roman" w:hAnsi="Times New Roman"/>
                <w:sz w:val="20"/>
                <w:szCs w:val="20"/>
              </w:rPr>
            </w:pPr>
            <w:r w:rsidRPr="000031A7">
              <w:rPr>
                <w:rFonts w:ascii="Times New Roman" w:hAnsi="Times New Roman"/>
                <w:sz w:val="20"/>
                <w:szCs w:val="20"/>
              </w:rPr>
              <w:t>8 000 jeunes en emploi</w:t>
            </w:r>
          </w:p>
          <w:p w14:paraId="0F1F8875" w14:textId="77777777" w:rsidR="009C493D" w:rsidRPr="000031A7" w:rsidRDefault="009C493D" w:rsidP="00D76EFA">
            <w:pPr>
              <w:numPr>
                <w:ilvl w:val="0"/>
                <w:numId w:val="68"/>
              </w:numPr>
              <w:spacing w:after="0" w:line="240" w:lineRule="auto"/>
              <w:rPr>
                <w:rFonts w:ascii="Times New Roman" w:hAnsi="Times New Roman"/>
                <w:sz w:val="20"/>
                <w:szCs w:val="20"/>
              </w:rPr>
            </w:pPr>
            <w:r w:rsidRPr="000031A7">
              <w:rPr>
                <w:rFonts w:ascii="Times New Roman" w:hAnsi="Times New Roman"/>
                <w:sz w:val="20"/>
                <w:szCs w:val="20"/>
              </w:rPr>
              <w:t>7 500 femmes chefs de ménage bénéficiaires d’activités génératrices de revenu</w:t>
            </w:r>
          </w:p>
          <w:p w14:paraId="47C2B9A2" w14:textId="77777777" w:rsidR="009C493D" w:rsidRPr="000031A7" w:rsidRDefault="009C493D" w:rsidP="00D76EFA">
            <w:pPr>
              <w:numPr>
                <w:ilvl w:val="0"/>
                <w:numId w:val="68"/>
              </w:numPr>
              <w:spacing w:after="0" w:line="240" w:lineRule="auto"/>
              <w:rPr>
                <w:rFonts w:ascii="Times New Roman" w:hAnsi="Times New Roman"/>
                <w:sz w:val="20"/>
                <w:szCs w:val="20"/>
              </w:rPr>
            </w:pPr>
            <w:r w:rsidRPr="000031A7">
              <w:rPr>
                <w:rFonts w:ascii="Times New Roman" w:hAnsi="Times New Roman"/>
                <w:sz w:val="20"/>
                <w:szCs w:val="20"/>
              </w:rPr>
              <w:t>Filières Mangue, Gomme arabique, Karité et viande- bétail, appuyées : 300 femmes capacitées</w:t>
            </w:r>
          </w:p>
          <w:p w14:paraId="1458607C" w14:textId="77777777" w:rsidR="009C493D" w:rsidRPr="000031A7" w:rsidRDefault="009C493D" w:rsidP="00D76EFA">
            <w:pPr>
              <w:numPr>
                <w:ilvl w:val="0"/>
                <w:numId w:val="68"/>
              </w:numPr>
              <w:spacing w:after="0" w:line="240" w:lineRule="auto"/>
              <w:rPr>
                <w:rFonts w:ascii="Times New Roman" w:hAnsi="Times New Roman"/>
                <w:sz w:val="20"/>
                <w:szCs w:val="20"/>
              </w:rPr>
            </w:pPr>
            <w:r w:rsidRPr="000031A7">
              <w:rPr>
                <w:rFonts w:ascii="Times New Roman" w:hAnsi="Times New Roman"/>
                <w:sz w:val="20"/>
                <w:szCs w:val="20"/>
              </w:rPr>
              <w:t>Infrastructures hydro agricoles développées avec le  système Faguibine (Région de Tombouctou)</w:t>
            </w:r>
          </w:p>
          <w:p w14:paraId="1D7A265A" w14:textId="77777777" w:rsidR="009C493D" w:rsidRPr="000031A7" w:rsidRDefault="009C493D" w:rsidP="00D76EFA">
            <w:pPr>
              <w:numPr>
                <w:ilvl w:val="0"/>
                <w:numId w:val="68"/>
              </w:numPr>
              <w:spacing w:after="0" w:line="240" w:lineRule="auto"/>
              <w:rPr>
                <w:rFonts w:ascii="Times New Roman" w:hAnsi="Times New Roman"/>
                <w:sz w:val="20"/>
                <w:szCs w:val="20"/>
              </w:rPr>
            </w:pPr>
            <w:r w:rsidRPr="000031A7">
              <w:rPr>
                <w:rFonts w:ascii="Times New Roman" w:hAnsi="Times New Roman"/>
                <w:sz w:val="20"/>
                <w:szCs w:val="20"/>
              </w:rPr>
              <w:t xml:space="preserve">300 femmes pisteurs qui jouent un rôle d'intermédiaires dans le processus de production et de commercialisation des mangues ont pu diversifier leurs revenus et améliorer leurs conditions de vie. </w:t>
            </w:r>
          </w:p>
          <w:p w14:paraId="721E1219" w14:textId="77777777" w:rsidR="009C493D" w:rsidRPr="000031A7" w:rsidRDefault="009C493D" w:rsidP="00D76EFA">
            <w:pPr>
              <w:numPr>
                <w:ilvl w:val="0"/>
                <w:numId w:val="67"/>
              </w:numPr>
              <w:spacing w:after="0" w:line="240" w:lineRule="auto"/>
              <w:rPr>
                <w:rFonts w:ascii="Times New Roman" w:hAnsi="Times New Roman"/>
                <w:sz w:val="20"/>
                <w:szCs w:val="20"/>
              </w:rPr>
            </w:pPr>
            <w:r w:rsidRPr="000031A7">
              <w:rPr>
                <w:rFonts w:ascii="Times New Roman" w:hAnsi="Times New Roman"/>
                <w:sz w:val="20"/>
                <w:szCs w:val="20"/>
              </w:rPr>
              <w:t>Production accrue : 300 X 30 = 9 000 t de production ; pour un revenu de 13,000 USD</w:t>
            </w:r>
          </w:p>
          <w:p w14:paraId="06A94D42" w14:textId="77777777" w:rsidR="009C493D" w:rsidRPr="000031A7" w:rsidRDefault="009C493D" w:rsidP="00D76EFA">
            <w:pPr>
              <w:numPr>
                <w:ilvl w:val="0"/>
                <w:numId w:val="67"/>
              </w:numPr>
              <w:spacing w:after="0" w:line="240" w:lineRule="auto"/>
              <w:rPr>
                <w:rFonts w:ascii="Times New Roman" w:hAnsi="Times New Roman"/>
                <w:sz w:val="20"/>
                <w:szCs w:val="20"/>
              </w:rPr>
            </w:pPr>
            <w:r w:rsidRPr="000031A7">
              <w:rPr>
                <w:rFonts w:ascii="Times New Roman" w:hAnsi="Times New Roman"/>
                <w:sz w:val="20"/>
                <w:szCs w:val="20"/>
              </w:rPr>
              <w:t>43 854 tonnes exportées en 2016, contre 38 799 tonnes en 2015 soit une augmentation de 13%.</w:t>
            </w:r>
          </w:p>
          <w:p w14:paraId="2805A057" w14:textId="77777777" w:rsidR="009C493D" w:rsidRPr="000031A7" w:rsidRDefault="009C493D" w:rsidP="00D76EFA">
            <w:pPr>
              <w:numPr>
                <w:ilvl w:val="0"/>
                <w:numId w:val="67"/>
              </w:numPr>
              <w:spacing w:after="0" w:line="240" w:lineRule="auto"/>
              <w:rPr>
                <w:rFonts w:ascii="Times New Roman" w:hAnsi="Times New Roman"/>
                <w:sz w:val="20"/>
                <w:szCs w:val="20"/>
              </w:rPr>
            </w:pPr>
            <w:r w:rsidRPr="000031A7">
              <w:rPr>
                <w:rFonts w:ascii="Times New Roman" w:hAnsi="Times New Roman"/>
                <w:sz w:val="20"/>
                <w:szCs w:val="20"/>
              </w:rPr>
              <w:t>Mangue se classe désormais comme le 5eme produit d'exportation du Mali.</w:t>
            </w:r>
          </w:p>
          <w:p w14:paraId="7AE4E864" w14:textId="77777777" w:rsidR="009C493D" w:rsidRPr="000031A7" w:rsidRDefault="009C493D" w:rsidP="00D76EFA">
            <w:pPr>
              <w:numPr>
                <w:ilvl w:val="0"/>
                <w:numId w:val="67"/>
              </w:numPr>
              <w:spacing w:after="0" w:line="240" w:lineRule="auto"/>
              <w:rPr>
                <w:rFonts w:ascii="Times New Roman" w:hAnsi="Times New Roman"/>
                <w:sz w:val="20"/>
                <w:szCs w:val="20"/>
              </w:rPr>
            </w:pPr>
            <w:r w:rsidRPr="000031A7">
              <w:rPr>
                <w:rFonts w:ascii="Times New Roman" w:hAnsi="Times New Roman"/>
                <w:sz w:val="20"/>
                <w:szCs w:val="20"/>
              </w:rPr>
              <w:t>Chiffre d'affaires de plus de USD 20 millions pour les mangues fraises exportées</w:t>
            </w:r>
          </w:p>
        </w:tc>
        <w:tc>
          <w:tcPr>
            <w:tcW w:w="683" w:type="dxa"/>
            <w:shd w:val="clear" w:color="auto" w:fill="auto"/>
            <w:vAlign w:val="center"/>
          </w:tcPr>
          <w:p w14:paraId="3AB44CC6" w14:textId="77777777" w:rsidR="009C493D" w:rsidRPr="000031A7" w:rsidRDefault="009C493D" w:rsidP="009C493D">
            <w:pPr>
              <w:spacing w:after="0" w:line="240" w:lineRule="auto"/>
              <w:rPr>
                <w:rFonts w:ascii="Times New Roman" w:hAnsi="Times New Roman"/>
                <w:sz w:val="20"/>
                <w:szCs w:val="20"/>
              </w:rPr>
            </w:pPr>
          </w:p>
        </w:tc>
        <w:tc>
          <w:tcPr>
            <w:tcW w:w="583" w:type="dxa"/>
            <w:shd w:val="clear" w:color="auto" w:fill="FFC000"/>
            <w:vAlign w:val="center"/>
          </w:tcPr>
          <w:p w14:paraId="31F218EE" w14:textId="77777777" w:rsidR="009C493D" w:rsidRPr="000031A7" w:rsidRDefault="009C493D" w:rsidP="009C493D">
            <w:pPr>
              <w:spacing w:after="0" w:line="240" w:lineRule="auto"/>
              <w:rPr>
                <w:rFonts w:ascii="Times New Roman" w:hAnsi="Times New Roman"/>
                <w:sz w:val="20"/>
                <w:szCs w:val="20"/>
              </w:rPr>
            </w:pPr>
          </w:p>
        </w:tc>
        <w:tc>
          <w:tcPr>
            <w:tcW w:w="512" w:type="dxa"/>
            <w:shd w:val="clear" w:color="auto" w:fill="FF0000"/>
            <w:vAlign w:val="center"/>
          </w:tcPr>
          <w:p w14:paraId="2FB32380" w14:textId="77777777" w:rsidR="009C493D" w:rsidRPr="000031A7" w:rsidRDefault="009C493D" w:rsidP="009C493D">
            <w:pPr>
              <w:spacing w:after="0" w:line="240" w:lineRule="auto"/>
              <w:rPr>
                <w:rFonts w:ascii="Times New Roman" w:hAnsi="Times New Roman"/>
                <w:sz w:val="20"/>
                <w:szCs w:val="20"/>
              </w:rPr>
            </w:pPr>
          </w:p>
        </w:tc>
      </w:tr>
      <w:tr w:rsidR="009C493D" w:rsidRPr="000031A7" w14:paraId="36FFEB6A" w14:textId="77777777" w:rsidTr="00414C56">
        <w:tc>
          <w:tcPr>
            <w:tcW w:w="1792" w:type="dxa"/>
            <w:vMerge/>
            <w:shd w:val="clear" w:color="auto" w:fill="F2F2F2" w:themeFill="background1" w:themeFillShade="F2"/>
            <w:vAlign w:val="center"/>
          </w:tcPr>
          <w:p w14:paraId="067BD486" w14:textId="77777777" w:rsidR="009C493D" w:rsidRPr="000031A7" w:rsidRDefault="009C493D" w:rsidP="009C493D">
            <w:pPr>
              <w:spacing w:after="0" w:line="240" w:lineRule="auto"/>
              <w:rPr>
                <w:rFonts w:ascii="Times New Roman" w:hAnsi="Times New Roman"/>
                <w:sz w:val="20"/>
                <w:szCs w:val="20"/>
              </w:rPr>
            </w:pPr>
          </w:p>
        </w:tc>
        <w:tc>
          <w:tcPr>
            <w:tcW w:w="3296" w:type="dxa"/>
            <w:shd w:val="clear" w:color="auto" w:fill="auto"/>
            <w:vAlign w:val="center"/>
          </w:tcPr>
          <w:p w14:paraId="5794DDFD" w14:textId="77777777" w:rsidR="009C493D" w:rsidRPr="000031A7" w:rsidRDefault="009C493D" w:rsidP="009C493D">
            <w:pPr>
              <w:spacing w:after="0" w:line="240" w:lineRule="auto"/>
              <w:rPr>
                <w:rFonts w:ascii="Times New Roman" w:hAnsi="Times New Roman"/>
                <w:sz w:val="20"/>
                <w:szCs w:val="20"/>
              </w:rPr>
            </w:pPr>
            <w:r w:rsidRPr="000031A7">
              <w:rPr>
                <w:rFonts w:ascii="Times New Roman" w:hAnsi="Times New Roman"/>
                <w:sz w:val="20"/>
                <w:szCs w:val="20"/>
              </w:rPr>
              <w:t>Pourcentage de personnes</w:t>
            </w:r>
            <w:r w:rsidRPr="000031A7">
              <w:rPr>
                <w:rFonts w:ascii="Times New Roman" w:hAnsi="Times New Roman"/>
                <w:b/>
                <w:sz w:val="20"/>
                <w:szCs w:val="20"/>
              </w:rPr>
              <w:t xml:space="preserve"> </w:t>
            </w:r>
            <w:r w:rsidRPr="000031A7">
              <w:rPr>
                <w:rFonts w:ascii="Times New Roman" w:hAnsi="Times New Roman"/>
                <w:sz w:val="20"/>
                <w:szCs w:val="20"/>
              </w:rPr>
              <w:t>vulnérables engagées dans des activités économiques résilientes aux catastrophes et aux changements climatiques</w:t>
            </w:r>
          </w:p>
          <w:p w14:paraId="05150D6D" w14:textId="77777777" w:rsidR="009C493D" w:rsidRPr="000031A7" w:rsidRDefault="009C493D" w:rsidP="00D76EFA">
            <w:pPr>
              <w:numPr>
                <w:ilvl w:val="0"/>
                <w:numId w:val="48"/>
              </w:numPr>
              <w:spacing w:after="0" w:line="240" w:lineRule="auto"/>
              <w:rPr>
                <w:rFonts w:ascii="Times New Roman" w:hAnsi="Times New Roman"/>
                <w:sz w:val="20"/>
                <w:szCs w:val="20"/>
              </w:rPr>
            </w:pPr>
            <w:r w:rsidRPr="000031A7">
              <w:rPr>
                <w:rFonts w:ascii="Times New Roman" w:hAnsi="Times New Roman"/>
                <w:sz w:val="20"/>
                <w:szCs w:val="20"/>
              </w:rPr>
              <w:t>Réf : 10%</w:t>
            </w:r>
          </w:p>
          <w:p w14:paraId="13B0D243" w14:textId="77777777" w:rsidR="009C493D" w:rsidRPr="000031A7" w:rsidRDefault="009C493D" w:rsidP="00D76EFA">
            <w:pPr>
              <w:numPr>
                <w:ilvl w:val="0"/>
                <w:numId w:val="48"/>
              </w:numPr>
              <w:spacing w:after="0" w:line="240" w:lineRule="auto"/>
              <w:rPr>
                <w:rFonts w:ascii="Times New Roman" w:hAnsi="Times New Roman"/>
                <w:sz w:val="20"/>
                <w:szCs w:val="20"/>
              </w:rPr>
            </w:pPr>
            <w:r w:rsidRPr="000031A7">
              <w:rPr>
                <w:rFonts w:ascii="Times New Roman" w:hAnsi="Times New Roman"/>
                <w:sz w:val="20"/>
                <w:szCs w:val="20"/>
              </w:rPr>
              <w:lastRenderedPageBreak/>
              <w:t>Cible : 60%</w:t>
            </w:r>
          </w:p>
        </w:tc>
        <w:tc>
          <w:tcPr>
            <w:tcW w:w="3874" w:type="dxa"/>
            <w:shd w:val="clear" w:color="auto" w:fill="auto"/>
            <w:vAlign w:val="center"/>
          </w:tcPr>
          <w:p w14:paraId="017F08A5" w14:textId="77777777" w:rsidR="009C493D" w:rsidRPr="000031A7" w:rsidRDefault="009C493D" w:rsidP="00D76EFA">
            <w:pPr>
              <w:numPr>
                <w:ilvl w:val="0"/>
                <w:numId w:val="68"/>
              </w:numPr>
              <w:spacing w:after="0" w:line="240" w:lineRule="auto"/>
              <w:rPr>
                <w:rFonts w:ascii="Times New Roman" w:hAnsi="Times New Roman"/>
                <w:sz w:val="20"/>
                <w:szCs w:val="20"/>
              </w:rPr>
            </w:pPr>
            <w:r w:rsidRPr="000031A7">
              <w:rPr>
                <w:rFonts w:ascii="Times New Roman" w:hAnsi="Times New Roman"/>
                <w:sz w:val="20"/>
                <w:szCs w:val="20"/>
              </w:rPr>
              <w:lastRenderedPageBreak/>
              <w:t>8 000 jeunes en emploi</w:t>
            </w:r>
          </w:p>
          <w:p w14:paraId="017B4D2E" w14:textId="77777777" w:rsidR="009C493D" w:rsidRPr="000031A7" w:rsidRDefault="009C493D" w:rsidP="00D76EFA">
            <w:pPr>
              <w:numPr>
                <w:ilvl w:val="0"/>
                <w:numId w:val="68"/>
              </w:numPr>
              <w:spacing w:after="0" w:line="240" w:lineRule="auto"/>
              <w:rPr>
                <w:rFonts w:ascii="Times New Roman" w:hAnsi="Times New Roman"/>
                <w:sz w:val="20"/>
                <w:szCs w:val="20"/>
              </w:rPr>
            </w:pPr>
            <w:r w:rsidRPr="000031A7">
              <w:rPr>
                <w:rFonts w:ascii="Times New Roman" w:hAnsi="Times New Roman"/>
                <w:sz w:val="20"/>
                <w:szCs w:val="20"/>
              </w:rPr>
              <w:t>7 500 femmes chefs de ménage bénéficiaires d’activités génératrices de revenu</w:t>
            </w:r>
          </w:p>
          <w:p w14:paraId="724C89C4" w14:textId="77777777" w:rsidR="009C493D" w:rsidRPr="000031A7" w:rsidRDefault="009C493D" w:rsidP="00D76EFA">
            <w:pPr>
              <w:numPr>
                <w:ilvl w:val="0"/>
                <w:numId w:val="68"/>
              </w:numPr>
              <w:spacing w:after="0" w:line="240" w:lineRule="auto"/>
              <w:rPr>
                <w:rFonts w:ascii="Times New Roman" w:hAnsi="Times New Roman"/>
                <w:sz w:val="20"/>
                <w:szCs w:val="20"/>
              </w:rPr>
            </w:pPr>
            <w:r w:rsidRPr="000031A7">
              <w:rPr>
                <w:rFonts w:ascii="Times New Roman" w:hAnsi="Times New Roman"/>
                <w:sz w:val="20"/>
                <w:szCs w:val="20"/>
              </w:rPr>
              <w:lastRenderedPageBreak/>
              <w:t>Filières Mangue, Gomme arabique, Karité et viande- bétail, appuyées : 300 femmes capacitées</w:t>
            </w:r>
          </w:p>
          <w:p w14:paraId="7D4E2869" w14:textId="77777777" w:rsidR="009C493D" w:rsidRPr="000031A7" w:rsidRDefault="009C493D" w:rsidP="00D76EFA">
            <w:pPr>
              <w:numPr>
                <w:ilvl w:val="0"/>
                <w:numId w:val="68"/>
              </w:numPr>
              <w:spacing w:after="0" w:line="240" w:lineRule="auto"/>
              <w:rPr>
                <w:rFonts w:ascii="Times New Roman" w:hAnsi="Times New Roman"/>
                <w:sz w:val="20"/>
                <w:szCs w:val="20"/>
              </w:rPr>
            </w:pPr>
            <w:r w:rsidRPr="000031A7">
              <w:rPr>
                <w:rFonts w:ascii="Times New Roman" w:hAnsi="Times New Roman"/>
                <w:sz w:val="20"/>
                <w:szCs w:val="20"/>
              </w:rPr>
              <w:t>Infrastructures hydro agricoles développées avec le  système Faguibine (Région de Tombouctou)</w:t>
            </w:r>
          </w:p>
          <w:p w14:paraId="3A712D92" w14:textId="77777777" w:rsidR="009C493D" w:rsidRPr="000031A7" w:rsidRDefault="009C493D" w:rsidP="00D76EFA">
            <w:pPr>
              <w:numPr>
                <w:ilvl w:val="0"/>
                <w:numId w:val="68"/>
              </w:numPr>
              <w:spacing w:after="0" w:line="240" w:lineRule="auto"/>
              <w:rPr>
                <w:rFonts w:ascii="Times New Roman" w:hAnsi="Times New Roman"/>
                <w:sz w:val="20"/>
                <w:szCs w:val="20"/>
              </w:rPr>
            </w:pPr>
            <w:r w:rsidRPr="000031A7">
              <w:rPr>
                <w:rFonts w:ascii="Times New Roman" w:hAnsi="Times New Roman"/>
                <w:sz w:val="20"/>
                <w:szCs w:val="20"/>
              </w:rPr>
              <w:t xml:space="preserve">300 femmes pisteurs qui jouent un rôle d'intermédiaires dans le processus de production et de commercialisation des mangues ont pu diversifier leurs revenus et améliorer leurs conditions de vie. </w:t>
            </w:r>
          </w:p>
          <w:p w14:paraId="22EE0365" w14:textId="77777777" w:rsidR="009C493D" w:rsidRPr="000031A7" w:rsidRDefault="009C493D" w:rsidP="00D76EFA">
            <w:pPr>
              <w:numPr>
                <w:ilvl w:val="0"/>
                <w:numId w:val="68"/>
              </w:numPr>
              <w:spacing w:after="0" w:line="240" w:lineRule="auto"/>
              <w:rPr>
                <w:rFonts w:ascii="Times New Roman" w:hAnsi="Times New Roman"/>
                <w:sz w:val="20"/>
                <w:szCs w:val="20"/>
              </w:rPr>
            </w:pPr>
            <w:r w:rsidRPr="000031A7">
              <w:rPr>
                <w:rFonts w:ascii="Times New Roman" w:hAnsi="Times New Roman"/>
                <w:sz w:val="20"/>
                <w:szCs w:val="20"/>
              </w:rPr>
              <w:t xml:space="preserve">170 000 habitants (51% des femmes) ont désormais accès à l’eau potable, la production agricole s’est accrue de 35% </w:t>
            </w:r>
          </w:p>
          <w:p w14:paraId="20050CDD" w14:textId="77777777" w:rsidR="009C493D" w:rsidRPr="000031A7" w:rsidRDefault="009C493D" w:rsidP="00D76EFA">
            <w:pPr>
              <w:numPr>
                <w:ilvl w:val="0"/>
                <w:numId w:val="68"/>
              </w:numPr>
              <w:spacing w:after="0" w:line="240" w:lineRule="auto"/>
              <w:rPr>
                <w:rFonts w:ascii="Times New Roman" w:hAnsi="Times New Roman"/>
                <w:sz w:val="20"/>
                <w:szCs w:val="20"/>
              </w:rPr>
            </w:pPr>
            <w:r w:rsidRPr="000031A7">
              <w:rPr>
                <w:rFonts w:ascii="Times New Roman" w:hAnsi="Times New Roman"/>
                <w:sz w:val="20"/>
                <w:szCs w:val="20"/>
              </w:rPr>
              <w:t xml:space="preserve">50 000 personnes raccordées aux énergies renouvelables : construction de trois villages solaires et installation de 500 kits solaires familiaux. </w:t>
            </w:r>
          </w:p>
          <w:p w14:paraId="7CCB4596" w14:textId="77777777" w:rsidR="009C493D" w:rsidRPr="000031A7" w:rsidRDefault="009C493D" w:rsidP="009C493D">
            <w:pPr>
              <w:spacing w:after="0" w:line="240" w:lineRule="auto"/>
              <w:rPr>
                <w:rFonts w:ascii="Times New Roman" w:hAnsi="Times New Roman"/>
                <w:sz w:val="20"/>
                <w:szCs w:val="20"/>
              </w:rPr>
            </w:pPr>
            <w:r w:rsidRPr="000031A7">
              <w:rPr>
                <w:rFonts w:ascii="Times New Roman" w:hAnsi="Times New Roman"/>
                <w:sz w:val="20"/>
                <w:szCs w:val="20"/>
              </w:rPr>
              <w:t>Faguibine/Tombouctou</w:t>
            </w:r>
          </w:p>
          <w:p w14:paraId="1D397A63" w14:textId="77777777" w:rsidR="009C493D" w:rsidRPr="000031A7" w:rsidRDefault="009C493D" w:rsidP="00D76EFA">
            <w:pPr>
              <w:numPr>
                <w:ilvl w:val="0"/>
                <w:numId w:val="70"/>
              </w:numPr>
              <w:spacing w:after="0" w:line="240" w:lineRule="auto"/>
              <w:rPr>
                <w:rFonts w:ascii="Times New Roman" w:hAnsi="Times New Roman"/>
                <w:sz w:val="20"/>
                <w:szCs w:val="20"/>
              </w:rPr>
            </w:pPr>
            <w:r w:rsidRPr="000031A7">
              <w:rPr>
                <w:rFonts w:ascii="Times New Roman" w:hAnsi="Times New Roman"/>
                <w:sz w:val="20"/>
                <w:szCs w:val="20"/>
              </w:rPr>
              <w:t xml:space="preserve">140.000 habitants ont désormais accès à l'eau potable grâce à la réhabilitation de </w:t>
            </w:r>
          </w:p>
          <w:p w14:paraId="4118FB36" w14:textId="77777777" w:rsidR="009C493D" w:rsidRPr="000031A7" w:rsidRDefault="009C493D" w:rsidP="00D76EFA">
            <w:pPr>
              <w:numPr>
                <w:ilvl w:val="0"/>
                <w:numId w:val="70"/>
              </w:numPr>
              <w:spacing w:after="0" w:line="240" w:lineRule="auto"/>
              <w:rPr>
                <w:rFonts w:ascii="Times New Roman" w:hAnsi="Times New Roman"/>
                <w:sz w:val="20"/>
                <w:szCs w:val="20"/>
              </w:rPr>
            </w:pPr>
            <w:r w:rsidRPr="000031A7">
              <w:rPr>
                <w:rFonts w:ascii="Times New Roman" w:hAnsi="Times New Roman"/>
                <w:sz w:val="20"/>
                <w:szCs w:val="20"/>
              </w:rPr>
              <w:t>11 points d'eau potable réhabilités</w:t>
            </w:r>
          </w:p>
          <w:p w14:paraId="766A18E3" w14:textId="77777777" w:rsidR="009C493D" w:rsidRPr="000031A7" w:rsidRDefault="009C493D" w:rsidP="00D76EFA">
            <w:pPr>
              <w:numPr>
                <w:ilvl w:val="0"/>
                <w:numId w:val="70"/>
              </w:numPr>
              <w:spacing w:after="0" w:line="240" w:lineRule="auto"/>
              <w:rPr>
                <w:rFonts w:ascii="Times New Roman" w:hAnsi="Times New Roman"/>
                <w:sz w:val="20"/>
                <w:szCs w:val="20"/>
              </w:rPr>
            </w:pPr>
            <w:r w:rsidRPr="000031A7">
              <w:rPr>
                <w:rFonts w:ascii="Times New Roman" w:hAnsi="Times New Roman"/>
                <w:sz w:val="20"/>
                <w:szCs w:val="20"/>
              </w:rPr>
              <w:t>Production céréalière et maraîchère a augmenté de 35 %.</w:t>
            </w:r>
          </w:p>
          <w:p w14:paraId="5F49A73C" w14:textId="77777777" w:rsidR="009C493D" w:rsidRPr="000031A7" w:rsidRDefault="009C493D" w:rsidP="00D76EFA">
            <w:pPr>
              <w:numPr>
                <w:ilvl w:val="0"/>
                <w:numId w:val="70"/>
              </w:numPr>
              <w:spacing w:after="0" w:line="240" w:lineRule="auto"/>
              <w:rPr>
                <w:rFonts w:ascii="Times New Roman" w:hAnsi="Times New Roman"/>
                <w:sz w:val="20"/>
                <w:szCs w:val="20"/>
              </w:rPr>
            </w:pPr>
            <w:r w:rsidRPr="000031A7">
              <w:rPr>
                <w:rFonts w:ascii="Times New Roman" w:hAnsi="Times New Roman"/>
                <w:sz w:val="20"/>
                <w:szCs w:val="20"/>
              </w:rPr>
              <w:t xml:space="preserve">Aviculture et élevage de bovins : augmentation de la production de 20%. </w:t>
            </w:r>
          </w:p>
          <w:p w14:paraId="27A1A2DB" w14:textId="77777777" w:rsidR="009C493D" w:rsidRPr="000031A7" w:rsidRDefault="009C493D" w:rsidP="00D76EFA">
            <w:pPr>
              <w:numPr>
                <w:ilvl w:val="0"/>
                <w:numId w:val="69"/>
              </w:numPr>
              <w:spacing w:after="0" w:line="240" w:lineRule="auto"/>
              <w:rPr>
                <w:rFonts w:ascii="Times New Roman" w:hAnsi="Times New Roman"/>
                <w:sz w:val="20"/>
                <w:szCs w:val="20"/>
              </w:rPr>
            </w:pPr>
            <w:r w:rsidRPr="000031A7">
              <w:rPr>
                <w:rFonts w:ascii="Times New Roman" w:hAnsi="Times New Roman"/>
                <w:sz w:val="20"/>
                <w:szCs w:val="20"/>
              </w:rPr>
              <w:t xml:space="preserve">2500 femmes ont bénéficié d'activités génératrices de revenus </w:t>
            </w:r>
          </w:p>
          <w:p w14:paraId="7EF18146" w14:textId="77777777" w:rsidR="009C493D" w:rsidRPr="000031A7" w:rsidRDefault="009C493D" w:rsidP="00D76EFA">
            <w:pPr>
              <w:numPr>
                <w:ilvl w:val="0"/>
                <w:numId w:val="69"/>
              </w:numPr>
              <w:spacing w:after="0" w:line="240" w:lineRule="auto"/>
              <w:rPr>
                <w:rFonts w:ascii="Times New Roman" w:hAnsi="Times New Roman"/>
                <w:sz w:val="20"/>
                <w:szCs w:val="20"/>
              </w:rPr>
            </w:pPr>
            <w:r w:rsidRPr="000031A7">
              <w:rPr>
                <w:rFonts w:ascii="Times New Roman" w:hAnsi="Times New Roman"/>
                <w:sz w:val="20"/>
                <w:szCs w:val="20"/>
              </w:rPr>
              <w:t xml:space="preserve">1500 emplois temporaires ont été créés pour les jeunes dans les domaines du reboisement et creusement des chenaux ainsi ces femmes et jeunes subviennent à leurs besoins de base (nourriture, santé). </w:t>
            </w:r>
          </w:p>
          <w:p w14:paraId="11F952D8" w14:textId="77777777" w:rsidR="009C493D" w:rsidRPr="000031A7" w:rsidRDefault="009C493D" w:rsidP="00D76EFA">
            <w:pPr>
              <w:numPr>
                <w:ilvl w:val="0"/>
                <w:numId w:val="69"/>
              </w:numPr>
              <w:spacing w:after="0" w:line="240" w:lineRule="auto"/>
              <w:rPr>
                <w:rFonts w:ascii="Times New Roman" w:hAnsi="Times New Roman"/>
                <w:sz w:val="20"/>
                <w:szCs w:val="20"/>
              </w:rPr>
            </w:pPr>
            <w:r w:rsidRPr="000031A7">
              <w:rPr>
                <w:rFonts w:ascii="Times New Roman" w:hAnsi="Times New Roman"/>
                <w:sz w:val="20"/>
                <w:szCs w:val="20"/>
              </w:rPr>
              <w:t>Personnel de l'OMVF a été formé sur la conduite et la maintenance des engins de terrassement pour favoriser la durabilité.</w:t>
            </w:r>
          </w:p>
          <w:p w14:paraId="24EBD80D" w14:textId="77777777" w:rsidR="009C493D" w:rsidRPr="000031A7" w:rsidRDefault="009C493D" w:rsidP="00D76EFA">
            <w:pPr>
              <w:numPr>
                <w:ilvl w:val="0"/>
                <w:numId w:val="69"/>
              </w:numPr>
              <w:spacing w:after="0" w:line="240" w:lineRule="auto"/>
              <w:rPr>
                <w:rFonts w:ascii="Times New Roman" w:hAnsi="Times New Roman"/>
                <w:sz w:val="20"/>
                <w:szCs w:val="20"/>
              </w:rPr>
            </w:pPr>
            <w:r w:rsidRPr="000031A7">
              <w:rPr>
                <w:rFonts w:ascii="Times New Roman" w:hAnsi="Times New Roman"/>
                <w:sz w:val="20"/>
                <w:szCs w:val="20"/>
              </w:rPr>
              <w:t>6780 producteurs à travers 100 organisations paysannes bénéficiaires de formation, d’intrants et équipements</w:t>
            </w:r>
          </w:p>
          <w:p w14:paraId="06CC2B51" w14:textId="77777777" w:rsidR="009C493D" w:rsidRPr="000031A7" w:rsidRDefault="009C493D" w:rsidP="00D76EFA">
            <w:pPr>
              <w:numPr>
                <w:ilvl w:val="0"/>
                <w:numId w:val="69"/>
              </w:numPr>
              <w:spacing w:after="0" w:line="240" w:lineRule="auto"/>
              <w:rPr>
                <w:rFonts w:ascii="Times New Roman" w:hAnsi="Times New Roman"/>
                <w:sz w:val="20"/>
                <w:szCs w:val="20"/>
              </w:rPr>
            </w:pPr>
            <w:r w:rsidRPr="000031A7">
              <w:rPr>
                <w:rFonts w:ascii="Times New Roman" w:hAnsi="Times New Roman"/>
                <w:sz w:val="20"/>
                <w:szCs w:val="20"/>
              </w:rPr>
              <w:t>350 femmes dans la commune urbaine ont augmenté de 3% leur revenus</w:t>
            </w:r>
          </w:p>
          <w:p w14:paraId="61A66591" w14:textId="77777777" w:rsidR="009C493D" w:rsidRPr="000031A7" w:rsidRDefault="009C493D" w:rsidP="00D76EFA">
            <w:pPr>
              <w:numPr>
                <w:ilvl w:val="0"/>
                <w:numId w:val="69"/>
              </w:numPr>
              <w:spacing w:after="0" w:line="240" w:lineRule="auto"/>
              <w:rPr>
                <w:rFonts w:ascii="Times New Roman" w:hAnsi="Times New Roman"/>
                <w:sz w:val="20"/>
                <w:szCs w:val="20"/>
              </w:rPr>
            </w:pPr>
            <w:r w:rsidRPr="000031A7">
              <w:rPr>
                <w:rFonts w:ascii="Times New Roman" w:hAnsi="Times New Roman"/>
                <w:sz w:val="20"/>
                <w:szCs w:val="20"/>
              </w:rPr>
              <w:t>Un nouveau projet de 5 ans avec un budget estimatif d'environ 70 millions US $ issu de l’Etude de faisabilité (Norvège a déjà annoncé une contribution de 12,5 millions US $).</w:t>
            </w:r>
          </w:p>
          <w:p w14:paraId="47934CC8" w14:textId="77777777" w:rsidR="009C493D" w:rsidRPr="000031A7" w:rsidRDefault="009C493D" w:rsidP="00D76EFA">
            <w:pPr>
              <w:numPr>
                <w:ilvl w:val="0"/>
                <w:numId w:val="69"/>
              </w:numPr>
              <w:spacing w:after="0" w:line="240" w:lineRule="auto"/>
              <w:rPr>
                <w:rFonts w:ascii="Times New Roman" w:hAnsi="Times New Roman"/>
                <w:sz w:val="20"/>
                <w:szCs w:val="20"/>
              </w:rPr>
            </w:pPr>
            <w:r w:rsidRPr="000031A7">
              <w:rPr>
                <w:rFonts w:ascii="Times New Roman" w:hAnsi="Times New Roman"/>
                <w:sz w:val="20"/>
                <w:szCs w:val="20"/>
              </w:rPr>
              <w:t>14,5ha de périmètres de reboisement/agroforesterie aménagés</w:t>
            </w:r>
          </w:p>
          <w:p w14:paraId="78F57E14" w14:textId="77777777" w:rsidR="009C493D" w:rsidRPr="000031A7" w:rsidRDefault="009C493D" w:rsidP="00D76EFA">
            <w:pPr>
              <w:numPr>
                <w:ilvl w:val="0"/>
                <w:numId w:val="69"/>
              </w:numPr>
              <w:spacing w:after="0" w:line="240" w:lineRule="auto"/>
              <w:rPr>
                <w:rFonts w:ascii="Times New Roman" w:hAnsi="Times New Roman"/>
                <w:sz w:val="20"/>
                <w:szCs w:val="20"/>
              </w:rPr>
            </w:pPr>
            <w:r w:rsidRPr="000031A7">
              <w:rPr>
                <w:rFonts w:ascii="Times New Roman" w:hAnsi="Times New Roman"/>
                <w:sz w:val="20"/>
                <w:szCs w:val="20"/>
              </w:rPr>
              <w:t>2 micro barrages  en cours de réalisation dans les communes de Massantola et M’Pessoba) : 4,22 ha de potentiel irrigable</w:t>
            </w:r>
          </w:p>
          <w:p w14:paraId="7CF2B4E8" w14:textId="77777777" w:rsidR="009C493D" w:rsidRPr="000031A7" w:rsidRDefault="009C493D" w:rsidP="00D76EFA">
            <w:pPr>
              <w:numPr>
                <w:ilvl w:val="0"/>
                <w:numId w:val="67"/>
              </w:numPr>
              <w:spacing w:after="0" w:line="240" w:lineRule="auto"/>
              <w:rPr>
                <w:rFonts w:ascii="Times New Roman" w:hAnsi="Times New Roman"/>
                <w:sz w:val="20"/>
                <w:szCs w:val="20"/>
              </w:rPr>
            </w:pPr>
            <w:r w:rsidRPr="000031A7">
              <w:rPr>
                <w:rFonts w:ascii="Times New Roman" w:hAnsi="Times New Roman"/>
                <w:sz w:val="20"/>
                <w:szCs w:val="20"/>
              </w:rPr>
              <w:t>491 paysans encadrés et dotés de (i) 8 tonnes 245 kilos de  semences de variétés adaptées de céréales et légumineuses (mil, sorgho, riz, arachide, niébé et sésame) et de cultures fourragères (niébé et gliricidia) ;  (ii) 42 tonnes 100 kilos d’engrais minéraux</w:t>
            </w:r>
          </w:p>
        </w:tc>
        <w:tc>
          <w:tcPr>
            <w:tcW w:w="683" w:type="dxa"/>
            <w:shd w:val="clear" w:color="auto" w:fill="auto"/>
            <w:vAlign w:val="center"/>
          </w:tcPr>
          <w:p w14:paraId="06131B00" w14:textId="77777777" w:rsidR="009C493D" w:rsidRPr="000031A7" w:rsidRDefault="009C493D" w:rsidP="009C493D">
            <w:pPr>
              <w:spacing w:after="0" w:line="240" w:lineRule="auto"/>
              <w:rPr>
                <w:rFonts w:ascii="Times New Roman" w:hAnsi="Times New Roman"/>
                <w:sz w:val="20"/>
                <w:szCs w:val="20"/>
              </w:rPr>
            </w:pPr>
          </w:p>
        </w:tc>
        <w:tc>
          <w:tcPr>
            <w:tcW w:w="583" w:type="dxa"/>
            <w:shd w:val="clear" w:color="auto" w:fill="FFFF00"/>
            <w:vAlign w:val="center"/>
          </w:tcPr>
          <w:p w14:paraId="25FF8613" w14:textId="77777777" w:rsidR="009C493D" w:rsidRPr="000031A7" w:rsidRDefault="009C493D" w:rsidP="009C493D">
            <w:pPr>
              <w:spacing w:after="0" w:line="240" w:lineRule="auto"/>
              <w:rPr>
                <w:rFonts w:ascii="Times New Roman" w:hAnsi="Times New Roman"/>
                <w:sz w:val="20"/>
                <w:szCs w:val="20"/>
              </w:rPr>
            </w:pPr>
          </w:p>
        </w:tc>
        <w:tc>
          <w:tcPr>
            <w:tcW w:w="512" w:type="dxa"/>
            <w:shd w:val="clear" w:color="auto" w:fill="auto"/>
            <w:vAlign w:val="center"/>
          </w:tcPr>
          <w:p w14:paraId="56C74DC9" w14:textId="77777777" w:rsidR="009C493D" w:rsidRPr="000031A7" w:rsidRDefault="009C493D" w:rsidP="009C493D">
            <w:pPr>
              <w:spacing w:after="0" w:line="240" w:lineRule="auto"/>
              <w:rPr>
                <w:rFonts w:ascii="Times New Roman" w:hAnsi="Times New Roman"/>
                <w:sz w:val="20"/>
                <w:szCs w:val="20"/>
              </w:rPr>
            </w:pPr>
          </w:p>
        </w:tc>
      </w:tr>
      <w:tr w:rsidR="009C493D" w:rsidRPr="000031A7" w14:paraId="08D7E708" w14:textId="77777777" w:rsidTr="00414C56">
        <w:tc>
          <w:tcPr>
            <w:tcW w:w="1792" w:type="dxa"/>
            <w:vMerge w:val="restart"/>
            <w:shd w:val="clear" w:color="auto" w:fill="F2F2F2" w:themeFill="background1" w:themeFillShade="F2"/>
            <w:vAlign w:val="center"/>
          </w:tcPr>
          <w:p w14:paraId="12F721B8" w14:textId="77777777" w:rsidR="009C493D" w:rsidRPr="000031A7" w:rsidRDefault="009C493D" w:rsidP="009C493D">
            <w:pPr>
              <w:spacing w:after="0" w:line="240" w:lineRule="auto"/>
              <w:rPr>
                <w:rFonts w:ascii="Times New Roman" w:hAnsi="Times New Roman"/>
                <w:sz w:val="20"/>
                <w:szCs w:val="20"/>
              </w:rPr>
            </w:pPr>
            <w:r w:rsidRPr="000031A7">
              <w:rPr>
                <w:rFonts w:ascii="Times New Roman" w:hAnsi="Times New Roman"/>
                <w:sz w:val="20"/>
                <w:szCs w:val="20"/>
              </w:rPr>
              <w:lastRenderedPageBreak/>
              <w:t>Les capacités de planification,</w:t>
            </w:r>
            <w:r w:rsidRPr="000031A7">
              <w:rPr>
                <w:rFonts w:ascii="Times New Roman" w:hAnsi="Times New Roman"/>
                <w:b/>
                <w:sz w:val="20"/>
                <w:szCs w:val="20"/>
              </w:rPr>
              <w:t xml:space="preserve"> </w:t>
            </w:r>
            <w:r w:rsidRPr="000031A7">
              <w:rPr>
                <w:rFonts w:ascii="Times New Roman" w:hAnsi="Times New Roman"/>
                <w:sz w:val="20"/>
                <w:szCs w:val="20"/>
              </w:rPr>
              <w:t>d’évaluation et d’affectation des ressources des institutions responsables de l’environnement sont renforcées pour mettre en œuvre les plans sectoriels visant mieux intégrer les liens entre la pauvreté et l’environnement et les préoccupations en matière de réduction des risques de catastrophe et des risques climatiques</w:t>
            </w:r>
          </w:p>
        </w:tc>
        <w:tc>
          <w:tcPr>
            <w:tcW w:w="3296" w:type="dxa"/>
            <w:shd w:val="clear" w:color="auto" w:fill="auto"/>
            <w:vAlign w:val="center"/>
          </w:tcPr>
          <w:p w14:paraId="2DD54C03" w14:textId="77777777" w:rsidR="009C493D" w:rsidRPr="000031A7" w:rsidRDefault="009C493D" w:rsidP="009C493D">
            <w:pPr>
              <w:spacing w:after="0" w:line="240" w:lineRule="auto"/>
              <w:rPr>
                <w:rFonts w:ascii="Times New Roman" w:hAnsi="Times New Roman"/>
                <w:sz w:val="20"/>
                <w:szCs w:val="20"/>
              </w:rPr>
            </w:pPr>
            <w:r w:rsidRPr="000031A7">
              <w:rPr>
                <w:rFonts w:ascii="Times New Roman" w:hAnsi="Times New Roman"/>
                <w:sz w:val="20"/>
                <w:szCs w:val="20"/>
              </w:rPr>
              <w:t>Plans de développement</w:t>
            </w:r>
            <w:r w:rsidRPr="000031A7">
              <w:rPr>
                <w:rFonts w:ascii="Times New Roman" w:hAnsi="Times New Roman"/>
                <w:b/>
                <w:sz w:val="20"/>
                <w:szCs w:val="20"/>
              </w:rPr>
              <w:t xml:space="preserve"> </w:t>
            </w:r>
            <w:r w:rsidRPr="000031A7">
              <w:rPr>
                <w:rFonts w:ascii="Times New Roman" w:hAnsi="Times New Roman"/>
                <w:sz w:val="20"/>
                <w:szCs w:val="20"/>
              </w:rPr>
              <w:t>socio-économique et plans sectoriels relatifs aux changements climatiques et à la gestion des ressources naturelles</w:t>
            </w:r>
          </w:p>
          <w:p w14:paraId="6AD1E375" w14:textId="77777777" w:rsidR="009C493D" w:rsidRPr="000031A7" w:rsidRDefault="009C493D" w:rsidP="00D76EFA">
            <w:pPr>
              <w:numPr>
                <w:ilvl w:val="0"/>
                <w:numId w:val="49"/>
              </w:numPr>
              <w:spacing w:after="0" w:line="240" w:lineRule="auto"/>
              <w:rPr>
                <w:rFonts w:ascii="Times New Roman" w:hAnsi="Times New Roman"/>
                <w:sz w:val="20"/>
                <w:szCs w:val="20"/>
              </w:rPr>
            </w:pPr>
            <w:r w:rsidRPr="000031A7">
              <w:rPr>
                <w:rFonts w:ascii="Times New Roman" w:hAnsi="Times New Roman"/>
                <w:sz w:val="20"/>
                <w:szCs w:val="20"/>
              </w:rPr>
              <w:t>Réf : 3 plans de développement et un plan sectoriel</w:t>
            </w:r>
          </w:p>
          <w:p w14:paraId="110FED94" w14:textId="77777777" w:rsidR="009C493D" w:rsidRPr="000031A7" w:rsidRDefault="009C493D" w:rsidP="00D76EFA">
            <w:pPr>
              <w:numPr>
                <w:ilvl w:val="0"/>
                <w:numId w:val="49"/>
              </w:numPr>
              <w:spacing w:after="0" w:line="240" w:lineRule="auto"/>
              <w:rPr>
                <w:rFonts w:ascii="Times New Roman" w:hAnsi="Times New Roman"/>
                <w:sz w:val="20"/>
                <w:szCs w:val="20"/>
              </w:rPr>
            </w:pPr>
            <w:r w:rsidRPr="000031A7">
              <w:rPr>
                <w:rFonts w:ascii="Times New Roman" w:hAnsi="Times New Roman"/>
                <w:sz w:val="20"/>
                <w:szCs w:val="20"/>
              </w:rPr>
              <w:t>Cible : 15 plans de développement économique, social et culturel, de 15 municipalités, et 3 plans sectoriels (à l’échelle nationale) en faveur de faibles émissions de carbone et de la résilience aux changements climatiques</w:t>
            </w:r>
          </w:p>
        </w:tc>
        <w:tc>
          <w:tcPr>
            <w:tcW w:w="3874" w:type="dxa"/>
            <w:shd w:val="clear" w:color="auto" w:fill="auto"/>
            <w:vAlign w:val="center"/>
          </w:tcPr>
          <w:p w14:paraId="2B19F3CD" w14:textId="77777777" w:rsidR="009C493D" w:rsidRPr="000031A7" w:rsidRDefault="009C493D" w:rsidP="00D76EFA">
            <w:pPr>
              <w:numPr>
                <w:ilvl w:val="0"/>
                <w:numId w:val="71"/>
              </w:numPr>
              <w:spacing w:after="0" w:line="240" w:lineRule="auto"/>
              <w:rPr>
                <w:rFonts w:ascii="Times New Roman" w:hAnsi="Times New Roman"/>
                <w:sz w:val="20"/>
                <w:szCs w:val="20"/>
              </w:rPr>
            </w:pPr>
            <w:r w:rsidRPr="000031A7">
              <w:rPr>
                <w:rFonts w:ascii="Times New Roman" w:hAnsi="Times New Roman"/>
                <w:sz w:val="20"/>
                <w:szCs w:val="20"/>
              </w:rPr>
              <w:t>Cadre Stratégique pour la Relance économique et le Développement Durable (CREDD 2016-2018) [E09</w:t>
            </w:r>
          </w:p>
          <w:p w14:paraId="1DAAB952" w14:textId="77777777" w:rsidR="009C493D" w:rsidRPr="000031A7" w:rsidRDefault="009C493D" w:rsidP="00D76EFA">
            <w:pPr>
              <w:numPr>
                <w:ilvl w:val="0"/>
                <w:numId w:val="71"/>
              </w:numPr>
              <w:spacing w:after="0" w:line="240" w:lineRule="auto"/>
              <w:rPr>
                <w:rFonts w:ascii="Times New Roman" w:hAnsi="Times New Roman"/>
                <w:sz w:val="20"/>
                <w:szCs w:val="20"/>
              </w:rPr>
            </w:pPr>
            <w:r w:rsidRPr="000031A7">
              <w:rPr>
                <w:rFonts w:ascii="Times New Roman" w:hAnsi="Times New Roman"/>
                <w:sz w:val="20"/>
                <w:szCs w:val="20"/>
              </w:rPr>
              <w:t>Document de Contributions Determinées au Niveau national en matière de réduction des émissions de gaz à effet de serre et d'adaptation aux changements climatiques.</w:t>
            </w:r>
          </w:p>
          <w:p w14:paraId="39943AF5" w14:textId="77777777" w:rsidR="009C493D" w:rsidRPr="000031A7" w:rsidRDefault="009C493D" w:rsidP="00D76EFA">
            <w:pPr>
              <w:numPr>
                <w:ilvl w:val="0"/>
                <w:numId w:val="71"/>
              </w:numPr>
              <w:spacing w:after="0" w:line="240" w:lineRule="auto"/>
              <w:rPr>
                <w:rFonts w:ascii="Times New Roman" w:hAnsi="Times New Roman"/>
                <w:sz w:val="20"/>
                <w:szCs w:val="20"/>
              </w:rPr>
            </w:pPr>
            <w:r w:rsidRPr="000031A7">
              <w:rPr>
                <w:rFonts w:ascii="Times New Roman" w:hAnsi="Times New Roman"/>
                <w:sz w:val="20"/>
                <w:szCs w:val="20"/>
              </w:rPr>
              <w:t xml:space="preserve">11 Plans communaux d’action environnementale intégrant dimension biodiversité </w:t>
            </w:r>
          </w:p>
          <w:p w14:paraId="06A69D61" w14:textId="77777777" w:rsidR="009C493D" w:rsidRPr="000031A7" w:rsidRDefault="009C493D" w:rsidP="00D76EFA">
            <w:pPr>
              <w:numPr>
                <w:ilvl w:val="0"/>
                <w:numId w:val="72"/>
              </w:numPr>
              <w:spacing w:after="0" w:line="240" w:lineRule="auto"/>
              <w:rPr>
                <w:rFonts w:ascii="Times New Roman" w:hAnsi="Times New Roman"/>
                <w:sz w:val="20"/>
                <w:szCs w:val="20"/>
              </w:rPr>
            </w:pPr>
            <w:r w:rsidRPr="000031A7">
              <w:rPr>
                <w:rFonts w:ascii="Times New Roman" w:hAnsi="Times New Roman"/>
                <w:sz w:val="20"/>
                <w:szCs w:val="20"/>
              </w:rPr>
              <w:t>Document de participation du Mali à la COP21 : Rapport des intentions de réductions d'émissions de gaz à effet de serre sur le Mali (CPDN) mais également à la préparation d'un side event incluant la réalisation d'un film documentaire sur les activités financées à travers le Fonds Climat du Mali</w:t>
            </w:r>
          </w:p>
          <w:p w14:paraId="40F03395" w14:textId="77777777" w:rsidR="009C493D" w:rsidRPr="000031A7" w:rsidRDefault="009C493D" w:rsidP="00D76EFA">
            <w:pPr>
              <w:numPr>
                <w:ilvl w:val="0"/>
                <w:numId w:val="73"/>
              </w:numPr>
              <w:spacing w:after="0" w:line="240" w:lineRule="auto"/>
              <w:rPr>
                <w:rFonts w:ascii="Times New Roman" w:hAnsi="Times New Roman"/>
                <w:sz w:val="20"/>
                <w:szCs w:val="20"/>
              </w:rPr>
            </w:pPr>
            <w:r w:rsidRPr="000031A7">
              <w:rPr>
                <w:rFonts w:ascii="Times New Roman" w:hAnsi="Times New Roman"/>
                <w:sz w:val="20"/>
                <w:szCs w:val="20"/>
              </w:rPr>
              <w:t xml:space="preserve">Matérialisation d’aires protégées notamment dans  des couloirs de migration de la faune : meilleure protection des aires protégées avec l'appui des communautés ; </w:t>
            </w:r>
          </w:p>
          <w:p w14:paraId="59F7AE73" w14:textId="77777777" w:rsidR="009C493D" w:rsidRPr="000031A7" w:rsidRDefault="009C493D" w:rsidP="00D76EFA">
            <w:pPr>
              <w:numPr>
                <w:ilvl w:val="0"/>
                <w:numId w:val="73"/>
              </w:numPr>
              <w:spacing w:after="0" w:line="240" w:lineRule="auto"/>
              <w:rPr>
                <w:rFonts w:ascii="Times New Roman" w:hAnsi="Times New Roman"/>
                <w:sz w:val="20"/>
                <w:szCs w:val="20"/>
              </w:rPr>
            </w:pPr>
            <w:r w:rsidRPr="000031A7">
              <w:rPr>
                <w:rFonts w:ascii="Times New Roman" w:hAnsi="Times New Roman"/>
                <w:sz w:val="20"/>
                <w:szCs w:val="20"/>
              </w:rPr>
              <w:t xml:space="preserve">Concertations régionales et nationales sur les sur les projets de textes de gestion de la faune et son habitat </w:t>
            </w:r>
          </w:p>
          <w:p w14:paraId="0DEC4B05" w14:textId="77777777" w:rsidR="009C493D" w:rsidRPr="000031A7" w:rsidRDefault="009C493D" w:rsidP="00D76EFA">
            <w:pPr>
              <w:numPr>
                <w:ilvl w:val="0"/>
                <w:numId w:val="73"/>
              </w:numPr>
              <w:spacing w:after="0" w:line="240" w:lineRule="auto"/>
              <w:rPr>
                <w:rFonts w:ascii="Times New Roman" w:hAnsi="Times New Roman"/>
                <w:sz w:val="20"/>
                <w:szCs w:val="20"/>
              </w:rPr>
            </w:pPr>
            <w:r w:rsidRPr="000031A7">
              <w:rPr>
                <w:rFonts w:ascii="Times New Roman" w:hAnsi="Times New Roman"/>
                <w:sz w:val="20"/>
                <w:szCs w:val="20"/>
              </w:rPr>
              <w:t>Officialisation de 30 bureaux de comités villageois de surveillance ainsi que du bureau du Comité Intercommunal d’Orientation et de Gestion des Aires Protégées : implication effective des populations dans la surveillance des aires protégées et obtention de revenus supplémentaires. (Rapport annuel 2015 du projet; Rapport annuel 2015 de la DNEF).</w:t>
            </w:r>
          </w:p>
          <w:p w14:paraId="3D06BF1B" w14:textId="77777777" w:rsidR="009C493D" w:rsidRPr="000031A7" w:rsidRDefault="009C493D" w:rsidP="00D76EFA">
            <w:pPr>
              <w:numPr>
                <w:ilvl w:val="0"/>
                <w:numId w:val="73"/>
              </w:numPr>
              <w:spacing w:after="0" w:line="240" w:lineRule="auto"/>
              <w:rPr>
                <w:rFonts w:ascii="Times New Roman" w:hAnsi="Times New Roman"/>
                <w:sz w:val="20"/>
                <w:szCs w:val="20"/>
              </w:rPr>
            </w:pPr>
            <w:r w:rsidRPr="000031A7">
              <w:rPr>
                <w:rFonts w:ascii="Times New Roman" w:hAnsi="Times New Roman"/>
                <w:sz w:val="20"/>
                <w:szCs w:val="20"/>
              </w:rPr>
              <w:t>Activités d'adaptation et d'atténuation dans les secteurs Agriculture et Energie : amélioration  production et revenus des populations</w:t>
            </w:r>
          </w:p>
        </w:tc>
        <w:tc>
          <w:tcPr>
            <w:tcW w:w="683" w:type="dxa"/>
            <w:shd w:val="clear" w:color="auto" w:fill="92D050"/>
            <w:vAlign w:val="center"/>
          </w:tcPr>
          <w:p w14:paraId="46DE42CE" w14:textId="77777777" w:rsidR="009C493D" w:rsidRPr="000031A7" w:rsidRDefault="009C493D" w:rsidP="009C493D">
            <w:pPr>
              <w:spacing w:after="0" w:line="240" w:lineRule="auto"/>
              <w:rPr>
                <w:rFonts w:ascii="Times New Roman" w:hAnsi="Times New Roman"/>
                <w:b/>
                <w:sz w:val="20"/>
                <w:szCs w:val="20"/>
              </w:rPr>
            </w:pPr>
            <w:r w:rsidRPr="000031A7">
              <w:rPr>
                <w:rFonts w:ascii="Times New Roman" w:hAnsi="Times New Roman"/>
                <w:b/>
                <w:sz w:val="20"/>
                <w:szCs w:val="20"/>
              </w:rPr>
              <w:t>50%</w:t>
            </w:r>
          </w:p>
        </w:tc>
        <w:tc>
          <w:tcPr>
            <w:tcW w:w="583" w:type="dxa"/>
            <w:shd w:val="clear" w:color="auto" w:fill="auto"/>
            <w:vAlign w:val="center"/>
          </w:tcPr>
          <w:p w14:paraId="57B5A410" w14:textId="77777777" w:rsidR="009C493D" w:rsidRPr="000031A7" w:rsidRDefault="009C493D" w:rsidP="009C493D">
            <w:pPr>
              <w:spacing w:after="0" w:line="240" w:lineRule="auto"/>
              <w:rPr>
                <w:rFonts w:ascii="Times New Roman" w:hAnsi="Times New Roman"/>
                <w:sz w:val="20"/>
                <w:szCs w:val="20"/>
              </w:rPr>
            </w:pPr>
          </w:p>
        </w:tc>
        <w:tc>
          <w:tcPr>
            <w:tcW w:w="512" w:type="dxa"/>
            <w:shd w:val="clear" w:color="auto" w:fill="auto"/>
            <w:vAlign w:val="center"/>
          </w:tcPr>
          <w:p w14:paraId="6E63E1BC" w14:textId="77777777" w:rsidR="009C493D" w:rsidRPr="000031A7" w:rsidRDefault="009C493D" w:rsidP="009C493D">
            <w:pPr>
              <w:spacing w:after="0" w:line="240" w:lineRule="auto"/>
              <w:rPr>
                <w:rFonts w:ascii="Times New Roman" w:hAnsi="Times New Roman"/>
                <w:sz w:val="20"/>
                <w:szCs w:val="20"/>
              </w:rPr>
            </w:pPr>
          </w:p>
        </w:tc>
      </w:tr>
      <w:tr w:rsidR="009C493D" w:rsidRPr="000031A7" w14:paraId="708DF50F" w14:textId="77777777" w:rsidTr="00414C56">
        <w:tc>
          <w:tcPr>
            <w:tcW w:w="1792" w:type="dxa"/>
            <w:vMerge/>
            <w:shd w:val="clear" w:color="auto" w:fill="F2F2F2" w:themeFill="background1" w:themeFillShade="F2"/>
            <w:vAlign w:val="center"/>
          </w:tcPr>
          <w:p w14:paraId="5DC6C997" w14:textId="77777777" w:rsidR="009C493D" w:rsidRPr="000031A7" w:rsidRDefault="009C493D" w:rsidP="009C493D">
            <w:pPr>
              <w:spacing w:after="0" w:line="240" w:lineRule="auto"/>
              <w:rPr>
                <w:rFonts w:ascii="Times New Roman" w:hAnsi="Times New Roman"/>
                <w:sz w:val="20"/>
                <w:szCs w:val="20"/>
              </w:rPr>
            </w:pPr>
          </w:p>
        </w:tc>
        <w:tc>
          <w:tcPr>
            <w:tcW w:w="3296" w:type="dxa"/>
            <w:shd w:val="clear" w:color="auto" w:fill="auto"/>
            <w:vAlign w:val="center"/>
          </w:tcPr>
          <w:p w14:paraId="2E307BBA" w14:textId="77777777" w:rsidR="009C493D" w:rsidRPr="000031A7" w:rsidRDefault="009C493D" w:rsidP="009C493D">
            <w:pPr>
              <w:spacing w:after="0" w:line="240" w:lineRule="auto"/>
              <w:rPr>
                <w:rFonts w:ascii="Times New Roman" w:hAnsi="Times New Roman"/>
                <w:sz w:val="20"/>
                <w:szCs w:val="20"/>
              </w:rPr>
            </w:pPr>
            <w:r w:rsidRPr="000031A7">
              <w:rPr>
                <w:rFonts w:ascii="Times New Roman" w:hAnsi="Times New Roman"/>
                <w:sz w:val="20"/>
                <w:szCs w:val="20"/>
              </w:rPr>
              <w:t>Nombre de plans d’action</w:t>
            </w:r>
            <w:r w:rsidRPr="000031A7">
              <w:rPr>
                <w:rFonts w:ascii="Times New Roman" w:hAnsi="Times New Roman"/>
                <w:b/>
                <w:sz w:val="20"/>
                <w:szCs w:val="20"/>
              </w:rPr>
              <w:t xml:space="preserve"> </w:t>
            </w:r>
            <w:r w:rsidRPr="000031A7">
              <w:rPr>
                <w:rFonts w:ascii="Times New Roman" w:hAnsi="Times New Roman"/>
                <w:sz w:val="20"/>
                <w:szCs w:val="20"/>
              </w:rPr>
              <w:t>en faveur de la réduction des risques de catastrophe et de l’assainissement élaborés à l’échelle nationale, régionale et locale Nombre de plans d’action</w:t>
            </w:r>
            <w:r w:rsidRPr="000031A7">
              <w:rPr>
                <w:rFonts w:ascii="Times New Roman" w:hAnsi="Times New Roman"/>
                <w:b/>
                <w:sz w:val="20"/>
                <w:szCs w:val="20"/>
              </w:rPr>
              <w:t xml:space="preserve"> </w:t>
            </w:r>
            <w:r w:rsidRPr="000031A7">
              <w:rPr>
                <w:rFonts w:ascii="Times New Roman" w:hAnsi="Times New Roman"/>
                <w:sz w:val="20"/>
                <w:szCs w:val="20"/>
              </w:rPr>
              <w:t>en faveur de la réduction des risques de catastrophe et de l’assainissement élaborés à l’échelle nationale, régionale et locale</w:t>
            </w:r>
          </w:p>
          <w:p w14:paraId="15074831" w14:textId="77777777" w:rsidR="009C493D" w:rsidRPr="000031A7" w:rsidRDefault="009C493D" w:rsidP="00D76EFA">
            <w:pPr>
              <w:numPr>
                <w:ilvl w:val="0"/>
                <w:numId w:val="50"/>
              </w:numPr>
              <w:spacing w:after="0" w:line="240" w:lineRule="auto"/>
              <w:rPr>
                <w:rFonts w:ascii="Times New Roman" w:hAnsi="Times New Roman"/>
                <w:sz w:val="20"/>
                <w:szCs w:val="20"/>
              </w:rPr>
            </w:pPr>
            <w:r w:rsidRPr="000031A7">
              <w:rPr>
                <w:rFonts w:ascii="Times New Roman" w:hAnsi="Times New Roman"/>
                <w:sz w:val="20"/>
                <w:szCs w:val="20"/>
              </w:rPr>
              <w:t>Réf : 0 Aucune stratégie ou politique de réduction des risques de catastrophe</w:t>
            </w:r>
          </w:p>
          <w:p w14:paraId="53694D6D" w14:textId="77777777" w:rsidR="009C493D" w:rsidRPr="000031A7" w:rsidRDefault="009C493D" w:rsidP="00D76EFA">
            <w:pPr>
              <w:numPr>
                <w:ilvl w:val="0"/>
                <w:numId w:val="50"/>
              </w:numPr>
              <w:spacing w:after="0" w:line="240" w:lineRule="auto"/>
              <w:rPr>
                <w:rFonts w:ascii="Times New Roman" w:hAnsi="Times New Roman"/>
                <w:sz w:val="20"/>
                <w:szCs w:val="20"/>
              </w:rPr>
            </w:pPr>
            <w:r w:rsidRPr="000031A7">
              <w:rPr>
                <w:rFonts w:ascii="Times New Roman" w:hAnsi="Times New Roman"/>
                <w:sz w:val="20"/>
                <w:szCs w:val="20"/>
              </w:rPr>
              <w:t>Cible : 3 plans d’action (un premier à l’échelle nationale, un deuxième à l’échelle régionale et un troisième à l’échelle locale</w:t>
            </w:r>
          </w:p>
        </w:tc>
        <w:tc>
          <w:tcPr>
            <w:tcW w:w="3874" w:type="dxa"/>
            <w:shd w:val="clear" w:color="auto" w:fill="auto"/>
            <w:vAlign w:val="center"/>
          </w:tcPr>
          <w:p w14:paraId="09CC2F55" w14:textId="77777777" w:rsidR="009C493D" w:rsidRPr="000031A7" w:rsidRDefault="009C493D" w:rsidP="00D76EFA">
            <w:pPr>
              <w:numPr>
                <w:ilvl w:val="0"/>
                <w:numId w:val="73"/>
              </w:numPr>
              <w:spacing w:after="0" w:line="240" w:lineRule="auto"/>
              <w:rPr>
                <w:rFonts w:ascii="Times New Roman" w:hAnsi="Times New Roman"/>
                <w:sz w:val="20"/>
                <w:szCs w:val="20"/>
              </w:rPr>
            </w:pPr>
            <w:r w:rsidRPr="000031A7">
              <w:rPr>
                <w:rFonts w:ascii="Times New Roman" w:hAnsi="Times New Roman"/>
                <w:sz w:val="20"/>
                <w:szCs w:val="20"/>
              </w:rPr>
              <w:t>Plan de prévention et de réduction des risques de catastrophes qui a été approuvé par le Gouvernement</w:t>
            </w:r>
          </w:p>
          <w:p w14:paraId="79409675" w14:textId="77777777" w:rsidR="009C493D" w:rsidRPr="000031A7" w:rsidRDefault="009C493D" w:rsidP="00D76EFA">
            <w:pPr>
              <w:numPr>
                <w:ilvl w:val="0"/>
                <w:numId w:val="73"/>
              </w:numPr>
              <w:spacing w:after="0" w:line="240" w:lineRule="auto"/>
              <w:rPr>
                <w:rFonts w:ascii="Times New Roman" w:hAnsi="Times New Roman"/>
                <w:sz w:val="20"/>
                <w:szCs w:val="20"/>
              </w:rPr>
            </w:pPr>
            <w:r w:rsidRPr="000031A7">
              <w:rPr>
                <w:rFonts w:ascii="Times New Roman" w:hAnsi="Times New Roman"/>
                <w:sz w:val="20"/>
                <w:szCs w:val="20"/>
              </w:rPr>
              <w:t>5 nouveaux plans de réduction et gestion de risques ont été développés au niveau national [E17-ind IRRF 531A11].</w:t>
            </w:r>
          </w:p>
          <w:p w14:paraId="3DD90AC1" w14:textId="77777777" w:rsidR="009C493D" w:rsidRPr="000031A7" w:rsidRDefault="009C493D" w:rsidP="00D76EFA">
            <w:pPr>
              <w:numPr>
                <w:ilvl w:val="0"/>
                <w:numId w:val="73"/>
              </w:numPr>
              <w:spacing w:after="0" w:line="240" w:lineRule="auto"/>
              <w:rPr>
                <w:rFonts w:ascii="Times New Roman" w:hAnsi="Times New Roman"/>
                <w:sz w:val="20"/>
                <w:szCs w:val="20"/>
              </w:rPr>
            </w:pPr>
            <w:r w:rsidRPr="000031A7">
              <w:rPr>
                <w:rFonts w:ascii="Times New Roman" w:hAnsi="Times New Roman"/>
                <w:sz w:val="20"/>
                <w:szCs w:val="20"/>
              </w:rPr>
              <w:t>Plateforme nationale de réduction des risques des catastrophes a été finalisée et adoptée par le conseil des ministres</w:t>
            </w:r>
          </w:p>
          <w:p w14:paraId="4A7E5884" w14:textId="77777777" w:rsidR="009C493D" w:rsidRPr="000031A7" w:rsidRDefault="009C493D" w:rsidP="00D76EFA">
            <w:pPr>
              <w:numPr>
                <w:ilvl w:val="0"/>
                <w:numId w:val="73"/>
              </w:numPr>
              <w:spacing w:after="0" w:line="240" w:lineRule="auto"/>
              <w:rPr>
                <w:rFonts w:ascii="Times New Roman" w:hAnsi="Times New Roman"/>
                <w:sz w:val="20"/>
                <w:szCs w:val="20"/>
              </w:rPr>
            </w:pPr>
            <w:r w:rsidRPr="000031A7">
              <w:rPr>
                <w:rFonts w:ascii="Times New Roman" w:hAnsi="Times New Roman"/>
                <w:sz w:val="20"/>
                <w:szCs w:val="20"/>
              </w:rPr>
              <w:t>Plan de contingence multirisque disponible pour 2017</w:t>
            </w:r>
          </w:p>
          <w:p w14:paraId="6C16A7F4" w14:textId="77777777" w:rsidR="009C493D" w:rsidRPr="000031A7" w:rsidRDefault="009C493D" w:rsidP="00D76EFA">
            <w:pPr>
              <w:numPr>
                <w:ilvl w:val="0"/>
                <w:numId w:val="73"/>
              </w:numPr>
              <w:spacing w:after="0" w:line="240" w:lineRule="auto"/>
              <w:rPr>
                <w:rFonts w:ascii="Times New Roman" w:hAnsi="Times New Roman"/>
                <w:sz w:val="20"/>
                <w:szCs w:val="20"/>
              </w:rPr>
            </w:pPr>
            <w:r w:rsidRPr="000031A7">
              <w:rPr>
                <w:rFonts w:ascii="Times New Roman" w:hAnsi="Times New Roman"/>
                <w:sz w:val="20"/>
                <w:szCs w:val="20"/>
              </w:rPr>
              <w:t>Document de projet/FEM approuvé en vue de renforcer la capacité de 10 communes vulnérables du Mali aux risques d'inondations</w:t>
            </w:r>
          </w:p>
        </w:tc>
        <w:tc>
          <w:tcPr>
            <w:tcW w:w="683" w:type="dxa"/>
            <w:shd w:val="clear" w:color="auto" w:fill="92D050"/>
            <w:vAlign w:val="center"/>
          </w:tcPr>
          <w:p w14:paraId="3C3619FA" w14:textId="77777777" w:rsidR="009C493D" w:rsidRPr="000031A7" w:rsidRDefault="009C493D" w:rsidP="009C493D">
            <w:pPr>
              <w:spacing w:after="0" w:line="240" w:lineRule="auto"/>
              <w:rPr>
                <w:rFonts w:ascii="Times New Roman" w:hAnsi="Times New Roman"/>
                <w:sz w:val="20"/>
                <w:szCs w:val="20"/>
              </w:rPr>
            </w:pPr>
            <w:r w:rsidRPr="000031A7">
              <w:rPr>
                <w:rFonts w:ascii="Times New Roman" w:hAnsi="Times New Roman"/>
                <w:sz w:val="20"/>
                <w:szCs w:val="20"/>
              </w:rPr>
              <w:t>100%</w:t>
            </w:r>
          </w:p>
        </w:tc>
        <w:tc>
          <w:tcPr>
            <w:tcW w:w="583" w:type="dxa"/>
            <w:shd w:val="clear" w:color="auto" w:fill="auto"/>
            <w:vAlign w:val="center"/>
          </w:tcPr>
          <w:p w14:paraId="028F59AD" w14:textId="77777777" w:rsidR="009C493D" w:rsidRPr="000031A7" w:rsidRDefault="009C493D" w:rsidP="009C493D">
            <w:pPr>
              <w:spacing w:after="0" w:line="240" w:lineRule="auto"/>
              <w:rPr>
                <w:rFonts w:ascii="Times New Roman" w:hAnsi="Times New Roman"/>
                <w:sz w:val="20"/>
                <w:szCs w:val="20"/>
              </w:rPr>
            </w:pPr>
          </w:p>
        </w:tc>
        <w:tc>
          <w:tcPr>
            <w:tcW w:w="512" w:type="dxa"/>
            <w:shd w:val="clear" w:color="auto" w:fill="auto"/>
            <w:vAlign w:val="center"/>
          </w:tcPr>
          <w:p w14:paraId="506FEAC2" w14:textId="77777777" w:rsidR="009C493D" w:rsidRPr="000031A7" w:rsidRDefault="009C493D" w:rsidP="009C493D">
            <w:pPr>
              <w:spacing w:after="0" w:line="240" w:lineRule="auto"/>
              <w:rPr>
                <w:rFonts w:ascii="Times New Roman" w:hAnsi="Times New Roman"/>
                <w:sz w:val="20"/>
                <w:szCs w:val="20"/>
              </w:rPr>
            </w:pPr>
          </w:p>
        </w:tc>
      </w:tr>
      <w:tr w:rsidR="009C493D" w:rsidRPr="000031A7" w14:paraId="496B3674" w14:textId="77777777" w:rsidTr="00414C56">
        <w:trPr>
          <w:trHeight w:val="621"/>
        </w:trPr>
        <w:tc>
          <w:tcPr>
            <w:tcW w:w="1792" w:type="dxa"/>
            <w:vMerge/>
            <w:shd w:val="clear" w:color="auto" w:fill="F2F2F2" w:themeFill="background1" w:themeFillShade="F2"/>
            <w:vAlign w:val="center"/>
          </w:tcPr>
          <w:p w14:paraId="10FF3677" w14:textId="77777777" w:rsidR="009C493D" w:rsidRPr="000031A7" w:rsidRDefault="009C493D" w:rsidP="009C493D">
            <w:pPr>
              <w:spacing w:after="0" w:line="240" w:lineRule="auto"/>
              <w:rPr>
                <w:rFonts w:ascii="Times New Roman" w:hAnsi="Times New Roman"/>
                <w:sz w:val="20"/>
                <w:szCs w:val="20"/>
              </w:rPr>
            </w:pPr>
          </w:p>
        </w:tc>
        <w:tc>
          <w:tcPr>
            <w:tcW w:w="3296" w:type="dxa"/>
            <w:shd w:val="clear" w:color="auto" w:fill="8EAADB" w:themeFill="accent5" w:themeFillTint="99"/>
            <w:vAlign w:val="center"/>
          </w:tcPr>
          <w:p w14:paraId="29D92A01" w14:textId="77777777" w:rsidR="009C493D" w:rsidRPr="000031A7" w:rsidRDefault="009C493D" w:rsidP="009C493D">
            <w:pPr>
              <w:spacing w:after="0" w:line="240" w:lineRule="auto"/>
              <w:rPr>
                <w:rFonts w:ascii="Times New Roman" w:hAnsi="Times New Roman"/>
                <w:sz w:val="20"/>
                <w:szCs w:val="20"/>
              </w:rPr>
            </w:pPr>
            <w:r>
              <w:rPr>
                <w:rFonts w:ascii="Times New Roman" w:hAnsi="Times New Roman"/>
                <w:sz w:val="20"/>
                <w:szCs w:val="20"/>
              </w:rPr>
              <w:t>Pas d’indicateur correspondant</w:t>
            </w:r>
          </w:p>
        </w:tc>
        <w:tc>
          <w:tcPr>
            <w:tcW w:w="3874" w:type="dxa"/>
            <w:shd w:val="clear" w:color="auto" w:fill="auto"/>
            <w:vAlign w:val="center"/>
          </w:tcPr>
          <w:p w14:paraId="0B2D39BD" w14:textId="77777777" w:rsidR="009C493D" w:rsidRPr="000031A7" w:rsidRDefault="009C493D" w:rsidP="00D76EFA">
            <w:pPr>
              <w:numPr>
                <w:ilvl w:val="0"/>
                <w:numId w:val="73"/>
              </w:numPr>
              <w:spacing w:after="0" w:line="240" w:lineRule="auto"/>
              <w:rPr>
                <w:rFonts w:ascii="Times New Roman" w:hAnsi="Times New Roman"/>
                <w:sz w:val="20"/>
                <w:szCs w:val="20"/>
              </w:rPr>
            </w:pPr>
            <w:r w:rsidRPr="000031A7">
              <w:rPr>
                <w:rFonts w:ascii="Times New Roman" w:hAnsi="Times New Roman"/>
                <w:sz w:val="20"/>
                <w:szCs w:val="20"/>
              </w:rPr>
              <w:t>Fonds climat national opérationnalisé : cadre d’appel des financements public et privés nationaux ou internationaux</w:t>
            </w:r>
          </w:p>
        </w:tc>
        <w:tc>
          <w:tcPr>
            <w:tcW w:w="683" w:type="dxa"/>
            <w:shd w:val="clear" w:color="auto" w:fill="auto"/>
            <w:vAlign w:val="center"/>
          </w:tcPr>
          <w:p w14:paraId="610CC52D" w14:textId="77777777" w:rsidR="009C493D" w:rsidRPr="000031A7" w:rsidRDefault="009C493D" w:rsidP="009C493D">
            <w:pPr>
              <w:spacing w:after="0" w:line="240" w:lineRule="auto"/>
              <w:rPr>
                <w:rFonts w:ascii="Times New Roman" w:hAnsi="Times New Roman"/>
                <w:sz w:val="20"/>
                <w:szCs w:val="20"/>
              </w:rPr>
            </w:pPr>
          </w:p>
        </w:tc>
        <w:tc>
          <w:tcPr>
            <w:tcW w:w="583" w:type="dxa"/>
            <w:shd w:val="clear" w:color="auto" w:fill="auto"/>
            <w:vAlign w:val="center"/>
          </w:tcPr>
          <w:p w14:paraId="41F52E0F" w14:textId="77777777" w:rsidR="009C493D" w:rsidRPr="000031A7" w:rsidRDefault="009C493D" w:rsidP="009C493D">
            <w:pPr>
              <w:spacing w:after="0" w:line="240" w:lineRule="auto"/>
              <w:rPr>
                <w:rFonts w:ascii="Times New Roman" w:hAnsi="Times New Roman"/>
                <w:sz w:val="20"/>
                <w:szCs w:val="20"/>
              </w:rPr>
            </w:pPr>
          </w:p>
        </w:tc>
        <w:tc>
          <w:tcPr>
            <w:tcW w:w="512" w:type="dxa"/>
            <w:shd w:val="clear" w:color="auto" w:fill="auto"/>
            <w:vAlign w:val="center"/>
          </w:tcPr>
          <w:p w14:paraId="75F4BFB3" w14:textId="77777777" w:rsidR="009C493D" w:rsidRPr="000031A7" w:rsidRDefault="009C493D" w:rsidP="009C493D">
            <w:pPr>
              <w:spacing w:after="0" w:line="240" w:lineRule="auto"/>
              <w:rPr>
                <w:rFonts w:ascii="Times New Roman" w:hAnsi="Times New Roman"/>
                <w:sz w:val="20"/>
                <w:szCs w:val="20"/>
              </w:rPr>
            </w:pPr>
          </w:p>
        </w:tc>
      </w:tr>
    </w:tbl>
    <w:p w14:paraId="3114E6DE" w14:textId="77777777" w:rsidR="000031A7" w:rsidRPr="000031A7" w:rsidRDefault="000031A7" w:rsidP="000031A7">
      <w:pPr>
        <w:spacing w:after="0" w:line="240" w:lineRule="auto"/>
        <w:rPr>
          <w:rFonts w:ascii="Times New Roman" w:hAnsi="Times New Roman"/>
          <w:i/>
          <w:sz w:val="20"/>
          <w:szCs w:val="20"/>
        </w:rPr>
      </w:pPr>
      <w:r w:rsidRPr="000031A7">
        <w:rPr>
          <w:rFonts w:ascii="Times New Roman" w:hAnsi="Times New Roman"/>
          <w:i/>
          <w:sz w:val="20"/>
          <w:szCs w:val="20"/>
          <w:u w:val="single"/>
        </w:rPr>
        <w:lastRenderedPageBreak/>
        <w:t>Sources</w:t>
      </w:r>
      <w:r w:rsidRPr="000031A7">
        <w:rPr>
          <w:rFonts w:ascii="Times New Roman" w:hAnsi="Times New Roman"/>
          <w:i/>
          <w:sz w:val="20"/>
          <w:szCs w:val="20"/>
        </w:rPr>
        <w:t xml:space="preserve"> : ROARS 2015-2016 ; Rapports de progrès/Rapports d’évaluation des projets ; entretiens Septembre 2017 </w:t>
      </w:r>
    </w:p>
    <w:p w14:paraId="09E9AD9D" w14:textId="77777777" w:rsidR="000031A7" w:rsidRPr="000031A7" w:rsidRDefault="000031A7" w:rsidP="000031A7">
      <w:pPr>
        <w:spacing w:after="0" w:line="240" w:lineRule="auto"/>
        <w:rPr>
          <w:rFonts w:ascii="Times New Roman" w:hAnsi="Times New Roman"/>
          <w:sz w:val="20"/>
          <w:szCs w:val="20"/>
        </w:rPr>
      </w:pPr>
    </w:p>
    <w:p w14:paraId="64B62724" w14:textId="77777777" w:rsidR="00BA3DC6" w:rsidRPr="00414C56" w:rsidRDefault="00414C56" w:rsidP="00414C56">
      <w:pPr>
        <w:pStyle w:val="Titre3"/>
        <w:numPr>
          <w:ilvl w:val="2"/>
          <w:numId w:val="5"/>
        </w:numPr>
        <w:shd w:val="clear" w:color="auto" w:fill="DEEAF6" w:themeFill="accent1" w:themeFillTint="33"/>
        <w:spacing w:before="0" w:line="240" w:lineRule="auto"/>
        <w:jc w:val="both"/>
        <w:rPr>
          <w:rFonts w:ascii="Times New Roman" w:hAnsi="Times New Roman"/>
          <w:color w:val="auto"/>
          <w:sz w:val="24"/>
          <w:szCs w:val="24"/>
        </w:rPr>
      </w:pPr>
      <w:bookmarkStart w:id="121" w:name="_Toc499211614"/>
      <w:bookmarkStart w:id="122" w:name="_Toc499213887"/>
      <w:r w:rsidRPr="00414C56">
        <w:rPr>
          <w:rFonts w:ascii="Times New Roman" w:hAnsi="Times New Roman"/>
          <w:color w:val="auto"/>
          <w:sz w:val="24"/>
          <w:szCs w:val="24"/>
        </w:rPr>
        <w:t>Résultat 3 : "D’ici 2019, l’État et les institutions nationales et locales remplissent plus efficacement leur mission de service public et les acteurs non étatiques participent à la vie de la nation et exercent un contrôle citoyen dans le respect des principes de la bonne gouvernance et de la primauté du droit"</w:t>
      </w:r>
      <w:bookmarkEnd w:id="121"/>
      <w:bookmarkEnd w:id="122"/>
    </w:p>
    <w:p w14:paraId="3B087861" w14:textId="77777777" w:rsidR="00341B08" w:rsidRPr="006B309F" w:rsidRDefault="00341B08" w:rsidP="00B96F0F">
      <w:pPr>
        <w:spacing w:after="0" w:line="240" w:lineRule="auto"/>
        <w:jc w:val="both"/>
        <w:rPr>
          <w:rFonts w:ascii="Times New Roman" w:hAnsi="Times New Roman"/>
          <w:bCs/>
          <w:iCs/>
          <w:sz w:val="24"/>
          <w:szCs w:val="24"/>
        </w:rPr>
      </w:pPr>
    </w:p>
    <w:p w14:paraId="4EFEF515" w14:textId="77777777" w:rsidR="00341B08" w:rsidRPr="006B309F" w:rsidRDefault="00414C56" w:rsidP="00B026AE">
      <w:pPr>
        <w:pStyle w:val="Titre4"/>
        <w:numPr>
          <w:ilvl w:val="3"/>
          <w:numId w:val="5"/>
        </w:numPr>
        <w:spacing w:before="0" w:line="240" w:lineRule="auto"/>
        <w:rPr>
          <w:rFonts w:ascii="Times New Roman" w:hAnsi="Times New Roman"/>
          <w:i w:val="0"/>
          <w:color w:val="auto"/>
          <w:sz w:val="24"/>
          <w:szCs w:val="24"/>
        </w:rPr>
      </w:pPr>
      <w:r>
        <w:rPr>
          <w:rFonts w:ascii="Times New Roman" w:hAnsi="Times New Roman"/>
          <w:i w:val="0"/>
          <w:color w:val="auto"/>
          <w:sz w:val="24"/>
          <w:szCs w:val="24"/>
        </w:rPr>
        <w:t>Résultats obtenus par le pays dans le domaine et dans la période sous revue</w:t>
      </w:r>
    </w:p>
    <w:p w14:paraId="260D0A49" w14:textId="77777777" w:rsidR="0057261A" w:rsidRDefault="0057261A" w:rsidP="00B96F0F">
      <w:pPr>
        <w:spacing w:after="0" w:line="240" w:lineRule="auto"/>
        <w:jc w:val="both"/>
        <w:rPr>
          <w:rFonts w:ascii="Times New Roman" w:eastAsia="Times New Roman" w:hAnsi="Times New Roman"/>
          <w:bCs/>
          <w:sz w:val="24"/>
          <w:szCs w:val="24"/>
        </w:rPr>
      </w:pPr>
    </w:p>
    <w:p w14:paraId="5D505C53" w14:textId="77777777" w:rsidR="00C36DC5" w:rsidRPr="00C36DC5" w:rsidRDefault="00454255" w:rsidP="00C36DC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5</w:t>
      </w:r>
      <w:r w:rsidR="000B5082">
        <w:rPr>
          <w:rFonts w:ascii="Times New Roman" w:eastAsia="Times New Roman" w:hAnsi="Times New Roman"/>
          <w:bCs/>
          <w:sz w:val="24"/>
          <w:szCs w:val="24"/>
        </w:rPr>
        <w:t>7</w:t>
      </w:r>
      <w:r>
        <w:rPr>
          <w:rFonts w:ascii="Times New Roman" w:eastAsia="Times New Roman" w:hAnsi="Times New Roman"/>
          <w:bCs/>
          <w:sz w:val="24"/>
          <w:szCs w:val="24"/>
        </w:rPr>
        <w:t>.</w:t>
      </w:r>
      <w:r w:rsidR="00C36DC5" w:rsidRPr="00C36DC5">
        <w:rPr>
          <w:rFonts w:ascii="Times New Roman" w:eastAsia="Times New Roman" w:hAnsi="Times New Roman"/>
          <w:bCs/>
          <w:sz w:val="24"/>
          <w:szCs w:val="24"/>
        </w:rPr>
        <w:tab/>
        <w:t xml:space="preserve">Les réalisations du Mali sur les indicateurs retenus au titre du Résultat 3 de la matrice du programme montrent un profil plutôt bon, que le CPD a donc favorisé avec les contributions de produits analysées ci-dessus. Sur 4 indicateurs renseignés sur la période, les trois peuvent être considérés comme ayant enregistré une bonne performance. Les deux indicateurs relatifs à la décentralisation se comportent particulièrement bien : le nombre de domaines de compétences additionnel de l’Etat vers les collectivités territoriales a augmenté de 2 unités déjà, soit donc 65% de l’objectif de 3 domaines inscrit dans la matrice mais pour 2019. Le rythme de progression, à mi-parcours, est donc plus que satisfaisant à cet égard. L’indicateur de transfert de ressources vers les collectivités locales a quant à lui été proprement pulvérisé : par rapport à la cible de 5% </w:t>
      </w:r>
      <w:r w:rsidR="00C36DC5" w:rsidRPr="00350348">
        <w:rPr>
          <w:rFonts w:ascii="Times New Roman" w:eastAsia="Times New Roman" w:hAnsi="Times New Roman"/>
          <w:bCs/>
          <w:sz w:val="24"/>
          <w:szCs w:val="24"/>
        </w:rPr>
        <w:t>inscrite dans la matrice du programme, les 18,3% de réalisation en 2017 représentent un ratio de performance de 366%. Cela étant dit, l’on peut toutefois présumer que l’objectif établi dans le programme était manifestement sous-évalué, les autorités nationales elles-mêmes fixent par la loi un seuil de 30% de transfert devant entrer en vigueur dès 2018.</w:t>
      </w:r>
    </w:p>
    <w:p w14:paraId="6EF2B2C4" w14:textId="77777777" w:rsidR="00C36DC5" w:rsidRPr="00C36DC5" w:rsidRDefault="00C36DC5" w:rsidP="00C36DC5">
      <w:pPr>
        <w:spacing w:after="0" w:line="240" w:lineRule="auto"/>
        <w:jc w:val="both"/>
        <w:rPr>
          <w:rFonts w:ascii="Times New Roman" w:eastAsia="Times New Roman" w:hAnsi="Times New Roman"/>
          <w:bCs/>
          <w:sz w:val="24"/>
          <w:szCs w:val="24"/>
        </w:rPr>
      </w:pPr>
    </w:p>
    <w:p w14:paraId="6FC10881" w14:textId="77777777" w:rsidR="00C36DC5" w:rsidRPr="00C36DC5" w:rsidRDefault="00454255" w:rsidP="00C36DC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5</w:t>
      </w:r>
      <w:r w:rsidR="000B5082">
        <w:rPr>
          <w:rFonts w:ascii="Times New Roman" w:eastAsia="Times New Roman" w:hAnsi="Times New Roman"/>
          <w:bCs/>
          <w:sz w:val="24"/>
          <w:szCs w:val="24"/>
        </w:rPr>
        <w:t>8</w:t>
      </w:r>
      <w:r>
        <w:rPr>
          <w:rFonts w:ascii="Times New Roman" w:eastAsia="Times New Roman" w:hAnsi="Times New Roman"/>
          <w:bCs/>
          <w:sz w:val="24"/>
          <w:szCs w:val="24"/>
        </w:rPr>
        <w:t>.</w:t>
      </w:r>
      <w:r w:rsidR="00C36DC5" w:rsidRPr="00C36DC5">
        <w:rPr>
          <w:rFonts w:ascii="Times New Roman" w:eastAsia="Times New Roman" w:hAnsi="Times New Roman"/>
          <w:bCs/>
          <w:sz w:val="24"/>
          <w:szCs w:val="24"/>
        </w:rPr>
        <w:tab/>
        <w:t>L’indicateur de droits humain "Pourcentage de cas traités de violation des droits fondamentaux" n’est pas renseigné dans ce contenu, mais des statistiques approchantes existent, relativement un cas de violation de droits : les détentions préventives abusives. Entre 2015 et 2016, les cas connus ont baissé de près de 17%, ce qui est le signe d’une progression significative en matière de respect des droits humains.</w:t>
      </w:r>
    </w:p>
    <w:p w14:paraId="5B702E14" w14:textId="77777777" w:rsidR="009C493D" w:rsidRDefault="009C493D" w:rsidP="00C36DC5">
      <w:pPr>
        <w:spacing w:after="0" w:line="240" w:lineRule="auto"/>
        <w:jc w:val="both"/>
        <w:rPr>
          <w:rFonts w:ascii="Times New Roman" w:eastAsia="Times New Roman" w:hAnsi="Times New Roman"/>
          <w:bCs/>
          <w:sz w:val="24"/>
          <w:szCs w:val="24"/>
        </w:rPr>
      </w:pPr>
    </w:p>
    <w:p w14:paraId="79A4A0C9" w14:textId="77777777" w:rsidR="00C36DC5" w:rsidRPr="00C36DC5" w:rsidRDefault="000B5082" w:rsidP="00C36DC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59</w:t>
      </w:r>
      <w:r w:rsidR="00454255">
        <w:rPr>
          <w:rFonts w:ascii="Times New Roman" w:eastAsia="Times New Roman" w:hAnsi="Times New Roman"/>
          <w:bCs/>
          <w:sz w:val="24"/>
          <w:szCs w:val="24"/>
        </w:rPr>
        <w:t>.</w:t>
      </w:r>
      <w:r w:rsidR="00C36DC5" w:rsidRPr="00C36DC5">
        <w:rPr>
          <w:rFonts w:ascii="Times New Roman" w:eastAsia="Times New Roman" w:hAnsi="Times New Roman"/>
          <w:bCs/>
          <w:sz w:val="24"/>
          <w:szCs w:val="24"/>
        </w:rPr>
        <w:tab/>
        <w:t xml:space="preserve">Sur l’Indexe de gouvernance Mo Ibrahim, le pays n’a pas un profil performant. Il engrange certes un gain de 0,4 point entre 2015 et 2014, passant de </w:t>
      </w:r>
      <w:r w:rsidR="00C36DC5" w:rsidRPr="00C36DC5">
        <w:rPr>
          <w:rFonts w:ascii="Times New Roman" w:eastAsia="Times New Roman" w:hAnsi="Times New Roman"/>
          <w:bCs/>
          <w:vanish/>
          <w:sz w:val="24"/>
          <w:szCs w:val="24"/>
        </w:rPr>
        <w:t>$2rectralisationsiation du Mali.</w:t>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vanish/>
          <w:sz w:val="24"/>
          <w:szCs w:val="24"/>
        </w:rPr>
        <w:pgNum/>
      </w:r>
      <w:r w:rsidR="00C36DC5" w:rsidRPr="00C36DC5">
        <w:rPr>
          <w:rFonts w:ascii="Times New Roman" w:eastAsia="Times New Roman" w:hAnsi="Times New Roman"/>
          <w:bCs/>
          <w:sz w:val="24"/>
          <w:szCs w:val="24"/>
        </w:rPr>
        <w:t>50,2 à 50,6. Mais cette réalisation reste un recul de 0,1 point par rapport à ce qui est donné comme situation de référence. A ce rythme, la cible fixée à un indice de 55 reste un horizon encore très éloigné, alors que le temps réel du programme est déjà à mi-parcours.</w:t>
      </w:r>
    </w:p>
    <w:p w14:paraId="3BB931F6" w14:textId="77777777" w:rsidR="00C36DC5" w:rsidRPr="00C36DC5" w:rsidRDefault="00C36DC5" w:rsidP="00C36DC5">
      <w:pPr>
        <w:spacing w:after="0" w:line="240" w:lineRule="auto"/>
        <w:jc w:val="both"/>
        <w:rPr>
          <w:rFonts w:ascii="Times New Roman" w:eastAsia="Times New Roman" w:hAnsi="Times New Roman"/>
          <w:bCs/>
          <w:sz w:val="24"/>
          <w:szCs w:val="24"/>
        </w:rPr>
      </w:pPr>
    </w:p>
    <w:p w14:paraId="4ABE766B" w14:textId="77777777" w:rsidR="00C36DC5" w:rsidRDefault="00454255" w:rsidP="00C36DC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6</w:t>
      </w:r>
      <w:r w:rsidR="000B5082">
        <w:rPr>
          <w:rFonts w:ascii="Times New Roman" w:eastAsia="Times New Roman" w:hAnsi="Times New Roman"/>
          <w:bCs/>
          <w:sz w:val="24"/>
          <w:szCs w:val="24"/>
        </w:rPr>
        <w:t>0</w:t>
      </w:r>
      <w:r>
        <w:rPr>
          <w:rFonts w:ascii="Times New Roman" w:eastAsia="Times New Roman" w:hAnsi="Times New Roman"/>
          <w:bCs/>
          <w:sz w:val="24"/>
          <w:szCs w:val="24"/>
        </w:rPr>
        <w:t>.</w:t>
      </w:r>
      <w:r w:rsidR="00C36DC5" w:rsidRPr="00C36DC5">
        <w:rPr>
          <w:rFonts w:ascii="Times New Roman" w:eastAsia="Times New Roman" w:hAnsi="Times New Roman"/>
          <w:bCs/>
          <w:sz w:val="24"/>
          <w:szCs w:val="24"/>
        </w:rPr>
        <w:tab/>
        <w:t>Sans être visés dans aucuns des indicateurs d’effets prévus dans la matrice du programme, quelques autres résultats n’en sont pas moins pertinents à mettre en exergue ici. Par exemple, l’on a assisté à une nette amélioration du rendement du Parlement : accroissement du nombre des lois votées : 67 en 2016 contre 65 en 2015 (y compris une nouvelle Loi électorale) ; 2 propositions de lois adoptées en 2016, contre 01 en 2015 ; 3 séances d'interpellations du gouvernement, en 2016, contre aucune en 2015. Dans le domaine judiciaire, 3 360 000 personnes ont accès aux services de la justice en 2016, contre 2 996 000  en en 2015, soit une dynamique de progression de 11%. Ce dernier effet est toutefois précaire car surdéterminé par la volatilité de la situation sécuritaire à l’intérieur du pays : les acteurs nationaux du secteur ont porté à la connaissance de la mission que la résurgence des violences au Nord et au Centre a fait se replier à Bamako de nombreux magistrats, ouvrant la voie à une dégradation de cette statistique d’accessibilité des services de justice.</w:t>
      </w:r>
    </w:p>
    <w:p w14:paraId="07D1CEBA" w14:textId="77777777" w:rsidR="00B002E3" w:rsidRPr="00C36DC5" w:rsidRDefault="00B002E3" w:rsidP="00C36DC5">
      <w:pPr>
        <w:spacing w:after="0" w:line="240" w:lineRule="auto"/>
        <w:jc w:val="both"/>
        <w:rPr>
          <w:rFonts w:ascii="Times New Roman" w:eastAsia="Times New Roman" w:hAnsi="Times New Roman"/>
          <w:bCs/>
          <w:sz w:val="24"/>
          <w:szCs w:val="24"/>
        </w:rPr>
      </w:pPr>
    </w:p>
    <w:tbl>
      <w:tblPr>
        <w:tblpPr w:leftFromText="141" w:rightFromText="141" w:vertAnchor="text" w:horzAnchor="margin" w:tblpXSpec="center" w:tblpY="40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79"/>
        <w:gridCol w:w="3992"/>
        <w:gridCol w:w="567"/>
        <w:gridCol w:w="567"/>
        <w:gridCol w:w="567"/>
      </w:tblGrid>
      <w:tr w:rsidR="00C36DC5" w:rsidRPr="00C36DC5" w14:paraId="40592F49" w14:textId="77777777" w:rsidTr="00B54B07">
        <w:tc>
          <w:tcPr>
            <w:tcW w:w="1668" w:type="dxa"/>
            <w:vMerge w:val="restart"/>
            <w:shd w:val="clear" w:color="auto" w:fill="F2F2F2" w:themeFill="background1" w:themeFillShade="F2"/>
            <w:vAlign w:val="center"/>
          </w:tcPr>
          <w:p w14:paraId="16F45F9C" w14:textId="77777777" w:rsidR="00C36DC5" w:rsidRPr="00C36DC5" w:rsidRDefault="00C36DC5" w:rsidP="00C36DC5">
            <w:pPr>
              <w:spacing w:after="0" w:line="240" w:lineRule="auto"/>
              <w:jc w:val="both"/>
              <w:rPr>
                <w:rFonts w:ascii="Times New Roman" w:eastAsia="Times New Roman" w:hAnsi="Times New Roman"/>
                <w:b/>
                <w:bCs/>
                <w:sz w:val="20"/>
                <w:szCs w:val="20"/>
              </w:rPr>
            </w:pPr>
            <w:r w:rsidRPr="00C36DC5">
              <w:rPr>
                <w:rFonts w:ascii="Times New Roman" w:eastAsia="Times New Roman" w:hAnsi="Times New Roman"/>
                <w:b/>
                <w:bCs/>
                <w:sz w:val="20"/>
                <w:szCs w:val="20"/>
              </w:rPr>
              <w:lastRenderedPageBreak/>
              <w:t>Résultat/Effet 3</w:t>
            </w:r>
          </w:p>
        </w:tc>
        <w:tc>
          <w:tcPr>
            <w:tcW w:w="3379" w:type="dxa"/>
            <w:vMerge w:val="restart"/>
            <w:shd w:val="clear" w:color="auto" w:fill="F2F2F2" w:themeFill="background1" w:themeFillShade="F2"/>
            <w:vAlign w:val="center"/>
          </w:tcPr>
          <w:p w14:paraId="38049354" w14:textId="77777777" w:rsidR="00C36DC5" w:rsidRPr="00C36DC5" w:rsidRDefault="00C36DC5" w:rsidP="00C36DC5">
            <w:pPr>
              <w:spacing w:after="0" w:line="240" w:lineRule="auto"/>
              <w:jc w:val="both"/>
              <w:rPr>
                <w:rFonts w:ascii="Times New Roman" w:eastAsia="Times New Roman" w:hAnsi="Times New Roman"/>
                <w:b/>
                <w:bCs/>
                <w:sz w:val="20"/>
                <w:szCs w:val="20"/>
              </w:rPr>
            </w:pPr>
            <w:r w:rsidRPr="00C36DC5">
              <w:rPr>
                <w:rFonts w:ascii="Times New Roman" w:eastAsia="Times New Roman" w:hAnsi="Times New Roman"/>
                <w:b/>
                <w:bCs/>
                <w:sz w:val="20"/>
                <w:szCs w:val="20"/>
              </w:rPr>
              <w:t>Planification</w:t>
            </w:r>
          </w:p>
        </w:tc>
        <w:tc>
          <w:tcPr>
            <w:tcW w:w="5693" w:type="dxa"/>
            <w:gridSpan w:val="4"/>
            <w:shd w:val="clear" w:color="auto" w:fill="F2F2F2" w:themeFill="background1" w:themeFillShade="F2"/>
            <w:vAlign w:val="center"/>
          </w:tcPr>
          <w:p w14:paraId="2294C513" w14:textId="77777777" w:rsidR="00C36DC5" w:rsidRPr="00C36DC5" w:rsidRDefault="00C36DC5" w:rsidP="00C36DC5">
            <w:pPr>
              <w:spacing w:after="0" w:line="240" w:lineRule="auto"/>
              <w:jc w:val="both"/>
              <w:rPr>
                <w:rFonts w:ascii="Times New Roman" w:eastAsia="Times New Roman" w:hAnsi="Times New Roman"/>
                <w:b/>
                <w:bCs/>
                <w:sz w:val="20"/>
                <w:szCs w:val="20"/>
              </w:rPr>
            </w:pPr>
            <w:r w:rsidRPr="00C36DC5">
              <w:rPr>
                <w:rFonts w:ascii="Times New Roman" w:eastAsia="Times New Roman" w:hAnsi="Times New Roman"/>
                <w:b/>
                <w:bCs/>
                <w:sz w:val="20"/>
                <w:szCs w:val="20"/>
              </w:rPr>
              <w:t>Exécution</w:t>
            </w:r>
          </w:p>
        </w:tc>
      </w:tr>
      <w:tr w:rsidR="00C36DC5" w:rsidRPr="00C36DC5" w14:paraId="11D5DA73" w14:textId="77777777" w:rsidTr="00B54B07">
        <w:tc>
          <w:tcPr>
            <w:tcW w:w="1668" w:type="dxa"/>
            <w:vMerge/>
            <w:shd w:val="clear" w:color="auto" w:fill="F2F2F2" w:themeFill="background1" w:themeFillShade="F2"/>
            <w:vAlign w:val="center"/>
          </w:tcPr>
          <w:p w14:paraId="3877E501" w14:textId="77777777" w:rsidR="00C36DC5" w:rsidRPr="00C36DC5" w:rsidRDefault="00C36DC5" w:rsidP="00C36DC5">
            <w:pPr>
              <w:spacing w:after="0" w:line="240" w:lineRule="auto"/>
              <w:jc w:val="both"/>
              <w:rPr>
                <w:rFonts w:ascii="Times New Roman" w:eastAsia="Times New Roman" w:hAnsi="Times New Roman"/>
                <w:b/>
                <w:bCs/>
                <w:sz w:val="20"/>
                <w:szCs w:val="20"/>
              </w:rPr>
            </w:pPr>
          </w:p>
        </w:tc>
        <w:tc>
          <w:tcPr>
            <w:tcW w:w="3379" w:type="dxa"/>
            <w:vMerge/>
            <w:shd w:val="clear" w:color="auto" w:fill="F2F2F2" w:themeFill="background1" w:themeFillShade="F2"/>
            <w:vAlign w:val="center"/>
          </w:tcPr>
          <w:p w14:paraId="6A9916E6" w14:textId="77777777" w:rsidR="00C36DC5" w:rsidRPr="00C36DC5" w:rsidRDefault="00C36DC5" w:rsidP="00C36DC5">
            <w:pPr>
              <w:spacing w:after="0" w:line="240" w:lineRule="auto"/>
              <w:jc w:val="both"/>
              <w:rPr>
                <w:rFonts w:ascii="Times New Roman" w:eastAsia="Times New Roman" w:hAnsi="Times New Roman"/>
                <w:b/>
                <w:bCs/>
                <w:sz w:val="20"/>
                <w:szCs w:val="20"/>
              </w:rPr>
            </w:pPr>
          </w:p>
        </w:tc>
        <w:tc>
          <w:tcPr>
            <w:tcW w:w="3992" w:type="dxa"/>
            <w:vMerge w:val="restart"/>
            <w:shd w:val="clear" w:color="auto" w:fill="F2F2F2" w:themeFill="background1" w:themeFillShade="F2"/>
            <w:vAlign w:val="center"/>
          </w:tcPr>
          <w:p w14:paraId="0E1076F6" w14:textId="77777777" w:rsidR="00C36DC5" w:rsidRPr="00C36DC5" w:rsidRDefault="00C36DC5" w:rsidP="00C36DC5">
            <w:pPr>
              <w:spacing w:after="0" w:line="240" w:lineRule="auto"/>
              <w:jc w:val="both"/>
              <w:rPr>
                <w:rFonts w:ascii="Times New Roman" w:eastAsia="Times New Roman" w:hAnsi="Times New Roman"/>
                <w:b/>
                <w:bCs/>
                <w:sz w:val="20"/>
                <w:szCs w:val="20"/>
              </w:rPr>
            </w:pPr>
            <w:r w:rsidRPr="00C36DC5">
              <w:rPr>
                <w:rFonts w:ascii="Times New Roman" w:eastAsia="Times New Roman" w:hAnsi="Times New Roman"/>
                <w:b/>
                <w:bCs/>
                <w:sz w:val="20"/>
                <w:szCs w:val="20"/>
              </w:rPr>
              <w:t>Réalisations/Livraisons</w:t>
            </w:r>
          </w:p>
        </w:tc>
        <w:tc>
          <w:tcPr>
            <w:tcW w:w="1701" w:type="dxa"/>
            <w:gridSpan w:val="3"/>
            <w:shd w:val="clear" w:color="auto" w:fill="F2F2F2" w:themeFill="background1" w:themeFillShade="F2"/>
            <w:vAlign w:val="center"/>
          </w:tcPr>
          <w:p w14:paraId="28B06315" w14:textId="77777777" w:rsidR="00C36DC5" w:rsidRPr="00C36DC5" w:rsidRDefault="00C36DC5" w:rsidP="00C36DC5">
            <w:pPr>
              <w:spacing w:after="0" w:line="240" w:lineRule="auto"/>
              <w:jc w:val="both"/>
              <w:rPr>
                <w:rFonts w:ascii="Times New Roman" w:eastAsia="Times New Roman" w:hAnsi="Times New Roman"/>
                <w:b/>
                <w:bCs/>
                <w:sz w:val="20"/>
                <w:szCs w:val="20"/>
              </w:rPr>
            </w:pPr>
            <w:r w:rsidRPr="00C36DC5">
              <w:rPr>
                <w:rFonts w:ascii="Times New Roman" w:eastAsia="Times New Roman" w:hAnsi="Times New Roman"/>
                <w:b/>
                <w:bCs/>
                <w:sz w:val="20"/>
                <w:szCs w:val="20"/>
              </w:rPr>
              <w:t>Rating</w:t>
            </w:r>
          </w:p>
        </w:tc>
      </w:tr>
      <w:tr w:rsidR="00C36DC5" w:rsidRPr="00C36DC5" w14:paraId="293E6C6B" w14:textId="77777777" w:rsidTr="00B54B07">
        <w:trPr>
          <w:trHeight w:val="370"/>
        </w:trPr>
        <w:tc>
          <w:tcPr>
            <w:tcW w:w="1668" w:type="dxa"/>
            <w:vMerge/>
            <w:shd w:val="clear" w:color="auto" w:fill="F2F2F2" w:themeFill="background1" w:themeFillShade="F2"/>
            <w:vAlign w:val="center"/>
          </w:tcPr>
          <w:p w14:paraId="542A1BA2" w14:textId="77777777" w:rsidR="00C36DC5" w:rsidRPr="00C36DC5" w:rsidRDefault="00C36DC5" w:rsidP="00C36DC5">
            <w:pPr>
              <w:spacing w:after="0" w:line="240" w:lineRule="auto"/>
              <w:jc w:val="both"/>
              <w:rPr>
                <w:rFonts w:ascii="Times New Roman" w:eastAsia="Times New Roman" w:hAnsi="Times New Roman"/>
                <w:b/>
                <w:bCs/>
                <w:sz w:val="20"/>
                <w:szCs w:val="20"/>
              </w:rPr>
            </w:pPr>
          </w:p>
        </w:tc>
        <w:tc>
          <w:tcPr>
            <w:tcW w:w="3379" w:type="dxa"/>
            <w:vMerge/>
            <w:shd w:val="clear" w:color="auto" w:fill="F2F2F2" w:themeFill="background1" w:themeFillShade="F2"/>
            <w:vAlign w:val="center"/>
          </w:tcPr>
          <w:p w14:paraId="6E72F5FB" w14:textId="77777777" w:rsidR="00C36DC5" w:rsidRPr="00C36DC5" w:rsidRDefault="00C36DC5" w:rsidP="00C36DC5">
            <w:pPr>
              <w:spacing w:after="0" w:line="240" w:lineRule="auto"/>
              <w:jc w:val="both"/>
              <w:rPr>
                <w:rFonts w:ascii="Times New Roman" w:eastAsia="Times New Roman" w:hAnsi="Times New Roman"/>
                <w:b/>
                <w:bCs/>
                <w:sz w:val="20"/>
                <w:szCs w:val="20"/>
              </w:rPr>
            </w:pPr>
          </w:p>
        </w:tc>
        <w:tc>
          <w:tcPr>
            <w:tcW w:w="3992" w:type="dxa"/>
            <w:vMerge/>
            <w:shd w:val="clear" w:color="auto" w:fill="F2F2F2" w:themeFill="background1" w:themeFillShade="F2"/>
            <w:vAlign w:val="center"/>
          </w:tcPr>
          <w:p w14:paraId="4B53A01C" w14:textId="77777777" w:rsidR="00C36DC5" w:rsidRPr="00C36DC5" w:rsidRDefault="00C36DC5" w:rsidP="00C36DC5">
            <w:pPr>
              <w:spacing w:after="0" w:line="240" w:lineRule="auto"/>
              <w:jc w:val="both"/>
              <w:rPr>
                <w:rFonts w:ascii="Times New Roman" w:eastAsia="Times New Roman" w:hAnsi="Times New Roman"/>
                <w:b/>
                <w:bCs/>
                <w:sz w:val="20"/>
                <w:szCs w:val="20"/>
              </w:rPr>
            </w:pPr>
          </w:p>
        </w:tc>
        <w:tc>
          <w:tcPr>
            <w:tcW w:w="567" w:type="dxa"/>
            <w:shd w:val="clear" w:color="auto" w:fill="F2F2F2" w:themeFill="background1" w:themeFillShade="F2"/>
            <w:vAlign w:val="center"/>
          </w:tcPr>
          <w:p w14:paraId="62322ACF" w14:textId="77777777" w:rsidR="00C36DC5" w:rsidRPr="00C36DC5" w:rsidRDefault="00C36DC5" w:rsidP="00C36DC5">
            <w:pPr>
              <w:spacing w:after="0" w:line="240" w:lineRule="auto"/>
              <w:jc w:val="both"/>
              <w:rPr>
                <w:rFonts w:ascii="Times New Roman" w:eastAsia="Times New Roman" w:hAnsi="Times New Roman"/>
                <w:b/>
                <w:bCs/>
                <w:sz w:val="20"/>
                <w:szCs w:val="20"/>
              </w:rPr>
            </w:pPr>
            <w:r w:rsidRPr="00C36DC5">
              <w:rPr>
                <w:rFonts w:ascii="Times New Roman" w:eastAsia="Times New Roman" w:hAnsi="Times New Roman"/>
                <w:b/>
                <w:bCs/>
                <w:sz w:val="20"/>
                <w:szCs w:val="20"/>
              </w:rPr>
              <w:t>E</w:t>
            </w:r>
          </w:p>
        </w:tc>
        <w:tc>
          <w:tcPr>
            <w:tcW w:w="567" w:type="dxa"/>
            <w:shd w:val="clear" w:color="auto" w:fill="F2F2F2" w:themeFill="background1" w:themeFillShade="F2"/>
            <w:vAlign w:val="center"/>
          </w:tcPr>
          <w:p w14:paraId="39A142D5" w14:textId="77777777" w:rsidR="00C36DC5" w:rsidRPr="00C36DC5" w:rsidRDefault="00C36DC5" w:rsidP="00C36DC5">
            <w:pPr>
              <w:spacing w:after="0" w:line="240" w:lineRule="auto"/>
              <w:jc w:val="both"/>
              <w:rPr>
                <w:rFonts w:ascii="Times New Roman" w:eastAsia="Times New Roman" w:hAnsi="Times New Roman"/>
                <w:b/>
                <w:bCs/>
                <w:sz w:val="20"/>
                <w:szCs w:val="20"/>
              </w:rPr>
            </w:pPr>
            <w:r w:rsidRPr="00C36DC5">
              <w:rPr>
                <w:rFonts w:ascii="Times New Roman" w:eastAsia="Times New Roman" w:hAnsi="Times New Roman"/>
                <w:b/>
                <w:bCs/>
                <w:sz w:val="20"/>
                <w:szCs w:val="20"/>
              </w:rPr>
              <w:t>M</w:t>
            </w:r>
          </w:p>
        </w:tc>
        <w:tc>
          <w:tcPr>
            <w:tcW w:w="567" w:type="dxa"/>
            <w:shd w:val="clear" w:color="auto" w:fill="F2F2F2" w:themeFill="background1" w:themeFillShade="F2"/>
            <w:vAlign w:val="center"/>
          </w:tcPr>
          <w:p w14:paraId="7A8DB3FA" w14:textId="77777777" w:rsidR="00C36DC5" w:rsidRPr="00C36DC5" w:rsidRDefault="00C36DC5" w:rsidP="00C36DC5">
            <w:pPr>
              <w:spacing w:after="0" w:line="240" w:lineRule="auto"/>
              <w:jc w:val="both"/>
              <w:rPr>
                <w:rFonts w:ascii="Times New Roman" w:eastAsia="Times New Roman" w:hAnsi="Times New Roman"/>
                <w:b/>
                <w:bCs/>
                <w:sz w:val="20"/>
                <w:szCs w:val="20"/>
              </w:rPr>
            </w:pPr>
            <w:r w:rsidRPr="00C36DC5">
              <w:rPr>
                <w:rFonts w:ascii="Times New Roman" w:eastAsia="Times New Roman" w:hAnsi="Times New Roman"/>
                <w:b/>
                <w:bCs/>
                <w:sz w:val="20"/>
                <w:szCs w:val="20"/>
              </w:rPr>
              <w:t>F-N</w:t>
            </w:r>
          </w:p>
        </w:tc>
      </w:tr>
      <w:tr w:rsidR="00C36DC5" w:rsidRPr="00C36DC5" w14:paraId="4672B9E2" w14:textId="77777777" w:rsidTr="00B54B07">
        <w:tc>
          <w:tcPr>
            <w:tcW w:w="1668" w:type="dxa"/>
            <w:vMerge w:val="restart"/>
            <w:shd w:val="clear" w:color="auto" w:fill="F2F2F2" w:themeFill="background1" w:themeFillShade="F2"/>
            <w:vAlign w:val="center"/>
          </w:tcPr>
          <w:p w14:paraId="5AD1FC3E" w14:textId="77777777" w:rsidR="00C36DC5" w:rsidRPr="00C36DC5" w:rsidRDefault="00C36DC5" w:rsidP="00B54B07">
            <w:pPr>
              <w:spacing w:after="0" w:line="240" w:lineRule="auto"/>
              <w:rPr>
                <w:rFonts w:ascii="Times New Roman" w:eastAsia="Times New Roman" w:hAnsi="Times New Roman"/>
                <w:bCs/>
                <w:sz w:val="20"/>
                <w:szCs w:val="20"/>
              </w:rPr>
            </w:pPr>
            <w:r w:rsidRPr="00C36DC5">
              <w:rPr>
                <w:rFonts w:ascii="Times New Roman" w:eastAsia="Times New Roman" w:hAnsi="Times New Roman"/>
                <w:bCs/>
                <w:sz w:val="20"/>
                <w:szCs w:val="20"/>
              </w:rPr>
              <w:t>D’ici 2019, l’État et les institutions nationales et locales remplissent plus efficacement leur mission de service public et les acteurs non étatiques participent à la vie de la nation et exercent un contrôle citoyen dans le respect des principes de la bonne gouvernance et de la primauté du droit</w:t>
            </w:r>
          </w:p>
        </w:tc>
        <w:tc>
          <w:tcPr>
            <w:tcW w:w="3379" w:type="dxa"/>
            <w:shd w:val="clear" w:color="auto" w:fill="auto"/>
            <w:vAlign w:val="center"/>
          </w:tcPr>
          <w:p w14:paraId="44C6B947" w14:textId="77777777" w:rsidR="00C36DC5" w:rsidRPr="00C36DC5" w:rsidRDefault="00C36DC5" w:rsidP="00C36DC5">
            <w:p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Index Ibrahim (Score)</w:t>
            </w:r>
          </w:p>
          <w:p w14:paraId="16BEC212" w14:textId="77777777" w:rsidR="00C36DC5" w:rsidRPr="00C36DC5" w:rsidRDefault="00C36DC5" w:rsidP="00D76EFA">
            <w:pPr>
              <w:numPr>
                <w:ilvl w:val="0"/>
                <w:numId w:val="33"/>
              </w:num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Réf : 50,7 (2013)</w:t>
            </w:r>
          </w:p>
          <w:p w14:paraId="2F27E7E2" w14:textId="77777777" w:rsidR="00C36DC5" w:rsidRPr="00C36DC5" w:rsidRDefault="00C36DC5" w:rsidP="00D76EFA">
            <w:pPr>
              <w:numPr>
                <w:ilvl w:val="0"/>
                <w:numId w:val="33"/>
              </w:num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Cible : 55</w:t>
            </w:r>
          </w:p>
        </w:tc>
        <w:tc>
          <w:tcPr>
            <w:tcW w:w="3992" w:type="dxa"/>
            <w:shd w:val="clear" w:color="auto" w:fill="auto"/>
            <w:vAlign w:val="center"/>
          </w:tcPr>
          <w:p w14:paraId="28F79D8C" w14:textId="77777777" w:rsidR="00C36DC5" w:rsidRPr="00C36DC5" w:rsidRDefault="00C36DC5" w:rsidP="00D76EFA">
            <w:pPr>
              <w:numPr>
                <w:ilvl w:val="0"/>
                <w:numId w:val="33"/>
              </w:numPr>
              <w:spacing w:after="0" w:line="240" w:lineRule="auto"/>
              <w:jc w:val="both"/>
              <w:rPr>
                <w:rFonts w:ascii="Times New Roman" w:eastAsia="Times New Roman" w:hAnsi="Times New Roman"/>
                <w:b/>
                <w:bCs/>
                <w:sz w:val="20"/>
                <w:szCs w:val="20"/>
              </w:rPr>
            </w:pPr>
            <w:r w:rsidRPr="00C36DC5">
              <w:rPr>
                <w:rFonts w:ascii="Times New Roman" w:eastAsia="Times New Roman" w:hAnsi="Times New Roman"/>
                <w:b/>
                <w:bCs/>
                <w:sz w:val="20"/>
                <w:szCs w:val="20"/>
              </w:rPr>
              <w:t>50,6 en 2015, contre 50,2 en 2014 ;</w:t>
            </w:r>
            <w:r w:rsidRPr="00C36DC5">
              <w:rPr>
                <w:rFonts w:ascii="Times New Roman" w:eastAsia="Times New Roman" w:hAnsi="Times New Roman"/>
                <w:bCs/>
                <w:sz w:val="20"/>
                <w:szCs w:val="20"/>
              </w:rPr>
              <w:t xml:space="preserve"> soit un gain de 0,4, mais recul 0,1 par rapport à la situation de référence</w:t>
            </w:r>
          </w:p>
        </w:tc>
        <w:tc>
          <w:tcPr>
            <w:tcW w:w="567" w:type="dxa"/>
            <w:shd w:val="clear" w:color="auto" w:fill="auto"/>
            <w:vAlign w:val="center"/>
          </w:tcPr>
          <w:p w14:paraId="3E63D289" w14:textId="77777777" w:rsidR="00C36DC5" w:rsidRPr="00C36DC5" w:rsidRDefault="00C36DC5" w:rsidP="00C36DC5">
            <w:pPr>
              <w:spacing w:after="0" w:line="240" w:lineRule="auto"/>
              <w:jc w:val="both"/>
              <w:rPr>
                <w:rFonts w:ascii="Times New Roman" w:eastAsia="Times New Roman" w:hAnsi="Times New Roman"/>
                <w:bCs/>
                <w:sz w:val="20"/>
                <w:szCs w:val="20"/>
              </w:rPr>
            </w:pPr>
          </w:p>
        </w:tc>
        <w:tc>
          <w:tcPr>
            <w:tcW w:w="567" w:type="dxa"/>
            <w:shd w:val="clear" w:color="auto" w:fill="FFC000"/>
            <w:vAlign w:val="center"/>
          </w:tcPr>
          <w:p w14:paraId="1690A0F9" w14:textId="77777777" w:rsidR="00C36DC5" w:rsidRPr="00C36DC5" w:rsidRDefault="00C36DC5" w:rsidP="00C36DC5">
            <w:pPr>
              <w:spacing w:after="0" w:line="240" w:lineRule="auto"/>
              <w:jc w:val="both"/>
              <w:rPr>
                <w:rFonts w:ascii="Times New Roman" w:eastAsia="Times New Roman" w:hAnsi="Times New Roman"/>
                <w:bCs/>
                <w:sz w:val="20"/>
                <w:szCs w:val="20"/>
              </w:rPr>
            </w:pPr>
          </w:p>
        </w:tc>
        <w:tc>
          <w:tcPr>
            <w:tcW w:w="567" w:type="dxa"/>
            <w:shd w:val="clear" w:color="auto" w:fill="C00000"/>
            <w:vAlign w:val="center"/>
          </w:tcPr>
          <w:p w14:paraId="457C23B5" w14:textId="77777777" w:rsidR="00C36DC5" w:rsidRPr="00C36DC5" w:rsidRDefault="00C36DC5" w:rsidP="00C36DC5">
            <w:pPr>
              <w:spacing w:after="0" w:line="240" w:lineRule="auto"/>
              <w:jc w:val="both"/>
              <w:rPr>
                <w:rFonts w:ascii="Times New Roman" w:eastAsia="Times New Roman" w:hAnsi="Times New Roman"/>
                <w:bCs/>
                <w:sz w:val="20"/>
                <w:szCs w:val="20"/>
              </w:rPr>
            </w:pPr>
          </w:p>
        </w:tc>
      </w:tr>
      <w:tr w:rsidR="00C36DC5" w:rsidRPr="00C36DC5" w14:paraId="6E03024E" w14:textId="77777777" w:rsidTr="00B54B07">
        <w:tc>
          <w:tcPr>
            <w:tcW w:w="1668" w:type="dxa"/>
            <w:vMerge/>
            <w:shd w:val="clear" w:color="auto" w:fill="F2F2F2" w:themeFill="background1" w:themeFillShade="F2"/>
            <w:vAlign w:val="center"/>
          </w:tcPr>
          <w:p w14:paraId="3A51F8DB" w14:textId="77777777" w:rsidR="00C36DC5" w:rsidRPr="00C36DC5" w:rsidRDefault="00C36DC5" w:rsidP="00C36DC5">
            <w:pPr>
              <w:spacing w:after="0" w:line="240" w:lineRule="auto"/>
              <w:jc w:val="both"/>
              <w:rPr>
                <w:rFonts w:ascii="Times New Roman" w:eastAsia="Times New Roman" w:hAnsi="Times New Roman"/>
                <w:bCs/>
                <w:sz w:val="20"/>
                <w:szCs w:val="20"/>
              </w:rPr>
            </w:pPr>
          </w:p>
        </w:tc>
        <w:tc>
          <w:tcPr>
            <w:tcW w:w="3379" w:type="dxa"/>
            <w:shd w:val="clear" w:color="auto" w:fill="auto"/>
            <w:vAlign w:val="center"/>
          </w:tcPr>
          <w:p w14:paraId="75C4B6A8" w14:textId="77777777" w:rsidR="00C36DC5" w:rsidRPr="00C36DC5" w:rsidRDefault="00C36DC5" w:rsidP="00C36DC5">
            <w:p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Pourcentage de la population en faveur du processus démocratique</w:t>
            </w:r>
          </w:p>
          <w:p w14:paraId="16A047B7" w14:textId="77777777" w:rsidR="00C36DC5" w:rsidRPr="00C36DC5" w:rsidRDefault="00C36DC5" w:rsidP="00D76EFA">
            <w:pPr>
              <w:numPr>
                <w:ilvl w:val="0"/>
                <w:numId w:val="34"/>
              </w:num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Réf : Non disponible</w:t>
            </w:r>
          </w:p>
          <w:p w14:paraId="1DEBF48D" w14:textId="77777777" w:rsidR="00C36DC5" w:rsidRPr="00C36DC5" w:rsidRDefault="00C36DC5" w:rsidP="00D76EFA">
            <w:pPr>
              <w:numPr>
                <w:ilvl w:val="0"/>
                <w:numId w:val="34"/>
              </w:num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Cible : Non déterminé</w:t>
            </w:r>
          </w:p>
        </w:tc>
        <w:tc>
          <w:tcPr>
            <w:tcW w:w="3992" w:type="dxa"/>
            <w:shd w:val="clear" w:color="auto" w:fill="auto"/>
            <w:vAlign w:val="center"/>
          </w:tcPr>
          <w:p w14:paraId="00117A20" w14:textId="77777777" w:rsidR="00C36DC5" w:rsidRPr="00C36DC5" w:rsidRDefault="00C36DC5" w:rsidP="00C36DC5">
            <w:pPr>
              <w:spacing w:after="0" w:line="240" w:lineRule="auto"/>
              <w:jc w:val="both"/>
              <w:rPr>
                <w:rFonts w:ascii="Times New Roman" w:eastAsia="Times New Roman" w:hAnsi="Times New Roman"/>
                <w:bCs/>
                <w:sz w:val="20"/>
                <w:szCs w:val="20"/>
              </w:rPr>
            </w:pPr>
          </w:p>
        </w:tc>
        <w:tc>
          <w:tcPr>
            <w:tcW w:w="567" w:type="dxa"/>
            <w:shd w:val="clear" w:color="auto" w:fill="auto"/>
            <w:vAlign w:val="center"/>
          </w:tcPr>
          <w:p w14:paraId="3986DA3E" w14:textId="77777777" w:rsidR="00C36DC5" w:rsidRPr="00C36DC5" w:rsidRDefault="00C36DC5" w:rsidP="00C36DC5">
            <w:pPr>
              <w:spacing w:after="0" w:line="240" w:lineRule="auto"/>
              <w:jc w:val="both"/>
              <w:rPr>
                <w:rFonts w:ascii="Times New Roman" w:eastAsia="Times New Roman" w:hAnsi="Times New Roman"/>
                <w:bCs/>
                <w:sz w:val="20"/>
                <w:szCs w:val="20"/>
              </w:rPr>
            </w:pPr>
          </w:p>
        </w:tc>
        <w:tc>
          <w:tcPr>
            <w:tcW w:w="567" w:type="dxa"/>
            <w:shd w:val="clear" w:color="auto" w:fill="auto"/>
            <w:vAlign w:val="center"/>
          </w:tcPr>
          <w:p w14:paraId="056F5458" w14:textId="77777777" w:rsidR="00C36DC5" w:rsidRPr="00C36DC5" w:rsidRDefault="00C36DC5" w:rsidP="00C36DC5">
            <w:pPr>
              <w:spacing w:after="0" w:line="240" w:lineRule="auto"/>
              <w:jc w:val="both"/>
              <w:rPr>
                <w:rFonts w:ascii="Times New Roman" w:eastAsia="Times New Roman" w:hAnsi="Times New Roman"/>
                <w:bCs/>
                <w:sz w:val="20"/>
                <w:szCs w:val="20"/>
              </w:rPr>
            </w:pPr>
          </w:p>
        </w:tc>
        <w:tc>
          <w:tcPr>
            <w:tcW w:w="567" w:type="dxa"/>
            <w:shd w:val="clear" w:color="auto" w:fill="auto"/>
            <w:vAlign w:val="center"/>
          </w:tcPr>
          <w:p w14:paraId="1B037097" w14:textId="77777777" w:rsidR="00C36DC5" w:rsidRPr="00C36DC5" w:rsidRDefault="00C36DC5" w:rsidP="00C36DC5">
            <w:pPr>
              <w:spacing w:after="0" w:line="240" w:lineRule="auto"/>
              <w:jc w:val="both"/>
              <w:rPr>
                <w:rFonts w:ascii="Times New Roman" w:eastAsia="Times New Roman" w:hAnsi="Times New Roman"/>
                <w:bCs/>
                <w:sz w:val="20"/>
                <w:szCs w:val="20"/>
              </w:rPr>
            </w:pPr>
          </w:p>
        </w:tc>
      </w:tr>
      <w:tr w:rsidR="00C36DC5" w:rsidRPr="00C36DC5" w14:paraId="307CE2E2" w14:textId="77777777" w:rsidTr="00B54B07">
        <w:tc>
          <w:tcPr>
            <w:tcW w:w="1668" w:type="dxa"/>
            <w:vMerge/>
            <w:shd w:val="clear" w:color="auto" w:fill="F2F2F2" w:themeFill="background1" w:themeFillShade="F2"/>
            <w:vAlign w:val="center"/>
          </w:tcPr>
          <w:p w14:paraId="047C660C" w14:textId="77777777" w:rsidR="00C36DC5" w:rsidRPr="00C36DC5" w:rsidRDefault="00C36DC5" w:rsidP="00C36DC5">
            <w:pPr>
              <w:spacing w:after="0" w:line="240" w:lineRule="auto"/>
              <w:jc w:val="both"/>
              <w:rPr>
                <w:rFonts w:ascii="Times New Roman" w:eastAsia="Times New Roman" w:hAnsi="Times New Roman"/>
                <w:bCs/>
                <w:sz w:val="20"/>
                <w:szCs w:val="20"/>
              </w:rPr>
            </w:pPr>
          </w:p>
        </w:tc>
        <w:tc>
          <w:tcPr>
            <w:tcW w:w="3379" w:type="dxa"/>
            <w:shd w:val="clear" w:color="auto" w:fill="auto"/>
            <w:vAlign w:val="center"/>
          </w:tcPr>
          <w:p w14:paraId="336389A4" w14:textId="77777777" w:rsidR="00C36DC5" w:rsidRPr="00C36DC5" w:rsidRDefault="00C36DC5" w:rsidP="00C36DC5">
            <w:p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Pourcentage de cas traités de violation des droits fondamentaux (par âge, sexe et région)</w:t>
            </w:r>
          </w:p>
          <w:p w14:paraId="0CA423A9" w14:textId="77777777" w:rsidR="00C36DC5" w:rsidRPr="00C36DC5" w:rsidRDefault="00C36DC5" w:rsidP="00D76EFA">
            <w:pPr>
              <w:numPr>
                <w:ilvl w:val="0"/>
                <w:numId w:val="35"/>
              </w:num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Réf : Non disponible</w:t>
            </w:r>
          </w:p>
          <w:p w14:paraId="0FF8BE06" w14:textId="77777777" w:rsidR="00C36DC5" w:rsidRPr="00C36DC5" w:rsidRDefault="00C36DC5" w:rsidP="00D76EFA">
            <w:pPr>
              <w:numPr>
                <w:ilvl w:val="0"/>
                <w:numId w:val="35"/>
              </w:num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Cible : Non déterminé</w:t>
            </w:r>
          </w:p>
        </w:tc>
        <w:tc>
          <w:tcPr>
            <w:tcW w:w="3992" w:type="dxa"/>
            <w:shd w:val="clear" w:color="auto" w:fill="auto"/>
            <w:vAlign w:val="center"/>
          </w:tcPr>
          <w:p w14:paraId="549EA56D" w14:textId="77777777" w:rsidR="00C36DC5" w:rsidRPr="00C36DC5" w:rsidRDefault="00C36DC5" w:rsidP="00D76EFA">
            <w:pPr>
              <w:numPr>
                <w:ilvl w:val="0"/>
                <w:numId w:val="35"/>
              </w:num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 xml:space="preserve">Situation des détentions préventives en amélioration </w:t>
            </w:r>
          </w:p>
          <w:p w14:paraId="653D17BE" w14:textId="77777777" w:rsidR="00C36DC5" w:rsidRPr="00C36DC5" w:rsidRDefault="00C36DC5" w:rsidP="00D76EFA">
            <w:pPr>
              <w:numPr>
                <w:ilvl w:val="0"/>
                <w:numId w:val="98"/>
              </w:num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3 056 en 2016, contre 3565 en 2015</w:t>
            </w:r>
          </w:p>
          <w:p w14:paraId="73C4C95C" w14:textId="77777777" w:rsidR="00C36DC5" w:rsidRPr="00C36DC5" w:rsidRDefault="00C36DC5" w:rsidP="00D76EFA">
            <w:pPr>
              <w:numPr>
                <w:ilvl w:val="0"/>
                <w:numId w:val="98"/>
              </w:num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Baisse de 509 cas en 1 an</w:t>
            </w:r>
          </w:p>
          <w:p w14:paraId="5F6DB97E" w14:textId="77777777" w:rsidR="00C36DC5" w:rsidRPr="00C36DC5" w:rsidRDefault="00C36DC5" w:rsidP="00C36DC5">
            <w:pPr>
              <w:spacing w:after="0" w:line="240" w:lineRule="auto"/>
              <w:jc w:val="both"/>
              <w:rPr>
                <w:rFonts w:ascii="Times New Roman" w:eastAsia="Times New Roman" w:hAnsi="Times New Roman"/>
                <w:bCs/>
                <w:sz w:val="20"/>
                <w:szCs w:val="20"/>
              </w:rPr>
            </w:pPr>
          </w:p>
          <w:p w14:paraId="0F720658" w14:textId="77777777" w:rsidR="00C36DC5" w:rsidRPr="00C36DC5" w:rsidRDefault="00C36DC5" w:rsidP="00C36DC5">
            <w:pPr>
              <w:spacing w:after="0" w:line="240" w:lineRule="auto"/>
              <w:jc w:val="both"/>
              <w:rPr>
                <w:rFonts w:ascii="Times New Roman" w:eastAsia="Times New Roman" w:hAnsi="Times New Roman"/>
                <w:bCs/>
                <w:sz w:val="20"/>
                <w:szCs w:val="20"/>
              </w:rPr>
            </w:pPr>
          </w:p>
        </w:tc>
        <w:tc>
          <w:tcPr>
            <w:tcW w:w="567" w:type="dxa"/>
            <w:shd w:val="clear" w:color="auto" w:fill="92D050"/>
            <w:vAlign w:val="center"/>
          </w:tcPr>
          <w:p w14:paraId="246A2334" w14:textId="77777777" w:rsidR="00C36DC5" w:rsidRPr="00C36DC5" w:rsidRDefault="00C36DC5" w:rsidP="00C36DC5">
            <w:pPr>
              <w:spacing w:after="0" w:line="240" w:lineRule="auto"/>
              <w:jc w:val="both"/>
              <w:rPr>
                <w:rFonts w:ascii="Times New Roman" w:eastAsia="Times New Roman" w:hAnsi="Times New Roman"/>
                <w:bCs/>
                <w:sz w:val="20"/>
                <w:szCs w:val="20"/>
              </w:rPr>
            </w:pPr>
          </w:p>
        </w:tc>
        <w:tc>
          <w:tcPr>
            <w:tcW w:w="567" w:type="dxa"/>
            <w:shd w:val="clear" w:color="auto" w:fill="FFFF00"/>
            <w:vAlign w:val="center"/>
          </w:tcPr>
          <w:p w14:paraId="16D55570" w14:textId="77777777" w:rsidR="00C36DC5" w:rsidRPr="00C36DC5" w:rsidRDefault="00C36DC5" w:rsidP="00C36DC5">
            <w:pPr>
              <w:spacing w:after="0" w:line="240" w:lineRule="auto"/>
              <w:jc w:val="both"/>
              <w:rPr>
                <w:rFonts w:ascii="Times New Roman" w:eastAsia="Times New Roman" w:hAnsi="Times New Roman"/>
                <w:bCs/>
                <w:sz w:val="20"/>
                <w:szCs w:val="20"/>
              </w:rPr>
            </w:pPr>
          </w:p>
        </w:tc>
        <w:tc>
          <w:tcPr>
            <w:tcW w:w="567" w:type="dxa"/>
            <w:shd w:val="clear" w:color="auto" w:fill="auto"/>
            <w:vAlign w:val="center"/>
          </w:tcPr>
          <w:p w14:paraId="113B7179" w14:textId="77777777" w:rsidR="00C36DC5" w:rsidRPr="00C36DC5" w:rsidRDefault="00C36DC5" w:rsidP="00C36DC5">
            <w:pPr>
              <w:spacing w:after="0" w:line="240" w:lineRule="auto"/>
              <w:jc w:val="both"/>
              <w:rPr>
                <w:rFonts w:ascii="Times New Roman" w:eastAsia="Times New Roman" w:hAnsi="Times New Roman"/>
                <w:bCs/>
                <w:sz w:val="20"/>
                <w:szCs w:val="20"/>
              </w:rPr>
            </w:pPr>
          </w:p>
        </w:tc>
      </w:tr>
      <w:tr w:rsidR="00C36DC5" w:rsidRPr="00C36DC5" w14:paraId="1DB697BB" w14:textId="77777777" w:rsidTr="00B54B07">
        <w:tc>
          <w:tcPr>
            <w:tcW w:w="1668" w:type="dxa"/>
            <w:vMerge/>
            <w:shd w:val="clear" w:color="auto" w:fill="F2F2F2" w:themeFill="background1" w:themeFillShade="F2"/>
            <w:vAlign w:val="center"/>
          </w:tcPr>
          <w:p w14:paraId="4218CD38" w14:textId="77777777" w:rsidR="00C36DC5" w:rsidRPr="00C36DC5" w:rsidRDefault="00C36DC5" w:rsidP="00C36DC5">
            <w:pPr>
              <w:spacing w:after="0" w:line="240" w:lineRule="auto"/>
              <w:jc w:val="both"/>
              <w:rPr>
                <w:rFonts w:ascii="Times New Roman" w:eastAsia="Times New Roman" w:hAnsi="Times New Roman"/>
                <w:bCs/>
                <w:sz w:val="20"/>
                <w:szCs w:val="20"/>
              </w:rPr>
            </w:pPr>
          </w:p>
        </w:tc>
        <w:tc>
          <w:tcPr>
            <w:tcW w:w="3379" w:type="dxa"/>
            <w:shd w:val="clear" w:color="auto" w:fill="auto"/>
            <w:vAlign w:val="center"/>
          </w:tcPr>
          <w:p w14:paraId="4C85C45F" w14:textId="77777777" w:rsidR="00C36DC5" w:rsidRPr="00C36DC5" w:rsidRDefault="00C36DC5" w:rsidP="00C36DC5">
            <w:p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Taux de participation électorale (femmes, etc.)</w:t>
            </w:r>
          </w:p>
          <w:p w14:paraId="42CB40FC" w14:textId="77777777" w:rsidR="00C36DC5" w:rsidRPr="00C36DC5" w:rsidRDefault="00C36DC5" w:rsidP="00D76EFA">
            <w:pPr>
              <w:numPr>
                <w:ilvl w:val="0"/>
                <w:numId w:val="36"/>
              </w:num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Réf : 40%</w:t>
            </w:r>
          </w:p>
          <w:p w14:paraId="0A88E089" w14:textId="77777777" w:rsidR="00C36DC5" w:rsidRPr="00C36DC5" w:rsidRDefault="00C36DC5" w:rsidP="00D76EFA">
            <w:pPr>
              <w:numPr>
                <w:ilvl w:val="0"/>
                <w:numId w:val="36"/>
              </w:num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Cible : 50%</w:t>
            </w:r>
          </w:p>
        </w:tc>
        <w:tc>
          <w:tcPr>
            <w:tcW w:w="3992" w:type="dxa"/>
            <w:shd w:val="clear" w:color="auto" w:fill="auto"/>
            <w:vAlign w:val="center"/>
          </w:tcPr>
          <w:p w14:paraId="401AAB35" w14:textId="77777777" w:rsidR="00C36DC5" w:rsidRPr="00C36DC5" w:rsidRDefault="00C36DC5" w:rsidP="00C36DC5">
            <w:pPr>
              <w:spacing w:after="0" w:line="240" w:lineRule="auto"/>
              <w:jc w:val="both"/>
              <w:rPr>
                <w:rFonts w:ascii="Times New Roman" w:eastAsia="Times New Roman" w:hAnsi="Times New Roman"/>
                <w:bCs/>
                <w:sz w:val="20"/>
                <w:szCs w:val="20"/>
              </w:rPr>
            </w:pPr>
          </w:p>
        </w:tc>
        <w:tc>
          <w:tcPr>
            <w:tcW w:w="567" w:type="dxa"/>
            <w:shd w:val="clear" w:color="auto" w:fill="auto"/>
            <w:vAlign w:val="center"/>
          </w:tcPr>
          <w:p w14:paraId="5A26D603" w14:textId="77777777" w:rsidR="00C36DC5" w:rsidRPr="00C36DC5" w:rsidRDefault="00C36DC5" w:rsidP="00C36DC5">
            <w:pPr>
              <w:spacing w:after="0" w:line="240" w:lineRule="auto"/>
              <w:jc w:val="both"/>
              <w:rPr>
                <w:rFonts w:ascii="Times New Roman" w:eastAsia="Times New Roman" w:hAnsi="Times New Roman"/>
                <w:bCs/>
                <w:sz w:val="20"/>
                <w:szCs w:val="20"/>
              </w:rPr>
            </w:pPr>
          </w:p>
        </w:tc>
        <w:tc>
          <w:tcPr>
            <w:tcW w:w="567" w:type="dxa"/>
            <w:shd w:val="clear" w:color="auto" w:fill="auto"/>
            <w:vAlign w:val="center"/>
          </w:tcPr>
          <w:p w14:paraId="1EED0F0D" w14:textId="77777777" w:rsidR="00C36DC5" w:rsidRPr="00C36DC5" w:rsidRDefault="00C36DC5" w:rsidP="00C36DC5">
            <w:pPr>
              <w:spacing w:after="0" w:line="240" w:lineRule="auto"/>
              <w:jc w:val="both"/>
              <w:rPr>
                <w:rFonts w:ascii="Times New Roman" w:eastAsia="Times New Roman" w:hAnsi="Times New Roman"/>
                <w:bCs/>
                <w:sz w:val="20"/>
                <w:szCs w:val="20"/>
              </w:rPr>
            </w:pPr>
          </w:p>
        </w:tc>
        <w:tc>
          <w:tcPr>
            <w:tcW w:w="567" w:type="dxa"/>
            <w:shd w:val="clear" w:color="auto" w:fill="auto"/>
            <w:vAlign w:val="center"/>
          </w:tcPr>
          <w:p w14:paraId="07673706" w14:textId="77777777" w:rsidR="00C36DC5" w:rsidRPr="00C36DC5" w:rsidRDefault="00C36DC5" w:rsidP="00C36DC5">
            <w:pPr>
              <w:spacing w:after="0" w:line="240" w:lineRule="auto"/>
              <w:jc w:val="both"/>
              <w:rPr>
                <w:rFonts w:ascii="Times New Roman" w:eastAsia="Times New Roman" w:hAnsi="Times New Roman"/>
                <w:bCs/>
                <w:sz w:val="20"/>
                <w:szCs w:val="20"/>
              </w:rPr>
            </w:pPr>
          </w:p>
        </w:tc>
      </w:tr>
      <w:tr w:rsidR="00C36DC5" w:rsidRPr="00C36DC5" w14:paraId="56681788" w14:textId="77777777" w:rsidTr="00B54B07">
        <w:trPr>
          <w:trHeight w:val="854"/>
        </w:trPr>
        <w:tc>
          <w:tcPr>
            <w:tcW w:w="1668" w:type="dxa"/>
            <w:vMerge/>
            <w:shd w:val="clear" w:color="auto" w:fill="F2F2F2" w:themeFill="background1" w:themeFillShade="F2"/>
            <w:vAlign w:val="center"/>
          </w:tcPr>
          <w:p w14:paraId="00E79D68" w14:textId="77777777" w:rsidR="00C36DC5" w:rsidRPr="00C36DC5" w:rsidRDefault="00C36DC5" w:rsidP="00C36DC5">
            <w:pPr>
              <w:spacing w:after="0" w:line="240" w:lineRule="auto"/>
              <w:jc w:val="both"/>
              <w:rPr>
                <w:rFonts w:ascii="Times New Roman" w:eastAsia="Times New Roman" w:hAnsi="Times New Roman"/>
                <w:bCs/>
                <w:sz w:val="20"/>
                <w:szCs w:val="20"/>
              </w:rPr>
            </w:pPr>
          </w:p>
        </w:tc>
        <w:tc>
          <w:tcPr>
            <w:tcW w:w="3379" w:type="dxa"/>
            <w:shd w:val="clear" w:color="auto" w:fill="auto"/>
            <w:vAlign w:val="center"/>
          </w:tcPr>
          <w:p w14:paraId="508E424C" w14:textId="77777777" w:rsidR="00C36DC5" w:rsidRPr="00C36DC5" w:rsidRDefault="00C36DC5" w:rsidP="00C36DC5">
            <w:p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Pourcentage du budget national transféré aux autorités locales</w:t>
            </w:r>
          </w:p>
          <w:p w14:paraId="7C923B31" w14:textId="77777777" w:rsidR="00C36DC5" w:rsidRPr="00C36DC5" w:rsidRDefault="00C36DC5" w:rsidP="00D76EFA">
            <w:pPr>
              <w:numPr>
                <w:ilvl w:val="0"/>
                <w:numId w:val="37"/>
              </w:num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Réf : 3,1%</w:t>
            </w:r>
          </w:p>
          <w:p w14:paraId="10F5CD73" w14:textId="77777777" w:rsidR="00C36DC5" w:rsidRPr="00C36DC5" w:rsidRDefault="00C36DC5" w:rsidP="00D76EFA">
            <w:pPr>
              <w:numPr>
                <w:ilvl w:val="0"/>
                <w:numId w:val="37"/>
              </w:num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Cible : 5%</w:t>
            </w:r>
          </w:p>
        </w:tc>
        <w:tc>
          <w:tcPr>
            <w:tcW w:w="3992" w:type="dxa"/>
            <w:shd w:val="clear" w:color="auto" w:fill="auto"/>
            <w:vAlign w:val="center"/>
          </w:tcPr>
          <w:p w14:paraId="40D777FD" w14:textId="77777777" w:rsidR="00C36DC5" w:rsidRPr="00C36DC5" w:rsidRDefault="00C36DC5" w:rsidP="00D76EFA">
            <w:pPr>
              <w:numPr>
                <w:ilvl w:val="0"/>
                <w:numId w:val="92"/>
              </w:num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18,3% en 2017 (Source DG/CT)</w:t>
            </w:r>
          </w:p>
          <w:p w14:paraId="2522FC21" w14:textId="77777777" w:rsidR="00C36DC5" w:rsidRPr="00C36DC5" w:rsidRDefault="00C36DC5" w:rsidP="00C36DC5">
            <w:pPr>
              <w:spacing w:after="0" w:line="240" w:lineRule="auto"/>
              <w:jc w:val="both"/>
              <w:rPr>
                <w:rFonts w:ascii="Times New Roman" w:eastAsia="Times New Roman" w:hAnsi="Times New Roman"/>
                <w:bCs/>
                <w:sz w:val="20"/>
                <w:szCs w:val="20"/>
              </w:rPr>
            </w:pPr>
          </w:p>
        </w:tc>
        <w:tc>
          <w:tcPr>
            <w:tcW w:w="567" w:type="dxa"/>
            <w:shd w:val="clear" w:color="auto" w:fill="00B050"/>
            <w:vAlign w:val="center"/>
          </w:tcPr>
          <w:p w14:paraId="4A2F41F3" w14:textId="77777777" w:rsidR="00C36DC5" w:rsidRPr="00C36DC5" w:rsidRDefault="00C36DC5" w:rsidP="00C36DC5">
            <w:pPr>
              <w:spacing w:after="0" w:line="240" w:lineRule="auto"/>
              <w:jc w:val="both"/>
              <w:rPr>
                <w:rFonts w:ascii="Times New Roman" w:eastAsia="Times New Roman" w:hAnsi="Times New Roman"/>
                <w:b/>
                <w:bCs/>
                <w:sz w:val="20"/>
                <w:szCs w:val="20"/>
              </w:rPr>
            </w:pPr>
            <w:r w:rsidRPr="00C36DC5">
              <w:rPr>
                <w:rFonts w:ascii="Times New Roman" w:eastAsia="Times New Roman" w:hAnsi="Times New Roman"/>
                <w:b/>
                <w:bCs/>
                <w:sz w:val="20"/>
                <w:szCs w:val="20"/>
              </w:rPr>
              <w:t>366%</w:t>
            </w:r>
          </w:p>
        </w:tc>
        <w:tc>
          <w:tcPr>
            <w:tcW w:w="567" w:type="dxa"/>
            <w:shd w:val="clear" w:color="auto" w:fill="auto"/>
            <w:vAlign w:val="center"/>
          </w:tcPr>
          <w:p w14:paraId="1201D774" w14:textId="77777777" w:rsidR="00C36DC5" w:rsidRPr="00C36DC5" w:rsidRDefault="00C36DC5" w:rsidP="00C36DC5">
            <w:pPr>
              <w:spacing w:after="0" w:line="240" w:lineRule="auto"/>
              <w:jc w:val="both"/>
              <w:rPr>
                <w:rFonts w:ascii="Times New Roman" w:eastAsia="Times New Roman" w:hAnsi="Times New Roman"/>
                <w:bCs/>
                <w:sz w:val="20"/>
                <w:szCs w:val="20"/>
              </w:rPr>
            </w:pPr>
          </w:p>
        </w:tc>
        <w:tc>
          <w:tcPr>
            <w:tcW w:w="567" w:type="dxa"/>
            <w:shd w:val="clear" w:color="auto" w:fill="auto"/>
            <w:vAlign w:val="center"/>
          </w:tcPr>
          <w:p w14:paraId="6BB33E40" w14:textId="77777777" w:rsidR="00C36DC5" w:rsidRPr="00C36DC5" w:rsidRDefault="00C36DC5" w:rsidP="00C36DC5">
            <w:pPr>
              <w:spacing w:after="0" w:line="240" w:lineRule="auto"/>
              <w:jc w:val="both"/>
              <w:rPr>
                <w:rFonts w:ascii="Times New Roman" w:eastAsia="Times New Roman" w:hAnsi="Times New Roman"/>
                <w:bCs/>
                <w:sz w:val="20"/>
                <w:szCs w:val="20"/>
              </w:rPr>
            </w:pPr>
          </w:p>
        </w:tc>
      </w:tr>
      <w:tr w:rsidR="00C36DC5" w:rsidRPr="00C36DC5" w14:paraId="3A3341C1" w14:textId="77777777" w:rsidTr="00B54B07">
        <w:trPr>
          <w:trHeight w:val="854"/>
        </w:trPr>
        <w:tc>
          <w:tcPr>
            <w:tcW w:w="1668" w:type="dxa"/>
            <w:vMerge/>
            <w:shd w:val="clear" w:color="auto" w:fill="F2F2F2" w:themeFill="background1" w:themeFillShade="F2"/>
            <w:vAlign w:val="center"/>
          </w:tcPr>
          <w:p w14:paraId="725BA707" w14:textId="77777777" w:rsidR="00C36DC5" w:rsidRPr="00C36DC5" w:rsidRDefault="00C36DC5" w:rsidP="00C36DC5">
            <w:pPr>
              <w:spacing w:after="0" w:line="240" w:lineRule="auto"/>
              <w:jc w:val="both"/>
              <w:rPr>
                <w:rFonts w:ascii="Times New Roman" w:eastAsia="Times New Roman" w:hAnsi="Times New Roman"/>
                <w:bCs/>
                <w:sz w:val="20"/>
                <w:szCs w:val="20"/>
              </w:rPr>
            </w:pPr>
          </w:p>
        </w:tc>
        <w:tc>
          <w:tcPr>
            <w:tcW w:w="3379" w:type="dxa"/>
            <w:shd w:val="clear" w:color="auto" w:fill="auto"/>
            <w:vAlign w:val="center"/>
          </w:tcPr>
          <w:p w14:paraId="4123A397" w14:textId="77777777" w:rsidR="00C36DC5" w:rsidRPr="00C36DC5" w:rsidRDefault="00C36DC5" w:rsidP="00C36DC5">
            <w:p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Nombre de domaines de</w:t>
            </w:r>
          </w:p>
          <w:p w14:paraId="0F47AF00" w14:textId="77777777" w:rsidR="00C36DC5" w:rsidRPr="00C36DC5" w:rsidRDefault="00C36DC5" w:rsidP="00C36DC5">
            <w:p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compétence transférés aux autorités</w:t>
            </w:r>
          </w:p>
          <w:p w14:paraId="4C114FFE" w14:textId="77777777" w:rsidR="00C36DC5" w:rsidRPr="00C36DC5" w:rsidRDefault="00C36DC5" w:rsidP="00C36DC5">
            <w:p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locales</w:t>
            </w:r>
          </w:p>
          <w:p w14:paraId="4F369791" w14:textId="77777777" w:rsidR="00C36DC5" w:rsidRPr="00C36DC5" w:rsidRDefault="00C36DC5" w:rsidP="00D76EFA">
            <w:pPr>
              <w:numPr>
                <w:ilvl w:val="0"/>
                <w:numId w:val="54"/>
              </w:num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Réf : 3</w:t>
            </w:r>
          </w:p>
          <w:p w14:paraId="7C617CC6" w14:textId="77777777" w:rsidR="00C36DC5" w:rsidRPr="00C36DC5" w:rsidRDefault="00C36DC5" w:rsidP="00D76EFA">
            <w:pPr>
              <w:numPr>
                <w:ilvl w:val="0"/>
                <w:numId w:val="54"/>
              </w:num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Cible : 5</w:t>
            </w:r>
          </w:p>
        </w:tc>
        <w:tc>
          <w:tcPr>
            <w:tcW w:w="3992" w:type="dxa"/>
            <w:shd w:val="clear" w:color="auto" w:fill="auto"/>
            <w:vAlign w:val="center"/>
          </w:tcPr>
          <w:p w14:paraId="42FCB5BC" w14:textId="77777777" w:rsidR="00C36DC5" w:rsidRPr="00C36DC5" w:rsidRDefault="00C36DC5" w:rsidP="00D76EFA">
            <w:pPr>
              <w:numPr>
                <w:ilvl w:val="0"/>
                <w:numId w:val="92"/>
              </w:num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2 nouvelles compétences transférées (Agriculture et Culture) en 2016 portant le nombre à 5 qui était la cible en 2019</w:t>
            </w:r>
          </w:p>
          <w:p w14:paraId="73D4C63C" w14:textId="77777777" w:rsidR="00C36DC5" w:rsidRPr="00C36DC5" w:rsidRDefault="00C36DC5" w:rsidP="00D76EFA">
            <w:pPr>
              <w:numPr>
                <w:ilvl w:val="0"/>
                <w:numId w:val="92"/>
              </w:numPr>
              <w:spacing w:after="0" w:line="240" w:lineRule="auto"/>
              <w:jc w:val="both"/>
              <w:rPr>
                <w:rFonts w:ascii="Times New Roman" w:eastAsia="Times New Roman" w:hAnsi="Times New Roman"/>
                <w:b/>
                <w:bCs/>
                <w:sz w:val="20"/>
                <w:szCs w:val="20"/>
              </w:rPr>
            </w:pPr>
            <w:r w:rsidRPr="00C36DC5">
              <w:rPr>
                <w:rFonts w:ascii="Times New Roman" w:eastAsia="Times New Roman" w:hAnsi="Times New Roman"/>
                <w:b/>
                <w:bCs/>
                <w:sz w:val="20"/>
                <w:szCs w:val="20"/>
              </w:rPr>
              <w:t>Contributions de produit</w:t>
            </w:r>
          </w:p>
          <w:p w14:paraId="44C5DCF0" w14:textId="77777777" w:rsidR="00C36DC5" w:rsidRPr="00C36DC5" w:rsidRDefault="00C36DC5" w:rsidP="00D76EFA">
            <w:pPr>
              <w:numPr>
                <w:ilvl w:val="0"/>
                <w:numId w:val="96"/>
              </w:num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Assistance technique et financière délivrée au Ministère en charge de la Décentralisation</w:t>
            </w:r>
          </w:p>
        </w:tc>
        <w:tc>
          <w:tcPr>
            <w:tcW w:w="567" w:type="dxa"/>
            <w:shd w:val="clear" w:color="auto" w:fill="00B050"/>
            <w:vAlign w:val="center"/>
          </w:tcPr>
          <w:p w14:paraId="75B9C7D0" w14:textId="77777777" w:rsidR="00C36DC5" w:rsidRPr="00C36DC5" w:rsidRDefault="00C36DC5" w:rsidP="00C36DC5">
            <w:p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65%</w:t>
            </w:r>
          </w:p>
        </w:tc>
        <w:tc>
          <w:tcPr>
            <w:tcW w:w="567" w:type="dxa"/>
            <w:shd w:val="clear" w:color="auto" w:fill="auto"/>
            <w:vAlign w:val="center"/>
          </w:tcPr>
          <w:p w14:paraId="73337497" w14:textId="77777777" w:rsidR="00C36DC5" w:rsidRPr="00C36DC5" w:rsidRDefault="00C36DC5" w:rsidP="00C36DC5">
            <w:pPr>
              <w:spacing w:after="0" w:line="240" w:lineRule="auto"/>
              <w:jc w:val="both"/>
              <w:rPr>
                <w:rFonts w:ascii="Times New Roman" w:eastAsia="Times New Roman" w:hAnsi="Times New Roman"/>
                <w:bCs/>
                <w:sz w:val="20"/>
                <w:szCs w:val="20"/>
              </w:rPr>
            </w:pPr>
          </w:p>
        </w:tc>
        <w:tc>
          <w:tcPr>
            <w:tcW w:w="567" w:type="dxa"/>
            <w:shd w:val="clear" w:color="auto" w:fill="auto"/>
            <w:vAlign w:val="center"/>
          </w:tcPr>
          <w:p w14:paraId="180CB2C7" w14:textId="77777777" w:rsidR="00C36DC5" w:rsidRPr="00C36DC5" w:rsidRDefault="00C36DC5" w:rsidP="00C36DC5">
            <w:pPr>
              <w:spacing w:after="0" w:line="240" w:lineRule="auto"/>
              <w:jc w:val="both"/>
              <w:rPr>
                <w:rFonts w:ascii="Times New Roman" w:eastAsia="Times New Roman" w:hAnsi="Times New Roman"/>
                <w:bCs/>
                <w:sz w:val="20"/>
                <w:szCs w:val="20"/>
              </w:rPr>
            </w:pPr>
          </w:p>
        </w:tc>
      </w:tr>
      <w:tr w:rsidR="00C36DC5" w:rsidRPr="00C36DC5" w14:paraId="472245F8" w14:textId="77777777" w:rsidTr="00B54B07">
        <w:tc>
          <w:tcPr>
            <w:tcW w:w="1668" w:type="dxa"/>
            <w:vMerge/>
            <w:shd w:val="clear" w:color="auto" w:fill="F2F2F2" w:themeFill="background1" w:themeFillShade="F2"/>
            <w:vAlign w:val="center"/>
          </w:tcPr>
          <w:p w14:paraId="5B6E4B33" w14:textId="77777777" w:rsidR="00C36DC5" w:rsidRPr="00C36DC5" w:rsidRDefault="00C36DC5" w:rsidP="00C36DC5">
            <w:pPr>
              <w:spacing w:after="0" w:line="240" w:lineRule="auto"/>
              <w:jc w:val="both"/>
              <w:rPr>
                <w:rFonts w:ascii="Times New Roman" w:eastAsia="Times New Roman" w:hAnsi="Times New Roman"/>
                <w:bCs/>
                <w:sz w:val="20"/>
                <w:szCs w:val="20"/>
              </w:rPr>
            </w:pPr>
          </w:p>
        </w:tc>
        <w:tc>
          <w:tcPr>
            <w:tcW w:w="3379" w:type="dxa"/>
            <w:shd w:val="clear" w:color="auto" w:fill="B4C6E7" w:themeFill="accent5" w:themeFillTint="66"/>
            <w:vAlign w:val="center"/>
          </w:tcPr>
          <w:p w14:paraId="3147C54F" w14:textId="77777777" w:rsidR="00C36DC5" w:rsidRPr="00C36DC5" w:rsidRDefault="004B5399" w:rsidP="00C36DC5">
            <w:pPr>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t>Pas d’indicateurs correspondant</w:t>
            </w:r>
          </w:p>
        </w:tc>
        <w:tc>
          <w:tcPr>
            <w:tcW w:w="3992" w:type="dxa"/>
            <w:shd w:val="clear" w:color="auto" w:fill="auto"/>
            <w:vAlign w:val="center"/>
          </w:tcPr>
          <w:p w14:paraId="2969431D" w14:textId="77777777" w:rsidR="00C36DC5" w:rsidRPr="00C36DC5" w:rsidRDefault="00C36DC5" w:rsidP="00D76EFA">
            <w:pPr>
              <w:numPr>
                <w:ilvl w:val="0"/>
                <w:numId w:val="92"/>
              </w:num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Relèvement du rendement du Parlement :</w:t>
            </w:r>
          </w:p>
          <w:p w14:paraId="46407A17" w14:textId="77777777" w:rsidR="00C36DC5" w:rsidRPr="00C36DC5" w:rsidRDefault="00C36DC5" w:rsidP="00D76EFA">
            <w:pPr>
              <w:numPr>
                <w:ilvl w:val="0"/>
                <w:numId w:val="99"/>
              </w:num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Nouvelle Loi électorale adoptée</w:t>
            </w:r>
          </w:p>
          <w:p w14:paraId="329893EE" w14:textId="77777777" w:rsidR="00C36DC5" w:rsidRPr="00C36DC5" w:rsidRDefault="00C36DC5" w:rsidP="00D76EFA">
            <w:pPr>
              <w:numPr>
                <w:ilvl w:val="0"/>
                <w:numId w:val="99"/>
              </w:num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 xml:space="preserve">Nombre croissant des lois votées : 67 en 2016 contre 65 en 2015 </w:t>
            </w:r>
          </w:p>
          <w:p w14:paraId="226FE78E" w14:textId="77777777" w:rsidR="00C36DC5" w:rsidRPr="00C36DC5" w:rsidRDefault="00C36DC5" w:rsidP="00D76EFA">
            <w:pPr>
              <w:numPr>
                <w:ilvl w:val="0"/>
                <w:numId w:val="99"/>
              </w:num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 xml:space="preserve">2 propositions de lois adoptées en 2016, contre 01 en 2015. </w:t>
            </w:r>
          </w:p>
          <w:p w14:paraId="3A13011D" w14:textId="77777777" w:rsidR="00C36DC5" w:rsidRPr="00C36DC5" w:rsidRDefault="00C36DC5" w:rsidP="00D76EFA">
            <w:pPr>
              <w:numPr>
                <w:ilvl w:val="0"/>
                <w:numId w:val="99"/>
              </w:num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3 séances d'interpellations du gouvernement, en 2016, contre 0 en 2015</w:t>
            </w:r>
          </w:p>
        </w:tc>
        <w:tc>
          <w:tcPr>
            <w:tcW w:w="567" w:type="dxa"/>
            <w:shd w:val="clear" w:color="auto" w:fill="auto"/>
            <w:vAlign w:val="center"/>
          </w:tcPr>
          <w:p w14:paraId="061E76CD" w14:textId="77777777" w:rsidR="00C36DC5" w:rsidRPr="00C36DC5" w:rsidRDefault="00C36DC5" w:rsidP="00C36DC5">
            <w:pPr>
              <w:spacing w:after="0" w:line="240" w:lineRule="auto"/>
              <w:jc w:val="both"/>
              <w:rPr>
                <w:rFonts w:ascii="Times New Roman" w:eastAsia="Times New Roman" w:hAnsi="Times New Roman"/>
                <w:bCs/>
                <w:sz w:val="20"/>
                <w:szCs w:val="20"/>
              </w:rPr>
            </w:pPr>
          </w:p>
        </w:tc>
        <w:tc>
          <w:tcPr>
            <w:tcW w:w="567" w:type="dxa"/>
            <w:shd w:val="clear" w:color="auto" w:fill="auto"/>
            <w:vAlign w:val="center"/>
          </w:tcPr>
          <w:p w14:paraId="59C051F7" w14:textId="77777777" w:rsidR="00C36DC5" w:rsidRPr="00C36DC5" w:rsidRDefault="00C36DC5" w:rsidP="00C36DC5">
            <w:pPr>
              <w:spacing w:after="0" w:line="240" w:lineRule="auto"/>
              <w:jc w:val="both"/>
              <w:rPr>
                <w:rFonts w:ascii="Times New Roman" w:eastAsia="Times New Roman" w:hAnsi="Times New Roman"/>
                <w:bCs/>
                <w:sz w:val="20"/>
                <w:szCs w:val="20"/>
              </w:rPr>
            </w:pPr>
          </w:p>
        </w:tc>
        <w:tc>
          <w:tcPr>
            <w:tcW w:w="567" w:type="dxa"/>
            <w:shd w:val="clear" w:color="auto" w:fill="auto"/>
            <w:vAlign w:val="center"/>
          </w:tcPr>
          <w:p w14:paraId="4215531D" w14:textId="77777777" w:rsidR="00C36DC5" w:rsidRPr="00C36DC5" w:rsidRDefault="00C36DC5" w:rsidP="00C36DC5">
            <w:pPr>
              <w:spacing w:after="0" w:line="240" w:lineRule="auto"/>
              <w:jc w:val="both"/>
              <w:rPr>
                <w:rFonts w:ascii="Times New Roman" w:eastAsia="Times New Roman" w:hAnsi="Times New Roman"/>
                <w:bCs/>
                <w:sz w:val="20"/>
                <w:szCs w:val="20"/>
              </w:rPr>
            </w:pPr>
          </w:p>
        </w:tc>
      </w:tr>
      <w:tr w:rsidR="004B5399" w:rsidRPr="00C36DC5" w14:paraId="22602942" w14:textId="77777777" w:rsidTr="00B54B07">
        <w:tc>
          <w:tcPr>
            <w:tcW w:w="1668" w:type="dxa"/>
            <w:vMerge/>
            <w:shd w:val="clear" w:color="auto" w:fill="F2F2F2" w:themeFill="background1" w:themeFillShade="F2"/>
            <w:vAlign w:val="center"/>
          </w:tcPr>
          <w:p w14:paraId="08E30B0C" w14:textId="77777777" w:rsidR="004B5399" w:rsidRPr="00C36DC5" w:rsidRDefault="004B5399" w:rsidP="004B5399">
            <w:pPr>
              <w:spacing w:after="0" w:line="240" w:lineRule="auto"/>
              <w:jc w:val="both"/>
              <w:rPr>
                <w:rFonts w:ascii="Times New Roman" w:eastAsia="Times New Roman" w:hAnsi="Times New Roman"/>
                <w:bCs/>
                <w:sz w:val="20"/>
                <w:szCs w:val="20"/>
              </w:rPr>
            </w:pPr>
          </w:p>
        </w:tc>
        <w:tc>
          <w:tcPr>
            <w:tcW w:w="3379" w:type="dxa"/>
            <w:shd w:val="clear" w:color="auto" w:fill="B4C6E7" w:themeFill="accent5" w:themeFillTint="66"/>
            <w:vAlign w:val="center"/>
          </w:tcPr>
          <w:p w14:paraId="092B7792" w14:textId="77777777" w:rsidR="004B5399" w:rsidRPr="00C36DC5" w:rsidRDefault="004B5399" w:rsidP="004B5399">
            <w:pPr>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t>Pas d’indicateurs correspondant</w:t>
            </w:r>
          </w:p>
        </w:tc>
        <w:tc>
          <w:tcPr>
            <w:tcW w:w="3992" w:type="dxa"/>
            <w:shd w:val="clear" w:color="auto" w:fill="auto"/>
            <w:vAlign w:val="center"/>
          </w:tcPr>
          <w:p w14:paraId="6396D5F5" w14:textId="77777777" w:rsidR="004B5399" w:rsidRPr="00C36DC5" w:rsidRDefault="004B5399" w:rsidP="00D76EFA">
            <w:pPr>
              <w:numPr>
                <w:ilvl w:val="0"/>
                <w:numId w:val="90"/>
              </w:num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2 996 000  personnes ont accès aux services de la justice en en 2015 3 360 000 personnes ont accès aux services de la justice en 2016</w:t>
            </w:r>
          </w:p>
          <w:p w14:paraId="2C9B0181" w14:textId="77777777" w:rsidR="004B5399" w:rsidRPr="00C36DC5" w:rsidRDefault="004B5399" w:rsidP="00D76EFA">
            <w:pPr>
              <w:numPr>
                <w:ilvl w:val="0"/>
                <w:numId w:val="90"/>
              </w:num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 xml:space="preserve">2015-2016 : Progression de l’accès à la justice de : 11%. </w:t>
            </w:r>
          </w:p>
          <w:p w14:paraId="5195821C" w14:textId="77777777" w:rsidR="004B5399" w:rsidRPr="00C36DC5" w:rsidRDefault="004B5399" w:rsidP="004B5399">
            <w:pPr>
              <w:spacing w:after="0" w:line="240" w:lineRule="auto"/>
              <w:jc w:val="both"/>
              <w:rPr>
                <w:rFonts w:ascii="Times New Roman" w:eastAsia="Times New Roman" w:hAnsi="Times New Roman"/>
                <w:bCs/>
                <w:sz w:val="20"/>
                <w:szCs w:val="20"/>
              </w:rPr>
            </w:pPr>
          </w:p>
          <w:p w14:paraId="6FAD5A9D" w14:textId="77777777" w:rsidR="004B5399" w:rsidRPr="00C36DC5" w:rsidRDefault="004B5399" w:rsidP="004B5399">
            <w:pPr>
              <w:spacing w:after="0" w:line="240" w:lineRule="auto"/>
              <w:jc w:val="both"/>
              <w:rPr>
                <w:rFonts w:ascii="Times New Roman" w:eastAsia="Times New Roman" w:hAnsi="Times New Roman"/>
                <w:bCs/>
                <w:sz w:val="20"/>
                <w:szCs w:val="20"/>
              </w:rPr>
            </w:pPr>
          </w:p>
          <w:p w14:paraId="687A2F32" w14:textId="77777777" w:rsidR="004B5399" w:rsidRPr="00C36DC5" w:rsidRDefault="004B5399" w:rsidP="004B5399">
            <w:pPr>
              <w:spacing w:after="0" w:line="240" w:lineRule="auto"/>
              <w:jc w:val="both"/>
              <w:rPr>
                <w:rFonts w:ascii="Times New Roman" w:eastAsia="Times New Roman" w:hAnsi="Times New Roman"/>
                <w:bCs/>
                <w:sz w:val="20"/>
                <w:szCs w:val="20"/>
              </w:rPr>
            </w:pPr>
          </w:p>
        </w:tc>
        <w:tc>
          <w:tcPr>
            <w:tcW w:w="567" w:type="dxa"/>
            <w:shd w:val="clear" w:color="auto" w:fill="auto"/>
            <w:vAlign w:val="center"/>
          </w:tcPr>
          <w:p w14:paraId="32717C3D" w14:textId="77777777" w:rsidR="004B5399" w:rsidRPr="00C36DC5" w:rsidRDefault="004B5399" w:rsidP="004B5399">
            <w:pPr>
              <w:spacing w:after="0" w:line="240" w:lineRule="auto"/>
              <w:jc w:val="both"/>
              <w:rPr>
                <w:rFonts w:ascii="Times New Roman" w:eastAsia="Times New Roman" w:hAnsi="Times New Roman"/>
                <w:bCs/>
                <w:sz w:val="20"/>
                <w:szCs w:val="20"/>
              </w:rPr>
            </w:pPr>
          </w:p>
        </w:tc>
        <w:tc>
          <w:tcPr>
            <w:tcW w:w="567" w:type="dxa"/>
            <w:shd w:val="clear" w:color="auto" w:fill="auto"/>
            <w:vAlign w:val="center"/>
          </w:tcPr>
          <w:p w14:paraId="46B7F94A" w14:textId="77777777" w:rsidR="004B5399" w:rsidRPr="00C36DC5" w:rsidRDefault="004B5399" w:rsidP="004B5399">
            <w:pPr>
              <w:spacing w:after="0" w:line="240" w:lineRule="auto"/>
              <w:jc w:val="both"/>
              <w:rPr>
                <w:rFonts w:ascii="Times New Roman" w:eastAsia="Times New Roman" w:hAnsi="Times New Roman"/>
                <w:bCs/>
                <w:sz w:val="20"/>
                <w:szCs w:val="20"/>
              </w:rPr>
            </w:pPr>
          </w:p>
        </w:tc>
        <w:tc>
          <w:tcPr>
            <w:tcW w:w="567" w:type="dxa"/>
            <w:shd w:val="clear" w:color="auto" w:fill="auto"/>
            <w:vAlign w:val="center"/>
          </w:tcPr>
          <w:p w14:paraId="1AE37084" w14:textId="77777777" w:rsidR="004B5399" w:rsidRPr="00C36DC5" w:rsidRDefault="004B5399" w:rsidP="004B5399">
            <w:pPr>
              <w:spacing w:after="0" w:line="240" w:lineRule="auto"/>
              <w:jc w:val="both"/>
              <w:rPr>
                <w:rFonts w:ascii="Times New Roman" w:eastAsia="Times New Roman" w:hAnsi="Times New Roman"/>
                <w:bCs/>
                <w:sz w:val="20"/>
                <w:szCs w:val="20"/>
              </w:rPr>
            </w:pPr>
          </w:p>
        </w:tc>
      </w:tr>
    </w:tbl>
    <w:p w14:paraId="5E1B9062" w14:textId="77777777" w:rsidR="00B002E3" w:rsidRPr="000442E1" w:rsidRDefault="00B002E3" w:rsidP="00B002E3">
      <w:pPr>
        <w:pStyle w:val="Titre1"/>
        <w:spacing w:before="0" w:line="240" w:lineRule="auto"/>
        <w:rPr>
          <w:rFonts w:ascii="Times New Roman" w:hAnsi="Times New Roman"/>
          <w:color w:val="auto"/>
          <w:sz w:val="24"/>
          <w:szCs w:val="24"/>
        </w:rPr>
      </w:pPr>
      <w:bookmarkStart w:id="123" w:name="_Toc499211615"/>
      <w:bookmarkStart w:id="124" w:name="_Toc499213888"/>
      <w:r w:rsidRPr="000442E1">
        <w:rPr>
          <w:rFonts w:ascii="Times New Roman" w:hAnsi="Times New Roman"/>
          <w:color w:val="auto"/>
          <w:sz w:val="24"/>
          <w:szCs w:val="24"/>
        </w:rPr>
        <w:t xml:space="preserve">Tableau </w:t>
      </w:r>
      <w:r>
        <w:rPr>
          <w:rFonts w:ascii="Times New Roman" w:hAnsi="Times New Roman"/>
          <w:color w:val="auto"/>
          <w:sz w:val="24"/>
          <w:szCs w:val="24"/>
        </w:rPr>
        <w:t>9</w:t>
      </w:r>
      <w:r w:rsidRPr="000442E1">
        <w:rPr>
          <w:rFonts w:ascii="Times New Roman" w:hAnsi="Times New Roman"/>
          <w:color w:val="auto"/>
          <w:sz w:val="24"/>
          <w:szCs w:val="24"/>
        </w:rPr>
        <w:t xml:space="preserve"> : </w:t>
      </w:r>
      <w:r>
        <w:rPr>
          <w:rFonts w:ascii="Times New Roman" w:hAnsi="Times New Roman"/>
          <w:color w:val="auto"/>
          <w:sz w:val="24"/>
          <w:szCs w:val="24"/>
        </w:rPr>
        <w:t>Effet 3 /Performances Pays</w:t>
      </w:r>
      <w:bookmarkEnd w:id="123"/>
      <w:bookmarkEnd w:id="124"/>
    </w:p>
    <w:p w14:paraId="627EDD69" w14:textId="77777777" w:rsidR="00C36DC5" w:rsidRDefault="00C36DC5" w:rsidP="00C36DC5">
      <w:pPr>
        <w:spacing w:after="0" w:line="240" w:lineRule="auto"/>
        <w:jc w:val="both"/>
        <w:rPr>
          <w:rFonts w:ascii="Times New Roman" w:eastAsia="Times New Roman" w:hAnsi="Times New Roman"/>
          <w:bCs/>
          <w:i/>
          <w:sz w:val="20"/>
          <w:szCs w:val="20"/>
        </w:rPr>
      </w:pPr>
      <w:r w:rsidRPr="009C493D">
        <w:rPr>
          <w:rFonts w:ascii="Times New Roman" w:eastAsia="Times New Roman" w:hAnsi="Times New Roman"/>
          <w:bCs/>
          <w:i/>
          <w:sz w:val="20"/>
          <w:szCs w:val="20"/>
          <w:u w:val="single"/>
        </w:rPr>
        <w:t>Sources</w:t>
      </w:r>
      <w:r w:rsidRPr="009C493D">
        <w:rPr>
          <w:rFonts w:ascii="Times New Roman" w:eastAsia="Times New Roman" w:hAnsi="Times New Roman"/>
          <w:bCs/>
          <w:i/>
          <w:sz w:val="20"/>
          <w:szCs w:val="20"/>
        </w:rPr>
        <w:t> : ROARS 2015-2016 ; Rapports de progrès/Rapports d’évaluation des projets ; entretiens Septembre 2017 ; Documents de revue CREDD, Juin 2017.</w:t>
      </w:r>
    </w:p>
    <w:p w14:paraId="3800EEDF" w14:textId="77777777" w:rsidR="00971306" w:rsidRPr="009C493D" w:rsidRDefault="00971306" w:rsidP="00C36DC5">
      <w:pPr>
        <w:spacing w:after="0" w:line="240" w:lineRule="auto"/>
        <w:jc w:val="both"/>
        <w:rPr>
          <w:rFonts w:ascii="Times New Roman" w:eastAsia="Times New Roman" w:hAnsi="Times New Roman"/>
          <w:bCs/>
          <w:i/>
          <w:sz w:val="20"/>
          <w:szCs w:val="20"/>
        </w:rPr>
      </w:pPr>
    </w:p>
    <w:p w14:paraId="16D89FCE" w14:textId="77777777" w:rsidR="00341B08" w:rsidRPr="006B309F" w:rsidRDefault="00341B08" w:rsidP="00B026AE">
      <w:pPr>
        <w:pStyle w:val="Titre4"/>
        <w:numPr>
          <w:ilvl w:val="3"/>
          <w:numId w:val="5"/>
        </w:numPr>
        <w:spacing w:before="0" w:line="240" w:lineRule="auto"/>
        <w:rPr>
          <w:rFonts w:ascii="Times New Roman" w:hAnsi="Times New Roman"/>
          <w:i w:val="0"/>
          <w:color w:val="auto"/>
          <w:sz w:val="24"/>
          <w:szCs w:val="24"/>
        </w:rPr>
      </w:pPr>
      <w:r w:rsidRPr="006B309F">
        <w:rPr>
          <w:rFonts w:ascii="Times New Roman" w:hAnsi="Times New Roman"/>
          <w:i w:val="0"/>
          <w:color w:val="auto"/>
          <w:sz w:val="24"/>
          <w:szCs w:val="24"/>
        </w:rPr>
        <w:t xml:space="preserve">Contribution </w:t>
      </w:r>
      <w:r w:rsidR="00414C56">
        <w:rPr>
          <w:rFonts w:ascii="Times New Roman" w:hAnsi="Times New Roman"/>
          <w:i w:val="0"/>
          <w:color w:val="auto"/>
          <w:sz w:val="24"/>
          <w:szCs w:val="24"/>
        </w:rPr>
        <w:t>du Programme aux résultats du pays dans le domaine</w:t>
      </w:r>
    </w:p>
    <w:p w14:paraId="0F775D8F" w14:textId="77777777" w:rsidR="009B76F6" w:rsidRDefault="009B76F6" w:rsidP="00B96F0F">
      <w:pPr>
        <w:spacing w:after="0" w:line="240" w:lineRule="auto"/>
        <w:jc w:val="both"/>
        <w:rPr>
          <w:rFonts w:ascii="Times New Roman" w:eastAsia="Times New Roman" w:hAnsi="Times New Roman"/>
          <w:bCs/>
          <w:sz w:val="24"/>
          <w:szCs w:val="24"/>
        </w:rPr>
      </w:pPr>
    </w:p>
    <w:p w14:paraId="714CE181" w14:textId="77777777" w:rsidR="00C36DC5" w:rsidRPr="00C36DC5" w:rsidRDefault="00454255" w:rsidP="00C36DC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6</w:t>
      </w:r>
      <w:r w:rsidR="000B5082">
        <w:rPr>
          <w:rFonts w:ascii="Times New Roman" w:eastAsia="Times New Roman" w:hAnsi="Times New Roman"/>
          <w:bCs/>
          <w:sz w:val="24"/>
          <w:szCs w:val="24"/>
        </w:rPr>
        <w:t>1</w:t>
      </w:r>
      <w:r>
        <w:rPr>
          <w:rFonts w:ascii="Times New Roman" w:eastAsia="Times New Roman" w:hAnsi="Times New Roman"/>
          <w:bCs/>
          <w:sz w:val="24"/>
          <w:szCs w:val="24"/>
        </w:rPr>
        <w:t>.</w:t>
      </w:r>
      <w:r w:rsidR="00C36DC5" w:rsidRPr="00C36DC5">
        <w:rPr>
          <w:rFonts w:ascii="Times New Roman" w:eastAsia="Times New Roman" w:hAnsi="Times New Roman"/>
          <w:bCs/>
          <w:sz w:val="24"/>
          <w:szCs w:val="24"/>
        </w:rPr>
        <w:tab/>
        <w:t>Les contributions du programme au Résultat 3 se font à travers trois produits spécifiques suivants :</w:t>
      </w:r>
    </w:p>
    <w:p w14:paraId="2D7418A9" w14:textId="77777777" w:rsidR="00C36DC5" w:rsidRPr="00C36DC5" w:rsidRDefault="00C36DC5" w:rsidP="00D76EFA">
      <w:pPr>
        <w:numPr>
          <w:ilvl w:val="0"/>
          <w:numId w:val="97"/>
        </w:numPr>
        <w:spacing w:after="0" w:line="240" w:lineRule="auto"/>
        <w:jc w:val="both"/>
        <w:rPr>
          <w:rFonts w:ascii="Times New Roman" w:eastAsia="Times New Roman" w:hAnsi="Times New Roman"/>
          <w:bCs/>
          <w:sz w:val="24"/>
          <w:szCs w:val="24"/>
        </w:rPr>
      </w:pPr>
      <w:r w:rsidRPr="00C36DC5">
        <w:rPr>
          <w:rFonts w:ascii="Times New Roman" w:eastAsia="Times New Roman" w:hAnsi="Times New Roman"/>
          <w:bCs/>
          <w:sz w:val="24"/>
          <w:szCs w:val="24"/>
        </w:rPr>
        <w:lastRenderedPageBreak/>
        <w:t>Les capacités du Parlement sont renforcées dans les matières législatives et le contrôle de l’action gouvernementale</w:t>
      </w:r>
    </w:p>
    <w:p w14:paraId="59E2DC8A" w14:textId="77777777" w:rsidR="00C36DC5" w:rsidRPr="00C36DC5" w:rsidRDefault="00C36DC5" w:rsidP="00D76EFA">
      <w:pPr>
        <w:numPr>
          <w:ilvl w:val="0"/>
          <w:numId w:val="97"/>
        </w:numPr>
        <w:spacing w:after="0" w:line="240" w:lineRule="auto"/>
        <w:jc w:val="both"/>
        <w:rPr>
          <w:rFonts w:ascii="Times New Roman" w:eastAsia="Times New Roman" w:hAnsi="Times New Roman"/>
          <w:bCs/>
          <w:sz w:val="24"/>
          <w:szCs w:val="24"/>
        </w:rPr>
      </w:pPr>
      <w:r w:rsidRPr="00C36DC5">
        <w:rPr>
          <w:rFonts w:ascii="Times New Roman" w:eastAsia="Times New Roman" w:hAnsi="Times New Roman"/>
          <w:bCs/>
          <w:sz w:val="24"/>
          <w:szCs w:val="24"/>
        </w:rPr>
        <w:t>La réforme de la justice et le redéploiement de l’administration dans les régions de Gao, de Kidal et de Tombouctou sont consolidés pour renforcer l’autorité de l’État et la primauté du droit</w:t>
      </w:r>
    </w:p>
    <w:p w14:paraId="6F338F78" w14:textId="77777777" w:rsidR="00C36DC5" w:rsidRPr="00C36DC5" w:rsidRDefault="00C36DC5" w:rsidP="00D76EFA">
      <w:pPr>
        <w:numPr>
          <w:ilvl w:val="0"/>
          <w:numId w:val="97"/>
        </w:numPr>
        <w:spacing w:after="0" w:line="240" w:lineRule="auto"/>
        <w:jc w:val="both"/>
        <w:rPr>
          <w:rFonts w:ascii="Times New Roman" w:eastAsia="Times New Roman" w:hAnsi="Times New Roman"/>
          <w:bCs/>
          <w:sz w:val="24"/>
          <w:szCs w:val="24"/>
        </w:rPr>
      </w:pPr>
      <w:r w:rsidRPr="00C36DC5">
        <w:rPr>
          <w:rFonts w:ascii="Times New Roman" w:eastAsia="Times New Roman" w:hAnsi="Times New Roman"/>
          <w:bCs/>
          <w:sz w:val="24"/>
          <w:szCs w:val="24"/>
        </w:rPr>
        <w:t>Les capacités institutionnelles des instances en charge de la décentralisation et de la société civile locale sont renforcées en vue du transfert effectif des pouvoirs et des ressources aux autorités locales</w:t>
      </w:r>
    </w:p>
    <w:p w14:paraId="2813D9AB" w14:textId="77777777" w:rsidR="00C36DC5" w:rsidRPr="00C36DC5" w:rsidRDefault="00C36DC5" w:rsidP="00C36DC5">
      <w:pPr>
        <w:spacing w:after="0" w:line="240" w:lineRule="auto"/>
        <w:jc w:val="both"/>
        <w:rPr>
          <w:rFonts w:ascii="Times New Roman" w:eastAsia="Times New Roman" w:hAnsi="Times New Roman"/>
          <w:b/>
          <w:bCs/>
          <w:sz w:val="24"/>
          <w:szCs w:val="24"/>
        </w:rPr>
      </w:pPr>
    </w:p>
    <w:p w14:paraId="1C923E54" w14:textId="77777777" w:rsidR="00C36DC5" w:rsidRPr="00C36DC5" w:rsidRDefault="00454255" w:rsidP="00C36DC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6</w:t>
      </w:r>
      <w:r w:rsidR="000B5082">
        <w:rPr>
          <w:rFonts w:ascii="Times New Roman" w:eastAsia="Times New Roman" w:hAnsi="Times New Roman"/>
          <w:bCs/>
          <w:sz w:val="24"/>
          <w:szCs w:val="24"/>
        </w:rPr>
        <w:t>2</w:t>
      </w:r>
      <w:r>
        <w:rPr>
          <w:rFonts w:ascii="Times New Roman" w:eastAsia="Times New Roman" w:hAnsi="Times New Roman"/>
          <w:bCs/>
          <w:sz w:val="24"/>
          <w:szCs w:val="24"/>
        </w:rPr>
        <w:t>.</w:t>
      </w:r>
      <w:r w:rsidR="00C36DC5" w:rsidRPr="00C36DC5">
        <w:rPr>
          <w:rFonts w:ascii="Times New Roman" w:eastAsia="Times New Roman" w:hAnsi="Times New Roman"/>
          <w:bCs/>
          <w:sz w:val="24"/>
          <w:szCs w:val="24"/>
        </w:rPr>
        <w:tab/>
        <w:t>Au titre du premier produit, le programme a substantiellement appuyé le parlement malien, en prodiguant notamment des formations aux membres des 11commissions techniques parlementaires et des 5 groupes parlementaires représentatifs des partis politiques présent dans l’hémicycle. Certes la cible est de former l’ensemble des députés, mais le fait de couvrir toutes les commissions et tous les groupes parlementaires, représente une réalisation significative à mi-parcours.</w:t>
      </w:r>
    </w:p>
    <w:p w14:paraId="316DE1C0" w14:textId="77777777" w:rsidR="00C36DC5" w:rsidRPr="00C36DC5" w:rsidRDefault="00C36DC5" w:rsidP="00C36DC5">
      <w:pPr>
        <w:spacing w:after="0" w:line="240" w:lineRule="auto"/>
        <w:jc w:val="both"/>
        <w:rPr>
          <w:rFonts w:ascii="Times New Roman" w:eastAsia="Times New Roman" w:hAnsi="Times New Roman"/>
          <w:bCs/>
          <w:sz w:val="24"/>
          <w:szCs w:val="24"/>
        </w:rPr>
      </w:pPr>
    </w:p>
    <w:p w14:paraId="5F7A564B" w14:textId="77777777" w:rsidR="00C36DC5" w:rsidRPr="00C36DC5" w:rsidRDefault="00454255" w:rsidP="00C36DC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6</w:t>
      </w:r>
      <w:r w:rsidR="000B5082">
        <w:rPr>
          <w:rFonts w:ascii="Times New Roman" w:eastAsia="Times New Roman" w:hAnsi="Times New Roman"/>
          <w:bCs/>
          <w:sz w:val="24"/>
          <w:szCs w:val="24"/>
        </w:rPr>
        <w:t>3</w:t>
      </w:r>
      <w:r>
        <w:rPr>
          <w:rFonts w:ascii="Times New Roman" w:eastAsia="Times New Roman" w:hAnsi="Times New Roman"/>
          <w:bCs/>
          <w:sz w:val="24"/>
          <w:szCs w:val="24"/>
        </w:rPr>
        <w:t>.</w:t>
      </w:r>
      <w:r w:rsidR="00C36DC5" w:rsidRPr="00C36DC5">
        <w:rPr>
          <w:rFonts w:ascii="Times New Roman" w:eastAsia="Times New Roman" w:hAnsi="Times New Roman"/>
          <w:bCs/>
          <w:sz w:val="24"/>
          <w:szCs w:val="24"/>
        </w:rPr>
        <w:tab/>
        <w:t xml:space="preserve">Au titre du second produit, le développement institutionnel du secteur de la justice a été soutenu par le programme : Stratégie de réforme de la Justice élaborée ; Bureau du Médiateur de la république opérationnalisé ; Commission Nationale des Droits de l'Homme (CNDH), opérationnalisée : surtout la </w:t>
      </w:r>
      <w:r w:rsidR="00C36DC5" w:rsidRPr="004F261E">
        <w:rPr>
          <w:rFonts w:ascii="Times New Roman" w:eastAsia="Times New Roman" w:hAnsi="Times New Roman"/>
          <w:bCs/>
          <w:sz w:val="24"/>
          <w:szCs w:val="24"/>
        </w:rPr>
        <w:t xml:space="preserve">CNDH a été aidée </w:t>
      </w:r>
      <w:r w:rsidR="00B23DEE" w:rsidRPr="004F261E">
        <w:rPr>
          <w:rFonts w:ascii="Times New Roman" w:eastAsia="Times New Roman" w:hAnsi="Times New Roman"/>
          <w:bCs/>
          <w:sz w:val="24"/>
          <w:szCs w:val="24"/>
        </w:rPr>
        <w:t xml:space="preserve">à </w:t>
      </w:r>
      <w:r w:rsidR="00C36DC5" w:rsidRPr="004F261E">
        <w:rPr>
          <w:rFonts w:ascii="Times New Roman" w:eastAsia="Times New Roman" w:hAnsi="Times New Roman"/>
          <w:bCs/>
          <w:sz w:val="24"/>
          <w:szCs w:val="24"/>
        </w:rPr>
        <w:t xml:space="preserve">obtenir le statut </w:t>
      </w:r>
      <w:r w:rsidR="00B23DEE" w:rsidRPr="004F261E">
        <w:rPr>
          <w:rFonts w:ascii="Times New Roman" w:eastAsia="Times New Roman" w:hAnsi="Times New Roman"/>
          <w:bCs/>
          <w:sz w:val="24"/>
          <w:szCs w:val="24"/>
        </w:rPr>
        <w:t>"</w:t>
      </w:r>
      <w:r w:rsidR="00C36DC5" w:rsidRPr="004F261E">
        <w:rPr>
          <w:rFonts w:ascii="Times New Roman" w:eastAsia="Times New Roman" w:hAnsi="Times New Roman"/>
          <w:bCs/>
          <w:sz w:val="24"/>
          <w:szCs w:val="24"/>
        </w:rPr>
        <w:t>A</w:t>
      </w:r>
      <w:r w:rsidR="00B23DEE" w:rsidRPr="004F261E">
        <w:rPr>
          <w:rFonts w:ascii="Times New Roman" w:eastAsia="Times New Roman" w:hAnsi="Times New Roman"/>
          <w:bCs/>
          <w:sz w:val="24"/>
          <w:szCs w:val="24"/>
        </w:rPr>
        <w:t>"</w:t>
      </w:r>
      <w:r w:rsidR="00C36DC5" w:rsidRPr="004F261E">
        <w:rPr>
          <w:rFonts w:ascii="Times New Roman" w:eastAsia="Times New Roman" w:hAnsi="Times New Roman"/>
          <w:bCs/>
          <w:sz w:val="24"/>
          <w:szCs w:val="24"/>
        </w:rPr>
        <w:t xml:space="preserve"> visé dans les principes de Paris, avec une autonomie financière. Par ailleurs quelque 2010 agents (1250 fonctionnaires et 850 hommes en armes) ont été sensibilisés sur les engagements du</w:t>
      </w:r>
      <w:r w:rsidR="00C36DC5" w:rsidRPr="00C36DC5">
        <w:rPr>
          <w:rFonts w:ascii="Times New Roman" w:eastAsia="Times New Roman" w:hAnsi="Times New Roman"/>
          <w:bCs/>
          <w:sz w:val="24"/>
          <w:szCs w:val="24"/>
        </w:rPr>
        <w:t xml:space="preserve"> Mali en matière de droits de l’Homme, de droits économiques, sociaux et culturels de l’équité du genre et des questions connexes. 280 magistrats ont également été formés à la gestion des violences basées sur le genre.</w:t>
      </w:r>
    </w:p>
    <w:p w14:paraId="734D6963" w14:textId="77777777" w:rsidR="00C36DC5" w:rsidRPr="00C36DC5" w:rsidRDefault="00C36DC5" w:rsidP="00C36DC5">
      <w:pPr>
        <w:spacing w:after="0" w:line="240" w:lineRule="auto"/>
        <w:jc w:val="both"/>
        <w:rPr>
          <w:rFonts w:ascii="Times New Roman" w:eastAsia="Times New Roman" w:hAnsi="Times New Roman"/>
          <w:bCs/>
          <w:sz w:val="24"/>
          <w:szCs w:val="24"/>
        </w:rPr>
      </w:pPr>
    </w:p>
    <w:p w14:paraId="7BD0FB9D" w14:textId="77777777" w:rsidR="00C36DC5" w:rsidRPr="00C36DC5" w:rsidRDefault="00454255" w:rsidP="00C36DC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6</w:t>
      </w:r>
      <w:r w:rsidR="000B5082">
        <w:rPr>
          <w:rFonts w:ascii="Times New Roman" w:eastAsia="Times New Roman" w:hAnsi="Times New Roman"/>
          <w:bCs/>
          <w:sz w:val="24"/>
          <w:szCs w:val="24"/>
        </w:rPr>
        <w:t>4</w:t>
      </w:r>
      <w:r>
        <w:rPr>
          <w:rFonts w:ascii="Times New Roman" w:eastAsia="Times New Roman" w:hAnsi="Times New Roman"/>
          <w:bCs/>
          <w:sz w:val="24"/>
          <w:szCs w:val="24"/>
        </w:rPr>
        <w:t>.</w:t>
      </w:r>
      <w:r w:rsidR="00C36DC5" w:rsidRPr="00C36DC5">
        <w:rPr>
          <w:rFonts w:ascii="Times New Roman" w:eastAsia="Times New Roman" w:hAnsi="Times New Roman"/>
          <w:bCs/>
          <w:sz w:val="24"/>
          <w:szCs w:val="24"/>
        </w:rPr>
        <w:tab/>
        <w:t>Dans le domaine des infrastructures aussi l’action du programme en faveur de la justice et de l’administration territoire a été importante, permettant ainsi de renforcer leur présence dans des territoires, au Nord et au Centre, où elles étaient absentes ou s’exerçaient dans des conditions difficiles. Dans le cadre d’une stratégie de redéploiement de l’administration dans ces régions, le service judiciaire a été notablement rapproché du justiciable, avec notamment la réhabilitation, la construction et l’équipement d’infrastructures d’accueil. Les services du commandement territorial, préfectures et sous-préfectures, ont connu les mêmes appuis. Un total de 44 infrastructures publics, de justice ou d’administration générale sont concernés dans ce cadre, représentant, à mi-parcours déjà, 68% de la cible qui est fixée à 65 unités. Hélas la recrudescence des actes de violence a engendré une dégradation des gains qui étaient obtenus dans ce cadre en termes d’effectifs ayant accès à la justice et aux autres services administratifs.</w:t>
      </w:r>
    </w:p>
    <w:p w14:paraId="1B51B198" w14:textId="77777777" w:rsidR="00C36DC5" w:rsidRPr="00C36DC5" w:rsidRDefault="00C36DC5" w:rsidP="00C36DC5">
      <w:pPr>
        <w:spacing w:after="0" w:line="240" w:lineRule="auto"/>
        <w:jc w:val="both"/>
        <w:rPr>
          <w:rFonts w:ascii="Times New Roman" w:eastAsia="Times New Roman" w:hAnsi="Times New Roman"/>
          <w:bCs/>
          <w:sz w:val="24"/>
          <w:szCs w:val="24"/>
        </w:rPr>
      </w:pPr>
    </w:p>
    <w:p w14:paraId="2816DBED" w14:textId="77777777" w:rsidR="00C36DC5" w:rsidRPr="004F261E" w:rsidRDefault="00454255" w:rsidP="00C36DC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6</w:t>
      </w:r>
      <w:r w:rsidR="000B5082">
        <w:rPr>
          <w:rFonts w:ascii="Times New Roman" w:eastAsia="Times New Roman" w:hAnsi="Times New Roman"/>
          <w:bCs/>
          <w:sz w:val="24"/>
          <w:szCs w:val="24"/>
        </w:rPr>
        <w:t>5</w:t>
      </w:r>
      <w:r>
        <w:rPr>
          <w:rFonts w:ascii="Times New Roman" w:eastAsia="Times New Roman" w:hAnsi="Times New Roman"/>
          <w:bCs/>
          <w:sz w:val="24"/>
          <w:szCs w:val="24"/>
        </w:rPr>
        <w:t>.</w:t>
      </w:r>
      <w:r w:rsidR="00C36DC5" w:rsidRPr="00C36DC5">
        <w:rPr>
          <w:rFonts w:ascii="Times New Roman" w:eastAsia="Times New Roman" w:hAnsi="Times New Roman"/>
          <w:bCs/>
          <w:sz w:val="24"/>
          <w:szCs w:val="24"/>
        </w:rPr>
        <w:tab/>
        <w:t xml:space="preserve">Au titre du troisième et dernier produit du Résultat, portant sur l’accompagnement de la décentralisation, l’assistance du programme qui a connu un regain de forces autour de 2015, avec un bon ancrage au sein de la Direction Générale des Collectivités Territoriales, a mis l’accent sur le développement institutionnel.  Les extrants suivants, notamment, </w:t>
      </w:r>
      <w:r w:rsidR="00B54B07">
        <w:rPr>
          <w:rFonts w:ascii="Times New Roman" w:eastAsia="Times New Roman" w:hAnsi="Times New Roman"/>
          <w:bCs/>
          <w:sz w:val="24"/>
          <w:szCs w:val="24"/>
        </w:rPr>
        <w:t xml:space="preserve">ont été obtenus dans ce cadre : </w:t>
      </w:r>
      <w:r w:rsidR="00C36DC5" w:rsidRPr="00C36DC5">
        <w:rPr>
          <w:rFonts w:ascii="Times New Roman" w:eastAsia="Times New Roman" w:hAnsi="Times New Roman"/>
          <w:bCs/>
          <w:sz w:val="24"/>
          <w:szCs w:val="24"/>
        </w:rPr>
        <w:t>Document Cadre de Politique Nationale de Décentralisation (DCPND) 2015-2024</w:t>
      </w:r>
      <w:r w:rsidR="00C36DC5" w:rsidRPr="004F261E">
        <w:rPr>
          <w:rFonts w:ascii="Times New Roman" w:eastAsia="Times New Roman" w:hAnsi="Times New Roman"/>
          <w:bCs/>
          <w:sz w:val="24"/>
          <w:szCs w:val="24"/>
        </w:rPr>
        <w:t xml:space="preserve">, </w:t>
      </w:r>
      <w:r w:rsidR="00B23DEE" w:rsidRPr="004F261E">
        <w:rPr>
          <w:rFonts w:ascii="Times New Roman" w:eastAsia="Times New Roman" w:hAnsi="Times New Roman"/>
          <w:bCs/>
          <w:sz w:val="24"/>
          <w:szCs w:val="24"/>
        </w:rPr>
        <w:t xml:space="preserve">et son plan d’actions de mis en œuvre, </w:t>
      </w:r>
      <w:r w:rsidR="00C36DC5" w:rsidRPr="004F261E">
        <w:rPr>
          <w:rFonts w:ascii="Times New Roman" w:eastAsia="Times New Roman" w:hAnsi="Times New Roman"/>
          <w:bCs/>
          <w:sz w:val="24"/>
          <w:szCs w:val="24"/>
        </w:rPr>
        <w:t>élaboré</w:t>
      </w:r>
      <w:r w:rsidR="00B23DEE" w:rsidRPr="004F261E">
        <w:rPr>
          <w:rFonts w:ascii="Times New Roman" w:eastAsia="Times New Roman" w:hAnsi="Times New Roman"/>
          <w:bCs/>
          <w:sz w:val="24"/>
          <w:szCs w:val="24"/>
        </w:rPr>
        <w:t>s</w:t>
      </w:r>
      <w:r w:rsidR="00C36DC5" w:rsidRPr="004F261E">
        <w:rPr>
          <w:rFonts w:ascii="Times New Roman" w:eastAsia="Times New Roman" w:hAnsi="Times New Roman"/>
          <w:bCs/>
          <w:sz w:val="24"/>
          <w:szCs w:val="24"/>
        </w:rPr>
        <w:t xml:space="preserve"> ; Programme de décentralisation inclusive pour la paix et la réconciliation (appui technique du BPPS) dédié à la mise en œuvre du volet décentralisation de l’Accord de Paix et Réconciliation du Mali. </w:t>
      </w:r>
    </w:p>
    <w:p w14:paraId="0FFFE66C" w14:textId="77777777" w:rsidR="00C36DC5" w:rsidRPr="004F261E" w:rsidRDefault="00C36DC5" w:rsidP="00C36DC5">
      <w:pPr>
        <w:spacing w:after="0" w:line="240" w:lineRule="auto"/>
        <w:jc w:val="both"/>
        <w:rPr>
          <w:rFonts w:ascii="Times New Roman" w:eastAsia="Times New Roman" w:hAnsi="Times New Roman"/>
          <w:bCs/>
          <w:sz w:val="24"/>
          <w:szCs w:val="24"/>
        </w:rPr>
      </w:pPr>
    </w:p>
    <w:p w14:paraId="6737701C" w14:textId="77777777" w:rsidR="00C36DC5" w:rsidRPr="00C36DC5" w:rsidRDefault="00454255" w:rsidP="00C36DC5">
      <w:pPr>
        <w:spacing w:after="0" w:line="240" w:lineRule="auto"/>
        <w:jc w:val="both"/>
        <w:rPr>
          <w:rFonts w:ascii="Times New Roman" w:eastAsia="Times New Roman" w:hAnsi="Times New Roman"/>
          <w:bCs/>
          <w:sz w:val="24"/>
          <w:szCs w:val="24"/>
        </w:rPr>
      </w:pPr>
      <w:r w:rsidRPr="004F261E">
        <w:rPr>
          <w:rFonts w:ascii="Times New Roman" w:eastAsia="Times New Roman" w:hAnsi="Times New Roman"/>
          <w:bCs/>
          <w:sz w:val="24"/>
          <w:szCs w:val="24"/>
        </w:rPr>
        <w:t>6</w:t>
      </w:r>
      <w:r w:rsidR="000B5082" w:rsidRPr="004F261E">
        <w:rPr>
          <w:rFonts w:ascii="Times New Roman" w:eastAsia="Times New Roman" w:hAnsi="Times New Roman"/>
          <w:bCs/>
          <w:sz w:val="24"/>
          <w:szCs w:val="24"/>
        </w:rPr>
        <w:t>6</w:t>
      </w:r>
      <w:r w:rsidRPr="004F261E">
        <w:rPr>
          <w:rFonts w:ascii="Times New Roman" w:eastAsia="Times New Roman" w:hAnsi="Times New Roman"/>
          <w:bCs/>
          <w:sz w:val="24"/>
          <w:szCs w:val="24"/>
        </w:rPr>
        <w:t>.</w:t>
      </w:r>
      <w:r w:rsidR="00C36DC5" w:rsidRPr="004F261E">
        <w:rPr>
          <w:rFonts w:ascii="Times New Roman" w:eastAsia="Times New Roman" w:hAnsi="Times New Roman"/>
          <w:bCs/>
          <w:sz w:val="24"/>
          <w:szCs w:val="24"/>
        </w:rPr>
        <w:tab/>
        <w:t xml:space="preserve">Au niveau opérationnel, il y a la mise en état de fonctionnement des entités territoriales et locales, et l’assistance aux Organisations Communautaires de Base, dans les régions de Kidal, Tombouctou, Gao et Mopti. Dans ce cadre, la capacité de travail des collectivités territoriales a </w:t>
      </w:r>
      <w:r w:rsidR="00C36DC5" w:rsidRPr="004F261E">
        <w:rPr>
          <w:rFonts w:ascii="Times New Roman" w:eastAsia="Times New Roman" w:hAnsi="Times New Roman"/>
          <w:bCs/>
          <w:sz w:val="24"/>
          <w:szCs w:val="24"/>
        </w:rPr>
        <w:lastRenderedPageBreak/>
        <w:t xml:space="preserve">été restaurée en les dotant en équipements et matériel de bureau. </w:t>
      </w:r>
      <w:r w:rsidR="00B23DEE" w:rsidRPr="004F261E">
        <w:rPr>
          <w:rFonts w:ascii="Times New Roman" w:eastAsia="Times New Roman" w:hAnsi="Times New Roman"/>
          <w:bCs/>
          <w:sz w:val="24"/>
          <w:szCs w:val="24"/>
        </w:rPr>
        <w:t>L’offre de 7 centres de santé communautaire a</w:t>
      </w:r>
      <w:r w:rsidR="00C36DC5" w:rsidRPr="004F261E">
        <w:rPr>
          <w:rFonts w:ascii="Times New Roman" w:eastAsia="Times New Roman" w:hAnsi="Times New Roman"/>
          <w:bCs/>
          <w:sz w:val="24"/>
          <w:szCs w:val="24"/>
        </w:rPr>
        <w:t xml:space="preserve"> également été </w:t>
      </w:r>
      <w:r w:rsidR="00B23DEE" w:rsidRPr="004F261E">
        <w:rPr>
          <w:rFonts w:ascii="Times New Roman" w:eastAsia="Times New Roman" w:hAnsi="Times New Roman"/>
          <w:bCs/>
          <w:sz w:val="24"/>
          <w:szCs w:val="24"/>
        </w:rPr>
        <w:t>renforcée</w:t>
      </w:r>
      <w:r w:rsidR="00C36DC5" w:rsidRPr="004F261E">
        <w:rPr>
          <w:rFonts w:ascii="Times New Roman" w:eastAsia="Times New Roman" w:hAnsi="Times New Roman"/>
          <w:bCs/>
          <w:sz w:val="24"/>
          <w:szCs w:val="24"/>
        </w:rPr>
        <w:t>. La distribution d'eau potable dans la commune de Mopti a été soutenue. Les femmes et les jeunes</w:t>
      </w:r>
      <w:r w:rsidR="00C36DC5" w:rsidRPr="00C36DC5">
        <w:rPr>
          <w:rFonts w:ascii="Times New Roman" w:eastAsia="Times New Roman" w:hAnsi="Times New Roman"/>
          <w:bCs/>
          <w:sz w:val="24"/>
          <w:szCs w:val="24"/>
        </w:rPr>
        <w:t>, les organisations de la société civile, ont bénéficié localement de renforcement de capacités en matière de prévention et gestion des conflits, culture de la paix et réconciliation.</w:t>
      </w:r>
    </w:p>
    <w:p w14:paraId="54D4C8D3" w14:textId="77777777" w:rsidR="00C36DC5" w:rsidRPr="00C36DC5" w:rsidRDefault="00C36DC5" w:rsidP="00C36DC5">
      <w:pPr>
        <w:spacing w:after="0" w:line="240" w:lineRule="auto"/>
        <w:jc w:val="both"/>
        <w:rPr>
          <w:rFonts w:ascii="Times New Roman" w:eastAsia="Times New Roman" w:hAnsi="Times New Roman"/>
          <w:bCs/>
          <w:sz w:val="24"/>
          <w:szCs w:val="24"/>
        </w:rPr>
      </w:pPr>
    </w:p>
    <w:p w14:paraId="02291AA7" w14:textId="77777777" w:rsidR="00C36DC5" w:rsidRDefault="00454255" w:rsidP="00C36DC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6</w:t>
      </w:r>
      <w:r w:rsidR="000B5082">
        <w:rPr>
          <w:rFonts w:ascii="Times New Roman" w:eastAsia="Times New Roman" w:hAnsi="Times New Roman"/>
          <w:bCs/>
          <w:sz w:val="24"/>
          <w:szCs w:val="24"/>
        </w:rPr>
        <w:t>7</w:t>
      </w:r>
      <w:r>
        <w:rPr>
          <w:rFonts w:ascii="Times New Roman" w:eastAsia="Times New Roman" w:hAnsi="Times New Roman"/>
          <w:bCs/>
          <w:sz w:val="24"/>
          <w:szCs w:val="24"/>
        </w:rPr>
        <w:t>.</w:t>
      </w:r>
      <w:r w:rsidR="00C36DC5" w:rsidRPr="00C36DC5">
        <w:rPr>
          <w:rFonts w:ascii="Times New Roman" w:eastAsia="Times New Roman" w:hAnsi="Times New Roman"/>
          <w:bCs/>
          <w:sz w:val="24"/>
          <w:szCs w:val="24"/>
        </w:rPr>
        <w:tab/>
        <w:t>L’environnement de la décentralisation a également profité des appuis prodigué par le programme au système d’état civil. En effet cette assistance a contribué à finaliser le RAVEC et ses mises à jour : les élections communales qui se sont tenues ont été faites sur la base du fichier électoral issu de ce recensement : 7.556.953 d’électeurs enregistrés sur une population recensées de 14.529.317 habitants. Le "Nombre de domaine de compétences transférés aux collectivités territoriales", retenu comme indicateur du produit, a été retraité vers la matrice des effets (plus bas), car il s’agit d’un indicateur d’effet et non de produit : le programme ne peut pas être comptable à lui seul de dispositions législatives de transfert de compétences du niveau central au niveau local.</w:t>
      </w:r>
    </w:p>
    <w:p w14:paraId="7DF01D87" w14:textId="77777777" w:rsidR="00B002E3" w:rsidRDefault="00B002E3" w:rsidP="00B002E3">
      <w:pPr>
        <w:pStyle w:val="Titre1"/>
        <w:spacing w:before="0" w:line="240" w:lineRule="auto"/>
        <w:rPr>
          <w:rFonts w:ascii="Times New Roman" w:hAnsi="Times New Roman"/>
          <w:color w:val="auto"/>
          <w:sz w:val="24"/>
          <w:szCs w:val="24"/>
        </w:rPr>
      </w:pPr>
    </w:p>
    <w:p w14:paraId="7FA9D255" w14:textId="77777777" w:rsidR="00B002E3" w:rsidRPr="000442E1" w:rsidRDefault="00B002E3" w:rsidP="00B002E3">
      <w:pPr>
        <w:pStyle w:val="Titre1"/>
        <w:spacing w:before="0" w:line="240" w:lineRule="auto"/>
        <w:rPr>
          <w:rFonts w:ascii="Times New Roman" w:hAnsi="Times New Roman"/>
          <w:color w:val="auto"/>
          <w:sz w:val="24"/>
          <w:szCs w:val="24"/>
        </w:rPr>
      </w:pPr>
      <w:bookmarkStart w:id="125" w:name="_Toc499211616"/>
      <w:bookmarkStart w:id="126" w:name="_Toc499213889"/>
      <w:r w:rsidRPr="000442E1">
        <w:rPr>
          <w:rFonts w:ascii="Times New Roman" w:hAnsi="Times New Roman"/>
          <w:color w:val="auto"/>
          <w:sz w:val="24"/>
          <w:szCs w:val="24"/>
        </w:rPr>
        <w:t xml:space="preserve">Tableau </w:t>
      </w:r>
      <w:r>
        <w:rPr>
          <w:rFonts w:ascii="Times New Roman" w:hAnsi="Times New Roman"/>
          <w:color w:val="auto"/>
          <w:sz w:val="24"/>
          <w:szCs w:val="24"/>
        </w:rPr>
        <w:t>10</w:t>
      </w:r>
      <w:r w:rsidRPr="000442E1">
        <w:rPr>
          <w:rFonts w:ascii="Times New Roman" w:hAnsi="Times New Roman"/>
          <w:color w:val="auto"/>
          <w:sz w:val="24"/>
          <w:szCs w:val="24"/>
        </w:rPr>
        <w:t xml:space="preserve"> : </w:t>
      </w:r>
      <w:r>
        <w:rPr>
          <w:rFonts w:ascii="Times New Roman" w:hAnsi="Times New Roman"/>
          <w:color w:val="auto"/>
          <w:sz w:val="24"/>
          <w:szCs w:val="24"/>
        </w:rPr>
        <w:t>Effet 3 /Contribution du Programme</w:t>
      </w:r>
      <w:bookmarkEnd w:id="125"/>
      <w:bookmarkEnd w:id="126"/>
    </w:p>
    <w:p w14:paraId="30F6F540" w14:textId="77777777" w:rsidR="00B002E3" w:rsidRPr="00C36DC5" w:rsidRDefault="00B002E3" w:rsidP="00C36DC5">
      <w:pPr>
        <w:spacing w:after="0" w:line="240" w:lineRule="auto"/>
        <w:jc w:val="both"/>
        <w:rPr>
          <w:rFonts w:ascii="Times New Roman" w:eastAsia="Times New Roman" w:hAnsi="Times New Roman"/>
          <w:bCs/>
          <w:sz w:val="24"/>
          <w:szCs w:val="24"/>
        </w:rPr>
      </w:pPr>
    </w:p>
    <w:tbl>
      <w:tblPr>
        <w:tblpPr w:leftFromText="141" w:rightFromText="141" w:vertAnchor="text" w:horzAnchor="margin" w:tblpXSpec="center" w:tblpY="40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3313"/>
        <w:gridCol w:w="3743"/>
        <w:gridCol w:w="656"/>
        <w:gridCol w:w="656"/>
        <w:gridCol w:w="644"/>
      </w:tblGrid>
      <w:tr w:rsidR="00C36DC5" w:rsidRPr="00C36DC5" w14:paraId="3CBEA03A" w14:textId="77777777" w:rsidTr="00C36DC5">
        <w:tc>
          <w:tcPr>
            <w:tcW w:w="1869" w:type="dxa"/>
            <w:vMerge w:val="restart"/>
            <w:shd w:val="clear" w:color="auto" w:fill="F2F2F2" w:themeFill="background1" w:themeFillShade="F2"/>
            <w:vAlign w:val="center"/>
          </w:tcPr>
          <w:p w14:paraId="0D2B6129" w14:textId="77777777" w:rsidR="00C36DC5" w:rsidRPr="00C36DC5" w:rsidRDefault="00C36DC5" w:rsidP="00C36DC5">
            <w:pPr>
              <w:spacing w:after="0" w:line="240" w:lineRule="auto"/>
              <w:jc w:val="both"/>
              <w:rPr>
                <w:rFonts w:ascii="Times New Roman" w:eastAsia="Times New Roman" w:hAnsi="Times New Roman"/>
                <w:b/>
                <w:bCs/>
                <w:sz w:val="20"/>
                <w:szCs w:val="20"/>
              </w:rPr>
            </w:pPr>
            <w:r w:rsidRPr="00C36DC5">
              <w:rPr>
                <w:rFonts w:ascii="Times New Roman" w:eastAsia="Times New Roman" w:hAnsi="Times New Roman"/>
                <w:b/>
                <w:bCs/>
                <w:sz w:val="20"/>
                <w:szCs w:val="20"/>
              </w:rPr>
              <w:t>Résultat/Effet 3</w:t>
            </w:r>
          </w:p>
        </w:tc>
        <w:tc>
          <w:tcPr>
            <w:tcW w:w="3313" w:type="dxa"/>
            <w:vMerge w:val="restart"/>
            <w:shd w:val="clear" w:color="auto" w:fill="F2F2F2" w:themeFill="background1" w:themeFillShade="F2"/>
            <w:vAlign w:val="center"/>
          </w:tcPr>
          <w:p w14:paraId="543B0B41" w14:textId="77777777" w:rsidR="00C36DC5" w:rsidRPr="00C36DC5" w:rsidRDefault="00C36DC5" w:rsidP="00C36DC5">
            <w:pPr>
              <w:spacing w:after="0" w:line="240" w:lineRule="auto"/>
              <w:jc w:val="both"/>
              <w:rPr>
                <w:rFonts w:ascii="Times New Roman" w:eastAsia="Times New Roman" w:hAnsi="Times New Roman"/>
                <w:b/>
                <w:bCs/>
                <w:sz w:val="20"/>
                <w:szCs w:val="20"/>
              </w:rPr>
            </w:pPr>
            <w:r w:rsidRPr="00C36DC5">
              <w:rPr>
                <w:rFonts w:ascii="Times New Roman" w:eastAsia="Times New Roman" w:hAnsi="Times New Roman"/>
                <w:b/>
                <w:bCs/>
                <w:sz w:val="20"/>
                <w:szCs w:val="20"/>
              </w:rPr>
              <w:t>Planification</w:t>
            </w:r>
          </w:p>
        </w:tc>
        <w:tc>
          <w:tcPr>
            <w:tcW w:w="5699" w:type="dxa"/>
            <w:gridSpan w:val="4"/>
            <w:shd w:val="clear" w:color="auto" w:fill="F2F2F2" w:themeFill="background1" w:themeFillShade="F2"/>
            <w:vAlign w:val="center"/>
          </w:tcPr>
          <w:p w14:paraId="782BA0A4" w14:textId="77777777" w:rsidR="00C36DC5" w:rsidRPr="00C36DC5" w:rsidRDefault="00C36DC5" w:rsidP="00C36DC5">
            <w:pPr>
              <w:spacing w:after="0" w:line="240" w:lineRule="auto"/>
              <w:jc w:val="both"/>
              <w:rPr>
                <w:rFonts w:ascii="Times New Roman" w:eastAsia="Times New Roman" w:hAnsi="Times New Roman"/>
                <w:b/>
                <w:bCs/>
                <w:sz w:val="20"/>
                <w:szCs w:val="20"/>
              </w:rPr>
            </w:pPr>
            <w:r w:rsidRPr="00C36DC5">
              <w:rPr>
                <w:rFonts w:ascii="Times New Roman" w:eastAsia="Times New Roman" w:hAnsi="Times New Roman"/>
                <w:b/>
                <w:bCs/>
                <w:sz w:val="20"/>
                <w:szCs w:val="20"/>
              </w:rPr>
              <w:t>Exécution</w:t>
            </w:r>
          </w:p>
        </w:tc>
      </w:tr>
      <w:tr w:rsidR="00C36DC5" w:rsidRPr="00C36DC5" w14:paraId="396E70F8" w14:textId="77777777" w:rsidTr="00C36DC5">
        <w:tc>
          <w:tcPr>
            <w:tcW w:w="1869" w:type="dxa"/>
            <w:vMerge/>
            <w:shd w:val="clear" w:color="auto" w:fill="F2F2F2" w:themeFill="background1" w:themeFillShade="F2"/>
            <w:vAlign w:val="center"/>
          </w:tcPr>
          <w:p w14:paraId="7815933B" w14:textId="77777777" w:rsidR="00C36DC5" w:rsidRPr="00C36DC5" w:rsidRDefault="00C36DC5" w:rsidP="00C36DC5">
            <w:pPr>
              <w:spacing w:after="0" w:line="240" w:lineRule="auto"/>
              <w:jc w:val="both"/>
              <w:rPr>
                <w:rFonts w:ascii="Times New Roman" w:eastAsia="Times New Roman" w:hAnsi="Times New Roman"/>
                <w:b/>
                <w:bCs/>
                <w:sz w:val="20"/>
                <w:szCs w:val="20"/>
              </w:rPr>
            </w:pPr>
          </w:p>
        </w:tc>
        <w:tc>
          <w:tcPr>
            <w:tcW w:w="3313" w:type="dxa"/>
            <w:vMerge/>
            <w:shd w:val="clear" w:color="auto" w:fill="F2F2F2" w:themeFill="background1" w:themeFillShade="F2"/>
            <w:vAlign w:val="center"/>
          </w:tcPr>
          <w:p w14:paraId="6EBE272E" w14:textId="77777777" w:rsidR="00C36DC5" w:rsidRPr="00C36DC5" w:rsidRDefault="00C36DC5" w:rsidP="00C36DC5">
            <w:pPr>
              <w:spacing w:after="0" w:line="240" w:lineRule="auto"/>
              <w:jc w:val="both"/>
              <w:rPr>
                <w:rFonts w:ascii="Times New Roman" w:eastAsia="Times New Roman" w:hAnsi="Times New Roman"/>
                <w:b/>
                <w:bCs/>
                <w:sz w:val="20"/>
                <w:szCs w:val="20"/>
              </w:rPr>
            </w:pPr>
          </w:p>
        </w:tc>
        <w:tc>
          <w:tcPr>
            <w:tcW w:w="3743" w:type="dxa"/>
            <w:vMerge w:val="restart"/>
            <w:shd w:val="clear" w:color="auto" w:fill="F2F2F2" w:themeFill="background1" w:themeFillShade="F2"/>
            <w:vAlign w:val="center"/>
          </w:tcPr>
          <w:p w14:paraId="0FF20D85" w14:textId="77777777" w:rsidR="00C36DC5" w:rsidRPr="00C36DC5" w:rsidRDefault="00C36DC5" w:rsidP="00C36DC5">
            <w:pPr>
              <w:spacing w:after="0" w:line="240" w:lineRule="auto"/>
              <w:jc w:val="both"/>
              <w:rPr>
                <w:rFonts w:ascii="Times New Roman" w:eastAsia="Times New Roman" w:hAnsi="Times New Roman"/>
                <w:b/>
                <w:bCs/>
                <w:sz w:val="20"/>
                <w:szCs w:val="20"/>
              </w:rPr>
            </w:pPr>
            <w:r w:rsidRPr="00C36DC5">
              <w:rPr>
                <w:rFonts w:ascii="Times New Roman" w:eastAsia="Times New Roman" w:hAnsi="Times New Roman"/>
                <w:b/>
                <w:bCs/>
                <w:sz w:val="20"/>
                <w:szCs w:val="20"/>
              </w:rPr>
              <w:t>Réalisations/Livraisons</w:t>
            </w:r>
          </w:p>
        </w:tc>
        <w:tc>
          <w:tcPr>
            <w:tcW w:w="1956" w:type="dxa"/>
            <w:gridSpan w:val="3"/>
            <w:shd w:val="clear" w:color="auto" w:fill="F2F2F2" w:themeFill="background1" w:themeFillShade="F2"/>
            <w:vAlign w:val="center"/>
          </w:tcPr>
          <w:p w14:paraId="53FD59E4" w14:textId="77777777" w:rsidR="00C36DC5" w:rsidRPr="00C36DC5" w:rsidRDefault="00C36DC5" w:rsidP="00C36DC5">
            <w:pPr>
              <w:spacing w:after="0" w:line="240" w:lineRule="auto"/>
              <w:jc w:val="both"/>
              <w:rPr>
                <w:rFonts w:ascii="Times New Roman" w:eastAsia="Times New Roman" w:hAnsi="Times New Roman"/>
                <w:b/>
                <w:bCs/>
                <w:sz w:val="20"/>
                <w:szCs w:val="20"/>
              </w:rPr>
            </w:pPr>
            <w:r w:rsidRPr="00C36DC5">
              <w:rPr>
                <w:rFonts w:ascii="Times New Roman" w:eastAsia="Times New Roman" w:hAnsi="Times New Roman"/>
                <w:b/>
                <w:bCs/>
                <w:sz w:val="20"/>
                <w:szCs w:val="20"/>
              </w:rPr>
              <w:t>Rating</w:t>
            </w:r>
          </w:p>
        </w:tc>
      </w:tr>
      <w:tr w:rsidR="00C36DC5" w:rsidRPr="00C36DC5" w14:paraId="06346086" w14:textId="77777777" w:rsidTr="00C36DC5">
        <w:trPr>
          <w:trHeight w:val="370"/>
        </w:trPr>
        <w:tc>
          <w:tcPr>
            <w:tcW w:w="1869" w:type="dxa"/>
            <w:shd w:val="clear" w:color="auto" w:fill="F2F2F2" w:themeFill="background1" w:themeFillShade="F2"/>
            <w:vAlign w:val="center"/>
          </w:tcPr>
          <w:p w14:paraId="5CF0BE92" w14:textId="77777777" w:rsidR="00C36DC5" w:rsidRPr="00C36DC5" w:rsidRDefault="00C36DC5" w:rsidP="00C36DC5">
            <w:pPr>
              <w:spacing w:after="0" w:line="240" w:lineRule="auto"/>
              <w:jc w:val="both"/>
              <w:rPr>
                <w:rFonts w:ascii="Times New Roman" w:eastAsia="Times New Roman" w:hAnsi="Times New Roman"/>
                <w:b/>
                <w:bCs/>
                <w:sz w:val="20"/>
                <w:szCs w:val="20"/>
              </w:rPr>
            </w:pPr>
            <w:r w:rsidRPr="00C36DC5">
              <w:rPr>
                <w:rFonts w:ascii="Times New Roman" w:eastAsia="Times New Roman" w:hAnsi="Times New Roman"/>
                <w:b/>
                <w:bCs/>
                <w:sz w:val="20"/>
                <w:szCs w:val="20"/>
              </w:rPr>
              <w:t>Produits 1-3</w:t>
            </w:r>
          </w:p>
        </w:tc>
        <w:tc>
          <w:tcPr>
            <w:tcW w:w="3313" w:type="dxa"/>
            <w:vMerge/>
            <w:shd w:val="clear" w:color="auto" w:fill="F2F2F2" w:themeFill="background1" w:themeFillShade="F2"/>
            <w:vAlign w:val="center"/>
          </w:tcPr>
          <w:p w14:paraId="1ACBD722" w14:textId="77777777" w:rsidR="00C36DC5" w:rsidRPr="00C36DC5" w:rsidRDefault="00C36DC5" w:rsidP="00C36DC5">
            <w:pPr>
              <w:spacing w:after="0" w:line="240" w:lineRule="auto"/>
              <w:jc w:val="both"/>
              <w:rPr>
                <w:rFonts w:ascii="Times New Roman" w:eastAsia="Times New Roman" w:hAnsi="Times New Roman"/>
                <w:b/>
                <w:bCs/>
                <w:sz w:val="20"/>
                <w:szCs w:val="20"/>
              </w:rPr>
            </w:pPr>
          </w:p>
        </w:tc>
        <w:tc>
          <w:tcPr>
            <w:tcW w:w="3743" w:type="dxa"/>
            <w:vMerge/>
            <w:shd w:val="clear" w:color="auto" w:fill="F2F2F2" w:themeFill="background1" w:themeFillShade="F2"/>
            <w:vAlign w:val="center"/>
          </w:tcPr>
          <w:p w14:paraId="19090301" w14:textId="77777777" w:rsidR="00C36DC5" w:rsidRPr="00C36DC5" w:rsidRDefault="00C36DC5" w:rsidP="00C36DC5">
            <w:pPr>
              <w:spacing w:after="0" w:line="240" w:lineRule="auto"/>
              <w:jc w:val="both"/>
              <w:rPr>
                <w:rFonts w:ascii="Times New Roman" w:eastAsia="Times New Roman" w:hAnsi="Times New Roman"/>
                <w:b/>
                <w:bCs/>
                <w:sz w:val="20"/>
                <w:szCs w:val="20"/>
              </w:rPr>
            </w:pPr>
          </w:p>
        </w:tc>
        <w:tc>
          <w:tcPr>
            <w:tcW w:w="656" w:type="dxa"/>
            <w:shd w:val="clear" w:color="auto" w:fill="F2F2F2" w:themeFill="background1" w:themeFillShade="F2"/>
            <w:vAlign w:val="center"/>
          </w:tcPr>
          <w:p w14:paraId="09C4F411" w14:textId="77777777" w:rsidR="00C36DC5" w:rsidRPr="00C36DC5" w:rsidRDefault="00C36DC5" w:rsidP="00C36DC5">
            <w:pPr>
              <w:spacing w:after="0" w:line="240" w:lineRule="auto"/>
              <w:jc w:val="center"/>
              <w:rPr>
                <w:rFonts w:ascii="Times New Roman" w:eastAsia="Times New Roman" w:hAnsi="Times New Roman"/>
                <w:b/>
                <w:bCs/>
                <w:sz w:val="20"/>
                <w:szCs w:val="20"/>
              </w:rPr>
            </w:pPr>
            <w:r w:rsidRPr="00C36DC5">
              <w:rPr>
                <w:rFonts w:ascii="Times New Roman" w:eastAsia="Times New Roman" w:hAnsi="Times New Roman"/>
                <w:b/>
                <w:bCs/>
                <w:sz w:val="20"/>
                <w:szCs w:val="20"/>
              </w:rPr>
              <w:t>E</w:t>
            </w:r>
          </w:p>
        </w:tc>
        <w:tc>
          <w:tcPr>
            <w:tcW w:w="656" w:type="dxa"/>
            <w:shd w:val="clear" w:color="auto" w:fill="F2F2F2" w:themeFill="background1" w:themeFillShade="F2"/>
            <w:vAlign w:val="center"/>
          </w:tcPr>
          <w:p w14:paraId="63D3D437" w14:textId="77777777" w:rsidR="00C36DC5" w:rsidRPr="00C36DC5" w:rsidRDefault="00C36DC5" w:rsidP="00C36DC5">
            <w:pPr>
              <w:spacing w:after="0" w:line="240" w:lineRule="auto"/>
              <w:jc w:val="center"/>
              <w:rPr>
                <w:rFonts w:ascii="Times New Roman" w:eastAsia="Times New Roman" w:hAnsi="Times New Roman"/>
                <w:b/>
                <w:bCs/>
                <w:sz w:val="20"/>
                <w:szCs w:val="20"/>
              </w:rPr>
            </w:pPr>
            <w:r w:rsidRPr="00C36DC5">
              <w:rPr>
                <w:rFonts w:ascii="Times New Roman" w:eastAsia="Times New Roman" w:hAnsi="Times New Roman"/>
                <w:b/>
                <w:bCs/>
                <w:sz w:val="20"/>
                <w:szCs w:val="20"/>
              </w:rPr>
              <w:t>M</w:t>
            </w:r>
          </w:p>
        </w:tc>
        <w:tc>
          <w:tcPr>
            <w:tcW w:w="644" w:type="dxa"/>
            <w:shd w:val="clear" w:color="auto" w:fill="F2F2F2" w:themeFill="background1" w:themeFillShade="F2"/>
            <w:vAlign w:val="center"/>
          </w:tcPr>
          <w:p w14:paraId="508129FB" w14:textId="77777777" w:rsidR="00C36DC5" w:rsidRPr="00C36DC5" w:rsidRDefault="00C36DC5" w:rsidP="00C36DC5">
            <w:pPr>
              <w:spacing w:after="0" w:line="240" w:lineRule="auto"/>
              <w:jc w:val="center"/>
              <w:rPr>
                <w:rFonts w:ascii="Times New Roman" w:eastAsia="Times New Roman" w:hAnsi="Times New Roman"/>
                <w:b/>
                <w:bCs/>
                <w:sz w:val="20"/>
                <w:szCs w:val="20"/>
              </w:rPr>
            </w:pPr>
            <w:r w:rsidRPr="00C36DC5">
              <w:rPr>
                <w:rFonts w:ascii="Times New Roman" w:eastAsia="Times New Roman" w:hAnsi="Times New Roman"/>
                <w:b/>
                <w:bCs/>
                <w:sz w:val="20"/>
                <w:szCs w:val="20"/>
              </w:rPr>
              <w:t>F-N</w:t>
            </w:r>
          </w:p>
        </w:tc>
      </w:tr>
      <w:tr w:rsidR="00C36DC5" w:rsidRPr="00C36DC5" w14:paraId="390F97D1" w14:textId="77777777" w:rsidTr="00C36DC5">
        <w:tc>
          <w:tcPr>
            <w:tcW w:w="1869" w:type="dxa"/>
            <w:vMerge w:val="restart"/>
            <w:shd w:val="clear" w:color="auto" w:fill="F2F2F2" w:themeFill="background1" w:themeFillShade="F2"/>
            <w:vAlign w:val="center"/>
          </w:tcPr>
          <w:p w14:paraId="22679C18" w14:textId="77777777" w:rsidR="00C36DC5" w:rsidRPr="00C36DC5" w:rsidRDefault="00C36DC5" w:rsidP="00C36DC5">
            <w:p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Les capacités du Parlement</w:t>
            </w:r>
            <w:r w:rsidRPr="00C36DC5">
              <w:rPr>
                <w:rFonts w:ascii="Times New Roman" w:eastAsia="Times New Roman" w:hAnsi="Times New Roman"/>
                <w:b/>
                <w:bCs/>
                <w:sz w:val="20"/>
                <w:szCs w:val="20"/>
              </w:rPr>
              <w:t xml:space="preserve"> </w:t>
            </w:r>
            <w:r w:rsidRPr="00C36DC5">
              <w:rPr>
                <w:rFonts w:ascii="Times New Roman" w:eastAsia="Times New Roman" w:hAnsi="Times New Roman"/>
                <w:bCs/>
                <w:sz w:val="20"/>
                <w:szCs w:val="20"/>
              </w:rPr>
              <w:t>sont renforcées dans les matières législatives et le contrôle de l’action gouvernementale</w:t>
            </w:r>
          </w:p>
        </w:tc>
        <w:tc>
          <w:tcPr>
            <w:tcW w:w="3313" w:type="dxa"/>
            <w:vMerge w:val="restart"/>
            <w:shd w:val="clear" w:color="auto" w:fill="auto"/>
            <w:vAlign w:val="center"/>
          </w:tcPr>
          <w:p w14:paraId="7BDC0D05" w14:textId="77777777" w:rsidR="00C36DC5" w:rsidRPr="00C36DC5" w:rsidRDefault="00C36DC5" w:rsidP="00C36DC5">
            <w:p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Pourcentage de députés élus au suffrage direct ayant suivi une formation aux techniques de l’examen de la législation, du contrôle et de la transparence budgétaire</w:t>
            </w:r>
          </w:p>
          <w:p w14:paraId="43EC83E2" w14:textId="77777777" w:rsidR="00C36DC5" w:rsidRPr="00C36DC5" w:rsidRDefault="00C36DC5" w:rsidP="00D76EFA">
            <w:pPr>
              <w:numPr>
                <w:ilvl w:val="0"/>
                <w:numId w:val="51"/>
              </w:num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Réf : 20%</w:t>
            </w:r>
          </w:p>
          <w:p w14:paraId="638C53BC" w14:textId="77777777" w:rsidR="00C36DC5" w:rsidRPr="00C36DC5" w:rsidRDefault="00C36DC5" w:rsidP="00D76EFA">
            <w:pPr>
              <w:numPr>
                <w:ilvl w:val="0"/>
                <w:numId w:val="51"/>
              </w:num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Cible : 100%</w:t>
            </w:r>
          </w:p>
        </w:tc>
        <w:tc>
          <w:tcPr>
            <w:tcW w:w="3743" w:type="dxa"/>
            <w:vMerge w:val="restart"/>
            <w:shd w:val="clear" w:color="auto" w:fill="auto"/>
            <w:vAlign w:val="center"/>
          </w:tcPr>
          <w:p w14:paraId="19753CF3" w14:textId="77777777" w:rsidR="00C36DC5" w:rsidRPr="00C36DC5" w:rsidRDefault="00C36DC5" w:rsidP="00D76EFA">
            <w:pPr>
              <w:numPr>
                <w:ilvl w:val="0"/>
                <w:numId w:val="88"/>
              </w:numPr>
              <w:spacing w:after="0" w:line="240" w:lineRule="auto"/>
              <w:rPr>
                <w:rFonts w:ascii="Times New Roman" w:eastAsia="Times New Roman" w:hAnsi="Times New Roman"/>
                <w:b/>
                <w:bCs/>
                <w:sz w:val="20"/>
                <w:szCs w:val="20"/>
              </w:rPr>
            </w:pPr>
            <w:r w:rsidRPr="00C36DC5">
              <w:rPr>
                <w:rFonts w:ascii="Times New Roman" w:eastAsia="Times New Roman" w:hAnsi="Times New Roman"/>
                <w:b/>
                <w:bCs/>
                <w:sz w:val="20"/>
                <w:szCs w:val="20"/>
              </w:rPr>
              <w:t>5 Groupes parlementaires formés en matière législative et de contrôle de l’action gouvernementale</w:t>
            </w:r>
          </w:p>
          <w:p w14:paraId="41AFEE19" w14:textId="77777777" w:rsidR="00C36DC5" w:rsidRPr="00C36DC5" w:rsidRDefault="00C36DC5" w:rsidP="00D76EFA">
            <w:pPr>
              <w:numPr>
                <w:ilvl w:val="0"/>
                <w:numId w:val="88"/>
              </w:numPr>
              <w:spacing w:after="0" w:line="240" w:lineRule="auto"/>
              <w:rPr>
                <w:rFonts w:ascii="Times New Roman" w:eastAsia="Times New Roman" w:hAnsi="Times New Roman"/>
                <w:bCs/>
                <w:sz w:val="20"/>
                <w:szCs w:val="20"/>
              </w:rPr>
            </w:pPr>
            <w:r w:rsidRPr="00C36DC5">
              <w:rPr>
                <w:rFonts w:ascii="Times New Roman" w:eastAsia="Times New Roman" w:hAnsi="Times New Roman"/>
                <w:b/>
                <w:bCs/>
                <w:sz w:val="20"/>
                <w:szCs w:val="20"/>
              </w:rPr>
              <w:t>11 Commissions techniques parlementaires formées aux techniques d’examen de lois et d’analyse budgétaire.</w:t>
            </w:r>
          </w:p>
        </w:tc>
        <w:tc>
          <w:tcPr>
            <w:tcW w:w="656" w:type="dxa"/>
            <w:shd w:val="clear" w:color="auto" w:fill="auto"/>
            <w:vAlign w:val="center"/>
          </w:tcPr>
          <w:p w14:paraId="154E1B4A" w14:textId="77777777" w:rsidR="00C36DC5" w:rsidRPr="00C36DC5" w:rsidRDefault="00C36DC5" w:rsidP="00C36DC5">
            <w:pPr>
              <w:spacing w:after="0" w:line="240" w:lineRule="auto"/>
              <w:jc w:val="both"/>
              <w:rPr>
                <w:rFonts w:ascii="Times New Roman" w:eastAsia="Times New Roman" w:hAnsi="Times New Roman"/>
                <w:bCs/>
                <w:sz w:val="20"/>
                <w:szCs w:val="20"/>
              </w:rPr>
            </w:pPr>
          </w:p>
        </w:tc>
        <w:tc>
          <w:tcPr>
            <w:tcW w:w="656" w:type="dxa"/>
            <w:shd w:val="clear" w:color="auto" w:fill="auto"/>
            <w:vAlign w:val="center"/>
          </w:tcPr>
          <w:p w14:paraId="70799011" w14:textId="77777777" w:rsidR="00C36DC5" w:rsidRPr="00C36DC5" w:rsidRDefault="00C36DC5" w:rsidP="00C36DC5">
            <w:pPr>
              <w:spacing w:after="0" w:line="240" w:lineRule="auto"/>
              <w:jc w:val="both"/>
              <w:rPr>
                <w:rFonts w:ascii="Times New Roman" w:eastAsia="Times New Roman" w:hAnsi="Times New Roman"/>
                <w:bCs/>
                <w:sz w:val="20"/>
                <w:szCs w:val="20"/>
              </w:rPr>
            </w:pPr>
          </w:p>
        </w:tc>
        <w:tc>
          <w:tcPr>
            <w:tcW w:w="644" w:type="dxa"/>
            <w:shd w:val="clear" w:color="auto" w:fill="auto"/>
            <w:vAlign w:val="center"/>
          </w:tcPr>
          <w:p w14:paraId="0298C022" w14:textId="77777777" w:rsidR="00C36DC5" w:rsidRPr="00C36DC5" w:rsidRDefault="00C36DC5" w:rsidP="00C36DC5">
            <w:pPr>
              <w:spacing w:after="0" w:line="240" w:lineRule="auto"/>
              <w:jc w:val="both"/>
              <w:rPr>
                <w:rFonts w:ascii="Times New Roman" w:eastAsia="Times New Roman" w:hAnsi="Times New Roman"/>
                <w:bCs/>
                <w:sz w:val="20"/>
                <w:szCs w:val="20"/>
              </w:rPr>
            </w:pPr>
          </w:p>
        </w:tc>
      </w:tr>
      <w:tr w:rsidR="00C36DC5" w:rsidRPr="00C36DC5" w14:paraId="56E0AB0A" w14:textId="77777777" w:rsidTr="00C36DC5">
        <w:tc>
          <w:tcPr>
            <w:tcW w:w="1869" w:type="dxa"/>
            <w:vMerge/>
            <w:shd w:val="clear" w:color="auto" w:fill="F2F2F2" w:themeFill="background1" w:themeFillShade="F2"/>
            <w:vAlign w:val="center"/>
          </w:tcPr>
          <w:p w14:paraId="26400100" w14:textId="77777777" w:rsidR="00C36DC5" w:rsidRPr="00C36DC5" w:rsidRDefault="00C36DC5" w:rsidP="00C36DC5">
            <w:pPr>
              <w:spacing w:after="0" w:line="240" w:lineRule="auto"/>
              <w:jc w:val="both"/>
              <w:rPr>
                <w:rFonts w:ascii="Times New Roman" w:eastAsia="Times New Roman" w:hAnsi="Times New Roman"/>
                <w:bCs/>
                <w:sz w:val="20"/>
                <w:szCs w:val="20"/>
              </w:rPr>
            </w:pPr>
          </w:p>
        </w:tc>
        <w:tc>
          <w:tcPr>
            <w:tcW w:w="3313" w:type="dxa"/>
            <w:vMerge/>
            <w:shd w:val="clear" w:color="auto" w:fill="FF0000"/>
            <w:vAlign w:val="center"/>
          </w:tcPr>
          <w:p w14:paraId="00731FD7" w14:textId="77777777" w:rsidR="00C36DC5" w:rsidRPr="00C36DC5" w:rsidRDefault="00C36DC5" w:rsidP="00C36DC5">
            <w:pPr>
              <w:spacing w:after="0" w:line="240" w:lineRule="auto"/>
              <w:jc w:val="both"/>
              <w:rPr>
                <w:rFonts w:ascii="Times New Roman" w:eastAsia="Times New Roman" w:hAnsi="Times New Roman"/>
                <w:bCs/>
                <w:sz w:val="20"/>
                <w:szCs w:val="20"/>
              </w:rPr>
            </w:pPr>
          </w:p>
        </w:tc>
        <w:tc>
          <w:tcPr>
            <w:tcW w:w="3743" w:type="dxa"/>
            <w:vMerge/>
            <w:shd w:val="clear" w:color="auto" w:fill="auto"/>
            <w:vAlign w:val="center"/>
          </w:tcPr>
          <w:p w14:paraId="5B992F7B" w14:textId="77777777" w:rsidR="00C36DC5" w:rsidRPr="00C36DC5" w:rsidRDefault="00C36DC5" w:rsidP="00C36DC5">
            <w:pPr>
              <w:spacing w:after="0" w:line="240" w:lineRule="auto"/>
              <w:jc w:val="both"/>
              <w:rPr>
                <w:rFonts w:ascii="Times New Roman" w:eastAsia="Times New Roman" w:hAnsi="Times New Roman"/>
                <w:bCs/>
                <w:sz w:val="20"/>
                <w:szCs w:val="20"/>
              </w:rPr>
            </w:pPr>
          </w:p>
        </w:tc>
        <w:tc>
          <w:tcPr>
            <w:tcW w:w="656" w:type="dxa"/>
            <w:shd w:val="clear" w:color="auto" w:fill="92D050"/>
            <w:vAlign w:val="center"/>
          </w:tcPr>
          <w:p w14:paraId="1EBF5A41" w14:textId="77777777" w:rsidR="00C36DC5" w:rsidRPr="00C36DC5" w:rsidRDefault="00C36DC5" w:rsidP="00C36DC5">
            <w:pPr>
              <w:spacing w:after="0" w:line="240" w:lineRule="auto"/>
              <w:jc w:val="both"/>
              <w:rPr>
                <w:rFonts w:ascii="Times New Roman" w:eastAsia="Times New Roman" w:hAnsi="Times New Roman"/>
                <w:bCs/>
                <w:sz w:val="20"/>
                <w:szCs w:val="20"/>
              </w:rPr>
            </w:pPr>
          </w:p>
        </w:tc>
        <w:tc>
          <w:tcPr>
            <w:tcW w:w="656" w:type="dxa"/>
            <w:shd w:val="clear" w:color="auto" w:fill="FFFF00"/>
            <w:vAlign w:val="center"/>
          </w:tcPr>
          <w:p w14:paraId="2DF62304" w14:textId="77777777" w:rsidR="00C36DC5" w:rsidRPr="00C36DC5" w:rsidRDefault="00C36DC5" w:rsidP="00C36DC5">
            <w:pPr>
              <w:spacing w:after="0" w:line="240" w:lineRule="auto"/>
              <w:jc w:val="both"/>
              <w:rPr>
                <w:rFonts w:ascii="Times New Roman" w:eastAsia="Times New Roman" w:hAnsi="Times New Roman"/>
                <w:bCs/>
                <w:sz w:val="20"/>
                <w:szCs w:val="20"/>
              </w:rPr>
            </w:pPr>
          </w:p>
        </w:tc>
        <w:tc>
          <w:tcPr>
            <w:tcW w:w="644" w:type="dxa"/>
            <w:shd w:val="clear" w:color="auto" w:fill="auto"/>
            <w:vAlign w:val="center"/>
          </w:tcPr>
          <w:p w14:paraId="56AA1B28" w14:textId="77777777" w:rsidR="00C36DC5" w:rsidRPr="00C36DC5" w:rsidRDefault="00C36DC5" w:rsidP="00C36DC5">
            <w:pPr>
              <w:spacing w:after="0" w:line="240" w:lineRule="auto"/>
              <w:jc w:val="both"/>
              <w:rPr>
                <w:rFonts w:ascii="Times New Roman" w:eastAsia="Times New Roman" w:hAnsi="Times New Roman"/>
                <w:bCs/>
                <w:sz w:val="20"/>
                <w:szCs w:val="20"/>
              </w:rPr>
            </w:pPr>
          </w:p>
        </w:tc>
      </w:tr>
      <w:tr w:rsidR="00C36DC5" w:rsidRPr="00C36DC5" w14:paraId="2A49B1EB" w14:textId="77777777" w:rsidTr="00C36DC5">
        <w:tc>
          <w:tcPr>
            <w:tcW w:w="1869" w:type="dxa"/>
            <w:vMerge w:val="restart"/>
            <w:shd w:val="clear" w:color="auto" w:fill="F2F2F2" w:themeFill="background1" w:themeFillShade="F2"/>
            <w:vAlign w:val="center"/>
          </w:tcPr>
          <w:p w14:paraId="040E92DA" w14:textId="77777777" w:rsidR="00C36DC5" w:rsidRPr="00C36DC5" w:rsidRDefault="00C36DC5" w:rsidP="00C36DC5">
            <w:p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La réforme de la justice et le</w:t>
            </w:r>
            <w:r w:rsidRPr="00C36DC5">
              <w:rPr>
                <w:rFonts w:ascii="Times New Roman" w:eastAsia="Times New Roman" w:hAnsi="Times New Roman"/>
                <w:b/>
                <w:bCs/>
                <w:sz w:val="20"/>
                <w:szCs w:val="20"/>
              </w:rPr>
              <w:t xml:space="preserve"> </w:t>
            </w:r>
            <w:r w:rsidRPr="00C36DC5">
              <w:rPr>
                <w:rFonts w:ascii="Times New Roman" w:eastAsia="Times New Roman" w:hAnsi="Times New Roman"/>
                <w:bCs/>
                <w:sz w:val="20"/>
                <w:szCs w:val="20"/>
              </w:rPr>
              <w:t>redéploiement de l’administration dans les régions de Gao, de Kidal et de Tombouctou sont consolidés pour renforcer l’autorité de l’État et la primauté du droit</w:t>
            </w:r>
          </w:p>
        </w:tc>
        <w:tc>
          <w:tcPr>
            <w:tcW w:w="3313" w:type="dxa"/>
            <w:shd w:val="clear" w:color="auto" w:fill="auto"/>
            <w:vAlign w:val="center"/>
          </w:tcPr>
          <w:p w14:paraId="3E245E1B" w14:textId="77777777" w:rsidR="00C36DC5" w:rsidRPr="00C36DC5" w:rsidRDefault="00C36DC5" w:rsidP="00C36DC5">
            <w:p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Nombre de personnes ayant accès aux services judicaires</w:t>
            </w:r>
          </w:p>
          <w:p w14:paraId="143B1265" w14:textId="77777777" w:rsidR="00C36DC5" w:rsidRPr="00C36DC5" w:rsidRDefault="00C36DC5" w:rsidP="00D76EFA">
            <w:pPr>
              <w:numPr>
                <w:ilvl w:val="0"/>
                <w:numId w:val="52"/>
              </w:num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Réf : 3 millions</w:t>
            </w:r>
          </w:p>
          <w:p w14:paraId="393D6557" w14:textId="77777777" w:rsidR="00C36DC5" w:rsidRPr="00C36DC5" w:rsidRDefault="00C36DC5" w:rsidP="00D76EFA">
            <w:pPr>
              <w:numPr>
                <w:ilvl w:val="0"/>
                <w:numId w:val="52"/>
              </w:num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Cible : 9 millions</w:t>
            </w:r>
          </w:p>
        </w:tc>
        <w:tc>
          <w:tcPr>
            <w:tcW w:w="3743" w:type="dxa"/>
            <w:shd w:val="clear" w:color="auto" w:fill="auto"/>
            <w:vAlign w:val="center"/>
          </w:tcPr>
          <w:p w14:paraId="03657A60" w14:textId="77777777" w:rsidR="00C36DC5" w:rsidRPr="00C36DC5" w:rsidRDefault="00C36DC5" w:rsidP="00D76EFA">
            <w:pPr>
              <w:numPr>
                <w:ilvl w:val="0"/>
                <w:numId w:val="90"/>
              </w:numPr>
              <w:spacing w:after="0" w:line="240" w:lineRule="auto"/>
              <w:rPr>
                <w:rFonts w:ascii="Times New Roman" w:eastAsia="Times New Roman" w:hAnsi="Times New Roman"/>
                <w:b/>
                <w:bCs/>
                <w:sz w:val="20"/>
                <w:szCs w:val="20"/>
              </w:rPr>
            </w:pPr>
            <w:r w:rsidRPr="00C36DC5">
              <w:rPr>
                <w:rFonts w:ascii="Times New Roman" w:eastAsia="Times New Roman" w:hAnsi="Times New Roman"/>
                <w:b/>
                <w:bCs/>
                <w:sz w:val="20"/>
                <w:szCs w:val="20"/>
              </w:rPr>
              <w:t>2 996 000  personnes ont accès aux services de la justice en 2015 ; 3 360 000 personnes ont accès aux services de la justice en 2016</w:t>
            </w:r>
          </w:p>
          <w:p w14:paraId="67145817" w14:textId="77777777" w:rsidR="00C36DC5" w:rsidRPr="00C36DC5" w:rsidRDefault="00C36DC5" w:rsidP="00D76EFA">
            <w:pPr>
              <w:numPr>
                <w:ilvl w:val="0"/>
                <w:numId w:val="90"/>
              </w:numPr>
              <w:spacing w:after="0" w:line="240" w:lineRule="auto"/>
              <w:rPr>
                <w:rFonts w:ascii="Times New Roman" w:eastAsia="Times New Roman" w:hAnsi="Times New Roman"/>
                <w:b/>
                <w:bCs/>
                <w:sz w:val="20"/>
                <w:szCs w:val="20"/>
              </w:rPr>
            </w:pPr>
            <w:r w:rsidRPr="00C36DC5">
              <w:rPr>
                <w:rFonts w:ascii="Times New Roman" w:eastAsia="Times New Roman" w:hAnsi="Times New Roman"/>
                <w:b/>
                <w:bCs/>
                <w:sz w:val="20"/>
                <w:szCs w:val="20"/>
              </w:rPr>
              <w:t>2015-2016 : Progression de l’accès à la justice de : 11%. ; 37% de la cible de 9 millions</w:t>
            </w:r>
          </w:p>
          <w:p w14:paraId="1284526F" w14:textId="77777777" w:rsidR="00C36DC5" w:rsidRPr="00C36DC5" w:rsidRDefault="00C36DC5" w:rsidP="00D76EFA">
            <w:pPr>
              <w:numPr>
                <w:ilvl w:val="0"/>
                <w:numId w:val="90"/>
              </w:numPr>
              <w:spacing w:after="0" w:line="240" w:lineRule="auto"/>
              <w:rPr>
                <w:rFonts w:ascii="Times New Roman" w:eastAsia="Times New Roman" w:hAnsi="Times New Roman"/>
                <w:bCs/>
                <w:sz w:val="20"/>
                <w:szCs w:val="20"/>
              </w:rPr>
            </w:pPr>
            <w:r w:rsidRPr="00C36DC5">
              <w:rPr>
                <w:rFonts w:ascii="Times New Roman" w:eastAsia="Times New Roman" w:hAnsi="Times New Roman"/>
                <w:b/>
                <w:bCs/>
                <w:sz w:val="20"/>
                <w:szCs w:val="20"/>
              </w:rPr>
              <w:t>Conditions PNUD</w:t>
            </w:r>
            <w:r w:rsidRPr="00C36DC5">
              <w:rPr>
                <w:rFonts w:ascii="Times New Roman" w:eastAsia="Times New Roman" w:hAnsi="Times New Roman"/>
                <w:bCs/>
                <w:sz w:val="20"/>
                <w:szCs w:val="20"/>
              </w:rPr>
              <w:t> :</w:t>
            </w:r>
          </w:p>
          <w:p w14:paraId="795B2B43" w14:textId="77777777" w:rsidR="00C36DC5" w:rsidRPr="00C36DC5" w:rsidRDefault="00C36DC5" w:rsidP="00D76EFA">
            <w:pPr>
              <w:numPr>
                <w:ilvl w:val="0"/>
                <w:numId w:val="91"/>
              </w:numPr>
              <w:spacing w:after="0" w:line="240" w:lineRule="auto"/>
              <w:rPr>
                <w:rFonts w:ascii="Times New Roman" w:eastAsia="Times New Roman" w:hAnsi="Times New Roman"/>
                <w:bCs/>
                <w:sz w:val="20"/>
                <w:szCs w:val="20"/>
              </w:rPr>
            </w:pPr>
            <w:r w:rsidRPr="00C36DC5">
              <w:rPr>
                <w:rFonts w:ascii="Times New Roman" w:eastAsia="Times New Roman" w:hAnsi="Times New Roman"/>
                <w:bCs/>
                <w:sz w:val="20"/>
                <w:szCs w:val="20"/>
              </w:rPr>
              <w:t>Stratégie de réforme de la Justice, élaborée</w:t>
            </w:r>
          </w:p>
          <w:p w14:paraId="3997995C" w14:textId="77777777" w:rsidR="00C36DC5" w:rsidRPr="00C36DC5" w:rsidRDefault="00C36DC5" w:rsidP="00D76EFA">
            <w:pPr>
              <w:numPr>
                <w:ilvl w:val="0"/>
                <w:numId w:val="91"/>
              </w:numPr>
              <w:spacing w:after="0" w:line="240" w:lineRule="auto"/>
              <w:rPr>
                <w:rFonts w:ascii="Times New Roman" w:eastAsia="Times New Roman" w:hAnsi="Times New Roman"/>
                <w:bCs/>
                <w:sz w:val="20"/>
                <w:szCs w:val="20"/>
              </w:rPr>
            </w:pPr>
            <w:r w:rsidRPr="00C36DC5">
              <w:rPr>
                <w:rFonts w:ascii="Times New Roman" w:eastAsia="Times New Roman" w:hAnsi="Times New Roman"/>
                <w:bCs/>
                <w:sz w:val="20"/>
                <w:szCs w:val="20"/>
              </w:rPr>
              <w:t>Bureau du Médiateur de la république opérationnalisé</w:t>
            </w:r>
          </w:p>
          <w:p w14:paraId="07E3272E" w14:textId="77777777" w:rsidR="00C36DC5" w:rsidRPr="00C36DC5" w:rsidRDefault="00C36DC5" w:rsidP="00D76EFA">
            <w:pPr>
              <w:numPr>
                <w:ilvl w:val="0"/>
                <w:numId w:val="91"/>
              </w:numPr>
              <w:spacing w:after="0" w:line="240" w:lineRule="auto"/>
              <w:rPr>
                <w:rFonts w:ascii="Times New Roman" w:eastAsia="Times New Roman" w:hAnsi="Times New Roman"/>
                <w:bCs/>
                <w:sz w:val="20"/>
                <w:szCs w:val="20"/>
              </w:rPr>
            </w:pPr>
            <w:r w:rsidRPr="00C36DC5">
              <w:rPr>
                <w:rFonts w:ascii="Times New Roman" w:eastAsia="Times New Roman" w:hAnsi="Times New Roman"/>
                <w:bCs/>
                <w:sz w:val="20"/>
                <w:szCs w:val="20"/>
              </w:rPr>
              <w:t>Commission Nationale des Droits de l'Homme (CNDH), opérationnalisée</w:t>
            </w:r>
          </w:p>
          <w:p w14:paraId="3062D180" w14:textId="77777777" w:rsidR="00C36DC5" w:rsidRPr="00C36DC5" w:rsidRDefault="00C36DC5" w:rsidP="00D76EFA">
            <w:pPr>
              <w:numPr>
                <w:ilvl w:val="0"/>
                <w:numId w:val="91"/>
              </w:numPr>
              <w:spacing w:after="0" w:line="240" w:lineRule="auto"/>
              <w:rPr>
                <w:rFonts w:ascii="Times New Roman" w:eastAsia="Times New Roman" w:hAnsi="Times New Roman"/>
                <w:bCs/>
                <w:sz w:val="20"/>
                <w:szCs w:val="20"/>
              </w:rPr>
            </w:pPr>
            <w:r w:rsidRPr="00C36DC5">
              <w:rPr>
                <w:rFonts w:ascii="Times New Roman" w:eastAsia="Times New Roman" w:hAnsi="Times New Roman"/>
                <w:bCs/>
                <w:sz w:val="20"/>
                <w:szCs w:val="20"/>
              </w:rPr>
              <w:t>CNDH accède au obtenu le statut A, conforme aux principes de Paris avec une autonomie financière</w:t>
            </w:r>
          </w:p>
          <w:p w14:paraId="5A0BE168" w14:textId="77777777" w:rsidR="00C36DC5" w:rsidRPr="00C36DC5" w:rsidRDefault="00C36DC5" w:rsidP="00D76EFA">
            <w:pPr>
              <w:numPr>
                <w:ilvl w:val="0"/>
                <w:numId w:val="91"/>
              </w:numPr>
              <w:spacing w:after="0" w:line="240" w:lineRule="auto"/>
              <w:rPr>
                <w:rFonts w:ascii="Times New Roman" w:eastAsia="Times New Roman" w:hAnsi="Times New Roman"/>
                <w:bCs/>
                <w:sz w:val="20"/>
                <w:szCs w:val="20"/>
              </w:rPr>
            </w:pPr>
            <w:r w:rsidRPr="00C36DC5">
              <w:rPr>
                <w:rFonts w:ascii="Times New Roman" w:eastAsia="Times New Roman" w:hAnsi="Times New Roman"/>
                <w:bCs/>
                <w:sz w:val="20"/>
                <w:szCs w:val="20"/>
              </w:rPr>
              <w:t>2010 agents (1250 fonctionnaires et 850 hommes en armes) sensibilisés sur les engagements du Mali en matière de droits de l’Homme, de droits économiques, sociaux et culturels de l’équité du genre et des questions connexes</w:t>
            </w:r>
          </w:p>
          <w:p w14:paraId="14D33EAE" w14:textId="77777777" w:rsidR="00C36DC5" w:rsidRPr="00C36DC5" w:rsidRDefault="00C36DC5" w:rsidP="00D76EFA">
            <w:pPr>
              <w:numPr>
                <w:ilvl w:val="0"/>
                <w:numId w:val="89"/>
              </w:numPr>
              <w:spacing w:after="0" w:line="240" w:lineRule="auto"/>
              <w:rPr>
                <w:rFonts w:ascii="Times New Roman" w:eastAsia="Times New Roman" w:hAnsi="Times New Roman"/>
                <w:bCs/>
                <w:sz w:val="20"/>
                <w:szCs w:val="20"/>
              </w:rPr>
            </w:pPr>
            <w:r w:rsidRPr="00C36DC5">
              <w:rPr>
                <w:rFonts w:ascii="Times New Roman" w:eastAsia="Times New Roman" w:hAnsi="Times New Roman"/>
                <w:bCs/>
                <w:sz w:val="20"/>
                <w:szCs w:val="20"/>
              </w:rPr>
              <w:lastRenderedPageBreak/>
              <w:t>Juridictions dans les régions du Nord et dans la région de Mopti, opérationnalisées : postes de travail et résidences des magistrats réhabilités/reconstruites</w:t>
            </w:r>
          </w:p>
          <w:p w14:paraId="07186245" w14:textId="77777777" w:rsidR="00C36DC5" w:rsidRPr="00C36DC5" w:rsidRDefault="00C36DC5" w:rsidP="00D76EFA">
            <w:pPr>
              <w:numPr>
                <w:ilvl w:val="0"/>
                <w:numId w:val="89"/>
              </w:numPr>
              <w:spacing w:after="0" w:line="240" w:lineRule="auto"/>
              <w:rPr>
                <w:rFonts w:ascii="Times New Roman" w:eastAsia="Times New Roman" w:hAnsi="Times New Roman"/>
                <w:bCs/>
                <w:sz w:val="20"/>
                <w:szCs w:val="20"/>
              </w:rPr>
            </w:pPr>
            <w:r w:rsidRPr="00C36DC5">
              <w:rPr>
                <w:rFonts w:ascii="Times New Roman" w:eastAsia="Times New Roman" w:hAnsi="Times New Roman"/>
                <w:bCs/>
                <w:sz w:val="20"/>
                <w:szCs w:val="20"/>
              </w:rPr>
              <w:t>Retour des juges et dans les chefs-lieux de région (à relativiser selon CPS)</w:t>
            </w:r>
          </w:p>
          <w:p w14:paraId="4D7EA85D" w14:textId="77777777" w:rsidR="00C36DC5" w:rsidRPr="00C36DC5" w:rsidRDefault="00C36DC5" w:rsidP="00D76EFA">
            <w:pPr>
              <w:numPr>
                <w:ilvl w:val="0"/>
                <w:numId w:val="89"/>
              </w:numPr>
              <w:spacing w:after="0" w:line="240" w:lineRule="auto"/>
              <w:rPr>
                <w:rFonts w:ascii="Times New Roman" w:eastAsia="Times New Roman" w:hAnsi="Times New Roman"/>
                <w:bCs/>
                <w:sz w:val="20"/>
                <w:szCs w:val="20"/>
              </w:rPr>
            </w:pPr>
            <w:r w:rsidRPr="00C36DC5">
              <w:rPr>
                <w:rFonts w:ascii="Times New Roman" w:eastAsia="Times New Roman" w:hAnsi="Times New Roman"/>
                <w:bCs/>
                <w:sz w:val="20"/>
                <w:szCs w:val="20"/>
              </w:rPr>
              <w:t>280 magistrats et Auxiliaires de justice formés à la gestion et prévention des violences basées sur le genre (VBG).</w:t>
            </w:r>
          </w:p>
          <w:p w14:paraId="0F0DD393" w14:textId="77777777" w:rsidR="00C36DC5" w:rsidRPr="00C36DC5" w:rsidRDefault="00C36DC5" w:rsidP="00D76EFA">
            <w:pPr>
              <w:numPr>
                <w:ilvl w:val="0"/>
                <w:numId w:val="89"/>
              </w:numPr>
              <w:spacing w:after="0" w:line="240" w:lineRule="auto"/>
              <w:rPr>
                <w:rFonts w:ascii="Times New Roman" w:eastAsia="Times New Roman" w:hAnsi="Times New Roman"/>
                <w:bCs/>
                <w:sz w:val="20"/>
                <w:szCs w:val="20"/>
              </w:rPr>
            </w:pPr>
            <w:r w:rsidRPr="00C36DC5">
              <w:rPr>
                <w:rFonts w:ascii="Times New Roman" w:eastAsia="Times New Roman" w:hAnsi="Times New Roman"/>
                <w:bCs/>
                <w:sz w:val="20"/>
                <w:szCs w:val="20"/>
              </w:rPr>
              <w:t>Commission Justice, vérité et réconciliation (CVJR) rendue opérationnelle, à Bamako et dans les régions</w:t>
            </w:r>
          </w:p>
        </w:tc>
        <w:tc>
          <w:tcPr>
            <w:tcW w:w="656" w:type="dxa"/>
            <w:shd w:val="clear" w:color="auto" w:fill="auto"/>
            <w:vAlign w:val="center"/>
          </w:tcPr>
          <w:p w14:paraId="207A7570" w14:textId="77777777" w:rsidR="00C36DC5" w:rsidRPr="00C36DC5" w:rsidRDefault="00C36DC5" w:rsidP="00C36DC5">
            <w:pPr>
              <w:spacing w:after="0" w:line="240" w:lineRule="auto"/>
              <w:jc w:val="both"/>
              <w:rPr>
                <w:rFonts w:ascii="Times New Roman" w:eastAsia="Times New Roman" w:hAnsi="Times New Roman"/>
                <w:bCs/>
                <w:sz w:val="20"/>
                <w:szCs w:val="20"/>
              </w:rPr>
            </w:pPr>
          </w:p>
        </w:tc>
        <w:tc>
          <w:tcPr>
            <w:tcW w:w="656" w:type="dxa"/>
            <w:shd w:val="clear" w:color="auto" w:fill="FFC000"/>
            <w:vAlign w:val="center"/>
          </w:tcPr>
          <w:p w14:paraId="14F804A9" w14:textId="77777777" w:rsidR="00C36DC5" w:rsidRPr="00C36DC5" w:rsidRDefault="00C36DC5" w:rsidP="00C36DC5">
            <w:p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37%</w:t>
            </w:r>
          </w:p>
        </w:tc>
        <w:tc>
          <w:tcPr>
            <w:tcW w:w="644" w:type="dxa"/>
            <w:shd w:val="clear" w:color="auto" w:fill="auto"/>
            <w:vAlign w:val="center"/>
          </w:tcPr>
          <w:p w14:paraId="09D77900" w14:textId="77777777" w:rsidR="00C36DC5" w:rsidRPr="00C36DC5" w:rsidRDefault="00C36DC5" w:rsidP="00C36DC5">
            <w:pPr>
              <w:spacing w:after="0" w:line="240" w:lineRule="auto"/>
              <w:jc w:val="both"/>
              <w:rPr>
                <w:rFonts w:ascii="Times New Roman" w:eastAsia="Times New Roman" w:hAnsi="Times New Roman"/>
                <w:bCs/>
                <w:sz w:val="20"/>
                <w:szCs w:val="20"/>
              </w:rPr>
            </w:pPr>
          </w:p>
        </w:tc>
      </w:tr>
      <w:tr w:rsidR="00C36DC5" w:rsidRPr="00C36DC5" w14:paraId="79106BE3" w14:textId="77777777" w:rsidTr="00C36DC5">
        <w:tc>
          <w:tcPr>
            <w:tcW w:w="1869" w:type="dxa"/>
            <w:vMerge/>
            <w:shd w:val="clear" w:color="auto" w:fill="F2F2F2" w:themeFill="background1" w:themeFillShade="F2"/>
            <w:vAlign w:val="center"/>
          </w:tcPr>
          <w:p w14:paraId="683B51B2" w14:textId="77777777" w:rsidR="00C36DC5" w:rsidRPr="00C36DC5" w:rsidRDefault="00C36DC5" w:rsidP="00C36DC5">
            <w:pPr>
              <w:spacing w:after="0" w:line="240" w:lineRule="auto"/>
              <w:jc w:val="both"/>
              <w:rPr>
                <w:rFonts w:ascii="Times New Roman" w:eastAsia="Times New Roman" w:hAnsi="Times New Roman"/>
                <w:bCs/>
                <w:sz w:val="20"/>
                <w:szCs w:val="20"/>
              </w:rPr>
            </w:pPr>
          </w:p>
        </w:tc>
        <w:tc>
          <w:tcPr>
            <w:tcW w:w="3313" w:type="dxa"/>
            <w:shd w:val="clear" w:color="auto" w:fill="auto"/>
            <w:vAlign w:val="center"/>
          </w:tcPr>
          <w:p w14:paraId="46BA04E3" w14:textId="77777777" w:rsidR="00C36DC5" w:rsidRPr="00C36DC5" w:rsidRDefault="00C36DC5" w:rsidP="00C36DC5">
            <w:p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Nombre de structures réhabilitées, équipées et fonctionnelles parmi celles utilisées par les autorités locales, les administrations décentralisées et le secteur de la justice</w:t>
            </w:r>
          </w:p>
          <w:p w14:paraId="695A4F88" w14:textId="77777777" w:rsidR="00C36DC5" w:rsidRPr="00C36DC5" w:rsidRDefault="00C36DC5" w:rsidP="00D76EFA">
            <w:pPr>
              <w:numPr>
                <w:ilvl w:val="0"/>
                <w:numId w:val="53"/>
              </w:num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Réf : 10</w:t>
            </w:r>
          </w:p>
          <w:p w14:paraId="48A9F0CB" w14:textId="77777777" w:rsidR="00C36DC5" w:rsidRPr="00C36DC5" w:rsidRDefault="00C36DC5" w:rsidP="00D76EFA">
            <w:pPr>
              <w:numPr>
                <w:ilvl w:val="0"/>
                <w:numId w:val="53"/>
              </w:num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Cible : 65</w:t>
            </w:r>
          </w:p>
        </w:tc>
        <w:tc>
          <w:tcPr>
            <w:tcW w:w="3743" w:type="dxa"/>
            <w:shd w:val="clear" w:color="auto" w:fill="auto"/>
            <w:vAlign w:val="center"/>
          </w:tcPr>
          <w:p w14:paraId="3A87742A" w14:textId="77777777" w:rsidR="00C36DC5" w:rsidRPr="00C36DC5" w:rsidRDefault="00C36DC5" w:rsidP="00D76EFA">
            <w:pPr>
              <w:numPr>
                <w:ilvl w:val="0"/>
                <w:numId w:val="53"/>
              </w:num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44 infrastructures construites et ou réhabilitées et équipées dans les régions du Nord : tribunaux, maisons d’arrêt, préfectures, sous-préfectures et centres d’Etat civil</w:t>
            </w:r>
          </w:p>
        </w:tc>
        <w:tc>
          <w:tcPr>
            <w:tcW w:w="656" w:type="dxa"/>
            <w:shd w:val="clear" w:color="auto" w:fill="00B050"/>
            <w:vAlign w:val="center"/>
          </w:tcPr>
          <w:p w14:paraId="79802F9E" w14:textId="77777777" w:rsidR="00C36DC5" w:rsidRPr="00C36DC5" w:rsidRDefault="00C36DC5" w:rsidP="00C36DC5">
            <w:p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68%</w:t>
            </w:r>
          </w:p>
        </w:tc>
        <w:tc>
          <w:tcPr>
            <w:tcW w:w="656" w:type="dxa"/>
            <w:shd w:val="clear" w:color="auto" w:fill="auto"/>
            <w:vAlign w:val="center"/>
          </w:tcPr>
          <w:p w14:paraId="45AFC1BA" w14:textId="77777777" w:rsidR="00C36DC5" w:rsidRPr="00C36DC5" w:rsidRDefault="00C36DC5" w:rsidP="00C36DC5">
            <w:pPr>
              <w:spacing w:after="0" w:line="240" w:lineRule="auto"/>
              <w:jc w:val="both"/>
              <w:rPr>
                <w:rFonts w:ascii="Times New Roman" w:eastAsia="Times New Roman" w:hAnsi="Times New Roman"/>
                <w:bCs/>
                <w:sz w:val="20"/>
                <w:szCs w:val="20"/>
              </w:rPr>
            </w:pPr>
          </w:p>
        </w:tc>
        <w:tc>
          <w:tcPr>
            <w:tcW w:w="644" w:type="dxa"/>
            <w:shd w:val="clear" w:color="auto" w:fill="auto"/>
            <w:vAlign w:val="center"/>
          </w:tcPr>
          <w:p w14:paraId="02A7C3D5" w14:textId="77777777" w:rsidR="00C36DC5" w:rsidRPr="00C36DC5" w:rsidRDefault="00C36DC5" w:rsidP="00C36DC5">
            <w:pPr>
              <w:spacing w:after="0" w:line="240" w:lineRule="auto"/>
              <w:jc w:val="both"/>
              <w:rPr>
                <w:rFonts w:ascii="Times New Roman" w:eastAsia="Times New Roman" w:hAnsi="Times New Roman"/>
                <w:bCs/>
                <w:sz w:val="20"/>
                <w:szCs w:val="20"/>
              </w:rPr>
            </w:pPr>
          </w:p>
        </w:tc>
      </w:tr>
      <w:tr w:rsidR="00C36DC5" w:rsidRPr="00C36DC5" w14:paraId="601723C8" w14:textId="77777777" w:rsidTr="00C36DC5">
        <w:tc>
          <w:tcPr>
            <w:tcW w:w="1869" w:type="dxa"/>
            <w:vMerge w:val="restart"/>
            <w:shd w:val="clear" w:color="auto" w:fill="F2F2F2" w:themeFill="background1" w:themeFillShade="F2"/>
            <w:vAlign w:val="center"/>
          </w:tcPr>
          <w:p w14:paraId="0607D570" w14:textId="77777777" w:rsidR="00C36DC5" w:rsidRPr="00C36DC5" w:rsidRDefault="00C36DC5" w:rsidP="00C36DC5">
            <w:p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Les capacités institutionnelles des instances en charge de la décentralisation et de la société civile locale sont renforcées en vue du transfert</w:t>
            </w:r>
          </w:p>
          <w:p w14:paraId="7593D85D" w14:textId="77777777" w:rsidR="00C36DC5" w:rsidRPr="00C36DC5" w:rsidRDefault="00C36DC5" w:rsidP="00C36DC5">
            <w:p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effectif des pouvoirs et des ressources aux autorités locales</w:t>
            </w:r>
          </w:p>
        </w:tc>
        <w:tc>
          <w:tcPr>
            <w:tcW w:w="3313" w:type="dxa"/>
            <w:shd w:val="clear" w:color="auto" w:fill="auto"/>
            <w:vAlign w:val="center"/>
          </w:tcPr>
          <w:p w14:paraId="43E06E35" w14:textId="77777777" w:rsidR="00C36DC5" w:rsidRPr="00C36DC5" w:rsidRDefault="00C36DC5" w:rsidP="00C36DC5">
            <w:p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Nombre de domaines de</w:t>
            </w:r>
          </w:p>
          <w:p w14:paraId="13F0BC00" w14:textId="77777777" w:rsidR="00C36DC5" w:rsidRPr="00C36DC5" w:rsidRDefault="00C36DC5" w:rsidP="00C36DC5">
            <w:p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compétence transférés aux autorités</w:t>
            </w:r>
          </w:p>
          <w:p w14:paraId="15691030" w14:textId="77777777" w:rsidR="00C36DC5" w:rsidRPr="00C36DC5" w:rsidRDefault="00C36DC5" w:rsidP="00C36DC5">
            <w:p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locales</w:t>
            </w:r>
          </w:p>
          <w:p w14:paraId="7A9EC026" w14:textId="77777777" w:rsidR="00C36DC5" w:rsidRPr="00C36DC5" w:rsidRDefault="00C36DC5" w:rsidP="00D76EFA">
            <w:pPr>
              <w:numPr>
                <w:ilvl w:val="0"/>
                <w:numId w:val="54"/>
              </w:num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Réf : 3</w:t>
            </w:r>
          </w:p>
          <w:p w14:paraId="373E7348" w14:textId="77777777" w:rsidR="00C36DC5" w:rsidRPr="00C36DC5" w:rsidRDefault="00C36DC5" w:rsidP="00D76EFA">
            <w:pPr>
              <w:numPr>
                <w:ilvl w:val="0"/>
                <w:numId w:val="54"/>
              </w:num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Cible : 5</w:t>
            </w:r>
          </w:p>
        </w:tc>
        <w:tc>
          <w:tcPr>
            <w:tcW w:w="3743" w:type="dxa"/>
            <w:shd w:val="clear" w:color="auto" w:fill="auto"/>
            <w:vAlign w:val="center"/>
          </w:tcPr>
          <w:p w14:paraId="71D96632" w14:textId="77777777" w:rsidR="00C36DC5" w:rsidRPr="00C36DC5" w:rsidRDefault="00C36DC5" w:rsidP="00D76EFA">
            <w:pPr>
              <w:numPr>
                <w:ilvl w:val="0"/>
                <w:numId w:val="92"/>
              </w:numPr>
              <w:spacing w:after="0" w:line="240" w:lineRule="auto"/>
              <w:rPr>
                <w:rFonts w:ascii="Times New Roman" w:eastAsia="Times New Roman" w:hAnsi="Times New Roman"/>
                <w:bCs/>
                <w:sz w:val="20"/>
                <w:szCs w:val="20"/>
              </w:rPr>
            </w:pPr>
            <w:r w:rsidRPr="00C36DC5">
              <w:rPr>
                <w:rFonts w:ascii="Times New Roman" w:eastAsia="Times New Roman" w:hAnsi="Times New Roman"/>
                <w:bCs/>
                <w:sz w:val="20"/>
                <w:szCs w:val="20"/>
              </w:rPr>
              <w:t>2 nouvelles compétences transférées (Agriculture et Culture) en 2016 portant le nombre à 5 qui était la cible en 2019</w:t>
            </w:r>
          </w:p>
          <w:p w14:paraId="3C329296" w14:textId="77777777" w:rsidR="00C36DC5" w:rsidRPr="00C36DC5" w:rsidRDefault="00C36DC5" w:rsidP="00D76EFA">
            <w:pPr>
              <w:numPr>
                <w:ilvl w:val="0"/>
                <w:numId w:val="92"/>
              </w:numPr>
              <w:spacing w:after="0" w:line="240" w:lineRule="auto"/>
              <w:rPr>
                <w:rFonts w:ascii="Times New Roman" w:eastAsia="Times New Roman" w:hAnsi="Times New Roman"/>
                <w:b/>
                <w:bCs/>
                <w:sz w:val="20"/>
                <w:szCs w:val="20"/>
              </w:rPr>
            </w:pPr>
            <w:r w:rsidRPr="00C36DC5">
              <w:rPr>
                <w:rFonts w:ascii="Times New Roman" w:eastAsia="Times New Roman" w:hAnsi="Times New Roman"/>
                <w:b/>
                <w:bCs/>
                <w:sz w:val="20"/>
                <w:szCs w:val="20"/>
              </w:rPr>
              <w:t>Contributions de produit</w:t>
            </w:r>
          </w:p>
          <w:p w14:paraId="7B2E593C" w14:textId="77777777" w:rsidR="00C36DC5" w:rsidRPr="00C36DC5" w:rsidRDefault="00C36DC5" w:rsidP="00D76EFA">
            <w:pPr>
              <w:numPr>
                <w:ilvl w:val="0"/>
                <w:numId w:val="96"/>
              </w:numPr>
              <w:spacing w:after="0" w:line="240" w:lineRule="auto"/>
              <w:rPr>
                <w:rFonts w:ascii="Times New Roman" w:eastAsia="Times New Roman" w:hAnsi="Times New Roman"/>
                <w:bCs/>
                <w:sz w:val="20"/>
                <w:szCs w:val="20"/>
              </w:rPr>
            </w:pPr>
            <w:r w:rsidRPr="00C36DC5">
              <w:rPr>
                <w:rFonts w:ascii="Times New Roman" w:eastAsia="Times New Roman" w:hAnsi="Times New Roman"/>
                <w:bCs/>
                <w:sz w:val="20"/>
                <w:szCs w:val="20"/>
              </w:rPr>
              <w:t>Assistance technique et financière délivrée au Ministère en charge de la Décentralisation</w:t>
            </w:r>
          </w:p>
        </w:tc>
        <w:tc>
          <w:tcPr>
            <w:tcW w:w="656" w:type="dxa"/>
            <w:shd w:val="clear" w:color="auto" w:fill="92D050"/>
            <w:vAlign w:val="center"/>
          </w:tcPr>
          <w:p w14:paraId="3C223D58" w14:textId="77777777" w:rsidR="00C36DC5" w:rsidRPr="00C36DC5" w:rsidRDefault="00C36DC5" w:rsidP="00C36DC5">
            <w:p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65%</w:t>
            </w:r>
          </w:p>
        </w:tc>
        <w:tc>
          <w:tcPr>
            <w:tcW w:w="656" w:type="dxa"/>
            <w:shd w:val="clear" w:color="auto" w:fill="auto"/>
            <w:vAlign w:val="center"/>
          </w:tcPr>
          <w:p w14:paraId="08983E33" w14:textId="77777777" w:rsidR="00C36DC5" w:rsidRPr="00C36DC5" w:rsidRDefault="00C36DC5" w:rsidP="00C36DC5">
            <w:pPr>
              <w:spacing w:after="0" w:line="240" w:lineRule="auto"/>
              <w:jc w:val="both"/>
              <w:rPr>
                <w:rFonts w:ascii="Times New Roman" w:eastAsia="Times New Roman" w:hAnsi="Times New Roman"/>
                <w:bCs/>
                <w:sz w:val="20"/>
                <w:szCs w:val="20"/>
              </w:rPr>
            </w:pPr>
          </w:p>
        </w:tc>
        <w:tc>
          <w:tcPr>
            <w:tcW w:w="644" w:type="dxa"/>
            <w:shd w:val="clear" w:color="auto" w:fill="auto"/>
            <w:vAlign w:val="center"/>
          </w:tcPr>
          <w:p w14:paraId="5396ED36" w14:textId="77777777" w:rsidR="00C36DC5" w:rsidRPr="00C36DC5" w:rsidRDefault="00C36DC5" w:rsidP="00C36DC5">
            <w:pPr>
              <w:spacing w:after="0" w:line="240" w:lineRule="auto"/>
              <w:jc w:val="both"/>
              <w:rPr>
                <w:rFonts w:ascii="Times New Roman" w:eastAsia="Times New Roman" w:hAnsi="Times New Roman"/>
                <w:bCs/>
                <w:sz w:val="20"/>
                <w:szCs w:val="20"/>
              </w:rPr>
            </w:pPr>
          </w:p>
        </w:tc>
      </w:tr>
      <w:tr w:rsidR="00C36DC5" w:rsidRPr="00C36DC5" w14:paraId="3B09E3A1" w14:textId="77777777" w:rsidTr="00C36DC5">
        <w:tc>
          <w:tcPr>
            <w:tcW w:w="1869" w:type="dxa"/>
            <w:vMerge/>
            <w:shd w:val="clear" w:color="auto" w:fill="F2F2F2" w:themeFill="background1" w:themeFillShade="F2"/>
            <w:vAlign w:val="center"/>
          </w:tcPr>
          <w:p w14:paraId="72C49076" w14:textId="77777777" w:rsidR="00C36DC5" w:rsidRPr="00C36DC5" w:rsidRDefault="00C36DC5" w:rsidP="00C36DC5">
            <w:pPr>
              <w:spacing w:after="0" w:line="240" w:lineRule="auto"/>
              <w:jc w:val="both"/>
              <w:rPr>
                <w:rFonts w:ascii="Times New Roman" w:eastAsia="Times New Roman" w:hAnsi="Times New Roman"/>
                <w:bCs/>
                <w:sz w:val="20"/>
                <w:szCs w:val="20"/>
              </w:rPr>
            </w:pPr>
          </w:p>
        </w:tc>
        <w:tc>
          <w:tcPr>
            <w:tcW w:w="3313" w:type="dxa"/>
            <w:shd w:val="clear" w:color="auto" w:fill="auto"/>
            <w:vAlign w:val="center"/>
          </w:tcPr>
          <w:p w14:paraId="79E6F2C7" w14:textId="77777777" w:rsidR="00C36DC5" w:rsidRPr="00C36DC5" w:rsidRDefault="00C36DC5" w:rsidP="00C36DC5">
            <w:p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Proportion d’autorités locales organisant des débats budgétaires et publiant des rapports d’exécution budgétaire DFDF</w:t>
            </w:r>
          </w:p>
          <w:p w14:paraId="2BFCBC7F" w14:textId="77777777" w:rsidR="00C36DC5" w:rsidRPr="00C36DC5" w:rsidRDefault="00C36DC5" w:rsidP="00D76EFA">
            <w:pPr>
              <w:numPr>
                <w:ilvl w:val="0"/>
                <w:numId w:val="55"/>
              </w:num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Réf : 0%</w:t>
            </w:r>
          </w:p>
          <w:p w14:paraId="19D825E3" w14:textId="77777777" w:rsidR="00C36DC5" w:rsidRPr="00C36DC5" w:rsidRDefault="00C36DC5" w:rsidP="00D76EFA">
            <w:pPr>
              <w:numPr>
                <w:ilvl w:val="0"/>
                <w:numId w:val="55"/>
              </w:num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Cible : 35%</w:t>
            </w:r>
          </w:p>
        </w:tc>
        <w:tc>
          <w:tcPr>
            <w:tcW w:w="3743" w:type="dxa"/>
            <w:shd w:val="clear" w:color="auto" w:fill="auto"/>
            <w:vAlign w:val="center"/>
          </w:tcPr>
          <w:p w14:paraId="14322F76" w14:textId="77777777" w:rsidR="00C36DC5" w:rsidRPr="00C36DC5" w:rsidRDefault="00C36DC5" w:rsidP="00C36DC5">
            <w:pPr>
              <w:spacing w:after="0" w:line="240" w:lineRule="auto"/>
              <w:jc w:val="both"/>
              <w:rPr>
                <w:rFonts w:ascii="Times New Roman" w:eastAsia="Times New Roman" w:hAnsi="Times New Roman"/>
                <w:bCs/>
                <w:sz w:val="20"/>
                <w:szCs w:val="20"/>
              </w:rPr>
            </w:pPr>
          </w:p>
        </w:tc>
        <w:tc>
          <w:tcPr>
            <w:tcW w:w="656" w:type="dxa"/>
            <w:shd w:val="clear" w:color="auto" w:fill="auto"/>
            <w:vAlign w:val="center"/>
          </w:tcPr>
          <w:p w14:paraId="64538BF8" w14:textId="77777777" w:rsidR="00C36DC5" w:rsidRPr="00C36DC5" w:rsidRDefault="00C36DC5" w:rsidP="00C36DC5">
            <w:pPr>
              <w:spacing w:after="0" w:line="240" w:lineRule="auto"/>
              <w:jc w:val="both"/>
              <w:rPr>
                <w:rFonts w:ascii="Times New Roman" w:eastAsia="Times New Roman" w:hAnsi="Times New Roman"/>
                <w:bCs/>
                <w:sz w:val="20"/>
                <w:szCs w:val="20"/>
              </w:rPr>
            </w:pPr>
          </w:p>
        </w:tc>
        <w:tc>
          <w:tcPr>
            <w:tcW w:w="656" w:type="dxa"/>
            <w:shd w:val="clear" w:color="auto" w:fill="auto"/>
            <w:vAlign w:val="center"/>
          </w:tcPr>
          <w:p w14:paraId="742D9B95" w14:textId="77777777" w:rsidR="00C36DC5" w:rsidRPr="00C36DC5" w:rsidRDefault="00C36DC5" w:rsidP="00C36DC5">
            <w:pPr>
              <w:spacing w:after="0" w:line="240" w:lineRule="auto"/>
              <w:jc w:val="both"/>
              <w:rPr>
                <w:rFonts w:ascii="Times New Roman" w:eastAsia="Times New Roman" w:hAnsi="Times New Roman"/>
                <w:bCs/>
                <w:sz w:val="20"/>
                <w:szCs w:val="20"/>
              </w:rPr>
            </w:pPr>
          </w:p>
        </w:tc>
        <w:tc>
          <w:tcPr>
            <w:tcW w:w="644" w:type="dxa"/>
            <w:shd w:val="clear" w:color="auto" w:fill="auto"/>
            <w:vAlign w:val="center"/>
          </w:tcPr>
          <w:p w14:paraId="14B691F3" w14:textId="77777777" w:rsidR="00C36DC5" w:rsidRPr="00C36DC5" w:rsidRDefault="00C36DC5" w:rsidP="00C36DC5">
            <w:pPr>
              <w:spacing w:after="0" w:line="240" w:lineRule="auto"/>
              <w:jc w:val="both"/>
              <w:rPr>
                <w:rFonts w:ascii="Times New Roman" w:eastAsia="Times New Roman" w:hAnsi="Times New Roman"/>
                <w:bCs/>
                <w:sz w:val="20"/>
                <w:szCs w:val="20"/>
              </w:rPr>
            </w:pPr>
          </w:p>
        </w:tc>
      </w:tr>
      <w:tr w:rsidR="00C36DC5" w:rsidRPr="00C36DC5" w14:paraId="2D412CD0" w14:textId="77777777" w:rsidTr="00C36DC5">
        <w:tc>
          <w:tcPr>
            <w:tcW w:w="1869" w:type="dxa"/>
            <w:vMerge/>
            <w:shd w:val="clear" w:color="auto" w:fill="F2F2F2" w:themeFill="background1" w:themeFillShade="F2"/>
            <w:vAlign w:val="center"/>
          </w:tcPr>
          <w:p w14:paraId="056E74DA" w14:textId="77777777" w:rsidR="00C36DC5" w:rsidRPr="00C36DC5" w:rsidRDefault="00C36DC5" w:rsidP="00C36DC5">
            <w:pPr>
              <w:spacing w:after="0" w:line="240" w:lineRule="auto"/>
              <w:jc w:val="both"/>
              <w:rPr>
                <w:rFonts w:ascii="Times New Roman" w:eastAsia="Times New Roman" w:hAnsi="Times New Roman"/>
                <w:bCs/>
                <w:sz w:val="20"/>
                <w:szCs w:val="20"/>
              </w:rPr>
            </w:pPr>
          </w:p>
        </w:tc>
        <w:tc>
          <w:tcPr>
            <w:tcW w:w="3313" w:type="dxa"/>
            <w:shd w:val="clear" w:color="auto" w:fill="auto"/>
            <w:vAlign w:val="center"/>
          </w:tcPr>
          <w:p w14:paraId="79858F1B" w14:textId="77777777" w:rsidR="00C36DC5" w:rsidRPr="00C36DC5" w:rsidRDefault="00C36DC5" w:rsidP="00C36DC5">
            <w:p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Fichier électoral biométrique disponible et mis à jour en vue des élections locales</w:t>
            </w:r>
          </w:p>
          <w:p w14:paraId="13CFFCB1" w14:textId="77777777" w:rsidR="00C36DC5" w:rsidRPr="00C36DC5" w:rsidRDefault="00C36DC5" w:rsidP="00D76EFA">
            <w:pPr>
              <w:numPr>
                <w:ilvl w:val="0"/>
                <w:numId w:val="56"/>
              </w:num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Réf : 0</w:t>
            </w:r>
          </w:p>
          <w:p w14:paraId="2D1DCBC6" w14:textId="77777777" w:rsidR="00C36DC5" w:rsidRPr="00C36DC5" w:rsidRDefault="00C36DC5" w:rsidP="00D76EFA">
            <w:pPr>
              <w:numPr>
                <w:ilvl w:val="0"/>
                <w:numId w:val="56"/>
              </w:numPr>
              <w:spacing w:after="0" w:line="240" w:lineRule="auto"/>
              <w:jc w:val="both"/>
              <w:rPr>
                <w:rFonts w:ascii="Times New Roman" w:eastAsia="Times New Roman" w:hAnsi="Times New Roman"/>
                <w:bCs/>
                <w:sz w:val="20"/>
                <w:szCs w:val="20"/>
              </w:rPr>
            </w:pPr>
            <w:r w:rsidRPr="00C36DC5">
              <w:rPr>
                <w:rFonts w:ascii="Times New Roman" w:eastAsia="Times New Roman" w:hAnsi="Times New Roman"/>
                <w:bCs/>
                <w:sz w:val="20"/>
                <w:szCs w:val="20"/>
              </w:rPr>
              <w:t>Cible: 2 mises à jour</w:t>
            </w:r>
          </w:p>
        </w:tc>
        <w:tc>
          <w:tcPr>
            <w:tcW w:w="3743" w:type="dxa"/>
            <w:shd w:val="clear" w:color="auto" w:fill="auto"/>
            <w:vAlign w:val="center"/>
          </w:tcPr>
          <w:p w14:paraId="6B1F2A9E" w14:textId="77777777" w:rsidR="00C36DC5" w:rsidRPr="00C36DC5" w:rsidRDefault="00C36DC5" w:rsidP="00D76EFA">
            <w:pPr>
              <w:numPr>
                <w:ilvl w:val="0"/>
                <w:numId w:val="92"/>
              </w:numPr>
              <w:spacing w:after="0" w:line="240" w:lineRule="auto"/>
              <w:rPr>
                <w:rFonts w:ascii="Times New Roman" w:eastAsia="Times New Roman" w:hAnsi="Times New Roman"/>
                <w:bCs/>
                <w:sz w:val="20"/>
                <w:szCs w:val="20"/>
              </w:rPr>
            </w:pPr>
            <w:r w:rsidRPr="00C36DC5">
              <w:rPr>
                <w:rFonts w:ascii="Times New Roman" w:eastAsia="Times New Roman" w:hAnsi="Times New Roman"/>
                <w:bCs/>
                <w:sz w:val="20"/>
                <w:szCs w:val="20"/>
              </w:rPr>
              <w:t>Appui au RAVEC : 15.206.644  maliens ont été insérées dans le système ; dont  14.529.317 avec un NINA attribué, et 7.556.953 d’électeurs potentiels</w:t>
            </w:r>
          </w:p>
          <w:p w14:paraId="25B2D860" w14:textId="77777777" w:rsidR="00C36DC5" w:rsidRPr="00C36DC5" w:rsidRDefault="00C36DC5" w:rsidP="00C36DC5">
            <w:pPr>
              <w:spacing w:after="0" w:line="240" w:lineRule="auto"/>
              <w:rPr>
                <w:rFonts w:ascii="Times New Roman" w:eastAsia="Times New Roman" w:hAnsi="Times New Roman"/>
                <w:b/>
                <w:bCs/>
                <w:sz w:val="20"/>
                <w:szCs w:val="20"/>
              </w:rPr>
            </w:pPr>
            <w:r w:rsidRPr="00C36DC5">
              <w:rPr>
                <w:rFonts w:ascii="Times New Roman" w:eastAsia="Times New Roman" w:hAnsi="Times New Roman"/>
                <w:b/>
                <w:bCs/>
                <w:sz w:val="20"/>
                <w:szCs w:val="20"/>
              </w:rPr>
              <w:t>Contributions du programme</w:t>
            </w:r>
          </w:p>
          <w:p w14:paraId="5923A0C8" w14:textId="77777777" w:rsidR="00C36DC5" w:rsidRPr="00C36DC5" w:rsidRDefault="00C36DC5" w:rsidP="00D76EFA">
            <w:pPr>
              <w:numPr>
                <w:ilvl w:val="0"/>
                <w:numId w:val="93"/>
              </w:numPr>
              <w:spacing w:after="0" w:line="240" w:lineRule="auto"/>
              <w:rPr>
                <w:rFonts w:ascii="Times New Roman" w:eastAsia="Times New Roman" w:hAnsi="Times New Roman"/>
                <w:bCs/>
                <w:sz w:val="20"/>
                <w:szCs w:val="20"/>
              </w:rPr>
            </w:pPr>
            <w:r w:rsidRPr="00C36DC5">
              <w:rPr>
                <w:rFonts w:ascii="Times New Roman" w:eastAsia="Times New Roman" w:hAnsi="Times New Roman"/>
                <w:bCs/>
                <w:sz w:val="20"/>
                <w:szCs w:val="20"/>
              </w:rPr>
              <w:t>Mise en place d’unités de collecte des données de l’état civil dans les 703 communes du pays à travers la mise à disposition de moyens roulants, de mobiliers de bureaux et matériels informatiques, de panneaux scolaires</w:t>
            </w:r>
          </w:p>
          <w:p w14:paraId="46DC048E" w14:textId="77777777" w:rsidR="00C36DC5" w:rsidRPr="00C36DC5" w:rsidRDefault="00C36DC5" w:rsidP="00D76EFA">
            <w:pPr>
              <w:numPr>
                <w:ilvl w:val="0"/>
                <w:numId w:val="93"/>
              </w:numPr>
              <w:spacing w:after="0" w:line="240" w:lineRule="auto"/>
              <w:rPr>
                <w:rFonts w:ascii="Times New Roman" w:eastAsia="Times New Roman" w:hAnsi="Times New Roman"/>
                <w:bCs/>
                <w:sz w:val="20"/>
                <w:szCs w:val="20"/>
              </w:rPr>
            </w:pPr>
            <w:r w:rsidRPr="00C36DC5">
              <w:rPr>
                <w:rFonts w:ascii="Times New Roman" w:eastAsia="Times New Roman" w:hAnsi="Times New Roman"/>
                <w:bCs/>
                <w:sz w:val="20"/>
                <w:szCs w:val="20"/>
              </w:rPr>
              <w:t>Prise en charge financière des agents de collecte et des superviseurs ainsi que la maintenance du matériel roulant</w:t>
            </w:r>
          </w:p>
        </w:tc>
        <w:tc>
          <w:tcPr>
            <w:tcW w:w="656" w:type="dxa"/>
            <w:shd w:val="clear" w:color="auto" w:fill="92D050"/>
            <w:vAlign w:val="center"/>
          </w:tcPr>
          <w:p w14:paraId="01A784A5" w14:textId="77777777" w:rsidR="00C36DC5" w:rsidRPr="00C36DC5" w:rsidRDefault="00C36DC5" w:rsidP="00C36DC5">
            <w:pPr>
              <w:spacing w:after="0" w:line="240" w:lineRule="auto"/>
              <w:jc w:val="both"/>
              <w:rPr>
                <w:rFonts w:ascii="Times New Roman" w:eastAsia="Times New Roman" w:hAnsi="Times New Roman"/>
                <w:bCs/>
                <w:sz w:val="20"/>
                <w:szCs w:val="20"/>
              </w:rPr>
            </w:pPr>
          </w:p>
        </w:tc>
        <w:tc>
          <w:tcPr>
            <w:tcW w:w="656" w:type="dxa"/>
            <w:shd w:val="clear" w:color="auto" w:fill="auto"/>
            <w:vAlign w:val="center"/>
          </w:tcPr>
          <w:p w14:paraId="1298653E" w14:textId="77777777" w:rsidR="00C36DC5" w:rsidRPr="00C36DC5" w:rsidRDefault="00C36DC5" w:rsidP="00C36DC5">
            <w:pPr>
              <w:spacing w:after="0" w:line="240" w:lineRule="auto"/>
              <w:jc w:val="both"/>
              <w:rPr>
                <w:rFonts w:ascii="Times New Roman" w:eastAsia="Times New Roman" w:hAnsi="Times New Roman"/>
                <w:bCs/>
                <w:sz w:val="20"/>
                <w:szCs w:val="20"/>
              </w:rPr>
            </w:pPr>
          </w:p>
        </w:tc>
        <w:tc>
          <w:tcPr>
            <w:tcW w:w="644" w:type="dxa"/>
            <w:shd w:val="clear" w:color="auto" w:fill="auto"/>
            <w:vAlign w:val="center"/>
          </w:tcPr>
          <w:p w14:paraId="7B70B0F2" w14:textId="77777777" w:rsidR="00C36DC5" w:rsidRPr="00C36DC5" w:rsidRDefault="00C36DC5" w:rsidP="00C36DC5">
            <w:pPr>
              <w:spacing w:after="0" w:line="240" w:lineRule="auto"/>
              <w:jc w:val="both"/>
              <w:rPr>
                <w:rFonts w:ascii="Times New Roman" w:eastAsia="Times New Roman" w:hAnsi="Times New Roman"/>
                <w:bCs/>
                <w:sz w:val="20"/>
                <w:szCs w:val="20"/>
              </w:rPr>
            </w:pPr>
          </w:p>
        </w:tc>
      </w:tr>
      <w:tr w:rsidR="004B5399" w:rsidRPr="00C36DC5" w14:paraId="7F94FA13" w14:textId="77777777" w:rsidTr="00C36DC5">
        <w:tc>
          <w:tcPr>
            <w:tcW w:w="1869" w:type="dxa"/>
            <w:vMerge/>
            <w:shd w:val="clear" w:color="auto" w:fill="F2F2F2" w:themeFill="background1" w:themeFillShade="F2"/>
            <w:vAlign w:val="center"/>
          </w:tcPr>
          <w:p w14:paraId="3860F138" w14:textId="77777777" w:rsidR="004B5399" w:rsidRPr="00C36DC5" w:rsidRDefault="004B5399" w:rsidP="004B5399">
            <w:pPr>
              <w:spacing w:after="0" w:line="240" w:lineRule="auto"/>
              <w:jc w:val="both"/>
              <w:rPr>
                <w:rFonts w:ascii="Times New Roman" w:eastAsia="Times New Roman" w:hAnsi="Times New Roman"/>
                <w:bCs/>
                <w:sz w:val="20"/>
                <w:szCs w:val="20"/>
              </w:rPr>
            </w:pPr>
          </w:p>
        </w:tc>
        <w:tc>
          <w:tcPr>
            <w:tcW w:w="3313" w:type="dxa"/>
            <w:shd w:val="clear" w:color="auto" w:fill="B4C6E7" w:themeFill="accent5" w:themeFillTint="66"/>
            <w:vAlign w:val="center"/>
          </w:tcPr>
          <w:p w14:paraId="7A12BA05" w14:textId="77777777" w:rsidR="004B5399" w:rsidRPr="00C36DC5" w:rsidRDefault="004B5399" w:rsidP="004B5399">
            <w:pPr>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t>Pas d’indicateurs correspondant</w:t>
            </w:r>
          </w:p>
        </w:tc>
        <w:tc>
          <w:tcPr>
            <w:tcW w:w="3743" w:type="dxa"/>
            <w:shd w:val="clear" w:color="auto" w:fill="auto"/>
            <w:vAlign w:val="center"/>
          </w:tcPr>
          <w:p w14:paraId="3B77595D" w14:textId="77777777" w:rsidR="004B5399" w:rsidRPr="00C36DC5" w:rsidRDefault="004B5399" w:rsidP="00D76EFA">
            <w:pPr>
              <w:numPr>
                <w:ilvl w:val="0"/>
                <w:numId w:val="95"/>
              </w:numPr>
              <w:spacing w:after="0" w:line="240" w:lineRule="auto"/>
              <w:rPr>
                <w:rFonts w:ascii="Times New Roman" w:eastAsia="Times New Roman" w:hAnsi="Times New Roman"/>
                <w:bCs/>
                <w:sz w:val="20"/>
                <w:szCs w:val="20"/>
              </w:rPr>
            </w:pPr>
            <w:r w:rsidRPr="00C36DC5">
              <w:rPr>
                <w:rFonts w:ascii="Times New Roman" w:eastAsia="Times New Roman" w:hAnsi="Times New Roman"/>
                <w:bCs/>
                <w:sz w:val="20"/>
                <w:szCs w:val="20"/>
              </w:rPr>
              <w:t>Document Cadre de Politique Nationale de Décentralisation (DCPND) 2015-2024, élaboré</w:t>
            </w:r>
          </w:p>
          <w:p w14:paraId="6CAC0EE3" w14:textId="77777777" w:rsidR="004B5399" w:rsidRPr="00C36DC5" w:rsidRDefault="004B5399" w:rsidP="00D76EFA">
            <w:pPr>
              <w:numPr>
                <w:ilvl w:val="0"/>
                <w:numId w:val="95"/>
              </w:numPr>
              <w:spacing w:after="0" w:line="240" w:lineRule="auto"/>
              <w:rPr>
                <w:rFonts w:ascii="Times New Roman" w:eastAsia="Times New Roman" w:hAnsi="Times New Roman"/>
                <w:bCs/>
                <w:sz w:val="20"/>
                <w:szCs w:val="20"/>
              </w:rPr>
            </w:pPr>
            <w:r w:rsidRPr="00C36DC5">
              <w:rPr>
                <w:rFonts w:ascii="Times New Roman" w:eastAsia="Times New Roman" w:hAnsi="Times New Roman"/>
                <w:bCs/>
                <w:sz w:val="20"/>
                <w:szCs w:val="20"/>
              </w:rPr>
              <w:t>Atelier national de validation du DCPND, organisé</w:t>
            </w:r>
          </w:p>
          <w:p w14:paraId="1FC40CF5" w14:textId="77777777" w:rsidR="004B5399" w:rsidRPr="00C36DC5" w:rsidRDefault="004B5399" w:rsidP="00D76EFA">
            <w:pPr>
              <w:numPr>
                <w:ilvl w:val="0"/>
                <w:numId w:val="95"/>
              </w:numPr>
              <w:spacing w:after="0" w:line="240" w:lineRule="auto"/>
              <w:rPr>
                <w:rFonts w:ascii="Times New Roman" w:eastAsia="Times New Roman" w:hAnsi="Times New Roman"/>
                <w:bCs/>
                <w:sz w:val="20"/>
                <w:szCs w:val="20"/>
              </w:rPr>
            </w:pPr>
            <w:r w:rsidRPr="00C36DC5">
              <w:rPr>
                <w:rFonts w:ascii="Times New Roman" w:eastAsia="Times New Roman" w:hAnsi="Times New Roman"/>
                <w:bCs/>
                <w:sz w:val="20"/>
                <w:szCs w:val="20"/>
              </w:rPr>
              <w:t xml:space="preserve">Programme de décentralisation inclusive pour la paix et la réconciliation (appui technique du </w:t>
            </w:r>
            <w:r w:rsidRPr="00C36DC5">
              <w:rPr>
                <w:rFonts w:ascii="Times New Roman" w:eastAsia="Times New Roman" w:hAnsi="Times New Roman"/>
                <w:bCs/>
                <w:sz w:val="20"/>
                <w:szCs w:val="20"/>
              </w:rPr>
              <w:lastRenderedPageBreak/>
              <w:t>BPPS) dédié à la mise en œuvre du volet décentralisation de l’Accord de Paix et Réconciliation du Mali.</w:t>
            </w:r>
          </w:p>
          <w:p w14:paraId="3F31DB76" w14:textId="77777777" w:rsidR="004B5399" w:rsidRPr="00C36DC5" w:rsidRDefault="004B5399" w:rsidP="00D76EFA">
            <w:pPr>
              <w:numPr>
                <w:ilvl w:val="0"/>
                <w:numId w:val="92"/>
              </w:numPr>
              <w:spacing w:after="0" w:line="240" w:lineRule="auto"/>
              <w:rPr>
                <w:rFonts w:ascii="Times New Roman" w:eastAsia="Times New Roman" w:hAnsi="Times New Roman"/>
                <w:bCs/>
                <w:sz w:val="20"/>
                <w:szCs w:val="20"/>
              </w:rPr>
            </w:pPr>
            <w:r w:rsidRPr="00C36DC5">
              <w:rPr>
                <w:rFonts w:ascii="Times New Roman" w:eastAsia="Times New Roman" w:hAnsi="Times New Roman"/>
                <w:bCs/>
                <w:sz w:val="20"/>
                <w:szCs w:val="20"/>
              </w:rPr>
              <w:t>Opérationnalisation d’entités territoriales et locales, et assistance aux OCB, dans les régions de Kidal, Tombouctou, Gao et Mopti :</w:t>
            </w:r>
          </w:p>
          <w:p w14:paraId="76BD0A24" w14:textId="77777777" w:rsidR="004B5399" w:rsidRPr="00C36DC5" w:rsidRDefault="004B5399" w:rsidP="00D76EFA">
            <w:pPr>
              <w:numPr>
                <w:ilvl w:val="0"/>
                <w:numId w:val="94"/>
              </w:numPr>
              <w:spacing w:after="0" w:line="240" w:lineRule="auto"/>
              <w:rPr>
                <w:rFonts w:ascii="Times New Roman" w:eastAsia="Times New Roman" w:hAnsi="Times New Roman"/>
                <w:bCs/>
                <w:sz w:val="20"/>
                <w:szCs w:val="20"/>
              </w:rPr>
            </w:pPr>
            <w:r w:rsidRPr="00C36DC5">
              <w:rPr>
                <w:rFonts w:ascii="Times New Roman" w:eastAsia="Times New Roman" w:hAnsi="Times New Roman"/>
                <w:bCs/>
                <w:sz w:val="20"/>
                <w:szCs w:val="20"/>
              </w:rPr>
              <w:t>Restauration de la capacité de travail des collectivités territoriales par la dotation d’équipements et le matériel pour les rendre plus fonctionnelles</w:t>
            </w:r>
          </w:p>
          <w:p w14:paraId="4D3B03D5" w14:textId="77777777" w:rsidR="004B5399" w:rsidRPr="00C36DC5" w:rsidRDefault="004B5399" w:rsidP="00D76EFA">
            <w:pPr>
              <w:numPr>
                <w:ilvl w:val="0"/>
                <w:numId w:val="94"/>
              </w:numPr>
              <w:spacing w:after="0" w:line="240" w:lineRule="auto"/>
              <w:rPr>
                <w:rFonts w:ascii="Times New Roman" w:eastAsia="Times New Roman" w:hAnsi="Times New Roman"/>
                <w:bCs/>
                <w:sz w:val="20"/>
                <w:szCs w:val="20"/>
              </w:rPr>
            </w:pPr>
            <w:r w:rsidRPr="00C36DC5">
              <w:rPr>
                <w:rFonts w:ascii="Times New Roman" w:eastAsia="Times New Roman" w:hAnsi="Times New Roman"/>
                <w:bCs/>
                <w:sz w:val="20"/>
                <w:szCs w:val="20"/>
              </w:rPr>
              <w:t>Rétablissement de la capacité opérationnelle des centres de santé dans 7 municipalités</w:t>
            </w:r>
          </w:p>
          <w:p w14:paraId="6C0EECDA" w14:textId="77777777" w:rsidR="004B5399" w:rsidRPr="00C36DC5" w:rsidRDefault="004B5399" w:rsidP="00D76EFA">
            <w:pPr>
              <w:numPr>
                <w:ilvl w:val="0"/>
                <w:numId w:val="94"/>
              </w:numPr>
              <w:spacing w:after="0" w:line="240" w:lineRule="auto"/>
              <w:rPr>
                <w:rFonts w:ascii="Times New Roman" w:eastAsia="Times New Roman" w:hAnsi="Times New Roman"/>
                <w:bCs/>
                <w:sz w:val="20"/>
                <w:szCs w:val="20"/>
              </w:rPr>
            </w:pPr>
            <w:r w:rsidRPr="00C36DC5">
              <w:rPr>
                <w:rFonts w:ascii="Times New Roman" w:eastAsia="Times New Roman" w:hAnsi="Times New Roman"/>
                <w:bCs/>
                <w:sz w:val="20"/>
                <w:szCs w:val="20"/>
              </w:rPr>
              <w:t>Amélioration de la distribution d'eau potable dans la commune de Mopti</w:t>
            </w:r>
          </w:p>
          <w:p w14:paraId="13A1454F" w14:textId="77777777" w:rsidR="004B5399" w:rsidRPr="00C36DC5" w:rsidRDefault="004B5399" w:rsidP="00D76EFA">
            <w:pPr>
              <w:numPr>
                <w:ilvl w:val="0"/>
                <w:numId w:val="94"/>
              </w:numPr>
              <w:spacing w:after="0" w:line="240" w:lineRule="auto"/>
              <w:rPr>
                <w:rFonts w:ascii="Times New Roman" w:eastAsia="Times New Roman" w:hAnsi="Times New Roman"/>
                <w:bCs/>
                <w:sz w:val="20"/>
                <w:szCs w:val="20"/>
              </w:rPr>
            </w:pPr>
            <w:r w:rsidRPr="00C36DC5">
              <w:rPr>
                <w:rFonts w:ascii="Times New Roman" w:eastAsia="Times New Roman" w:hAnsi="Times New Roman"/>
                <w:bCs/>
                <w:sz w:val="20"/>
                <w:szCs w:val="20"/>
              </w:rPr>
              <w:t>Renforcement des capacités des femmes et des jeunes et de la société civile en matière de prévention et gestion des conflits et sensibilisation à la paix et la réconciliation.</w:t>
            </w:r>
          </w:p>
        </w:tc>
        <w:tc>
          <w:tcPr>
            <w:tcW w:w="656" w:type="dxa"/>
            <w:shd w:val="clear" w:color="auto" w:fill="auto"/>
            <w:vAlign w:val="center"/>
          </w:tcPr>
          <w:p w14:paraId="2CECA092" w14:textId="77777777" w:rsidR="004B5399" w:rsidRPr="00C36DC5" w:rsidRDefault="004B5399" w:rsidP="004B5399">
            <w:pPr>
              <w:spacing w:after="0" w:line="240" w:lineRule="auto"/>
              <w:jc w:val="both"/>
              <w:rPr>
                <w:rFonts w:ascii="Times New Roman" w:eastAsia="Times New Roman" w:hAnsi="Times New Roman"/>
                <w:bCs/>
                <w:sz w:val="20"/>
                <w:szCs w:val="20"/>
              </w:rPr>
            </w:pPr>
          </w:p>
        </w:tc>
        <w:tc>
          <w:tcPr>
            <w:tcW w:w="656" w:type="dxa"/>
            <w:shd w:val="clear" w:color="auto" w:fill="auto"/>
            <w:vAlign w:val="center"/>
          </w:tcPr>
          <w:p w14:paraId="0CD8D5B6" w14:textId="77777777" w:rsidR="004B5399" w:rsidRPr="00C36DC5" w:rsidRDefault="004B5399" w:rsidP="004B5399">
            <w:pPr>
              <w:spacing w:after="0" w:line="240" w:lineRule="auto"/>
              <w:jc w:val="both"/>
              <w:rPr>
                <w:rFonts w:ascii="Times New Roman" w:eastAsia="Times New Roman" w:hAnsi="Times New Roman"/>
                <w:bCs/>
                <w:sz w:val="20"/>
                <w:szCs w:val="20"/>
              </w:rPr>
            </w:pPr>
          </w:p>
        </w:tc>
        <w:tc>
          <w:tcPr>
            <w:tcW w:w="644" w:type="dxa"/>
            <w:shd w:val="clear" w:color="auto" w:fill="auto"/>
            <w:vAlign w:val="center"/>
          </w:tcPr>
          <w:p w14:paraId="758B6455" w14:textId="77777777" w:rsidR="004B5399" w:rsidRPr="00C36DC5" w:rsidRDefault="004B5399" w:rsidP="004B5399">
            <w:pPr>
              <w:spacing w:after="0" w:line="240" w:lineRule="auto"/>
              <w:jc w:val="both"/>
              <w:rPr>
                <w:rFonts w:ascii="Times New Roman" w:eastAsia="Times New Roman" w:hAnsi="Times New Roman"/>
                <w:bCs/>
                <w:sz w:val="20"/>
                <w:szCs w:val="20"/>
              </w:rPr>
            </w:pPr>
          </w:p>
        </w:tc>
      </w:tr>
    </w:tbl>
    <w:p w14:paraId="114AAC02" w14:textId="77777777" w:rsidR="00C36DC5" w:rsidRPr="00C36DC5" w:rsidRDefault="00C36DC5" w:rsidP="00C36DC5">
      <w:pPr>
        <w:spacing w:after="0" w:line="240" w:lineRule="auto"/>
        <w:jc w:val="both"/>
        <w:rPr>
          <w:rFonts w:ascii="Times New Roman" w:eastAsia="Times New Roman" w:hAnsi="Times New Roman"/>
          <w:bCs/>
          <w:sz w:val="24"/>
          <w:szCs w:val="24"/>
        </w:rPr>
      </w:pPr>
      <w:r w:rsidRPr="00C36DC5">
        <w:rPr>
          <w:rFonts w:ascii="Times New Roman" w:eastAsia="Times New Roman" w:hAnsi="Times New Roman"/>
          <w:bCs/>
          <w:i/>
          <w:sz w:val="20"/>
          <w:szCs w:val="20"/>
          <w:u w:val="single"/>
        </w:rPr>
        <w:t>Sources</w:t>
      </w:r>
      <w:r w:rsidRPr="00C36DC5">
        <w:rPr>
          <w:rFonts w:ascii="Times New Roman" w:eastAsia="Times New Roman" w:hAnsi="Times New Roman"/>
          <w:bCs/>
          <w:i/>
          <w:sz w:val="20"/>
          <w:szCs w:val="20"/>
        </w:rPr>
        <w:t> : ROARS 2015-2016 ; Rapports de progrès/Rapports d’évaluation des projets ; entretiens Septembre 2017</w:t>
      </w:r>
      <w:r>
        <w:rPr>
          <w:rFonts w:ascii="Times New Roman" w:eastAsia="Times New Roman" w:hAnsi="Times New Roman"/>
          <w:bCs/>
          <w:sz w:val="24"/>
          <w:szCs w:val="24"/>
        </w:rPr>
        <w:t>.</w:t>
      </w:r>
      <w:r w:rsidRPr="00C36DC5">
        <w:rPr>
          <w:rFonts w:ascii="Times New Roman" w:eastAsia="Times New Roman" w:hAnsi="Times New Roman"/>
          <w:bCs/>
          <w:sz w:val="24"/>
          <w:szCs w:val="24"/>
        </w:rPr>
        <w:t xml:space="preserve"> </w:t>
      </w:r>
    </w:p>
    <w:p w14:paraId="78B57B00" w14:textId="77777777" w:rsidR="00C36DC5" w:rsidRPr="00C36DC5" w:rsidRDefault="00C36DC5" w:rsidP="00C36DC5">
      <w:pPr>
        <w:spacing w:after="0" w:line="240" w:lineRule="auto"/>
        <w:jc w:val="both"/>
        <w:rPr>
          <w:rFonts w:ascii="Times New Roman" w:eastAsia="Times New Roman" w:hAnsi="Times New Roman"/>
          <w:bCs/>
          <w:sz w:val="24"/>
          <w:szCs w:val="24"/>
        </w:rPr>
      </w:pPr>
    </w:p>
    <w:p w14:paraId="653CAAA1" w14:textId="77777777" w:rsidR="00BA3DC6" w:rsidRPr="00F221A7" w:rsidRDefault="00C36DC5" w:rsidP="00F221A7">
      <w:pPr>
        <w:pStyle w:val="Titre3"/>
        <w:numPr>
          <w:ilvl w:val="2"/>
          <w:numId w:val="5"/>
        </w:numPr>
        <w:shd w:val="clear" w:color="auto" w:fill="DEEAF6" w:themeFill="accent1" w:themeFillTint="33"/>
        <w:spacing w:before="0" w:line="240" w:lineRule="auto"/>
        <w:jc w:val="both"/>
        <w:rPr>
          <w:rFonts w:ascii="Times New Roman" w:hAnsi="Times New Roman"/>
          <w:color w:val="auto"/>
          <w:sz w:val="24"/>
          <w:szCs w:val="24"/>
        </w:rPr>
      </w:pPr>
      <w:bookmarkStart w:id="127" w:name="_Toc499211617"/>
      <w:bookmarkStart w:id="128" w:name="_Toc499213890"/>
      <w:r w:rsidRPr="00F221A7">
        <w:rPr>
          <w:rFonts w:ascii="Times New Roman" w:hAnsi="Times New Roman"/>
          <w:color w:val="auto"/>
          <w:sz w:val="24"/>
          <w:szCs w:val="24"/>
        </w:rPr>
        <w:t xml:space="preserve">Résultat/Effet 4 : </w:t>
      </w:r>
      <w:r w:rsidR="00F221A7" w:rsidRPr="00F221A7">
        <w:rPr>
          <w:rFonts w:ascii="Times New Roman" w:hAnsi="Times New Roman"/>
          <w:color w:val="auto"/>
          <w:sz w:val="24"/>
          <w:szCs w:val="24"/>
        </w:rPr>
        <w:t>"D’ici à 2019, les communautés, en particulier les plus vulnérables et celles touchées par la crise, pourront accéder à des soins de santé de base de qualité et en bénéficier plus facilement et sur un pied d’égalité."</w:t>
      </w:r>
      <w:bookmarkEnd w:id="127"/>
      <w:bookmarkEnd w:id="128"/>
    </w:p>
    <w:p w14:paraId="636AD799" w14:textId="77777777" w:rsidR="00BA3DC6" w:rsidRPr="006B309F" w:rsidRDefault="00BA3DC6" w:rsidP="00B96F0F">
      <w:pPr>
        <w:spacing w:after="0" w:line="240" w:lineRule="auto"/>
        <w:rPr>
          <w:rFonts w:ascii="Times New Roman" w:hAnsi="Times New Roman"/>
          <w:sz w:val="24"/>
          <w:szCs w:val="24"/>
        </w:rPr>
      </w:pPr>
    </w:p>
    <w:p w14:paraId="14DE051E" w14:textId="77777777" w:rsidR="00F221A7" w:rsidRPr="006B309F" w:rsidRDefault="00F221A7" w:rsidP="00F221A7">
      <w:pPr>
        <w:pStyle w:val="Titre4"/>
        <w:numPr>
          <w:ilvl w:val="3"/>
          <w:numId w:val="5"/>
        </w:numPr>
        <w:spacing w:before="0" w:line="240" w:lineRule="auto"/>
        <w:rPr>
          <w:rFonts w:ascii="Times New Roman" w:hAnsi="Times New Roman"/>
          <w:i w:val="0"/>
          <w:color w:val="auto"/>
          <w:sz w:val="24"/>
          <w:szCs w:val="24"/>
        </w:rPr>
      </w:pPr>
      <w:r>
        <w:rPr>
          <w:rFonts w:ascii="Times New Roman" w:hAnsi="Times New Roman"/>
          <w:i w:val="0"/>
          <w:color w:val="auto"/>
          <w:sz w:val="24"/>
          <w:szCs w:val="24"/>
        </w:rPr>
        <w:t>Résultats obtenus par le pays dans le domaine et dans la période sous revue</w:t>
      </w:r>
    </w:p>
    <w:p w14:paraId="2476FF08" w14:textId="77777777" w:rsidR="0050660A" w:rsidRDefault="0050660A" w:rsidP="0050660A">
      <w:pPr>
        <w:spacing w:after="0" w:line="240" w:lineRule="auto"/>
        <w:jc w:val="both"/>
        <w:rPr>
          <w:rFonts w:ascii="Times New Roman" w:hAnsi="Times New Roman"/>
          <w:sz w:val="24"/>
          <w:szCs w:val="24"/>
        </w:rPr>
      </w:pPr>
    </w:p>
    <w:p w14:paraId="0422930D" w14:textId="77777777" w:rsidR="00F221A7" w:rsidRPr="00F221A7" w:rsidRDefault="00454255" w:rsidP="00F221A7">
      <w:pPr>
        <w:spacing w:after="0" w:line="240" w:lineRule="auto"/>
        <w:jc w:val="both"/>
        <w:rPr>
          <w:rFonts w:ascii="Times New Roman" w:hAnsi="Times New Roman"/>
          <w:sz w:val="24"/>
          <w:szCs w:val="24"/>
        </w:rPr>
      </w:pPr>
      <w:r>
        <w:rPr>
          <w:rFonts w:ascii="Times New Roman" w:hAnsi="Times New Roman"/>
          <w:sz w:val="24"/>
          <w:szCs w:val="24"/>
        </w:rPr>
        <w:t>6</w:t>
      </w:r>
      <w:r w:rsidR="000B5082">
        <w:rPr>
          <w:rFonts w:ascii="Times New Roman" w:hAnsi="Times New Roman"/>
          <w:sz w:val="24"/>
          <w:szCs w:val="24"/>
        </w:rPr>
        <w:t>8</w:t>
      </w:r>
      <w:r>
        <w:rPr>
          <w:rFonts w:ascii="Times New Roman" w:hAnsi="Times New Roman"/>
          <w:sz w:val="24"/>
          <w:szCs w:val="24"/>
        </w:rPr>
        <w:t>.</w:t>
      </w:r>
      <w:r w:rsidR="00F221A7" w:rsidRPr="00F221A7">
        <w:rPr>
          <w:rFonts w:ascii="Times New Roman" w:hAnsi="Times New Roman"/>
          <w:sz w:val="24"/>
          <w:szCs w:val="24"/>
        </w:rPr>
        <w:tab/>
        <w:t>Sur trois indicateurs d’effet retenus en matière de santé dans la matrice du programme, trois sont renseignés. Le taux de mortalité maternelle affiche encore une réalisation très insatisfaisante au regard de la cible fixée dans la matrice du programme. En effet, selon la revenue 2017 du CREDD, cet indicateur est de 587 décès maternels pour 100.000 naissances, ce qui est un niveau n’augurant pas de la réalisation de la cible de 230 décès seulement retenue pour la fin du cycle du programme.</w:t>
      </w:r>
    </w:p>
    <w:p w14:paraId="3D701597" w14:textId="77777777" w:rsidR="00F221A7" w:rsidRPr="00F221A7" w:rsidRDefault="00F221A7" w:rsidP="00F221A7">
      <w:pPr>
        <w:spacing w:after="0" w:line="240" w:lineRule="auto"/>
        <w:jc w:val="both"/>
        <w:rPr>
          <w:rFonts w:ascii="Times New Roman" w:hAnsi="Times New Roman"/>
          <w:sz w:val="24"/>
          <w:szCs w:val="24"/>
        </w:rPr>
      </w:pPr>
    </w:p>
    <w:p w14:paraId="0FF920B8" w14:textId="77777777" w:rsidR="00F221A7" w:rsidRDefault="000B5082" w:rsidP="00F221A7">
      <w:pPr>
        <w:spacing w:after="0" w:line="240" w:lineRule="auto"/>
        <w:jc w:val="both"/>
        <w:rPr>
          <w:rFonts w:ascii="Times New Roman" w:hAnsi="Times New Roman"/>
          <w:sz w:val="24"/>
          <w:szCs w:val="24"/>
        </w:rPr>
      </w:pPr>
      <w:r>
        <w:rPr>
          <w:rFonts w:ascii="Times New Roman" w:hAnsi="Times New Roman"/>
          <w:sz w:val="24"/>
          <w:szCs w:val="24"/>
        </w:rPr>
        <w:t>69</w:t>
      </w:r>
      <w:r w:rsidR="00454255">
        <w:rPr>
          <w:rFonts w:ascii="Times New Roman" w:hAnsi="Times New Roman"/>
          <w:sz w:val="24"/>
          <w:szCs w:val="24"/>
        </w:rPr>
        <w:t>.</w:t>
      </w:r>
      <w:r w:rsidR="00F221A7" w:rsidRPr="00F221A7">
        <w:rPr>
          <w:rFonts w:ascii="Times New Roman" w:hAnsi="Times New Roman"/>
          <w:sz w:val="24"/>
          <w:szCs w:val="24"/>
        </w:rPr>
        <w:tab/>
        <w:t>Sur les deux autres indicateurs de santé renseignés, en revanche, le pays montre un très bon comportement. La prévalence de la contraception atteint près de 30%, alors que la cible retenue pour la fin du programme est de 15%, d’où une réalisation de près de 200% de l’objectif final à mi-parcours seulement. La progression des mises sous traitement des infections au VIH affiche un rythme non satisfaisant pour atteindre la cible de 90% en fin de cycle. En effet, à mi-parcours la proportion de personnes infectées en traitement est encore de 45%, en recul de 5 points par rapport à 2013 où elle était de 50%, et surtout à 50 points de la cible de 90% et à deux ans du terme du programme. Il faut dire que la réponse sanitaire du programme se heurte aux limites du système de santé où le niveau local se caractère par une absence de médecin et la présence massive de personnels qui ne sont pas habilités par la loi pour prendre certains actes médicaux. Les textes seraient seulement en train d’être réaménagés pour traiter cette contrainte.</w:t>
      </w:r>
    </w:p>
    <w:p w14:paraId="6368E4AB" w14:textId="77777777" w:rsidR="00B002E3" w:rsidRDefault="00B002E3" w:rsidP="00F221A7">
      <w:pPr>
        <w:spacing w:after="0" w:line="240" w:lineRule="auto"/>
        <w:jc w:val="both"/>
        <w:rPr>
          <w:rFonts w:ascii="Times New Roman" w:hAnsi="Times New Roman"/>
          <w:sz w:val="24"/>
          <w:szCs w:val="24"/>
        </w:rPr>
      </w:pPr>
    </w:p>
    <w:p w14:paraId="4A196C4E" w14:textId="77777777" w:rsidR="00B002E3" w:rsidRPr="000442E1" w:rsidRDefault="00B002E3" w:rsidP="00B002E3">
      <w:pPr>
        <w:pStyle w:val="Titre1"/>
        <w:spacing w:before="0" w:line="240" w:lineRule="auto"/>
        <w:rPr>
          <w:rFonts w:ascii="Times New Roman" w:hAnsi="Times New Roman"/>
          <w:color w:val="auto"/>
          <w:sz w:val="24"/>
          <w:szCs w:val="24"/>
        </w:rPr>
      </w:pPr>
      <w:bookmarkStart w:id="129" w:name="_Toc499211618"/>
      <w:bookmarkStart w:id="130" w:name="_Toc499213891"/>
      <w:r w:rsidRPr="000442E1">
        <w:rPr>
          <w:rFonts w:ascii="Times New Roman" w:hAnsi="Times New Roman"/>
          <w:color w:val="auto"/>
          <w:sz w:val="24"/>
          <w:szCs w:val="24"/>
        </w:rPr>
        <w:lastRenderedPageBreak/>
        <w:t xml:space="preserve">Tableau </w:t>
      </w:r>
      <w:r>
        <w:rPr>
          <w:rFonts w:ascii="Times New Roman" w:hAnsi="Times New Roman"/>
          <w:color w:val="auto"/>
          <w:sz w:val="24"/>
          <w:szCs w:val="24"/>
        </w:rPr>
        <w:t>11</w:t>
      </w:r>
      <w:r w:rsidRPr="000442E1">
        <w:rPr>
          <w:rFonts w:ascii="Times New Roman" w:hAnsi="Times New Roman"/>
          <w:color w:val="auto"/>
          <w:sz w:val="24"/>
          <w:szCs w:val="24"/>
        </w:rPr>
        <w:t xml:space="preserve"> : </w:t>
      </w:r>
      <w:r>
        <w:rPr>
          <w:rFonts w:ascii="Times New Roman" w:hAnsi="Times New Roman"/>
          <w:color w:val="auto"/>
          <w:sz w:val="24"/>
          <w:szCs w:val="24"/>
        </w:rPr>
        <w:t>Effet 4 /Performances Pays</w:t>
      </w:r>
      <w:bookmarkEnd w:id="129"/>
      <w:bookmarkEnd w:id="130"/>
    </w:p>
    <w:tbl>
      <w:tblPr>
        <w:tblpPr w:leftFromText="141" w:rightFromText="141" w:vertAnchor="text" w:horzAnchor="margin" w:tblpXSpec="center" w:tblpY="40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405"/>
        <w:gridCol w:w="3856"/>
        <w:gridCol w:w="716"/>
        <w:gridCol w:w="512"/>
        <w:gridCol w:w="583"/>
      </w:tblGrid>
      <w:tr w:rsidR="00F221A7" w:rsidRPr="00F221A7" w14:paraId="138FA6FB" w14:textId="77777777" w:rsidTr="00F221A7">
        <w:tc>
          <w:tcPr>
            <w:tcW w:w="1668" w:type="dxa"/>
            <w:vMerge w:val="restart"/>
            <w:shd w:val="clear" w:color="auto" w:fill="F2F2F2" w:themeFill="background1" w:themeFillShade="F2"/>
            <w:vAlign w:val="center"/>
          </w:tcPr>
          <w:p w14:paraId="4C5CD3A9" w14:textId="77777777" w:rsidR="00F221A7" w:rsidRPr="00F221A7" w:rsidRDefault="00F221A7" w:rsidP="00F221A7">
            <w:pPr>
              <w:spacing w:after="0" w:line="240" w:lineRule="auto"/>
              <w:jc w:val="both"/>
              <w:rPr>
                <w:rFonts w:ascii="Times New Roman" w:hAnsi="Times New Roman"/>
                <w:b/>
                <w:sz w:val="20"/>
                <w:szCs w:val="20"/>
              </w:rPr>
            </w:pPr>
            <w:r>
              <w:rPr>
                <w:rFonts w:ascii="Times New Roman" w:hAnsi="Times New Roman"/>
                <w:b/>
                <w:sz w:val="20"/>
                <w:szCs w:val="20"/>
              </w:rPr>
              <w:t>Résultat/</w:t>
            </w:r>
            <w:r w:rsidRPr="00F221A7">
              <w:rPr>
                <w:rFonts w:ascii="Times New Roman" w:hAnsi="Times New Roman"/>
                <w:b/>
                <w:sz w:val="20"/>
                <w:szCs w:val="20"/>
              </w:rPr>
              <w:t>Effet 4</w:t>
            </w:r>
          </w:p>
        </w:tc>
        <w:tc>
          <w:tcPr>
            <w:tcW w:w="3405" w:type="dxa"/>
            <w:vMerge w:val="restart"/>
            <w:shd w:val="clear" w:color="auto" w:fill="F2F2F2" w:themeFill="background1" w:themeFillShade="F2"/>
            <w:vAlign w:val="center"/>
          </w:tcPr>
          <w:p w14:paraId="2030E6BE" w14:textId="77777777" w:rsidR="00F221A7" w:rsidRPr="00F221A7" w:rsidRDefault="00F221A7" w:rsidP="00F221A7">
            <w:pPr>
              <w:spacing w:after="0" w:line="240" w:lineRule="auto"/>
              <w:jc w:val="both"/>
              <w:rPr>
                <w:rFonts w:ascii="Times New Roman" w:hAnsi="Times New Roman"/>
                <w:b/>
                <w:sz w:val="20"/>
                <w:szCs w:val="20"/>
              </w:rPr>
            </w:pPr>
            <w:r w:rsidRPr="00F221A7">
              <w:rPr>
                <w:rFonts w:ascii="Times New Roman" w:hAnsi="Times New Roman"/>
                <w:b/>
                <w:sz w:val="20"/>
                <w:szCs w:val="20"/>
              </w:rPr>
              <w:t>Planification</w:t>
            </w:r>
          </w:p>
        </w:tc>
        <w:tc>
          <w:tcPr>
            <w:tcW w:w="5667" w:type="dxa"/>
            <w:gridSpan w:val="4"/>
            <w:shd w:val="clear" w:color="auto" w:fill="F2F2F2" w:themeFill="background1" w:themeFillShade="F2"/>
            <w:vAlign w:val="center"/>
          </w:tcPr>
          <w:p w14:paraId="0F10D387" w14:textId="77777777" w:rsidR="00F221A7" w:rsidRPr="00F221A7" w:rsidRDefault="00F221A7" w:rsidP="00F221A7">
            <w:pPr>
              <w:spacing w:after="0" w:line="240" w:lineRule="auto"/>
              <w:jc w:val="both"/>
              <w:rPr>
                <w:rFonts w:ascii="Times New Roman" w:hAnsi="Times New Roman"/>
                <w:b/>
                <w:sz w:val="20"/>
                <w:szCs w:val="20"/>
              </w:rPr>
            </w:pPr>
            <w:r w:rsidRPr="00F221A7">
              <w:rPr>
                <w:rFonts w:ascii="Times New Roman" w:hAnsi="Times New Roman"/>
                <w:b/>
                <w:sz w:val="20"/>
                <w:szCs w:val="20"/>
              </w:rPr>
              <w:t>Exécution</w:t>
            </w:r>
          </w:p>
        </w:tc>
      </w:tr>
      <w:tr w:rsidR="00F221A7" w:rsidRPr="00F221A7" w14:paraId="358FF256" w14:textId="77777777" w:rsidTr="00F221A7">
        <w:tc>
          <w:tcPr>
            <w:tcW w:w="1668" w:type="dxa"/>
            <w:vMerge/>
            <w:shd w:val="clear" w:color="auto" w:fill="F2F2F2" w:themeFill="background1" w:themeFillShade="F2"/>
            <w:vAlign w:val="center"/>
          </w:tcPr>
          <w:p w14:paraId="0905A2DC" w14:textId="77777777" w:rsidR="00F221A7" w:rsidRPr="00F221A7" w:rsidRDefault="00F221A7" w:rsidP="00F221A7">
            <w:pPr>
              <w:spacing w:after="0" w:line="240" w:lineRule="auto"/>
              <w:jc w:val="both"/>
              <w:rPr>
                <w:rFonts w:ascii="Times New Roman" w:hAnsi="Times New Roman"/>
                <w:b/>
                <w:sz w:val="20"/>
                <w:szCs w:val="20"/>
              </w:rPr>
            </w:pPr>
          </w:p>
        </w:tc>
        <w:tc>
          <w:tcPr>
            <w:tcW w:w="3405" w:type="dxa"/>
            <w:vMerge/>
            <w:shd w:val="clear" w:color="auto" w:fill="F2F2F2" w:themeFill="background1" w:themeFillShade="F2"/>
            <w:vAlign w:val="center"/>
          </w:tcPr>
          <w:p w14:paraId="384583D3" w14:textId="77777777" w:rsidR="00F221A7" w:rsidRPr="00F221A7" w:rsidRDefault="00F221A7" w:rsidP="00F221A7">
            <w:pPr>
              <w:spacing w:after="0" w:line="240" w:lineRule="auto"/>
              <w:jc w:val="both"/>
              <w:rPr>
                <w:rFonts w:ascii="Times New Roman" w:hAnsi="Times New Roman"/>
                <w:b/>
                <w:sz w:val="20"/>
                <w:szCs w:val="20"/>
              </w:rPr>
            </w:pPr>
          </w:p>
        </w:tc>
        <w:tc>
          <w:tcPr>
            <w:tcW w:w="3856" w:type="dxa"/>
            <w:vMerge w:val="restart"/>
            <w:shd w:val="clear" w:color="auto" w:fill="F2F2F2" w:themeFill="background1" w:themeFillShade="F2"/>
            <w:vAlign w:val="center"/>
          </w:tcPr>
          <w:p w14:paraId="5DDF0E71" w14:textId="77777777" w:rsidR="00F221A7" w:rsidRPr="00F221A7" w:rsidRDefault="00F221A7" w:rsidP="00F221A7">
            <w:pPr>
              <w:spacing w:after="0" w:line="240" w:lineRule="auto"/>
              <w:jc w:val="both"/>
              <w:rPr>
                <w:rFonts w:ascii="Times New Roman" w:hAnsi="Times New Roman"/>
                <w:b/>
                <w:sz w:val="20"/>
                <w:szCs w:val="20"/>
              </w:rPr>
            </w:pPr>
            <w:r w:rsidRPr="00F221A7">
              <w:rPr>
                <w:rFonts w:ascii="Times New Roman" w:hAnsi="Times New Roman"/>
                <w:b/>
                <w:sz w:val="20"/>
                <w:szCs w:val="20"/>
              </w:rPr>
              <w:t>Réalisations/Livraisons</w:t>
            </w:r>
          </w:p>
        </w:tc>
        <w:tc>
          <w:tcPr>
            <w:tcW w:w="1811" w:type="dxa"/>
            <w:gridSpan w:val="3"/>
            <w:shd w:val="clear" w:color="auto" w:fill="F2F2F2" w:themeFill="background1" w:themeFillShade="F2"/>
            <w:vAlign w:val="center"/>
          </w:tcPr>
          <w:p w14:paraId="5139E841" w14:textId="77777777" w:rsidR="00F221A7" w:rsidRPr="00F221A7" w:rsidRDefault="00F221A7" w:rsidP="00F221A7">
            <w:pPr>
              <w:spacing w:after="0" w:line="240" w:lineRule="auto"/>
              <w:jc w:val="both"/>
              <w:rPr>
                <w:rFonts w:ascii="Times New Roman" w:hAnsi="Times New Roman"/>
                <w:b/>
                <w:sz w:val="20"/>
                <w:szCs w:val="20"/>
              </w:rPr>
            </w:pPr>
            <w:r w:rsidRPr="00F221A7">
              <w:rPr>
                <w:rFonts w:ascii="Times New Roman" w:hAnsi="Times New Roman"/>
                <w:b/>
                <w:sz w:val="20"/>
                <w:szCs w:val="20"/>
              </w:rPr>
              <w:t>Rating</w:t>
            </w:r>
          </w:p>
        </w:tc>
      </w:tr>
      <w:tr w:rsidR="00F221A7" w:rsidRPr="00F221A7" w14:paraId="5CC15DE9" w14:textId="77777777" w:rsidTr="00F221A7">
        <w:trPr>
          <w:trHeight w:val="370"/>
        </w:trPr>
        <w:tc>
          <w:tcPr>
            <w:tcW w:w="1668" w:type="dxa"/>
            <w:vMerge/>
            <w:shd w:val="clear" w:color="auto" w:fill="F2F2F2" w:themeFill="background1" w:themeFillShade="F2"/>
            <w:vAlign w:val="center"/>
          </w:tcPr>
          <w:p w14:paraId="6E509638" w14:textId="77777777" w:rsidR="00F221A7" w:rsidRPr="00F221A7" w:rsidRDefault="00F221A7" w:rsidP="00F221A7">
            <w:pPr>
              <w:spacing w:after="0" w:line="240" w:lineRule="auto"/>
              <w:jc w:val="both"/>
              <w:rPr>
                <w:rFonts w:ascii="Times New Roman" w:hAnsi="Times New Roman"/>
                <w:b/>
                <w:sz w:val="20"/>
                <w:szCs w:val="20"/>
              </w:rPr>
            </w:pPr>
          </w:p>
        </w:tc>
        <w:tc>
          <w:tcPr>
            <w:tcW w:w="3405" w:type="dxa"/>
            <w:vMerge/>
            <w:shd w:val="clear" w:color="auto" w:fill="F2F2F2" w:themeFill="background1" w:themeFillShade="F2"/>
            <w:vAlign w:val="center"/>
          </w:tcPr>
          <w:p w14:paraId="249FDF67" w14:textId="77777777" w:rsidR="00F221A7" w:rsidRPr="00F221A7" w:rsidRDefault="00F221A7" w:rsidP="00F221A7">
            <w:pPr>
              <w:spacing w:after="0" w:line="240" w:lineRule="auto"/>
              <w:jc w:val="both"/>
              <w:rPr>
                <w:rFonts w:ascii="Times New Roman" w:hAnsi="Times New Roman"/>
                <w:b/>
                <w:sz w:val="20"/>
                <w:szCs w:val="20"/>
              </w:rPr>
            </w:pPr>
          </w:p>
        </w:tc>
        <w:tc>
          <w:tcPr>
            <w:tcW w:w="3856" w:type="dxa"/>
            <w:vMerge/>
            <w:shd w:val="clear" w:color="auto" w:fill="F2F2F2" w:themeFill="background1" w:themeFillShade="F2"/>
            <w:vAlign w:val="center"/>
          </w:tcPr>
          <w:p w14:paraId="244A2C0A" w14:textId="77777777" w:rsidR="00F221A7" w:rsidRPr="00F221A7" w:rsidRDefault="00F221A7" w:rsidP="00F221A7">
            <w:pPr>
              <w:spacing w:after="0" w:line="240" w:lineRule="auto"/>
              <w:jc w:val="both"/>
              <w:rPr>
                <w:rFonts w:ascii="Times New Roman" w:hAnsi="Times New Roman"/>
                <w:b/>
                <w:sz w:val="20"/>
                <w:szCs w:val="20"/>
              </w:rPr>
            </w:pPr>
          </w:p>
        </w:tc>
        <w:tc>
          <w:tcPr>
            <w:tcW w:w="716" w:type="dxa"/>
            <w:shd w:val="clear" w:color="auto" w:fill="F2F2F2" w:themeFill="background1" w:themeFillShade="F2"/>
            <w:vAlign w:val="center"/>
          </w:tcPr>
          <w:p w14:paraId="4C884942" w14:textId="77777777" w:rsidR="00F221A7" w:rsidRPr="00F221A7" w:rsidRDefault="00F221A7" w:rsidP="00F221A7">
            <w:pPr>
              <w:spacing w:after="0" w:line="240" w:lineRule="auto"/>
              <w:jc w:val="both"/>
              <w:rPr>
                <w:rFonts w:ascii="Times New Roman" w:hAnsi="Times New Roman"/>
                <w:b/>
                <w:sz w:val="20"/>
                <w:szCs w:val="20"/>
              </w:rPr>
            </w:pPr>
            <w:r w:rsidRPr="00F221A7">
              <w:rPr>
                <w:rFonts w:ascii="Times New Roman" w:hAnsi="Times New Roman"/>
                <w:b/>
                <w:sz w:val="20"/>
                <w:szCs w:val="20"/>
              </w:rPr>
              <w:t>E</w:t>
            </w:r>
          </w:p>
        </w:tc>
        <w:tc>
          <w:tcPr>
            <w:tcW w:w="512" w:type="dxa"/>
            <w:shd w:val="clear" w:color="auto" w:fill="F2F2F2" w:themeFill="background1" w:themeFillShade="F2"/>
            <w:vAlign w:val="center"/>
          </w:tcPr>
          <w:p w14:paraId="236F49B6" w14:textId="77777777" w:rsidR="00F221A7" w:rsidRPr="00F221A7" w:rsidRDefault="00F221A7" w:rsidP="00F221A7">
            <w:pPr>
              <w:spacing w:after="0" w:line="240" w:lineRule="auto"/>
              <w:jc w:val="both"/>
              <w:rPr>
                <w:rFonts w:ascii="Times New Roman" w:hAnsi="Times New Roman"/>
                <w:b/>
                <w:sz w:val="20"/>
                <w:szCs w:val="20"/>
              </w:rPr>
            </w:pPr>
            <w:r w:rsidRPr="00F221A7">
              <w:rPr>
                <w:rFonts w:ascii="Times New Roman" w:hAnsi="Times New Roman"/>
                <w:b/>
                <w:sz w:val="20"/>
                <w:szCs w:val="20"/>
              </w:rPr>
              <w:t>M</w:t>
            </w:r>
          </w:p>
        </w:tc>
        <w:tc>
          <w:tcPr>
            <w:tcW w:w="583" w:type="dxa"/>
            <w:shd w:val="clear" w:color="auto" w:fill="F2F2F2" w:themeFill="background1" w:themeFillShade="F2"/>
            <w:vAlign w:val="center"/>
          </w:tcPr>
          <w:p w14:paraId="7F6B91B2" w14:textId="77777777" w:rsidR="00F221A7" w:rsidRPr="00F221A7" w:rsidRDefault="00F221A7" w:rsidP="00F221A7">
            <w:pPr>
              <w:spacing w:after="0" w:line="240" w:lineRule="auto"/>
              <w:jc w:val="both"/>
              <w:rPr>
                <w:rFonts w:ascii="Times New Roman" w:hAnsi="Times New Roman"/>
                <w:b/>
                <w:sz w:val="20"/>
                <w:szCs w:val="20"/>
              </w:rPr>
            </w:pPr>
            <w:r w:rsidRPr="00F221A7">
              <w:rPr>
                <w:rFonts w:ascii="Times New Roman" w:hAnsi="Times New Roman"/>
                <w:b/>
                <w:sz w:val="20"/>
                <w:szCs w:val="20"/>
              </w:rPr>
              <w:t>F-N</w:t>
            </w:r>
          </w:p>
        </w:tc>
      </w:tr>
      <w:tr w:rsidR="00F221A7" w:rsidRPr="00F221A7" w14:paraId="73EE2A09" w14:textId="77777777" w:rsidTr="00F221A7">
        <w:tc>
          <w:tcPr>
            <w:tcW w:w="1668" w:type="dxa"/>
            <w:vMerge w:val="restart"/>
            <w:shd w:val="clear" w:color="auto" w:fill="F2F2F2" w:themeFill="background1" w:themeFillShade="F2"/>
            <w:vAlign w:val="center"/>
          </w:tcPr>
          <w:p w14:paraId="013CA46A" w14:textId="77777777" w:rsidR="00F221A7" w:rsidRPr="00F221A7" w:rsidRDefault="00F221A7" w:rsidP="00F221A7">
            <w:pPr>
              <w:spacing w:after="0" w:line="240" w:lineRule="auto"/>
              <w:jc w:val="both"/>
              <w:rPr>
                <w:rFonts w:ascii="Times New Roman" w:hAnsi="Times New Roman"/>
                <w:sz w:val="20"/>
                <w:szCs w:val="20"/>
              </w:rPr>
            </w:pPr>
            <w:r w:rsidRPr="00F221A7">
              <w:rPr>
                <w:rFonts w:ascii="Times New Roman" w:hAnsi="Times New Roman"/>
                <w:sz w:val="20"/>
                <w:szCs w:val="20"/>
              </w:rPr>
              <w:t>D’ici à 2019, les communautés, en particulier les plus vulnérables et celles touchées par la crise, pourront accéder à des soins de santé de base de qualité et en bénéficier plus facilement et sur un pied d’égalité</w:t>
            </w:r>
          </w:p>
        </w:tc>
        <w:tc>
          <w:tcPr>
            <w:tcW w:w="3405" w:type="dxa"/>
            <w:shd w:val="clear" w:color="auto" w:fill="auto"/>
          </w:tcPr>
          <w:p w14:paraId="0E7C3826" w14:textId="77777777" w:rsidR="00F221A7" w:rsidRPr="00F221A7" w:rsidRDefault="00F221A7" w:rsidP="00F221A7">
            <w:pPr>
              <w:spacing w:after="0" w:line="240" w:lineRule="auto"/>
              <w:jc w:val="both"/>
              <w:rPr>
                <w:rFonts w:ascii="Times New Roman" w:hAnsi="Times New Roman"/>
                <w:sz w:val="20"/>
                <w:szCs w:val="20"/>
              </w:rPr>
            </w:pPr>
            <w:r w:rsidRPr="00F221A7">
              <w:rPr>
                <w:rFonts w:ascii="Times New Roman" w:hAnsi="Times New Roman"/>
                <w:sz w:val="20"/>
                <w:szCs w:val="20"/>
              </w:rPr>
              <w:t>Taux de mortalité maternelle</w:t>
            </w:r>
          </w:p>
          <w:p w14:paraId="4E82C1C7" w14:textId="77777777" w:rsidR="00F221A7" w:rsidRPr="00F221A7" w:rsidRDefault="00F221A7" w:rsidP="00D76EFA">
            <w:pPr>
              <w:numPr>
                <w:ilvl w:val="0"/>
                <w:numId w:val="38"/>
              </w:numPr>
              <w:spacing w:after="0" w:line="240" w:lineRule="auto"/>
              <w:jc w:val="both"/>
              <w:rPr>
                <w:rFonts w:ascii="Times New Roman" w:hAnsi="Times New Roman"/>
                <w:sz w:val="20"/>
                <w:szCs w:val="20"/>
              </w:rPr>
            </w:pPr>
            <w:r w:rsidRPr="00F221A7">
              <w:rPr>
                <w:rFonts w:ascii="Times New Roman" w:hAnsi="Times New Roman"/>
                <w:sz w:val="20"/>
                <w:szCs w:val="20"/>
              </w:rPr>
              <w:t>Réf : 368 décès maternels pour 100 000 naissances vivantes</w:t>
            </w:r>
          </w:p>
          <w:p w14:paraId="0950C893" w14:textId="77777777" w:rsidR="00F221A7" w:rsidRPr="00F221A7" w:rsidRDefault="00F221A7" w:rsidP="00D76EFA">
            <w:pPr>
              <w:numPr>
                <w:ilvl w:val="0"/>
                <w:numId w:val="38"/>
              </w:numPr>
              <w:spacing w:after="0" w:line="240" w:lineRule="auto"/>
              <w:jc w:val="both"/>
              <w:rPr>
                <w:rFonts w:ascii="Times New Roman" w:hAnsi="Times New Roman"/>
                <w:sz w:val="20"/>
                <w:szCs w:val="20"/>
              </w:rPr>
            </w:pPr>
            <w:r w:rsidRPr="00F221A7">
              <w:rPr>
                <w:rFonts w:ascii="Times New Roman" w:hAnsi="Times New Roman"/>
                <w:sz w:val="20"/>
                <w:szCs w:val="20"/>
              </w:rPr>
              <w:t>Cible : 230 décès maternels pour 100 000 naissances vivantes</w:t>
            </w:r>
          </w:p>
        </w:tc>
        <w:tc>
          <w:tcPr>
            <w:tcW w:w="3856" w:type="dxa"/>
            <w:shd w:val="clear" w:color="auto" w:fill="auto"/>
            <w:vAlign w:val="center"/>
          </w:tcPr>
          <w:p w14:paraId="7B2B5FF4" w14:textId="77777777" w:rsidR="00F221A7" w:rsidRPr="00F221A7" w:rsidRDefault="00F221A7" w:rsidP="00D76EFA">
            <w:pPr>
              <w:numPr>
                <w:ilvl w:val="0"/>
                <w:numId w:val="38"/>
              </w:numPr>
              <w:spacing w:after="0" w:line="240" w:lineRule="auto"/>
              <w:jc w:val="both"/>
              <w:rPr>
                <w:rFonts w:ascii="Times New Roman" w:hAnsi="Times New Roman"/>
                <w:sz w:val="20"/>
                <w:szCs w:val="20"/>
              </w:rPr>
            </w:pPr>
            <w:r w:rsidRPr="00F221A7">
              <w:rPr>
                <w:rFonts w:ascii="Times New Roman" w:hAnsi="Times New Roman"/>
                <w:sz w:val="20"/>
                <w:szCs w:val="20"/>
              </w:rPr>
              <w:t>587</w:t>
            </w:r>
          </w:p>
        </w:tc>
        <w:tc>
          <w:tcPr>
            <w:tcW w:w="716" w:type="dxa"/>
            <w:shd w:val="clear" w:color="auto" w:fill="auto"/>
            <w:vAlign w:val="center"/>
          </w:tcPr>
          <w:p w14:paraId="4A0D0874" w14:textId="77777777" w:rsidR="00F221A7" w:rsidRPr="00F221A7" w:rsidRDefault="00F221A7" w:rsidP="00F221A7">
            <w:pPr>
              <w:spacing w:after="0" w:line="240" w:lineRule="auto"/>
              <w:jc w:val="both"/>
              <w:rPr>
                <w:rFonts w:ascii="Times New Roman" w:hAnsi="Times New Roman"/>
                <w:sz w:val="20"/>
                <w:szCs w:val="20"/>
              </w:rPr>
            </w:pPr>
          </w:p>
        </w:tc>
        <w:tc>
          <w:tcPr>
            <w:tcW w:w="512" w:type="dxa"/>
            <w:shd w:val="clear" w:color="auto" w:fill="auto"/>
            <w:vAlign w:val="center"/>
          </w:tcPr>
          <w:p w14:paraId="710A2ADF" w14:textId="77777777" w:rsidR="00F221A7" w:rsidRPr="00F221A7" w:rsidRDefault="00F221A7" w:rsidP="00F221A7">
            <w:pPr>
              <w:spacing w:after="0" w:line="240" w:lineRule="auto"/>
              <w:jc w:val="both"/>
              <w:rPr>
                <w:rFonts w:ascii="Times New Roman" w:hAnsi="Times New Roman"/>
                <w:sz w:val="20"/>
                <w:szCs w:val="20"/>
              </w:rPr>
            </w:pPr>
          </w:p>
        </w:tc>
        <w:tc>
          <w:tcPr>
            <w:tcW w:w="583" w:type="dxa"/>
            <w:shd w:val="clear" w:color="auto" w:fill="FF0000"/>
            <w:vAlign w:val="center"/>
          </w:tcPr>
          <w:p w14:paraId="2E1B99F5" w14:textId="77777777" w:rsidR="00F221A7" w:rsidRPr="00F221A7" w:rsidRDefault="00F221A7" w:rsidP="00F221A7">
            <w:pPr>
              <w:spacing w:after="0" w:line="240" w:lineRule="auto"/>
              <w:jc w:val="both"/>
              <w:rPr>
                <w:rFonts w:ascii="Times New Roman" w:hAnsi="Times New Roman"/>
                <w:sz w:val="20"/>
                <w:szCs w:val="20"/>
              </w:rPr>
            </w:pPr>
          </w:p>
        </w:tc>
      </w:tr>
      <w:tr w:rsidR="00F221A7" w:rsidRPr="00F221A7" w14:paraId="3BCD9BE9" w14:textId="77777777" w:rsidTr="00F221A7">
        <w:tc>
          <w:tcPr>
            <w:tcW w:w="1668" w:type="dxa"/>
            <w:vMerge/>
            <w:shd w:val="clear" w:color="auto" w:fill="F2F2F2" w:themeFill="background1" w:themeFillShade="F2"/>
            <w:vAlign w:val="center"/>
          </w:tcPr>
          <w:p w14:paraId="12CF99E7" w14:textId="77777777" w:rsidR="00F221A7" w:rsidRPr="00F221A7" w:rsidRDefault="00F221A7" w:rsidP="00F221A7">
            <w:pPr>
              <w:spacing w:after="0" w:line="240" w:lineRule="auto"/>
              <w:jc w:val="both"/>
              <w:rPr>
                <w:rFonts w:ascii="Times New Roman" w:hAnsi="Times New Roman"/>
                <w:sz w:val="20"/>
                <w:szCs w:val="20"/>
              </w:rPr>
            </w:pPr>
          </w:p>
        </w:tc>
        <w:tc>
          <w:tcPr>
            <w:tcW w:w="3405" w:type="dxa"/>
            <w:shd w:val="clear" w:color="auto" w:fill="auto"/>
          </w:tcPr>
          <w:p w14:paraId="414FE57F" w14:textId="77777777" w:rsidR="00F221A7" w:rsidRPr="00F221A7" w:rsidRDefault="00F221A7" w:rsidP="00F221A7">
            <w:pPr>
              <w:spacing w:after="0" w:line="240" w:lineRule="auto"/>
              <w:jc w:val="both"/>
              <w:rPr>
                <w:rFonts w:ascii="Times New Roman" w:hAnsi="Times New Roman"/>
                <w:sz w:val="20"/>
                <w:szCs w:val="20"/>
              </w:rPr>
            </w:pPr>
            <w:r w:rsidRPr="00F221A7">
              <w:rPr>
                <w:rFonts w:ascii="Times New Roman" w:hAnsi="Times New Roman"/>
                <w:sz w:val="20"/>
                <w:szCs w:val="20"/>
              </w:rPr>
              <w:t>Prévalence de la contraception</w:t>
            </w:r>
          </w:p>
          <w:p w14:paraId="312403EB" w14:textId="77777777" w:rsidR="00F221A7" w:rsidRPr="00F221A7" w:rsidRDefault="00F221A7" w:rsidP="00D76EFA">
            <w:pPr>
              <w:numPr>
                <w:ilvl w:val="0"/>
                <w:numId w:val="39"/>
              </w:numPr>
              <w:spacing w:after="0" w:line="240" w:lineRule="auto"/>
              <w:jc w:val="both"/>
              <w:rPr>
                <w:rFonts w:ascii="Times New Roman" w:hAnsi="Times New Roman"/>
                <w:sz w:val="20"/>
                <w:szCs w:val="20"/>
              </w:rPr>
            </w:pPr>
            <w:r w:rsidRPr="00F221A7">
              <w:rPr>
                <w:rFonts w:ascii="Times New Roman" w:hAnsi="Times New Roman"/>
                <w:sz w:val="20"/>
                <w:szCs w:val="20"/>
              </w:rPr>
              <w:t>Réf : 10 % en 2012-13</w:t>
            </w:r>
          </w:p>
          <w:p w14:paraId="4DB70C7C" w14:textId="77777777" w:rsidR="00F221A7" w:rsidRPr="00F221A7" w:rsidRDefault="00F221A7" w:rsidP="00D76EFA">
            <w:pPr>
              <w:numPr>
                <w:ilvl w:val="0"/>
                <w:numId w:val="39"/>
              </w:numPr>
              <w:spacing w:after="0" w:line="240" w:lineRule="auto"/>
              <w:jc w:val="both"/>
              <w:rPr>
                <w:rFonts w:ascii="Times New Roman" w:hAnsi="Times New Roman"/>
                <w:sz w:val="20"/>
                <w:szCs w:val="20"/>
              </w:rPr>
            </w:pPr>
            <w:r w:rsidRPr="00F221A7">
              <w:rPr>
                <w:rFonts w:ascii="Times New Roman" w:hAnsi="Times New Roman"/>
                <w:sz w:val="20"/>
                <w:szCs w:val="20"/>
              </w:rPr>
              <w:t>Cible : 15 %</w:t>
            </w:r>
          </w:p>
        </w:tc>
        <w:tc>
          <w:tcPr>
            <w:tcW w:w="3856" w:type="dxa"/>
            <w:shd w:val="clear" w:color="auto" w:fill="auto"/>
            <w:vAlign w:val="center"/>
          </w:tcPr>
          <w:p w14:paraId="0266E125" w14:textId="77777777" w:rsidR="00F221A7" w:rsidRPr="00F221A7" w:rsidRDefault="00F221A7" w:rsidP="00D76EFA">
            <w:pPr>
              <w:numPr>
                <w:ilvl w:val="0"/>
                <w:numId w:val="105"/>
              </w:numPr>
              <w:spacing w:after="0" w:line="240" w:lineRule="auto"/>
              <w:jc w:val="both"/>
              <w:rPr>
                <w:rFonts w:ascii="Times New Roman" w:hAnsi="Times New Roman"/>
                <w:b/>
                <w:sz w:val="20"/>
                <w:szCs w:val="20"/>
              </w:rPr>
            </w:pPr>
            <w:r w:rsidRPr="00F221A7">
              <w:rPr>
                <w:rFonts w:ascii="Times New Roman" w:hAnsi="Times New Roman"/>
                <w:b/>
                <w:sz w:val="20"/>
                <w:szCs w:val="20"/>
              </w:rPr>
              <w:t>29,5%</w:t>
            </w:r>
          </w:p>
        </w:tc>
        <w:tc>
          <w:tcPr>
            <w:tcW w:w="716" w:type="dxa"/>
            <w:shd w:val="clear" w:color="auto" w:fill="00B050"/>
            <w:vAlign w:val="center"/>
          </w:tcPr>
          <w:p w14:paraId="3FD7F1BA" w14:textId="77777777" w:rsidR="00F221A7" w:rsidRPr="00F221A7" w:rsidRDefault="00F221A7" w:rsidP="00F221A7">
            <w:pPr>
              <w:spacing w:after="0" w:line="240" w:lineRule="auto"/>
              <w:jc w:val="both"/>
              <w:rPr>
                <w:rFonts w:ascii="Times New Roman" w:hAnsi="Times New Roman"/>
                <w:b/>
                <w:sz w:val="20"/>
                <w:szCs w:val="20"/>
              </w:rPr>
            </w:pPr>
            <w:r w:rsidRPr="00F221A7">
              <w:rPr>
                <w:rFonts w:ascii="Times New Roman" w:hAnsi="Times New Roman"/>
                <w:b/>
                <w:sz w:val="20"/>
                <w:szCs w:val="20"/>
              </w:rPr>
              <w:t>200%</w:t>
            </w:r>
          </w:p>
        </w:tc>
        <w:tc>
          <w:tcPr>
            <w:tcW w:w="512" w:type="dxa"/>
            <w:shd w:val="clear" w:color="auto" w:fill="auto"/>
            <w:vAlign w:val="center"/>
          </w:tcPr>
          <w:p w14:paraId="5A6149A2" w14:textId="77777777" w:rsidR="00F221A7" w:rsidRPr="00F221A7" w:rsidRDefault="00F221A7" w:rsidP="00F221A7">
            <w:pPr>
              <w:spacing w:after="0" w:line="240" w:lineRule="auto"/>
              <w:jc w:val="both"/>
              <w:rPr>
                <w:rFonts w:ascii="Times New Roman" w:hAnsi="Times New Roman"/>
                <w:sz w:val="20"/>
                <w:szCs w:val="20"/>
              </w:rPr>
            </w:pPr>
          </w:p>
        </w:tc>
        <w:tc>
          <w:tcPr>
            <w:tcW w:w="583" w:type="dxa"/>
            <w:shd w:val="clear" w:color="auto" w:fill="auto"/>
            <w:vAlign w:val="center"/>
          </w:tcPr>
          <w:p w14:paraId="6152AD42" w14:textId="77777777" w:rsidR="00F221A7" w:rsidRPr="00F221A7" w:rsidRDefault="00F221A7" w:rsidP="00F221A7">
            <w:pPr>
              <w:spacing w:after="0" w:line="240" w:lineRule="auto"/>
              <w:jc w:val="both"/>
              <w:rPr>
                <w:rFonts w:ascii="Times New Roman" w:hAnsi="Times New Roman"/>
                <w:sz w:val="20"/>
                <w:szCs w:val="20"/>
              </w:rPr>
            </w:pPr>
          </w:p>
        </w:tc>
      </w:tr>
      <w:tr w:rsidR="00F221A7" w:rsidRPr="00F221A7" w14:paraId="1A2A610F" w14:textId="77777777" w:rsidTr="00F221A7">
        <w:tc>
          <w:tcPr>
            <w:tcW w:w="1668" w:type="dxa"/>
            <w:vMerge/>
            <w:shd w:val="clear" w:color="auto" w:fill="F2F2F2" w:themeFill="background1" w:themeFillShade="F2"/>
            <w:vAlign w:val="center"/>
          </w:tcPr>
          <w:p w14:paraId="59E318CD" w14:textId="77777777" w:rsidR="00F221A7" w:rsidRPr="00F221A7" w:rsidRDefault="00F221A7" w:rsidP="00F221A7">
            <w:pPr>
              <w:spacing w:after="0" w:line="240" w:lineRule="auto"/>
              <w:jc w:val="both"/>
              <w:rPr>
                <w:rFonts w:ascii="Times New Roman" w:hAnsi="Times New Roman"/>
                <w:sz w:val="20"/>
                <w:szCs w:val="20"/>
              </w:rPr>
            </w:pPr>
          </w:p>
        </w:tc>
        <w:tc>
          <w:tcPr>
            <w:tcW w:w="3405" w:type="dxa"/>
            <w:shd w:val="clear" w:color="auto" w:fill="auto"/>
          </w:tcPr>
          <w:p w14:paraId="783B6489" w14:textId="77777777" w:rsidR="00F221A7" w:rsidRPr="00F221A7" w:rsidRDefault="00F221A7" w:rsidP="00F221A7">
            <w:pPr>
              <w:spacing w:after="0" w:line="240" w:lineRule="auto"/>
              <w:jc w:val="both"/>
              <w:rPr>
                <w:rFonts w:ascii="Times New Roman" w:hAnsi="Times New Roman"/>
                <w:sz w:val="20"/>
                <w:szCs w:val="20"/>
              </w:rPr>
            </w:pPr>
            <w:r w:rsidRPr="00F221A7">
              <w:rPr>
                <w:rFonts w:ascii="Times New Roman" w:hAnsi="Times New Roman"/>
                <w:sz w:val="20"/>
                <w:szCs w:val="20"/>
              </w:rPr>
              <w:t>Pourcentage d’accouchements assistés par du personnel de santé qualifié</w:t>
            </w:r>
          </w:p>
          <w:p w14:paraId="198CC379" w14:textId="77777777" w:rsidR="00F221A7" w:rsidRPr="00F221A7" w:rsidRDefault="00F221A7" w:rsidP="00D76EFA">
            <w:pPr>
              <w:numPr>
                <w:ilvl w:val="0"/>
                <w:numId w:val="40"/>
              </w:numPr>
              <w:spacing w:after="0" w:line="240" w:lineRule="auto"/>
              <w:jc w:val="both"/>
              <w:rPr>
                <w:rFonts w:ascii="Times New Roman" w:hAnsi="Times New Roman"/>
                <w:sz w:val="20"/>
                <w:szCs w:val="20"/>
              </w:rPr>
            </w:pPr>
            <w:r w:rsidRPr="00F221A7">
              <w:rPr>
                <w:rFonts w:ascii="Times New Roman" w:hAnsi="Times New Roman"/>
                <w:sz w:val="20"/>
                <w:szCs w:val="20"/>
              </w:rPr>
              <w:t>Réf : 56%</w:t>
            </w:r>
          </w:p>
          <w:p w14:paraId="4833BB6B" w14:textId="77777777" w:rsidR="00F221A7" w:rsidRPr="00F221A7" w:rsidRDefault="00F221A7" w:rsidP="00D76EFA">
            <w:pPr>
              <w:numPr>
                <w:ilvl w:val="0"/>
                <w:numId w:val="40"/>
              </w:numPr>
              <w:spacing w:after="0" w:line="240" w:lineRule="auto"/>
              <w:jc w:val="both"/>
              <w:rPr>
                <w:rFonts w:ascii="Times New Roman" w:hAnsi="Times New Roman"/>
                <w:sz w:val="20"/>
                <w:szCs w:val="20"/>
              </w:rPr>
            </w:pPr>
            <w:r w:rsidRPr="00F221A7">
              <w:rPr>
                <w:rFonts w:ascii="Times New Roman" w:hAnsi="Times New Roman"/>
                <w:sz w:val="20"/>
                <w:szCs w:val="20"/>
              </w:rPr>
              <w:t>Cible : 65%</w:t>
            </w:r>
          </w:p>
        </w:tc>
        <w:tc>
          <w:tcPr>
            <w:tcW w:w="3856" w:type="dxa"/>
            <w:shd w:val="clear" w:color="auto" w:fill="auto"/>
            <w:vAlign w:val="center"/>
          </w:tcPr>
          <w:p w14:paraId="03A9D623" w14:textId="77777777" w:rsidR="00F221A7" w:rsidRPr="00F221A7" w:rsidRDefault="00F221A7" w:rsidP="00F221A7">
            <w:pPr>
              <w:spacing w:after="0" w:line="240" w:lineRule="auto"/>
              <w:jc w:val="both"/>
              <w:rPr>
                <w:rFonts w:ascii="Times New Roman" w:hAnsi="Times New Roman"/>
                <w:sz w:val="20"/>
                <w:szCs w:val="20"/>
              </w:rPr>
            </w:pPr>
          </w:p>
        </w:tc>
        <w:tc>
          <w:tcPr>
            <w:tcW w:w="716" w:type="dxa"/>
            <w:shd w:val="clear" w:color="auto" w:fill="auto"/>
            <w:vAlign w:val="center"/>
          </w:tcPr>
          <w:p w14:paraId="25889D29" w14:textId="77777777" w:rsidR="00F221A7" w:rsidRPr="00F221A7" w:rsidRDefault="00F221A7" w:rsidP="00F221A7">
            <w:pPr>
              <w:spacing w:after="0" w:line="240" w:lineRule="auto"/>
              <w:jc w:val="both"/>
              <w:rPr>
                <w:rFonts w:ascii="Times New Roman" w:hAnsi="Times New Roman"/>
                <w:sz w:val="20"/>
                <w:szCs w:val="20"/>
              </w:rPr>
            </w:pPr>
          </w:p>
        </w:tc>
        <w:tc>
          <w:tcPr>
            <w:tcW w:w="512" w:type="dxa"/>
            <w:shd w:val="clear" w:color="auto" w:fill="auto"/>
            <w:vAlign w:val="center"/>
          </w:tcPr>
          <w:p w14:paraId="0501FA53" w14:textId="77777777" w:rsidR="00F221A7" w:rsidRPr="00F221A7" w:rsidRDefault="00F221A7" w:rsidP="00F221A7">
            <w:pPr>
              <w:spacing w:after="0" w:line="240" w:lineRule="auto"/>
              <w:jc w:val="both"/>
              <w:rPr>
                <w:rFonts w:ascii="Times New Roman" w:hAnsi="Times New Roman"/>
                <w:sz w:val="20"/>
                <w:szCs w:val="20"/>
              </w:rPr>
            </w:pPr>
          </w:p>
        </w:tc>
        <w:tc>
          <w:tcPr>
            <w:tcW w:w="583" w:type="dxa"/>
            <w:shd w:val="clear" w:color="auto" w:fill="auto"/>
            <w:vAlign w:val="center"/>
          </w:tcPr>
          <w:p w14:paraId="37ED001E" w14:textId="77777777" w:rsidR="00F221A7" w:rsidRPr="00F221A7" w:rsidRDefault="00F221A7" w:rsidP="00F221A7">
            <w:pPr>
              <w:spacing w:after="0" w:line="240" w:lineRule="auto"/>
              <w:jc w:val="both"/>
              <w:rPr>
                <w:rFonts w:ascii="Times New Roman" w:hAnsi="Times New Roman"/>
                <w:sz w:val="20"/>
                <w:szCs w:val="20"/>
              </w:rPr>
            </w:pPr>
          </w:p>
        </w:tc>
      </w:tr>
      <w:tr w:rsidR="00F221A7" w:rsidRPr="00F221A7" w14:paraId="3DDCC55B" w14:textId="77777777" w:rsidTr="00F221A7">
        <w:tc>
          <w:tcPr>
            <w:tcW w:w="1668" w:type="dxa"/>
            <w:vMerge/>
            <w:shd w:val="clear" w:color="auto" w:fill="F2F2F2" w:themeFill="background1" w:themeFillShade="F2"/>
            <w:vAlign w:val="center"/>
          </w:tcPr>
          <w:p w14:paraId="66DA2DFA" w14:textId="77777777" w:rsidR="00F221A7" w:rsidRPr="00F221A7" w:rsidRDefault="00F221A7" w:rsidP="00F221A7">
            <w:pPr>
              <w:spacing w:after="0" w:line="240" w:lineRule="auto"/>
              <w:jc w:val="both"/>
              <w:rPr>
                <w:rFonts w:ascii="Times New Roman" w:hAnsi="Times New Roman"/>
                <w:sz w:val="20"/>
                <w:szCs w:val="20"/>
              </w:rPr>
            </w:pPr>
          </w:p>
        </w:tc>
        <w:tc>
          <w:tcPr>
            <w:tcW w:w="3405" w:type="dxa"/>
            <w:shd w:val="clear" w:color="auto" w:fill="auto"/>
          </w:tcPr>
          <w:p w14:paraId="5B22AC21" w14:textId="77777777" w:rsidR="00F221A7" w:rsidRPr="00F221A7" w:rsidRDefault="00F221A7" w:rsidP="00F221A7">
            <w:pPr>
              <w:spacing w:after="0" w:line="240" w:lineRule="auto"/>
              <w:jc w:val="both"/>
              <w:rPr>
                <w:rFonts w:ascii="Times New Roman" w:hAnsi="Times New Roman"/>
                <w:sz w:val="20"/>
                <w:szCs w:val="20"/>
              </w:rPr>
            </w:pPr>
            <w:r w:rsidRPr="00F221A7">
              <w:rPr>
                <w:rFonts w:ascii="Times New Roman" w:hAnsi="Times New Roman"/>
                <w:sz w:val="20"/>
                <w:szCs w:val="20"/>
              </w:rPr>
              <w:t>Pourcentage d’adultes et d’enfants séropositifs sous traitement antirétroviral</w:t>
            </w:r>
          </w:p>
          <w:p w14:paraId="5C3265CC" w14:textId="77777777" w:rsidR="00F221A7" w:rsidRPr="00F221A7" w:rsidRDefault="00F221A7" w:rsidP="00D76EFA">
            <w:pPr>
              <w:numPr>
                <w:ilvl w:val="0"/>
                <w:numId w:val="41"/>
              </w:numPr>
              <w:spacing w:after="0" w:line="240" w:lineRule="auto"/>
              <w:jc w:val="both"/>
              <w:rPr>
                <w:rFonts w:ascii="Times New Roman" w:hAnsi="Times New Roman"/>
                <w:sz w:val="20"/>
                <w:szCs w:val="20"/>
              </w:rPr>
            </w:pPr>
            <w:r w:rsidRPr="00F221A7">
              <w:rPr>
                <w:rFonts w:ascii="Times New Roman" w:hAnsi="Times New Roman"/>
                <w:sz w:val="20"/>
                <w:szCs w:val="20"/>
              </w:rPr>
              <w:t>Réf : 50 % (estimation à la fin de</w:t>
            </w:r>
            <w:r w:rsidRPr="00F221A7">
              <w:rPr>
                <w:rFonts w:ascii="Times New Roman" w:hAnsi="Times New Roman"/>
                <w:b/>
                <w:sz w:val="20"/>
                <w:szCs w:val="20"/>
              </w:rPr>
              <w:t xml:space="preserve"> </w:t>
            </w:r>
            <w:r w:rsidRPr="00F221A7">
              <w:rPr>
                <w:rFonts w:ascii="Times New Roman" w:hAnsi="Times New Roman"/>
                <w:sz w:val="20"/>
                <w:szCs w:val="20"/>
              </w:rPr>
              <w:t>l’année 2013)</w:t>
            </w:r>
          </w:p>
          <w:p w14:paraId="14782DF6" w14:textId="77777777" w:rsidR="00F221A7" w:rsidRPr="00F221A7" w:rsidRDefault="00F221A7" w:rsidP="00D76EFA">
            <w:pPr>
              <w:numPr>
                <w:ilvl w:val="0"/>
                <w:numId w:val="41"/>
              </w:numPr>
              <w:spacing w:after="0" w:line="240" w:lineRule="auto"/>
              <w:jc w:val="both"/>
              <w:rPr>
                <w:rFonts w:ascii="Times New Roman" w:hAnsi="Times New Roman"/>
                <w:sz w:val="20"/>
                <w:szCs w:val="20"/>
              </w:rPr>
            </w:pPr>
            <w:r w:rsidRPr="00F221A7">
              <w:rPr>
                <w:rFonts w:ascii="Times New Roman" w:hAnsi="Times New Roman"/>
                <w:sz w:val="20"/>
                <w:szCs w:val="20"/>
              </w:rPr>
              <w:t>Cible : 90 % en 2017 (selon le Cadre national stratégique de lutte contre le VIH/sida de 2013)</w:t>
            </w:r>
          </w:p>
        </w:tc>
        <w:tc>
          <w:tcPr>
            <w:tcW w:w="3856" w:type="dxa"/>
            <w:shd w:val="clear" w:color="auto" w:fill="auto"/>
            <w:vAlign w:val="center"/>
          </w:tcPr>
          <w:p w14:paraId="6187EA97" w14:textId="77777777" w:rsidR="00F221A7" w:rsidRPr="00F221A7" w:rsidRDefault="00F221A7" w:rsidP="00D76EFA">
            <w:pPr>
              <w:numPr>
                <w:ilvl w:val="0"/>
                <w:numId w:val="102"/>
              </w:numPr>
              <w:spacing w:after="0" w:line="240" w:lineRule="auto"/>
              <w:jc w:val="both"/>
              <w:rPr>
                <w:rFonts w:ascii="Times New Roman" w:hAnsi="Times New Roman"/>
                <w:sz w:val="20"/>
                <w:szCs w:val="20"/>
              </w:rPr>
            </w:pPr>
            <w:r w:rsidRPr="00F221A7">
              <w:rPr>
                <w:rFonts w:ascii="Times New Roman" w:hAnsi="Times New Roman"/>
                <w:sz w:val="20"/>
                <w:szCs w:val="20"/>
              </w:rPr>
              <w:t xml:space="preserve">2015 : 45% (81 645 cas de personnes vivant avec le VIH, 36 583 personnes ont été mises sous traitement ARV en 2015) </w:t>
            </w:r>
          </w:p>
          <w:p w14:paraId="363F93D9" w14:textId="77777777" w:rsidR="00F221A7" w:rsidRPr="00F221A7" w:rsidRDefault="00F221A7" w:rsidP="00D76EFA">
            <w:pPr>
              <w:numPr>
                <w:ilvl w:val="0"/>
                <w:numId w:val="102"/>
              </w:numPr>
              <w:spacing w:after="0" w:line="240" w:lineRule="auto"/>
              <w:jc w:val="both"/>
              <w:rPr>
                <w:rFonts w:ascii="Times New Roman" w:hAnsi="Times New Roman"/>
                <w:sz w:val="20"/>
                <w:szCs w:val="20"/>
              </w:rPr>
            </w:pPr>
            <w:r w:rsidRPr="00F221A7">
              <w:rPr>
                <w:rFonts w:ascii="Times New Roman" w:hAnsi="Times New Roman"/>
                <w:sz w:val="20"/>
                <w:szCs w:val="20"/>
              </w:rPr>
              <w:t>2016 : 45,22% (36.927 adultes et d'enfants infectés par le VIH qui sont sous ARV)</w:t>
            </w:r>
          </w:p>
          <w:p w14:paraId="4017C260" w14:textId="77777777" w:rsidR="00F221A7" w:rsidRPr="00F221A7" w:rsidRDefault="00F221A7" w:rsidP="00D76EFA">
            <w:pPr>
              <w:numPr>
                <w:ilvl w:val="0"/>
                <w:numId w:val="102"/>
              </w:numPr>
              <w:spacing w:after="0" w:line="240" w:lineRule="auto"/>
              <w:jc w:val="both"/>
              <w:rPr>
                <w:rFonts w:ascii="Times New Roman" w:hAnsi="Times New Roman"/>
                <w:sz w:val="20"/>
                <w:szCs w:val="20"/>
              </w:rPr>
            </w:pPr>
            <w:r w:rsidRPr="00F221A7">
              <w:rPr>
                <w:rFonts w:ascii="Times New Roman" w:hAnsi="Times New Roman"/>
                <w:sz w:val="20"/>
                <w:szCs w:val="20"/>
              </w:rPr>
              <w:t>367 femmes enceintes séropositives mises sous ARV</w:t>
            </w:r>
          </w:p>
          <w:p w14:paraId="6A88AED8" w14:textId="77777777" w:rsidR="00F221A7" w:rsidRPr="00F221A7" w:rsidRDefault="00F221A7" w:rsidP="00D76EFA">
            <w:pPr>
              <w:numPr>
                <w:ilvl w:val="0"/>
                <w:numId w:val="102"/>
              </w:numPr>
              <w:spacing w:after="0" w:line="240" w:lineRule="auto"/>
              <w:jc w:val="both"/>
              <w:rPr>
                <w:rFonts w:ascii="Times New Roman" w:hAnsi="Times New Roman"/>
                <w:sz w:val="20"/>
                <w:szCs w:val="20"/>
              </w:rPr>
            </w:pPr>
            <w:r w:rsidRPr="00F221A7">
              <w:rPr>
                <w:rFonts w:ascii="Times New Roman" w:hAnsi="Times New Roman"/>
                <w:sz w:val="20"/>
                <w:szCs w:val="20"/>
              </w:rPr>
              <w:t>Prévalence du VIH sida en baisse : 1.1% en 2016, contre 1.3% en 2016</w:t>
            </w:r>
          </w:p>
        </w:tc>
        <w:tc>
          <w:tcPr>
            <w:tcW w:w="716" w:type="dxa"/>
            <w:shd w:val="clear" w:color="auto" w:fill="auto"/>
            <w:vAlign w:val="center"/>
          </w:tcPr>
          <w:p w14:paraId="18A889BC" w14:textId="77777777" w:rsidR="00F221A7" w:rsidRPr="00F221A7" w:rsidRDefault="00F221A7" w:rsidP="00F221A7">
            <w:pPr>
              <w:spacing w:after="0" w:line="240" w:lineRule="auto"/>
              <w:jc w:val="both"/>
              <w:rPr>
                <w:rFonts w:ascii="Times New Roman" w:hAnsi="Times New Roman"/>
                <w:sz w:val="20"/>
                <w:szCs w:val="20"/>
              </w:rPr>
            </w:pPr>
          </w:p>
        </w:tc>
        <w:tc>
          <w:tcPr>
            <w:tcW w:w="512" w:type="dxa"/>
            <w:shd w:val="clear" w:color="auto" w:fill="auto"/>
            <w:vAlign w:val="center"/>
          </w:tcPr>
          <w:p w14:paraId="14B8AF0A" w14:textId="77777777" w:rsidR="00F221A7" w:rsidRPr="00F221A7" w:rsidRDefault="00F221A7" w:rsidP="00F221A7">
            <w:pPr>
              <w:spacing w:after="0" w:line="240" w:lineRule="auto"/>
              <w:jc w:val="both"/>
              <w:rPr>
                <w:rFonts w:ascii="Times New Roman" w:hAnsi="Times New Roman"/>
                <w:sz w:val="20"/>
                <w:szCs w:val="20"/>
              </w:rPr>
            </w:pPr>
          </w:p>
        </w:tc>
        <w:tc>
          <w:tcPr>
            <w:tcW w:w="583" w:type="dxa"/>
            <w:shd w:val="clear" w:color="auto" w:fill="FF0000"/>
            <w:vAlign w:val="center"/>
          </w:tcPr>
          <w:p w14:paraId="0C1FDFE3" w14:textId="77777777" w:rsidR="00F221A7" w:rsidRPr="00F221A7" w:rsidRDefault="00F221A7" w:rsidP="00F221A7">
            <w:pPr>
              <w:spacing w:after="0" w:line="240" w:lineRule="auto"/>
              <w:jc w:val="both"/>
              <w:rPr>
                <w:rFonts w:ascii="Times New Roman" w:hAnsi="Times New Roman"/>
                <w:sz w:val="20"/>
                <w:szCs w:val="20"/>
              </w:rPr>
            </w:pPr>
            <w:r w:rsidRPr="00F221A7">
              <w:rPr>
                <w:rFonts w:ascii="Times New Roman" w:hAnsi="Times New Roman"/>
                <w:sz w:val="20"/>
                <w:szCs w:val="20"/>
              </w:rPr>
              <w:t>45%</w:t>
            </w:r>
          </w:p>
        </w:tc>
      </w:tr>
    </w:tbl>
    <w:p w14:paraId="598C0F3F" w14:textId="77777777" w:rsidR="00F221A7" w:rsidRDefault="00F221A7" w:rsidP="00F221A7">
      <w:pPr>
        <w:spacing w:after="0" w:line="240" w:lineRule="auto"/>
        <w:jc w:val="both"/>
        <w:rPr>
          <w:rFonts w:ascii="Times New Roman" w:hAnsi="Times New Roman"/>
          <w:sz w:val="24"/>
          <w:szCs w:val="24"/>
        </w:rPr>
      </w:pPr>
    </w:p>
    <w:p w14:paraId="6D31BFE5" w14:textId="77777777" w:rsidR="00B002E3" w:rsidRPr="00F221A7" w:rsidRDefault="00B002E3" w:rsidP="00F221A7">
      <w:pPr>
        <w:spacing w:after="0" w:line="240" w:lineRule="auto"/>
        <w:jc w:val="both"/>
        <w:rPr>
          <w:rFonts w:ascii="Times New Roman" w:hAnsi="Times New Roman"/>
          <w:sz w:val="24"/>
          <w:szCs w:val="24"/>
        </w:rPr>
      </w:pPr>
    </w:p>
    <w:p w14:paraId="289BB67E" w14:textId="77777777" w:rsidR="00F221A7" w:rsidRPr="00F221A7" w:rsidRDefault="00F221A7" w:rsidP="00F221A7">
      <w:pPr>
        <w:spacing w:after="0" w:line="240" w:lineRule="auto"/>
        <w:jc w:val="both"/>
        <w:rPr>
          <w:rFonts w:ascii="Times New Roman" w:hAnsi="Times New Roman"/>
          <w:i/>
          <w:sz w:val="20"/>
          <w:szCs w:val="20"/>
        </w:rPr>
      </w:pPr>
      <w:r w:rsidRPr="00F221A7">
        <w:rPr>
          <w:rFonts w:ascii="Times New Roman" w:hAnsi="Times New Roman"/>
          <w:i/>
          <w:sz w:val="20"/>
          <w:szCs w:val="20"/>
          <w:u w:val="single"/>
        </w:rPr>
        <w:t>Sources</w:t>
      </w:r>
      <w:r w:rsidRPr="00F221A7">
        <w:rPr>
          <w:rFonts w:ascii="Times New Roman" w:hAnsi="Times New Roman"/>
          <w:i/>
          <w:sz w:val="20"/>
          <w:szCs w:val="20"/>
        </w:rPr>
        <w:t> : ROARS 2015-2016 ; Rapports de progrès/Rapports d’évaluation des projets ; entretiens Septembre 2017 ; Documents de revue CREDD, Juin 2017.</w:t>
      </w:r>
    </w:p>
    <w:p w14:paraId="78B4D4D0" w14:textId="77777777" w:rsidR="00F221A7" w:rsidRPr="00F221A7" w:rsidRDefault="00F221A7" w:rsidP="00F221A7">
      <w:pPr>
        <w:spacing w:after="0" w:line="240" w:lineRule="auto"/>
        <w:jc w:val="both"/>
        <w:rPr>
          <w:rFonts w:ascii="Times New Roman" w:hAnsi="Times New Roman"/>
          <w:sz w:val="24"/>
          <w:szCs w:val="24"/>
        </w:rPr>
      </w:pPr>
    </w:p>
    <w:p w14:paraId="4C5535FC" w14:textId="77777777" w:rsidR="00F221A7" w:rsidRPr="006B309F" w:rsidRDefault="00F221A7" w:rsidP="00F221A7">
      <w:pPr>
        <w:pStyle w:val="Titre4"/>
        <w:numPr>
          <w:ilvl w:val="3"/>
          <w:numId w:val="5"/>
        </w:numPr>
        <w:spacing w:before="0" w:line="240" w:lineRule="auto"/>
        <w:rPr>
          <w:rFonts w:ascii="Times New Roman" w:hAnsi="Times New Roman"/>
          <w:i w:val="0"/>
          <w:color w:val="auto"/>
          <w:sz w:val="24"/>
          <w:szCs w:val="24"/>
        </w:rPr>
      </w:pPr>
      <w:r>
        <w:rPr>
          <w:rFonts w:ascii="Times New Roman" w:hAnsi="Times New Roman"/>
          <w:i w:val="0"/>
          <w:color w:val="auto"/>
          <w:sz w:val="24"/>
          <w:szCs w:val="24"/>
        </w:rPr>
        <w:t>Contributions du Programme aux résultats du pays dans le domaine</w:t>
      </w:r>
    </w:p>
    <w:p w14:paraId="7C04D94A" w14:textId="77777777" w:rsidR="00F221A7" w:rsidRPr="0050660A" w:rsidRDefault="00F221A7" w:rsidP="0050660A">
      <w:pPr>
        <w:spacing w:after="0" w:line="240" w:lineRule="auto"/>
        <w:jc w:val="both"/>
        <w:rPr>
          <w:rFonts w:ascii="Times New Roman" w:hAnsi="Times New Roman"/>
          <w:sz w:val="24"/>
          <w:szCs w:val="24"/>
        </w:rPr>
      </w:pPr>
    </w:p>
    <w:p w14:paraId="6110D66E" w14:textId="77777777" w:rsidR="00F221A7" w:rsidRPr="00F221A7" w:rsidRDefault="00454255" w:rsidP="00F221A7">
      <w:pPr>
        <w:spacing w:after="0" w:line="240" w:lineRule="auto"/>
        <w:jc w:val="both"/>
        <w:rPr>
          <w:rFonts w:ascii="Times New Roman" w:hAnsi="Times New Roman"/>
          <w:sz w:val="24"/>
          <w:szCs w:val="24"/>
        </w:rPr>
      </w:pPr>
      <w:r>
        <w:rPr>
          <w:rFonts w:ascii="Times New Roman" w:hAnsi="Times New Roman"/>
          <w:sz w:val="24"/>
          <w:szCs w:val="24"/>
        </w:rPr>
        <w:t>7</w:t>
      </w:r>
      <w:r w:rsidR="000B5082">
        <w:rPr>
          <w:rFonts w:ascii="Times New Roman" w:hAnsi="Times New Roman"/>
          <w:sz w:val="24"/>
          <w:szCs w:val="24"/>
        </w:rPr>
        <w:t>0</w:t>
      </w:r>
      <w:r>
        <w:rPr>
          <w:rFonts w:ascii="Times New Roman" w:hAnsi="Times New Roman"/>
          <w:sz w:val="24"/>
          <w:szCs w:val="24"/>
        </w:rPr>
        <w:t>.</w:t>
      </w:r>
      <w:r w:rsidR="00F221A7" w:rsidRPr="00F221A7">
        <w:rPr>
          <w:rFonts w:ascii="Times New Roman" w:hAnsi="Times New Roman"/>
          <w:sz w:val="24"/>
          <w:szCs w:val="24"/>
        </w:rPr>
        <w:tab/>
        <w:t xml:space="preserve">Les contributions du programme au Résultat 3 se font à travers deux produits spécifiques suivants : </w:t>
      </w:r>
    </w:p>
    <w:p w14:paraId="5DFF1F30" w14:textId="77777777" w:rsidR="00F221A7" w:rsidRPr="00F221A7" w:rsidRDefault="00F221A7" w:rsidP="00D76EFA">
      <w:pPr>
        <w:numPr>
          <w:ilvl w:val="0"/>
          <w:numId w:val="104"/>
        </w:numPr>
        <w:spacing w:after="0" w:line="240" w:lineRule="auto"/>
        <w:jc w:val="both"/>
        <w:rPr>
          <w:rFonts w:ascii="Times New Roman" w:hAnsi="Times New Roman"/>
          <w:sz w:val="24"/>
          <w:szCs w:val="24"/>
        </w:rPr>
      </w:pPr>
      <w:r w:rsidRPr="00F221A7">
        <w:rPr>
          <w:rFonts w:ascii="Times New Roman" w:hAnsi="Times New Roman"/>
          <w:sz w:val="24"/>
          <w:szCs w:val="24"/>
        </w:rPr>
        <w:t>Les capacités de coordination, de gestion et de suivi du Ministère de la santé, de la société civile et des bénéficiaires secondaires sont renforcées pour lutter efficacement contre la séropositivité</w:t>
      </w:r>
    </w:p>
    <w:p w14:paraId="1F5C5D7D" w14:textId="77777777" w:rsidR="00F221A7" w:rsidRPr="00F221A7" w:rsidRDefault="00F221A7" w:rsidP="00D76EFA">
      <w:pPr>
        <w:numPr>
          <w:ilvl w:val="0"/>
          <w:numId w:val="104"/>
        </w:numPr>
        <w:spacing w:after="0" w:line="240" w:lineRule="auto"/>
        <w:jc w:val="both"/>
        <w:rPr>
          <w:rFonts w:ascii="Times New Roman" w:hAnsi="Times New Roman"/>
          <w:sz w:val="24"/>
          <w:szCs w:val="24"/>
        </w:rPr>
      </w:pPr>
      <w:r w:rsidRPr="00F221A7">
        <w:rPr>
          <w:rFonts w:ascii="Times New Roman" w:hAnsi="Times New Roman"/>
          <w:sz w:val="24"/>
          <w:szCs w:val="24"/>
        </w:rPr>
        <w:t>Des services performants de prévention et de traitement sont disponibles pour réduire sensiblement le taux de prévalence de la séropositivité</w:t>
      </w:r>
    </w:p>
    <w:p w14:paraId="357B5136" w14:textId="77777777" w:rsidR="00F221A7" w:rsidRPr="00F221A7" w:rsidRDefault="00F221A7" w:rsidP="00F221A7">
      <w:pPr>
        <w:spacing w:after="0" w:line="240" w:lineRule="auto"/>
        <w:jc w:val="both"/>
        <w:rPr>
          <w:rFonts w:ascii="Times New Roman" w:hAnsi="Times New Roman"/>
          <w:sz w:val="24"/>
          <w:szCs w:val="24"/>
        </w:rPr>
      </w:pPr>
    </w:p>
    <w:p w14:paraId="56E7656C" w14:textId="77777777" w:rsidR="00F221A7" w:rsidRPr="00F221A7" w:rsidRDefault="00454255" w:rsidP="00F221A7">
      <w:pPr>
        <w:spacing w:after="0" w:line="240" w:lineRule="auto"/>
        <w:jc w:val="both"/>
        <w:rPr>
          <w:rFonts w:ascii="Times New Roman" w:hAnsi="Times New Roman"/>
          <w:sz w:val="24"/>
          <w:szCs w:val="24"/>
        </w:rPr>
      </w:pPr>
      <w:r>
        <w:rPr>
          <w:rFonts w:ascii="Times New Roman" w:hAnsi="Times New Roman"/>
          <w:sz w:val="24"/>
          <w:szCs w:val="24"/>
        </w:rPr>
        <w:t>7</w:t>
      </w:r>
      <w:r w:rsidR="000B5082">
        <w:rPr>
          <w:rFonts w:ascii="Times New Roman" w:hAnsi="Times New Roman"/>
          <w:sz w:val="24"/>
          <w:szCs w:val="24"/>
        </w:rPr>
        <w:t>1</w:t>
      </w:r>
      <w:r>
        <w:rPr>
          <w:rFonts w:ascii="Times New Roman" w:hAnsi="Times New Roman"/>
          <w:sz w:val="24"/>
          <w:szCs w:val="24"/>
        </w:rPr>
        <w:t>.</w:t>
      </w:r>
      <w:r w:rsidR="00F221A7" w:rsidRPr="00F221A7">
        <w:rPr>
          <w:rFonts w:ascii="Times New Roman" w:hAnsi="Times New Roman"/>
          <w:sz w:val="24"/>
          <w:szCs w:val="24"/>
        </w:rPr>
        <w:tab/>
        <w:t xml:space="preserve">Dans le cadre du premier produit relatif au renforcement des capacités des partenaires techniques,  le programme qui agit dans le secteur avec la qualité du PNUD de récipiendaire principal du Fonds Mondial de lutte contre le Paludisme, la Tuberculose et VIH/Sida, s’appuie sur 5 entités nationales sous convention et dont les capacités sont ainsi renforcées : Cellule lutte contre le Sida/Ministère de la Santé, Secrétariat technique de lutte </w:t>
      </w:r>
      <w:r w:rsidR="00F221A7" w:rsidRPr="004F261E">
        <w:rPr>
          <w:rFonts w:ascii="Times New Roman" w:hAnsi="Times New Roman"/>
          <w:sz w:val="24"/>
          <w:szCs w:val="24"/>
        </w:rPr>
        <w:t>cont</w:t>
      </w:r>
      <w:r w:rsidR="00410681" w:rsidRPr="004F261E">
        <w:rPr>
          <w:rFonts w:ascii="Times New Roman" w:hAnsi="Times New Roman"/>
          <w:sz w:val="24"/>
          <w:szCs w:val="24"/>
        </w:rPr>
        <w:t>r</w:t>
      </w:r>
      <w:r w:rsidR="00F221A7" w:rsidRPr="004F261E">
        <w:rPr>
          <w:rFonts w:ascii="Times New Roman" w:hAnsi="Times New Roman"/>
          <w:sz w:val="24"/>
          <w:szCs w:val="24"/>
        </w:rPr>
        <w:t>e</w:t>
      </w:r>
      <w:r w:rsidR="00F221A7" w:rsidRPr="00F221A7">
        <w:rPr>
          <w:rFonts w:ascii="Times New Roman" w:hAnsi="Times New Roman"/>
          <w:sz w:val="24"/>
          <w:szCs w:val="24"/>
        </w:rPr>
        <w:t xml:space="preserve"> le Sida/Présidence de la république,  Société civile ARCAD/Sida/SOLTIS/Assistance technique au Mali, et Pharmacie populaire du Mali/Stockage des médicaments. L’indicateur, nombre de plans d’action financés sur une base annuelle n’est pas renseigné en tant que tel, mais le programme mobilise des ressources importantes dans ce cadre, qui pèsent au demeurant comme sa principale composante budgétaire : près de 50 millions de dollar mobilisé par an auprès du Fonds, 46 millions USD mobilisé en 2016-2017.</w:t>
      </w:r>
    </w:p>
    <w:p w14:paraId="062AD427" w14:textId="77777777" w:rsidR="00F221A7" w:rsidRPr="00F221A7" w:rsidRDefault="00F221A7" w:rsidP="00F221A7">
      <w:pPr>
        <w:spacing w:after="0" w:line="240" w:lineRule="auto"/>
        <w:jc w:val="both"/>
        <w:rPr>
          <w:rFonts w:ascii="Times New Roman" w:hAnsi="Times New Roman"/>
          <w:sz w:val="24"/>
          <w:szCs w:val="24"/>
        </w:rPr>
      </w:pPr>
    </w:p>
    <w:p w14:paraId="34198F92" w14:textId="77777777" w:rsidR="00F221A7" w:rsidRDefault="00454255" w:rsidP="00F221A7">
      <w:pPr>
        <w:spacing w:after="0" w:line="240" w:lineRule="auto"/>
        <w:jc w:val="both"/>
        <w:rPr>
          <w:rFonts w:ascii="Times New Roman" w:hAnsi="Times New Roman"/>
          <w:sz w:val="24"/>
          <w:szCs w:val="24"/>
        </w:rPr>
      </w:pPr>
      <w:r>
        <w:rPr>
          <w:rFonts w:ascii="Times New Roman" w:hAnsi="Times New Roman"/>
          <w:sz w:val="24"/>
          <w:szCs w:val="24"/>
        </w:rPr>
        <w:lastRenderedPageBreak/>
        <w:t>7</w:t>
      </w:r>
      <w:r w:rsidR="000B5082">
        <w:rPr>
          <w:rFonts w:ascii="Times New Roman" w:hAnsi="Times New Roman"/>
          <w:sz w:val="24"/>
          <w:szCs w:val="24"/>
        </w:rPr>
        <w:t>2</w:t>
      </w:r>
      <w:r>
        <w:rPr>
          <w:rFonts w:ascii="Times New Roman" w:hAnsi="Times New Roman"/>
          <w:sz w:val="24"/>
          <w:szCs w:val="24"/>
        </w:rPr>
        <w:t>.</w:t>
      </w:r>
      <w:r w:rsidR="00F221A7" w:rsidRPr="00F221A7">
        <w:rPr>
          <w:rFonts w:ascii="Times New Roman" w:hAnsi="Times New Roman"/>
          <w:sz w:val="24"/>
          <w:szCs w:val="24"/>
        </w:rPr>
        <w:tab/>
        <w:t>Au titre du second produit, le programme approvisionne régulièrement en médicaments, réactifs et consommables quelque</w:t>
      </w:r>
      <w:r w:rsidR="00F221A7" w:rsidRPr="00F221A7">
        <w:rPr>
          <w:rFonts w:ascii="Times New Roman" w:hAnsi="Times New Roman"/>
          <w:sz w:val="24"/>
          <w:szCs w:val="24"/>
        </w:rPr>
        <w:tab/>
        <w:t>92 centres à la base de prise en charge et de traitement du VIH/sida, ainsi que 4 structures nationales de prévention et prise en charge médicale. Cette approche a permis de dépister 182.065 femmes enceintes et mettre sous traitement 36.927 (dont 367 femmes enceintes) personnes infectées au VIH en 2016, contre 36 583 mises sous ARV en 2015.</w:t>
      </w:r>
    </w:p>
    <w:p w14:paraId="53A59EBE" w14:textId="77777777" w:rsidR="00B002E3" w:rsidRDefault="00B002E3" w:rsidP="00F221A7">
      <w:pPr>
        <w:spacing w:after="0" w:line="240" w:lineRule="auto"/>
        <w:jc w:val="both"/>
        <w:rPr>
          <w:rFonts w:ascii="Times New Roman" w:hAnsi="Times New Roman"/>
          <w:sz w:val="24"/>
          <w:szCs w:val="24"/>
        </w:rPr>
      </w:pPr>
    </w:p>
    <w:p w14:paraId="13C7BC89" w14:textId="77777777" w:rsidR="00B002E3" w:rsidRPr="000442E1" w:rsidRDefault="00B002E3" w:rsidP="00B002E3">
      <w:pPr>
        <w:pStyle w:val="Titre1"/>
        <w:spacing w:before="0" w:line="240" w:lineRule="auto"/>
        <w:rPr>
          <w:rFonts w:ascii="Times New Roman" w:hAnsi="Times New Roman"/>
          <w:color w:val="auto"/>
          <w:sz w:val="24"/>
          <w:szCs w:val="24"/>
        </w:rPr>
      </w:pPr>
      <w:bookmarkStart w:id="131" w:name="_Toc499211619"/>
      <w:bookmarkStart w:id="132" w:name="_Toc499213892"/>
      <w:r w:rsidRPr="000442E1">
        <w:rPr>
          <w:rFonts w:ascii="Times New Roman" w:hAnsi="Times New Roman"/>
          <w:color w:val="auto"/>
          <w:sz w:val="24"/>
          <w:szCs w:val="24"/>
        </w:rPr>
        <w:t xml:space="preserve">Tableau </w:t>
      </w:r>
      <w:r>
        <w:rPr>
          <w:rFonts w:ascii="Times New Roman" w:hAnsi="Times New Roman"/>
          <w:color w:val="auto"/>
          <w:sz w:val="24"/>
          <w:szCs w:val="24"/>
        </w:rPr>
        <w:t>12</w:t>
      </w:r>
      <w:r w:rsidRPr="000442E1">
        <w:rPr>
          <w:rFonts w:ascii="Times New Roman" w:hAnsi="Times New Roman"/>
          <w:color w:val="auto"/>
          <w:sz w:val="24"/>
          <w:szCs w:val="24"/>
        </w:rPr>
        <w:t xml:space="preserve"> : </w:t>
      </w:r>
      <w:r>
        <w:rPr>
          <w:rFonts w:ascii="Times New Roman" w:hAnsi="Times New Roman"/>
          <w:color w:val="auto"/>
          <w:sz w:val="24"/>
          <w:szCs w:val="24"/>
        </w:rPr>
        <w:t>Effet 4 /Contribution du Programme</w:t>
      </w:r>
      <w:bookmarkEnd w:id="131"/>
      <w:bookmarkEnd w:id="132"/>
    </w:p>
    <w:p w14:paraId="7098A19E" w14:textId="77777777" w:rsidR="00B002E3" w:rsidRPr="00F221A7" w:rsidRDefault="00B002E3" w:rsidP="00F221A7">
      <w:pPr>
        <w:spacing w:after="0" w:line="240" w:lineRule="auto"/>
        <w:jc w:val="both"/>
        <w:rPr>
          <w:rFonts w:ascii="Times New Roman" w:hAnsi="Times New Roman"/>
          <w:sz w:val="24"/>
          <w:szCs w:val="24"/>
        </w:rPr>
      </w:pPr>
    </w:p>
    <w:tbl>
      <w:tblPr>
        <w:tblpPr w:leftFromText="141" w:rightFromText="141" w:vertAnchor="text" w:horzAnchor="margin" w:tblpXSpec="center" w:tblpY="40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450"/>
        <w:gridCol w:w="3936"/>
        <w:gridCol w:w="514"/>
        <w:gridCol w:w="516"/>
        <w:gridCol w:w="656"/>
      </w:tblGrid>
      <w:tr w:rsidR="00F221A7" w:rsidRPr="00F221A7" w14:paraId="545A07CC" w14:textId="77777777" w:rsidTr="00F221A7">
        <w:tc>
          <w:tcPr>
            <w:tcW w:w="1668" w:type="dxa"/>
            <w:vMerge w:val="restart"/>
            <w:shd w:val="clear" w:color="auto" w:fill="F2F2F2" w:themeFill="background1" w:themeFillShade="F2"/>
            <w:vAlign w:val="center"/>
          </w:tcPr>
          <w:p w14:paraId="2A7D200A" w14:textId="77777777" w:rsidR="00F221A7" w:rsidRPr="00F221A7" w:rsidRDefault="00F221A7" w:rsidP="00F221A7">
            <w:pPr>
              <w:spacing w:after="0" w:line="240" w:lineRule="auto"/>
              <w:jc w:val="center"/>
              <w:rPr>
                <w:rFonts w:ascii="Times New Roman" w:hAnsi="Times New Roman"/>
                <w:b/>
                <w:sz w:val="20"/>
                <w:szCs w:val="20"/>
              </w:rPr>
            </w:pPr>
            <w:r w:rsidRPr="00F221A7">
              <w:rPr>
                <w:rFonts w:ascii="Times New Roman" w:hAnsi="Times New Roman"/>
                <w:b/>
                <w:sz w:val="20"/>
                <w:szCs w:val="20"/>
              </w:rPr>
              <w:t>Résultat/Effet 4</w:t>
            </w:r>
          </w:p>
        </w:tc>
        <w:tc>
          <w:tcPr>
            <w:tcW w:w="3450" w:type="dxa"/>
            <w:vMerge w:val="restart"/>
            <w:shd w:val="clear" w:color="auto" w:fill="F2F2F2" w:themeFill="background1" w:themeFillShade="F2"/>
            <w:vAlign w:val="center"/>
          </w:tcPr>
          <w:p w14:paraId="1D42DA01" w14:textId="77777777" w:rsidR="00F221A7" w:rsidRPr="00F221A7" w:rsidRDefault="00F221A7" w:rsidP="00F221A7">
            <w:pPr>
              <w:spacing w:after="0" w:line="240" w:lineRule="auto"/>
              <w:jc w:val="center"/>
              <w:rPr>
                <w:rFonts w:ascii="Times New Roman" w:hAnsi="Times New Roman"/>
                <w:b/>
                <w:sz w:val="20"/>
                <w:szCs w:val="20"/>
              </w:rPr>
            </w:pPr>
            <w:r w:rsidRPr="00F221A7">
              <w:rPr>
                <w:rFonts w:ascii="Times New Roman" w:hAnsi="Times New Roman"/>
                <w:b/>
                <w:sz w:val="20"/>
                <w:szCs w:val="20"/>
              </w:rPr>
              <w:t>Planification</w:t>
            </w:r>
          </w:p>
        </w:tc>
        <w:tc>
          <w:tcPr>
            <w:tcW w:w="5622" w:type="dxa"/>
            <w:gridSpan w:val="4"/>
            <w:shd w:val="clear" w:color="auto" w:fill="F2F2F2" w:themeFill="background1" w:themeFillShade="F2"/>
            <w:vAlign w:val="center"/>
          </w:tcPr>
          <w:p w14:paraId="28B21EF3" w14:textId="77777777" w:rsidR="00F221A7" w:rsidRPr="00F221A7" w:rsidRDefault="00F221A7" w:rsidP="00F221A7">
            <w:pPr>
              <w:spacing w:after="0" w:line="240" w:lineRule="auto"/>
              <w:jc w:val="center"/>
              <w:rPr>
                <w:rFonts w:ascii="Times New Roman" w:hAnsi="Times New Roman"/>
                <w:b/>
                <w:sz w:val="20"/>
                <w:szCs w:val="20"/>
              </w:rPr>
            </w:pPr>
            <w:r w:rsidRPr="00F221A7">
              <w:rPr>
                <w:rFonts w:ascii="Times New Roman" w:hAnsi="Times New Roman"/>
                <w:b/>
                <w:sz w:val="20"/>
                <w:szCs w:val="20"/>
              </w:rPr>
              <w:t>Exécution</w:t>
            </w:r>
          </w:p>
        </w:tc>
      </w:tr>
      <w:tr w:rsidR="00F221A7" w:rsidRPr="00F221A7" w14:paraId="633347A0" w14:textId="77777777" w:rsidTr="00F221A7">
        <w:tc>
          <w:tcPr>
            <w:tcW w:w="1668" w:type="dxa"/>
            <w:vMerge/>
            <w:shd w:val="clear" w:color="auto" w:fill="F2F2F2" w:themeFill="background1" w:themeFillShade="F2"/>
            <w:vAlign w:val="center"/>
          </w:tcPr>
          <w:p w14:paraId="1CEA0DCE" w14:textId="77777777" w:rsidR="00F221A7" w:rsidRPr="00F221A7" w:rsidRDefault="00F221A7" w:rsidP="00F221A7">
            <w:pPr>
              <w:spacing w:after="0" w:line="240" w:lineRule="auto"/>
              <w:jc w:val="center"/>
              <w:rPr>
                <w:rFonts w:ascii="Times New Roman" w:hAnsi="Times New Roman"/>
                <w:b/>
                <w:sz w:val="20"/>
                <w:szCs w:val="20"/>
              </w:rPr>
            </w:pPr>
          </w:p>
        </w:tc>
        <w:tc>
          <w:tcPr>
            <w:tcW w:w="3450" w:type="dxa"/>
            <w:vMerge/>
            <w:shd w:val="clear" w:color="auto" w:fill="F2F2F2" w:themeFill="background1" w:themeFillShade="F2"/>
            <w:vAlign w:val="center"/>
          </w:tcPr>
          <w:p w14:paraId="5A205281" w14:textId="77777777" w:rsidR="00F221A7" w:rsidRPr="00F221A7" w:rsidRDefault="00F221A7" w:rsidP="00F221A7">
            <w:pPr>
              <w:spacing w:after="0" w:line="240" w:lineRule="auto"/>
              <w:jc w:val="center"/>
              <w:rPr>
                <w:rFonts w:ascii="Times New Roman" w:hAnsi="Times New Roman"/>
                <w:b/>
                <w:sz w:val="20"/>
                <w:szCs w:val="20"/>
              </w:rPr>
            </w:pPr>
          </w:p>
        </w:tc>
        <w:tc>
          <w:tcPr>
            <w:tcW w:w="3936" w:type="dxa"/>
            <w:vMerge w:val="restart"/>
            <w:shd w:val="clear" w:color="auto" w:fill="F2F2F2" w:themeFill="background1" w:themeFillShade="F2"/>
            <w:vAlign w:val="center"/>
          </w:tcPr>
          <w:p w14:paraId="250A0152" w14:textId="77777777" w:rsidR="00F221A7" w:rsidRPr="00F221A7" w:rsidRDefault="00F221A7" w:rsidP="00F221A7">
            <w:pPr>
              <w:spacing w:after="0" w:line="240" w:lineRule="auto"/>
              <w:jc w:val="center"/>
              <w:rPr>
                <w:rFonts w:ascii="Times New Roman" w:hAnsi="Times New Roman"/>
                <w:b/>
                <w:sz w:val="20"/>
                <w:szCs w:val="20"/>
              </w:rPr>
            </w:pPr>
            <w:r w:rsidRPr="00F221A7">
              <w:rPr>
                <w:rFonts w:ascii="Times New Roman" w:hAnsi="Times New Roman"/>
                <w:b/>
                <w:sz w:val="20"/>
                <w:szCs w:val="20"/>
              </w:rPr>
              <w:t>Réalisations/Livraisons</w:t>
            </w:r>
          </w:p>
        </w:tc>
        <w:tc>
          <w:tcPr>
            <w:tcW w:w="1686" w:type="dxa"/>
            <w:gridSpan w:val="3"/>
            <w:shd w:val="clear" w:color="auto" w:fill="F2F2F2" w:themeFill="background1" w:themeFillShade="F2"/>
            <w:vAlign w:val="center"/>
          </w:tcPr>
          <w:p w14:paraId="0BE17432" w14:textId="77777777" w:rsidR="00F221A7" w:rsidRPr="00F221A7" w:rsidRDefault="00F221A7" w:rsidP="00F221A7">
            <w:pPr>
              <w:spacing w:after="0" w:line="240" w:lineRule="auto"/>
              <w:jc w:val="center"/>
              <w:rPr>
                <w:rFonts w:ascii="Times New Roman" w:hAnsi="Times New Roman"/>
                <w:b/>
                <w:sz w:val="20"/>
                <w:szCs w:val="20"/>
              </w:rPr>
            </w:pPr>
            <w:r w:rsidRPr="00F221A7">
              <w:rPr>
                <w:rFonts w:ascii="Times New Roman" w:hAnsi="Times New Roman"/>
                <w:b/>
                <w:sz w:val="20"/>
                <w:szCs w:val="20"/>
              </w:rPr>
              <w:t>Rating</w:t>
            </w:r>
          </w:p>
        </w:tc>
      </w:tr>
      <w:tr w:rsidR="00F221A7" w:rsidRPr="00F221A7" w14:paraId="16207F3E" w14:textId="77777777" w:rsidTr="00F221A7">
        <w:trPr>
          <w:trHeight w:val="370"/>
        </w:trPr>
        <w:tc>
          <w:tcPr>
            <w:tcW w:w="1668" w:type="dxa"/>
            <w:shd w:val="clear" w:color="auto" w:fill="F2F2F2" w:themeFill="background1" w:themeFillShade="F2"/>
            <w:vAlign w:val="center"/>
          </w:tcPr>
          <w:p w14:paraId="414FBE6F" w14:textId="77777777" w:rsidR="00F221A7" w:rsidRPr="00F221A7" w:rsidRDefault="00F221A7" w:rsidP="00F221A7">
            <w:pPr>
              <w:spacing w:after="0" w:line="240" w:lineRule="auto"/>
              <w:jc w:val="center"/>
              <w:rPr>
                <w:rFonts w:ascii="Times New Roman" w:hAnsi="Times New Roman"/>
                <w:b/>
                <w:sz w:val="20"/>
                <w:szCs w:val="20"/>
              </w:rPr>
            </w:pPr>
            <w:r w:rsidRPr="00F221A7">
              <w:rPr>
                <w:rFonts w:ascii="Times New Roman" w:hAnsi="Times New Roman"/>
                <w:b/>
                <w:sz w:val="20"/>
                <w:szCs w:val="20"/>
              </w:rPr>
              <w:t>Produits 1-2</w:t>
            </w:r>
          </w:p>
        </w:tc>
        <w:tc>
          <w:tcPr>
            <w:tcW w:w="3450" w:type="dxa"/>
            <w:vMerge/>
            <w:shd w:val="clear" w:color="auto" w:fill="F2F2F2" w:themeFill="background1" w:themeFillShade="F2"/>
            <w:vAlign w:val="center"/>
          </w:tcPr>
          <w:p w14:paraId="2B498516" w14:textId="77777777" w:rsidR="00F221A7" w:rsidRPr="00F221A7" w:rsidRDefault="00F221A7" w:rsidP="00F221A7">
            <w:pPr>
              <w:spacing w:after="0" w:line="240" w:lineRule="auto"/>
              <w:jc w:val="center"/>
              <w:rPr>
                <w:rFonts w:ascii="Times New Roman" w:hAnsi="Times New Roman"/>
                <w:b/>
                <w:sz w:val="20"/>
                <w:szCs w:val="20"/>
              </w:rPr>
            </w:pPr>
          </w:p>
        </w:tc>
        <w:tc>
          <w:tcPr>
            <w:tcW w:w="3936" w:type="dxa"/>
            <w:vMerge/>
            <w:shd w:val="clear" w:color="auto" w:fill="F2F2F2" w:themeFill="background1" w:themeFillShade="F2"/>
            <w:vAlign w:val="center"/>
          </w:tcPr>
          <w:p w14:paraId="3E8371E3" w14:textId="77777777" w:rsidR="00F221A7" w:rsidRPr="00F221A7" w:rsidRDefault="00F221A7" w:rsidP="00F221A7">
            <w:pPr>
              <w:spacing w:after="0" w:line="240" w:lineRule="auto"/>
              <w:jc w:val="center"/>
              <w:rPr>
                <w:rFonts w:ascii="Times New Roman" w:hAnsi="Times New Roman"/>
                <w:b/>
                <w:sz w:val="20"/>
                <w:szCs w:val="20"/>
              </w:rPr>
            </w:pPr>
          </w:p>
        </w:tc>
        <w:tc>
          <w:tcPr>
            <w:tcW w:w="514" w:type="dxa"/>
            <w:shd w:val="clear" w:color="auto" w:fill="F2F2F2" w:themeFill="background1" w:themeFillShade="F2"/>
            <w:vAlign w:val="center"/>
          </w:tcPr>
          <w:p w14:paraId="53B4E396" w14:textId="77777777" w:rsidR="00F221A7" w:rsidRPr="00F221A7" w:rsidRDefault="00F221A7" w:rsidP="00F221A7">
            <w:pPr>
              <w:spacing w:after="0" w:line="240" w:lineRule="auto"/>
              <w:jc w:val="center"/>
              <w:rPr>
                <w:rFonts w:ascii="Times New Roman" w:hAnsi="Times New Roman"/>
                <w:b/>
                <w:sz w:val="20"/>
                <w:szCs w:val="20"/>
              </w:rPr>
            </w:pPr>
            <w:r w:rsidRPr="00F221A7">
              <w:rPr>
                <w:rFonts w:ascii="Times New Roman" w:hAnsi="Times New Roman"/>
                <w:b/>
                <w:sz w:val="20"/>
                <w:szCs w:val="20"/>
              </w:rPr>
              <w:t>E</w:t>
            </w:r>
          </w:p>
        </w:tc>
        <w:tc>
          <w:tcPr>
            <w:tcW w:w="516" w:type="dxa"/>
            <w:shd w:val="clear" w:color="auto" w:fill="F2F2F2" w:themeFill="background1" w:themeFillShade="F2"/>
            <w:vAlign w:val="center"/>
          </w:tcPr>
          <w:p w14:paraId="5D8BCE54" w14:textId="77777777" w:rsidR="00F221A7" w:rsidRPr="00F221A7" w:rsidRDefault="00F221A7" w:rsidP="00F221A7">
            <w:pPr>
              <w:spacing w:after="0" w:line="240" w:lineRule="auto"/>
              <w:jc w:val="center"/>
              <w:rPr>
                <w:rFonts w:ascii="Times New Roman" w:hAnsi="Times New Roman"/>
                <w:b/>
                <w:sz w:val="20"/>
                <w:szCs w:val="20"/>
              </w:rPr>
            </w:pPr>
            <w:r w:rsidRPr="00F221A7">
              <w:rPr>
                <w:rFonts w:ascii="Times New Roman" w:hAnsi="Times New Roman"/>
                <w:b/>
                <w:sz w:val="20"/>
                <w:szCs w:val="20"/>
              </w:rPr>
              <w:t>M</w:t>
            </w:r>
          </w:p>
        </w:tc>
        <w:tc>
          <w:tcPr>
            <w:tcW w:w="656" w:type="dxa"/>
            <w:shd w:val="clear" w:color="auto" w:fill="F2F2F2" w:themeFill="background1" w:themeFillShade="F2"/>
            <w:vAlign w:val="center"/>
          </w:tcPr>
          <w:p w14:paraId="57774860" w14:textId="77777777" w:rsidR="00F221A7" w:rsidRPr="00F221A7" w:rsidRDefault="00F221A7" w:rsidP="00F221A7">
            <w:pPr>
              <w:spacing w:after="0" w:line="240" w:lineRule="auto"/>
              <w:jc w:val="center"/>
              <w:rPr>
                <w:rFonts w:ascii="Times New Roman" w:hAnsi="Times New Roman"/>
                <w:b/>
                <w:sz w:val="20"/>
                <w:szCs w:val="20"/>
              </w:rPr>
            </w:pPr>
            <w:r w:rsidRPr="00F221A7">
              <w:rPr>
                <w:rFonts w:ascii="Times New Roman" w:hAnsi="Times New Roman"/>
                <w:b/>
                <w:sz w:val="20"/>
                <w:szCs w:val="20"/>
              </w:rPr>
              <w:t>F-N</w:t>
            </w:r>
          </w:p>
        </w:tc>
      </w:tr>
      <w:tr w:rsidR="00F221A7" w:rsidRPr="00F221A7" w14:paraId="4BD0E765" w14:textId="77777777" w:rsidTr="00F221A7">
        <w:tc>
          <w:tcPr>
            <w:tcW w:w="1668" w:type="dxa"/>
            <w:shd w:val="clear" w:color="auto" w:fill="F2F2F2" w:themeFill="background1" w:themeFillShade="F2"/>
            <w:vAlign w:val="center"/>
          </w:tcPr>
          <w:p w14:paraId="77BE245E" w14:textId="77777777" w:rsidR="00F221A7" w:rsidRPr="00F221A7" w:rsidRDefault="00F221A7" w:rsidP="00F221A7">
            <w:pPr>
              <w:spacing w:after="0" w:line="240" w:lineRule="auto"/>
              <w:rPr>
                <w:rFonts w:ascii="Times New Roman" w:hAnsi="Times New Roman"/>
                <w:sz w:val="20"/>
                <w:szCs w:val="20"/>
              </w:rPr>
            </w:pPr>
            <w:r w:rsidRPr="00F221A7">
              <w:rPr>
                <w:rFonts w:ascii="Times New Roman" w:hAnsi="Times New Roman"/>
                <w:sz w:val="20"/>
                <w:szCs w:val="20"/>
              </w:rPr>
              <w:t>Les capacités de</w:t>
            </w:r>
            <w:r w:rsidRPr="00F221A7">
              <w:rPr>
                <w:rFonts w:ascii="Times New Roman" w:hAnsi="Times New Roman"/>
                <w:b/>
                <w:sz w:val="20"/>
                <w:szCs w:val="20"/>
              </w:rPr>
              <w:t xml:space="preserve"> </w:t>
            </w:r>
            <w:r w:rsidRPr="00F221A7">
              <w:rPr>
                <w:rFonts w:ascii="Times New Roman" w:hAnsi="Times New Roman"/>
                <w:sz w:val="20"/>
                <w:szCs w:val="20"/>
              </w:rPr>
              <w:t>coordination, de gestion et de suivi du Ministère de la santé, de la société civile et des bénéficiaires secondaires sont renforcées pour lutter efficacement contre la séropositivité</w:t>
            </w:r>
          </w:p>
        </w:tc>
        <w:tc>
          <w:tcPr>
            <w:tcW w:w="3450" w:type="dxa"/>
            <w:shd w:val="clear" w:color="auto" w:fill="auto"/>
            <w:vAlign w:val="center"/>
          </w:tcPr>
          <w:p w14:paraId="548628DA" w14:textId="77777777" w:rsidR="00F221A7" w:rsidRPr="00F221A7" w:rsidRDefault="00F221A7" w:rsidP="00F221A7">
            <w:pPr>
              <w:spacing w:after="0" w:line="240" w:lineRule="auto"/>
              <w:jc w:val="both"/>
              <w:rPr>
                <w:rFonts w:ascii="Times New Roman" w:hAnsi="Times New Roman"/>
                <w:sz w:val="20"/>
                <w:szCs w:val="20"/>
              </w:rPr>
            </w:pPr>
            <w:r w:rsidRPr="00F221A7">
              <w:rPr>
                <w:rFonts w:ascii="Times New Roman" w:hAnsi="Times New Roman"/>
                <w:sz w:val="20"/>
                <w:szCs w:val="20"/>
              </w:rPr>
              <w:t>Nombre de plans d’action</w:t>
            </w:r>
            <w:r w:rsidRPr="00F221A7">
              <w:rPr>
                <w:rFonts w:ascii="Times New Roman" w:hAnsi="Times New Roman"/>
                <w:b/>
                <w:sz w:val="20"/>
                <w:szCs w:val="20"/>
              </w:rPr>
              <w:t xml:space="preserve"> </w:t>
            </w:r>
            <w:r w:rsidRPr="00F221A7">
              <w:rPr>
                <w:rFonts w:ascii="Times New Roman" w:hAnsi="Times New Roman"/>
                <w:sz w:val="20"/>
                <w:szCs w:val="20"/>
              </w:rPr>
              <w:t>financés sur une base annuelle</w:t>
            </w:r>
          </w:p>
          <w:p w14:paraId="39DA1308" w14:textId="77777777" w:rsidR="00F221A7" w:rsidRPr="00F221A7" w:rsidRDefault="00F221A7" w:rsidP="00D76EFA">
            <w:pPr>
              <w:numPr>
                <w:ilvl w:val="0"/>
                <w:numId w:val="57"/>
              </w:numPr>
              <w:spacing w:after="0" w:line="240" w:lineRule="auto"/>
              <w:jc w:val="both"/>
              <w:rPr>
                <w:rFonts w:ascii="Times New Roman" w:hAnsi="Times New Roman"/>
                <w:sz w:val="20"/>
                <w:szCs w:val="20"/>
              </w:rPr>
            </w:pPr>
            <w:r w:rsidRPr="00F221A7">
              <w:rPr>
                <w:rFonts w:ascii="Times New Roman" w:hAnsi="Times New Roman"/>
                <w:sz w:val="20"/>
                <w:szCs w:val="20"/>
              </w:rPr>
              <w:t>Réf : 5</w:t>
            </w:r>
          </w:p>
          <w:p w14:paraId="7E18D998" w14:textId="77777777" w:rsidR="00F221A7" w:rsidRPr="00F221A7" w:rsidRDefault="00F221A7" w:rsidP="00D76EFA">
            <w:pPr>
              <w:numPr>
                <w:ilvl w:val="0"/>
                <w:numId w:val="57"/>
              </w:numPr>
              <w:spacing w:after="0" w:line="240" w:lineRule="auto"/>
              <w:jc w:val="both"/>
              <w:rPr>
                <w:rFonts w:ascii="Times New Roman" w:hAnsi="Times New Roman"/>
                <w:sz w:val="20"/>
                <w:szCs w:val="20"/>
              </w:rPr>
            </w:pPr>
            <w:r w:rsidRPr="00F221A7">
              <w:rPr>
                <w:rFonts w:ascii="Times New Roman" w:hAnsi="Times New Roman"/>
                <w:sz w:val="20"/>
                <w:szCs w:val="20"/>
              </w:rPr>
              <w:t>Cible : 25</w:t>
            </w:r>
          </w:p>
        </w:tc>
        <w:tc>
          <w:tcPr>
            <w:tcW w:w="3936" w:type="dxa"/>
            <w:shd w:val="clear" w:color="auto" w:fill="auto"/>
            <w:vAlign w:val="center"/>
          </w:tcPr>
          <w:p w14:paraId="1A608532" w14:textId="77777777" w:rsidR="00F221A7" w:rsidRPr="00F221A7" w:rsidRDefault="00F221A7" w:rsidP="00D76EFA">
            <w:pPr>
              <w:numPr>
                <w:ilvl w:val="0"/>
                <w:numId w:val="100"/>
              </w:numPr>
              <w:spacing w:after="0" w:line="240" w:lineRule="auto"/>
              <w:jc w:val="both"/>
              <w:rPr>
                <w:rFonts w:ascii="Times New Roman" w:hAnsi="Times New Roman"/>
                <w:sz w:val="20"/>
                <w:szCs w:val="20"/>
              </w:rPr>
            </w:pPr>
            <w:r w:rsidRPr="00F221A7">
              <w:rPr>
                <w:rFonts w:ascii="Times New Roman" w:hAnsi="Times New Roman"/>
                <w:sz w:val="20"/>
                <w:szCs w:val="20"/>
              </w:rPr>
              <w:t>46 millions USD mobilisé en 2016-2017</w:t>
            </w:r>
          </w:p>
          <w:p w14:paraId="03E29513" w14:textId="77777777" w:rsidR="00F221A7" w:rsidRPr="00F221A7" w:rsidRDefault="00F221A7" w:rsidP="00D76EFA">
            <w:pPr>
              <w:numPr>
                <w:ilvl w:val="0"/>
                <w:numId w:val="100"/>
              </w:numPr>
              <w:spacing w:after="0" w:line="240" w:lineRule="auto"/>
              <w:jc w:val="both"/>
              <w:rPr>
                <w:rFonts w:ascii="Times New Roman" w:hAnsi="Times New Roman"/>
                <w:sz w:val="20"/>
                <w:szCs w:val="20"/>
              </w:rPr>
            </w:pPr>
            <w:r w:rsidRPr="00F221A7">
              <w:rPr>
                <w:rFonts w:ascii="Times New Roman" w:hAnsi="Times New Roman"/>
                <w:sz w:val="20"/>
                <w:szCs w:val="20"/>
              </w:rPr>
              <w:t xml:space="preserve">60% environ d’exécution effective </w:t>
            </w:r>
          </w:p>
          <w:p w14:paraId="267DBF70" w14:textId="77777777" w:rsidR="00F221A7" w:rsidRPr="00F221A7" w:rsidRDefault="00F221A7" w:rsidP="00D76EFA">
            <w:pPr>
              <w:numPr>
                <w:ilvl w:val="0"/>
                <w:numId w:val="100"/>
              </w:numPr>
              <w:spacing w:after="0" w:line="240" w:lineRule="auto"/>
              <w:jc w:val="both"/>
              <w:rPr>
                <w:rFonts w:ascii="Times New Roman" w:hAnsi="Times New Roman"/>
                <w:sz w:val="20"/>
                <w:szCs w:val="20"/>
              </w:rPr>
            </w:pPr>
            <w:r w:rsidRPr="00F221A7">
              <w:rPr>
                <w:rFonts w:ascii="Times New Roman" w:hAnsi="Times New Roman"/>
                <w:sz w:val="20"/>
                <w:szCs w:val="20"/>
              </w:rPr>
              <w:t>5 entités nationales sous convention :</w:t>
            </w:r>
          </w:p>
          <w:p w14:paraId="4125F4BE" w14:textId="77777777" w:rsidR="00F221A7" w:rsidRPr="00F221A7" w:rsidRDefault="00F221A7" w:rsidP="00D76EFA">
            <w:pPr>
              <w:numPr>
                <w:ilvl w:val="0"/>
                <w:numId w:val="101"/>
              </w:numPr>
              <w:spacing w:after="0" w:line="240" w:lineRule="auto"/>
              <w:jc w:val="both"/>
              <w:rPr>
                <w:rFonts w:ascii="Times New Roman" w:hAnsi="Times New Roman"/>
                <w:sz w:val="20"/>
                <w:szCs w:val="20"/>
              </w:rPr>
            </w:pPr>
            <w:r w:rsidRPr="00F221A7">
              <w:rPr>
                <w:rFonts w:ascii="Times New Roman" w:hAnsi="Times New Roman"/>
                <w:sz w:val="20"/>
                <w:szCs w:val="20"/>
              </w:rPr>
              <w:t>Cellule lutte contre le Sida/Ministère</w:t>
            </w:r>
          </w:p>
          <w:p w14:paraId="682AFAAF" w14:textId="77777777" w:rsidR="00F221A7" w:rsidRPr="00F221A7" w:rsidRDefault="00F221A7" w:rsidP="00D76EFA">
            <w:pPr>
              <w:numPr>
                <w:ilvl w:val="0"/>
                <w:numId w:val="101"/>
              </w:numPr>
              <w:spacing w:after="0" w:line="240" w:lineRule="auto"/>
              <w:jc w:val="both"/>
              <w:rPr>
                <w:rFonts w:ascii="Times New Roman" w:hAnsi="Times New Roman"/>
                <w:sz w:val="20"/>
                <w:szCs w:val="20"/>
              </w:rPr>
            </w:pPr>
            <w:r w:rsidRPr="00F221A7">
              <w:rPr>
                <w:rFonts w:ascii="Times New Roman" w:hAnsi="Times New Roman"/>
                <w:sz w:val="20"/>
                <w:szCs w:val="20"/>
              </w:rPr>
              <w:t>Secrétariat technique de lutte conte le Sida/Présidence de la république</w:t>
            </w:r>
          </w:p>
          <w:p w14:paraId="53DFE75C" w14:textId="77777777" w:rsidR="00F221A7" w:rsidRPr="00F221A7" w:rsidRDefault="00F221A7" w:rsidP="00D76EFA">
            <w:pPr>
              <w:numPr>
                <w:ilvl w:val="0"/>
                <w:numId w:val="101"/>
              </w:numPr>
              <w:spacing w:after="0" w:line="240" w:lineRule="auto"/>
              <w:jc w:val="both"/>
              <w:rPr>
                <w:rFonts w:ascii="Times New Roman" w:hAnsi="Times New Roman"/>
                <w:sz w:val="20"/>
                <w:szCs w:val="20"/>
              </w:rPr>
            </w:pPr>
            <w:r w:rsidRPr="00F221A7">
              <w:rPr>
                <w:rFonts w:ascii="Times New Roman" w:hAnsi="Times New Roman"/>
                <w:sz w:val="20"/>
                <w:szCs w:val="20"/>
              </w:rPr>
              <w:t>Société civile ARCAD/Sida</w:t>
            </w:r>
          </w:p>
          <w:p w14:paraId="4FBBA1D1" w14:textId="77777777" w:rsidR="00F221A7" w:rsidRPr="00F221A7" w:rsidRDefault="00F221A7" w:rsidP="00D76EFA">
            <w:pPr>
              <w:numPr>
                <w:ilvl w:val="0"/>
                <w:numId w:val="101"/>
              </w:numPr>
              <w:spacing w:after="0" w:line="240" w:lineRule="auto"/>
              <w:jc w:val="both"/>
              <w:rPr>
                <w:rFonts w:ascii="Times New Roman" w:hAnsi="Times New Roman"/>
                <w:sz w:val="20"/>
                <w:szCs w:val="20"/>
              </w:rPr>
            </w:pPr>
            <w:r w:rsidRPr="00F221A7">
              <w:rPr>
                <w:rFonts w:ascii="Times New Roman" w:hAnsi="Times New Roman"/>
                <w:sz w:val="20"/>
                <w:szCs w:val="20"/>
              </w:rPr>
              <w:t>SOLTIS/Assistance technique au Mali</w:t>
            </w:r>
          </w:p>
          <w:p w14:paraId="6C3BB041" w14:textId="77777777" w:rsidR="00F221A7" w:rsidRPr="00F221A7" w:rsidRDefault="00F221A7" w:rsidP="00D76EFA">
            <w:pPr>
              <w:numPr>
                <w:ilvl w:val="0"/>
                <w:numId w:val="101"/>
              </w:numPr>
              <w:spacing w:after="0" w:line="240" w:lineRule="auto"/>
              <w:jc w:val="both"/>
              <w:rPr>
                <w:rFonts w:ascii="Times New Roman" w:hAnsi="Times New Roman"/>
                <w:sz w:val="20"/>
                <w:szCs w:val="20"/>
              </w:rPr>
            </w:pPr>
            <w:r w:rsidRPr="00F221A7">
              <w:rPr>
                <w:rFonts w:ascii="Times New Roman" w:hAnsi="Times New Roman"/>
                <w:sz w:val="20"/>
                <w:szCs w:val="20"/>
              </w:rPr>
              <w:t>Pharmacie populaire du Mali/Stockage des médicaments</w:t>
            </w:r>
          </w:p>
        </w:tc>
        <w:tc>
          <w:tcPr>
            <w:tcW w:w="514" w:type="dxa"/>
            <w:shd w:val="clear" w:color="auto" w:fill="92D050"/>
            <w:vAlign w:val="center"/>
          </w:tcPr>
          <w:p w14:paraId="48E5ABF1" w14:textId="77777777" w:rsidR="00F221A7" w:rsidRPr="00F221A7" w:rsidRDefault="00F221A7" w:rsidP="00F221A7">
            <w:pPr>
              <w:spacing w:after="0" w:line="240" w:lineRule="auto"/>
              <w:jc w:val="both"/>
              <w:rPr>
                <w:rFonts w:ascii="Times New Roman" w:hAnsi="Times New Roman"/>
                <w:sz w:val="20"/>
                <w:szCs w:val="20"/>
              </w:rPr>
            </w:pPr>
          </w:p>
        </w:tc>
        <w:tc>
          <w:tcPr>
            <w:tcW w:w="516" w:type="dxa"/>
            <w:shd w:val="clear" w:color="auto" w:fill="auto"/>
            <w:vAlign w:val="center"/>
          </w:tcPr>
          <w:p w14:paraId="2E021FFB" w14:textId="77777777" w:rsidR="00F221A7" w:rsidRPr="00F221A7" w:rsidRDefault="00F221A7" w:rsidP="00F221A7">
            <w:pPr>
              <w:spacing w:after="0" w:line="240" w:lineRule="auto"/>
              <w:jc w:val="both"/>
              <w:rPr>
                <w:rFonts w:ascii="Times New Roman" w:hAnsi="Times New Roman"/>
                <w:sz w:val="20"/>
                <w:szCs w:val="20"/>
              </w:rPr>
            </w:pPr>
          </w:p>
        </w:tc>
        <w:tc>
          <w:tcPr>
            <w:tcW w:w="656" w:type="dxa"/>
            <w:shd w:val="clear" w:color="auto" w:fill="auto"/>
            <w:vAlign w:val="center"/>
          </w:tcPr>
          <w:p w14:paraId="2291BB73" w14:textId="77777777" w:rsidR="00F221A7" w:rsidRPr="00F221A7" w:rsidRDefault="00F221A7" w:rsidP="00F221A7">
            <w:pPr>
              <w:spacing w:after="0" w:line="240" w:lineRule="auto"/>
              <w:jc w:val="both"/>
              <w:rPr>
                <w:rFonts w:ascii="Times New Roman" w:hAnsi="Times New Roman"/>
                <w:sz w:val="20"/>
                <w:szCs w:val="20"/>
              </w:rPr>
            </w:pPr>
          </w:p>
        </w:tc>
      </w:tr>
      <w:tr w:rsidR="00F221A7" w:rsidRPr="00F221A7" w14:paraId="242D06BA" w14:textId="77777777" w:rsidTr="00F221A7">
        <w:tc>
          <w:tcPr>
            <w:tcW w:w="1668" w:type="dxa"/>
            <w:shd w:val="clear" w:color="auto" w:fill="F2F2F2" w:themeFill="background1" w:themeFillShade="F2"/>
            <w:vAlign w:val="center"/>
          </w:tcPr>
          <w:p w14:paraId="2849E582" w14:textId="77777777" w:rsidR="00F221A7" w:rsidRPr="00F221A7" w:rsidRDefault="00F221A7" w:rsidP="00F221A7">
            <w:pPr>
              <w:spacing w:after="0" w:line="240" w:lineRule="auto"/>
              <w:rPr>
                <w:rFonts w:ascii="Times New Roman" w:hAnsi="Times New Roman"/>
                <w:sz w:val="20"/>
                <w:szCs w:val="20"/>
              </w:rPr>
            </w:pPr>
            <w:r w:rsidRPr="00F221A7">
              <w:rPr>
                <w:rFonts w:ascii="Times New Roman" w:hAnsi="Times New Roman"/>
                <w:sz w:val="20"/>
                <w:szCs w:val="20"/>
              </w:rPr>
              <w:t>Des services performants de</w:t>
            </w:r>
            <w:r w:rsidRPr="00F221A7">
              <w:rPr>
                <w:rFonts w:ascii="Times New Roman" w:hAnsi="Times New Roman"/>
                <w:b/>
                <w:sz w:val="20"/>
                <w:szCs w:val="20"/>
              </w:rPr>
              <w:t xml:space="preserve"> </w:t>
            </w:r>
            <w:r w:rsidRPr="00F221A7">
              <w:rPr>
                <w:rFonts w:ascii="Times New Roman" w:hAnsi="Times New Roman"/>
                <w:sz w:val="20"/>
                <w:szCs w:val="20"/>
              </w:rPr>
              <w:t>prévention et de traitement sont disponibles pour réduire sensiblement le taux de prévalence de la séropositivité</w:t>
            </w:r>
          </w:p>
        </w:tc>
        <w:tc>
          <w:tcPr>
            <w:tcW w:w="3450" w:type="dxa"/>
            <w:shd w:val="clear" w:color="auto" w:fill="auto"/>
            <w:vAlign w:val="center"/>
          </w:tcPr>
          <w:p w14:paraId="35F68192" w14:textId="77777777" w:rsidR="00F221A7" w:rsidRPr="00F221A7" w:rsidRDefault="00F221A7" w:rsidP="00F221A7">
            <w:pPr>
              <w:spacing w:after="0" w:line="240" w:lineRule="auto"/>
              <w:jc w:val="both"/>
              <w:rPr>
                <w:rFonts w:ascii="Times New Roman" w:hAnsi="Times New Roman"/>
                <w:sz w:val="20"/>
                <w:szCs w:val="20"/>
              </w:rPr>
            </w:pPr>
            <w:r w:rsidRPr="00F221A7">
              <w:rPr>
                <w:rFonts w:ascii="Times New Roman" w:hAnsi="Times New Roman"/>
                <w:sz w:val="20"/>
                <w:szCs w:val="20"/>
              </w:rPr>
              <w:t>Nombre de personnes</w:t>
            </w:r>
            <w:r w:rsidRPr="00F221A7">
              <w:rPr>
                <w:rFonts w:ascii="Times New Roman" w:hAnsi="Times New Roman"/>
                <w:b/>
                <w:sz w:val="20"/>
                <w:szCs w:val="20"/>
              </w:rPr>
              <w:t xml:space="preserve"> </w:t>
            </w:r>
            <w:r w:rsidRPr="00F221A7">
              <w:rPr>
                <w:rFonts w:ascii="Times New Roman" w:hAnsi="Times New Roman"/>
                <w:sz w:val="20"/>
                <w:szCs w:val="20"/>
              </w:rPr>
              <w:t>séropositives sous traitement antirétroviral selon les normes nationales</w:t>
            </w:r>
          </w:p>
          <w:p w14:paraId="4CD5939B" w14:textId="77777777" w:rsidR="00F221A7" w:rsidRPr="00F221A7" w:rsidRDefault="00F221A7" w:rsidP="00D76EFA">
            <w:pPr>
              <w:numPr>
                <w:ilvl w:val="0"/>
                <w:numId w:val="58"/>
              </w:numPr>
              <w:spacing w:after="0" w:line="240" w:lineRule="auto"/>
              <w:jc w:val="both"/>
              <w:rPr>
                <w:rFonts w:ascii="Times New Roman" w:hAnsi="Times New Roman"/>
                <w:sz w:val="20"/>
                <w:szCs w:val="20"/>
              </w:rPr>
            </w:pPr>
            <w:r w:rsidRPr="00F221A7">
              <w:rPr>
                <w:rFonts w:ascii="Times New Roman" w:hAnsi="Times New Roman"/>
                <w:sz w:val="20"/>
                <w:szCs w:val="20"/>
              </w:rPr>
              <w:t>Réf : 28 729</w:t>
            </w:r>
          </w:p>
          <w:p w14:paraId="388C8BC8" w14:textId="77777777" w:rsidR="00F221A7" w:rsidRPr="00F221A7" w:rsidRDefault="00F221A7" w:rsidP="00D76EFA">
            <w:pPr>
              <w:numPr>
                <w:ilvl w:val="0"/>
                <w:numId w:val="58"/>
              </w:numPr>
              <w:spacing w:after="0" w:line="240" w:lineRule="auto"/>
              <w:jc w:val="both"/>
              <w:rPr>
                <w:rFonts w:ascii="Times New Roman" w:hAnsi="Times New Roman"/>
                <w:sz w:val="20"/>
                <w:szCs w:val="20"/>
              </w:rPr>
            </w:pPr>
            <w:r w:rsidRPr="00F221A7">
              <w:rPr>
                <w:rFonts w:ascii="Times New Roman" w:hAnsi="Times New Roman"/>
                <w:sz w:val="20"/>
                <w:szCs w:val="20"/>
              </w:rPr>
              <w:t>Cible : 39 875</w:t>
            </w:r>
          </w:p>
        </w:tc>
        <w:tc>
          <w:tcPr>
            <w:tcW w:w="3936" w:type="dxa"/>
            <w:shd w:val="clear" w:color="auto" w:fill="auto"/>
            <w:vAlign w:val="center"/>
          </w:tcPr>
          <w:p w14:paraId="02DB55C5" w14:textId="77777777" w:rsidR="00F221A7" w:rsidRPr="00F221A7" w:rsidRDefault="00F221A7" w:rsidP="00F221A7">
            <w:pPr>
              <w:spacing w:after="0" w:line="240" w:lineRule="auto"/>
              <w:jc w:val="both"/>
              <w:rPr>
                <w:rFonts w:ascii="Times New Roman" w:hAnsi="Times New Roman"/>
                <w:b/>
                <w:sz w:val="20"/>
                <w:szCs w:val="20"/>
              </w:rPr>
            </w:pPr>
            <w:r w:rsidRPr="00F221A7">
              <w:rPr>
                <w:rFonts w:ascii="Times New Roman" w:hAnsi="Times New Roman"/>
                <w:b/>
                <w:sz w:val="20"/>
                <w:szCs w:val="20"/>
              </w:rPr>
              <w:t>Performances sur l’indicateur</w:t>
            </w:r>
          </w:p>
          <w:p w14:paraId="33761F70" w14:textId="77777777" w:rsidR="00F221A7" w:rsidRPr="00F221A7" w:rsidRDefault="00F221A7" w:rsidP="00D76EFA">
            <w:pPr>
              <w:numPr>
                <w:ilvl w:val="0"/>
                <w:numId w:val="102"/>
              </w:numPr>
              <w:spacing w:after="0" w:line="240" w:lineRule="auto"/>
              <w:jc w:val="both"/>
              <w:rPr>
                <w:rFonts w:ascii="Times New Roman" w:hAnsi="Times New Roman"/>
                <w:sz w:val="20"/>
                <w:szCs w:val="20"/>
              </w:rPr>
            </w:pPr>
            <w:r w:rsidRPr="00F221A7">
              <w:rPr>
                <w:rFonts w:ascii="Times New Roman" w:hAnsi="Times New Roman"/>
                <w:sz w:val="20"/>
                <w:szCs w:val="20"/>
              </w:rPr>
              <w:t>182.065 femmes enceintes ont été dépistées au VIH</w:t>
            </w:r>
          </w:p>
          <w:p w14:paraId="55A0E05C" w14:textId="77777777" w:rsidR="00F221A7" w:rsidRPr="00F221A7" w:rsidRDefault="00F221A7" w:rsidP="00D76EFA">
            <w:pPr>
              <w:numPr>
                <w:ilvl w:val="0"/>
                <w:numId w:val="102"/>
              </w:numPr>
              <w:spacing w:after="0" w:line="240" w:lineRule="auto"/>
              <w:jc w:val="both"/>
              <w:rPr>
                <w:rFonts w:ascii="Times New Roman" w:hAnsi="Times New Roman"/>
                <w:sz w:val="20"/>
                <w:szCs w:val="20"/>
              </w:rPr>
            </w:pPr>
            <w:r w:rsidRPr="00F221A7">
              <w:rPr>
                <w:rFonts w:ascii="Times New Roman" w:hAnsi="Times New Roman"/>
                <w:sz w:val="20"/>
                <w:szCs w:val="20"/>
              </w:rPr>
              <w:t xml:space="preserve">2015 : 36 583 personnes infectées au VIH, ont été mises sous traitement ARV en 2015) </w:t>
            </w:r>
          </w:p>
          <w:p w14:paraId="17CBFDA5" w14:textId="77777777" w:rsidR="00F221A7" w:rsidRPr="00F221A7" w:rsidRDefault="00F221A7" w:rsidP="00D76EFA">
            <w:pPr>
              <w:numPr>
                <w:ilvl w:val="0"/>
                <w:numId w:val="102"/>
              </w:numPr>
              <w:spacing w:after="0" w:line="240" w:lineRule="auto"/>
              <w:jc w:val="both"/>
              <w:rPr>
                <w:rFonts w:ascii="Times New Roman" w:hAnsi="Times New Roman"/>
                <w:sz w:val="20"/>
                <w:szCs w:val="20"/>
              </w:rPr>
            </w:pPr>
            <w:r w:rsidRPr="00F221A7">
              <w:rPr>
                <w:rFonts w:ascii="Times New Roman" w:hAnsi="Times New Roman"/>
                <w:sz w:val="20"/>
                <w:szCs w:val="20"/>
              </w:rPr>
              <w:t>2016 : 36.927 adultes et d'enfants infectés par le VIH qui sont sous ARV</w:t>
            </w:r>
          </w:p>
          <w:p w14:paraId="07CE5CB7" w14:textId="77777777" w:rsidR="00F221A7" w:rsidRPr="00F221A7" w:rsidRDefault="00F221A7" w:rsidP="00D76EFA">
            <w:pPr>
              <w:numPr>
                <w:ilvl w:val="0"/>
                <w:numId w:val="102"/>
              </w:numPr>
              <w:spacing w:after="0" w:line="240" w:lineRule="auto"/>
              <w:jc w:val="both"/>
              <w:rPr>
                <w:rFonts w:ascii="Times New Roman" w:hAnsi="Times New Roman"/>
                <w:sz w:val="20"/>
                <w:szCs w:val="20"/>
              </w:rPr>
            </w:pPr>
            <w:r w:rsidRPr="00F221A7">
              <w:rPr>
                <w:rFonts w:ascii="Times New Roman" w:hAnsi="Times New Roman"/>
                <w:sz w:val="20"/>
                <w:szCs w:val="20"/>
              </w:rPr>
              <w:t>Dont 367 femmes enceintes séropositives mises sous ARV</w:t>
            </w:r>
          </w:p>
          <w:p w14:paraId="12C78DAF" w14:textId="77777777" w:rsidR="00F221A7" w:rsidRPr="00F221A7" w:rsidRDefault="00F221A7" w:rsidP="00F221A7">
            <w:pPr>
              <w:spacing w:after="0" w:line="240" w:lineRule="auto"/>
              <w:jc w:val="both"/>
              <w:rPr>
                <w:rFonts w:ascii="Times New Roman" w:hAnsi="Times New Roman"/>
                <w:b/>
                <w:sz w:val="20"/>
                <w:szCs w:val="20"/>
              </w:rPr>
            </w:pPr>
            <w:r w:rsidRPr="00F221A7">
              <w:rPr>
                <w:rFonts w:ascii="Times New Roman" w:hAnsi="Times New Roman"/>
                <w:b/>
                <w:sz w:val="20"/>
                <w:szCs w:val="20"/>
              </w:rPr>
              <w:t>Contributions au produit</w:t>
            </w:r>
          </w:p>
          <w:p w14:paraId="0C9324B4" w14:textId="77777777" w:rsidR="00F221A7" w:rsidRPr="00F221A7" w:rsidRDefault="00F221A7" w:rsidP="00D76EFA">
            <w:pPr>
              <w:numPr>
                <w:ilvl w:val="0"/>
                <w:numId w:val="103"/>
              </w:numPr>
              <w:spacing w:after="0" w:line="240" w:lineRule="auto"/>
              <w:jc w:val="both"/>
              <w:rPr>
                <w:rFonts w:ascii="Times New Roman" w:hAnsi="Times New Roman"/>
                <w:sz w:val="20"/>
                <w:szCs w:val="20"/>
              </w:rPr>
            </w:pPr>
            <w:r w:rsidRPr="00F221A7">
              <w:rPr>
                <w:rFonts w:ascii="Times New Roman" w:hAnsi="Times New Roman"/>
                <w:sz w:val="20"/>
                <w:szCs w:val="20"/>
              </w:rPr>
              <w:t>92 centres de prises en charges et de traitement sont approvisionnes régulièrement en médicaments, réactifs et consommables</w:t>
            </w:r>
          </w:p>
          <w:p w14:paraId="03F3D4BA" w14:textId="77777777" w:rsidR="00F221A7" w:rsidRPr="00F221A7" w:rsidRDefault="00F221A7" w:rsidP="00D76EFA">
            <w:pPr>
              <w:numPr>
                <w:ilvl w:val="0"/>
                <w:numId w:val="103"/>
              </w:numPr>
              <w:spacing w:after="0" w:line="240" w:lineRule="auto"/>
              <w:jc w:val="both"/>
              <w:rPr>
                <w:rFonts w:ascii="Times New Roman" w:hAnsi="Times New Roman"/>
                <w:sz w:val="20"/>
                <w:szCs w:val="20"/>
              </w:rPr>
            </w:pPr>
            <w:r w:rsidRPr="00F221A7">
              <w:rPr>
                <w:rFonts w:ascii="Times New Roman" w:hAnsi="Times New Roman"/>
                <w:sz w:val="20"/>
                <w:szCs w:val="20"/>
              </w:rPr>
              <w:t>4 structures nationales renforcées dans la prévention et la prise en charge médicale</w:t>
            </w:r>
          </w:p>
        </w:tc>
        <w:tc>
          <w:tcPr>
            <w:tcW w:w="514" w:type="dxa"/>
            <w:shd w:val="clear" w:color="auto" w:fill="auto"/>
            <w:vAlign w:val="center"/>
          </w:tcPr>
          <w:p w14:paraId="3C34940D" w14:textId="77777777" w:rsidR="00F221A7" w:rsidRPr="00F221A7" w:rsidRDefault="00F221A7" w:rsidP="00F221A7">
            <w:pPr>
              <w:spacing w:after="0" w:line="240" w:lineRule="auto"/>
              <w:jc w:val="both"/>
              <w:rPr>
                <w:rFonts w:ascii="Times New Roman" w:hAnsi="Times New Roman"/>
                <w:sz w:val="20"/>
                <w:szCs w:val="20"/>
              </w:rPr>
            </w:pPr>
          </w:p>
        </w:tc>
        <w:tc>
          <w:tcPr>
            <w:tcW w:w="516" w:type="dxa"/>
            <w:shd w:val="clear" w:color="auto" w:fill="auto"/>
            <w:vAlign w:val="center"/>
          </w:tcPr>
          <w:p w14:paraId="48207E34" w14:textId="77777777" w:rsidR="00F221A7" w:rsidRPr="00F221A7" w:rsidRDefault="00F221A7" w:rsidP="00F221A7">
            <w:pPr>
              <w:spacing w:after="0" w:line="240" w:lineRule="auto"/>
              <w:jc w:val="both"/>
              <w:rPr>
                <w:rFonts w:ascii="Times New Roman" w:hAnsi="Times New Roman"/>
                <w:sz w:val="20"/>
                <w:szCs w:val="20"/>
              </w:rPr>
            </w:pPr>
          </w:p>
        </w:tc>
        <w:tc>
          <w:tcPr>
            <w:tcW w:w="656" w:type="dxa"/>
            <w:shd w:val="clear" w:color="auto" w:fill="92D050"/>
            <w:vAlign w:val="center"/>
          </w:tcPr>
          <w:p w14:paraId="219675AC" w14:textId="77777777" w:rsidR="00F221A7" w:rsidRPr="00F221A7" w:rsidRDefault="00F221A7" w:rsidP="00F221A7">
            <w:pPr>
              <w:spacing w:after="0" w:line="240" w:lineRule="auto"/>
              <w:jc w:val="both"/>
              <w:rPr>
                <w:rFonts w:ascii="Times New Roman" w:hAnsi="Times New Roman"/>
                <w:sz w:val="20"/>
                <w:szCs w:val="20"/>
              </w:rPr>
            </w:pPr>
            <w:r w:rsidRPr="00F221A7">
              <w:rPr>
                <w:rFonts w:ascii="Times New Roman" w:hAnsi="Times New Roman"/>
                <w:sz w:val="20"/>
                <w:szCs w:val="20"/>
              </w:rPr>
              <w:t>93%</w:t>
            </w:r>
          </w:p>
        </w:tc>
      </w:tr>
    </w:tbl>
    <w:p w14:paraId="6E67CCBB" w14:textId="77777777" w:rsidR="00F221A7" w:rsidRDefault="00F221A7" w:rsidP="00F221A7">
      <w:pPr>
        <w:spacing w:after="0" w:line="240" w:lineRule="auto"/>
        <w:jc w:val="both"/>
        <w:rPr>
          <w:rFonts w:ascii="Times New Roman" w:hAnsi="Times New Roman"/>
          <w:i/>
          <w:sz w:val="20"/>
          <w:szCs w:val="20"/>
          <w:u w:val="single"/>
        </w:rPr>
      </w:pPr>
    </w:p>
    <w:p w14:paraId="1F2626DC" w14:textId="77777777" w:rsidR="00B002E3" w:rsidRDefault="00B002E3" w:rsidP="00F221A7">
      <w:pPr>
        <w:spacing w:after="0" w:line="240" w:lineRule="auto"/>
        <w:jc w:val="both"/>
        <w:rPr>
          <w:rFonts w:ascii="Times New Roman" w:hAnsi="Times New Roman"/>
          <w:i/>
          <w:sz w:val="20"/>
          <w:szCs w:val="20"/>
          <w:u w:val="single"/>
        </w:rPr>
      </w:pPr>
    </w:p>
    <w:p w14:paraId="15AD8264" w14:textId="77777777" w:rsidR="00F221A7" w:rsidRDefault="00F221A7" w:rsidP="00F221A7">
      <w:pPr>
        <w:spacing w:after="0" w:line="240" w:lineRule="auto"/>
        <w:jc w:val="both"/>
        <w:rPr>
          <w:rFonts w:ascii="Times New Roman" w:hAnsi="Times New Roman"/>
          <w:i/>
          <w:sz w:val="20"/>
          <w:szCs w:val="20"/>
        </w:rPr>
      </w:pPr>
      <w:r w:rsidRPr="00F221A7">
        <w:rPr>
          <w:rFonts w:ascii="Times New Roman" w:hAnsi="Times New Roman"/>
          <w:i/>
          <w:sz w:val="20"/>
          <w:szCs w:val="20"/>
          <w:u w:val="single"/>
        </w:rPr>
        <w:t>Sources</w:t>
      </w:r>
      <w:r w:rsidRPr="00F221A7">
        <w:rPr>
          <w:rFonts w:ascii="Times New Roman" w:hAnsi="Times New Roman"/>
          <w:i/>
          <w:sz w:val="20"/>
          <w:szCs w:val="20"/>
        </w:rPr>
        <w:t> : ROARS 2015-2016 ; Rapports de progrès/Rapports d’évaluation des projets ; entretiens Septembre 2017 ; Documents de revue CREDD, Juin 2017.</w:t>
      </w:r>
    </w:p>
    <w:p w14:paraId="3C700035" w14:textId="77777777" w:rsidR="00AF24B5" w:rsidRPr="00AF24B5" w:rsidRDefault="00AF24B5" w:rsidP="00F221A7">
      <w:pPr>
        <w:spacing w:after="0" w:line="240" w:lineRule="auto"/>
        <w:jc w:val="both"/>
        <w:rPr>
          <w:rFonts w:ascii="Times New Roman" w:hAnsi="Times New Roman"/>
          <w:sz w:val="24"/>
          <w:szCs w:val="24"/>
        </w:rPr>
      </w:pPr>
    </w:p>
    <w:p w14:paraId="2FC4CED7" w14:textId="77777777" w:rsidR="00AF24B5" w:rsidRPr="006B309F" w:rsidRDefault="00641ACB" w:rsidP="00AF24B5">
      <w:pPr>
        <w:pStyle w:val="Titre2"/>
        <w:numPr>
          <w:ilvl w:val="1"/>
          <w:numId w:val="5"/>
        </w:numPr>
        <w:spacing w:before="0"/>
        <w:rPr>
          <w:color w:val="auto"/>
        </w:rPr>
      </w:pPr>
      <w:bookmarkStart w:id="133" w:name="_Toc499211620"/>
      <w:bookmarkStart w:id="134" w:name="_Toc499213893"/>
      <w:r>
        <w:rPr>
          <w:color w:val="auto"/>
        </w:rPr>
        <w:t xml:space="preserve">Prise en compte du </w:t>
      </w:r>
      <w:r w:rsidR="00AF24B5">
        <w:rPr>
          <w:color w:val="auto"/>
        </w:rPr>
        <w:t>Genre dans le programme</w:t>
      </w:r>
      <w:bookmarkEnd w:id="133"/>
      <w:bookmarkEnd w:id="134"/>
    </w:p>
    <w:p w14:paraId="2C3FE2ED" w14:textId="77777777" w:rsidR="00F221A7" w:rsidRDefault="00F221A7" w:rsidP="00F221A7">
      <w:pPr>
        <w:spacing w:after="0" w:line="240" w:lineRule="auto"/>
        <w:jc w:val="both"/>
        <w:rPr>
          <w:rFonts w:ascii="Times New Roman" w:hAnsi="Times New Roman"/>
          <w:sz w:val="24"/>
          <w:szCs w:val="24"/>
        </w:rPr>
      </w:pPr>
    </w:p>
    <w:p w14:paraId="29F16941" w14:textId="77777777" w:rsidR="00AF24B5" w:rsidRPr="00AF24B5" w:rsidRDefault="00454255" w:rsidP="00AF24B5">
      <w:pPr>
        <w:spacing w:after="0" w:line="240" w:lineRule="auto"/>
        <w:jc w:val="both"/>
        <w:rPr>
          <w:rFonts w:ascii="Times New Roman" w:hAnsi="Times New Roman"/>
          <w:bCs/>
          <w:sz w:val="24"/>
          <w:szCs w:val="24"/>
        </w:rPr>
      </w:pPr>
      <w:r>
        <w:rPr>
          <w:rFonts w:ascii="Times New Roman" w:hAnsi="Times New Roman"/>
          <w:bCs/>
          <w:sz w:val="24"/>
          <w:szCs w:val="24"/>
        </w:rPr>
        <w:t>7</w:t>
      </w:r>
      <w:r w:rsidR="000B5082">
        <w:rPr>
          <w:rFonts w:ascii="Times New Roman" w:hAnsi="Times New Roman"/>
          <w:bCs/>
          <w:sz w:val="24"/>
          <w:szCs w:val="24"/>
        </w:rPr>
        <w:t>3</w:t>
      </w:r>
      <w:r w:rsidR="00AF24B5" w:rsidRPr="00AF24B5">
        <w:rPr>
          <w:rFonts w:ascii="Times New Roman" w:hAnsi="Times New Roman"/>
          <w:bCs/>
          <w:sz w:val="24"/>
          <w:szCs w:val="24"/>
        </w:rPr>
        <w:t>.</w:t>
      </w:r>
      <w:r w:rsidR="00AF24B5" w:rsidRPr="00AF24B5">
        <w:rPr>
          <w:rFonts w:ascii="Times New Roman" w:hAnsi="Times New Roman"/>
          <w:bCs/>
          <w:sz w:val="24"/>
          <w:szCs w:val="24"/>
        </w:rPr>
        <w:tab/>
        <w:t>La problématique du genre dans le programme s’appréhende à plusieurs niveaux : les provisions insérées dans le cadre des résultats et des ressources, d’abord, le positionnement global du Bureau par rapport à la thématique, ensuite, les extrants générés su</w:t>
      </w:r>
      <w:r w:rsidR="00D57C56">
        <w:rPr>
          <w:rFonts w:ascii="Times New Roman" w:hAnsi="Times New Roman"/>
          <w:bCs/>
          <w:sz w:val="24"/>
          <w:szCs w:val="24"/>
        </w:rPr>
        <w:t>r</w:t>
      </w:r>
      <w:r w:rsidR="00AF24B5" w:rsidRPr="00AF24B5">
        <w:rPr>
          <w:rFonts w:ascii="Times New Roman" w:hAnsi="Times New Roman"/>
          <w:bCs/>
          <w:sz w:val="24"/>
          <w:szCs w:val="24"/>
        </w:rPr>
        <w:t xml:space="preserve"> le terrain opérationnel, enfin. La mise en œuvre de la transversalité du genre commence par son insertion systématique dans le cadre logique du programme. Qu’en est-il du cycle sous revue ? Au niveau des Effets, sur les 4 que compte le programme, seul un est libellé de manière ouvertement </w:t>
      </w:r>
      <w:r w:rsidR="00AF24B5" w:rsidRPr="00AF24B5">
        <w:rPr>
          <w:rFonts w:ascii="Times New Roman" w:hAnsi="Times New Roman"/>
          <w:bCs/>
          <w:sz w:val="24"/>
          <w:szCs w:val="24"/>
        </w:rPr>
        <w:lastRenderedPageBreak/>
        <w:t>sensible au genre, tandis que sur 11 produits un seul est également formulé de manière sexo-spécifique : sur les deux classes de résultats le ratio de sensibilité au genre est donc de 13% (voir tableau ci-dessous, en vert l’effet et le produit sensibles au genre).</w:t>
      </w:r>
    </w:p>
    <w:p w14:paraId="2D5F9D35" w14:textId="77777777" w:rsidR="00AF24B5" w:rsidRPr="00AF24B5" w:rsidRDefault="00AF24B5" w:rsidP="00AF24B5">
      <w:pPr>
        <w:spacing w:after="0" w:line="240" w:lineRule="auto"/>
        <w:jc w:val="both"/>
        <w:rPr>
          <w:rFonts w:ascii="Times New Roman" w:hAnsi="Times New Roman"/>
          <w:bCs/>
          <w:sz w:val="24"/>
          <w:szCs w:val="24"/>
        </w:rPr>
      </w:pPr>
    </w:p>
    <w:tbl>
      <w:tblPr>
        <w:tblStyle w:val="Grilledutableau"/>
        <w:tblW w:w="0" w:type="auto"/>
        <w:tblLook w:val="04A0" w:firstRow="1" w:lastRow="0" w:firstColumn="1" w:lastColumn="0" w:noHBand="0" w:noVBand="1"/>
      </w:tblPr>
      <w:tblGrid>
        <w:gridCol w:w="531"/>
        <w:gridCol w:w="3626"/>
        <w:gridCol w:w="4903"/>
      </w:tblGrid>
      <w:tr w:rsidR="00AF24B5" w:rsidRPr="00AF24B5" w14:paraId="0CD10488" w14:textId="77777777" w:rsidTr="00AF24B5">
        <w:tc>
          <w:tcPr>
            <w:tcW w:w="534" w:type="dxa"/>
            <w:vAlign w:val="center"/>
          </w:tcPr>
          <w:p w14:paraId="481ED5BE" w14:textId="77777777" w:rsidR="00AF24B5" w:rsidRPr="00AF24B5" w:rsidRDefault="00AF24B5" w:rsidP="00AF24B5">
            <w:pPr>
              <w:spacing w:after="0" w:line="240" w:lineRule="auto"/>
              <w:jc w:val="both"/>
              <w:rPr>
                <w:rFonts w:ascii="Times New Roman" w:hAnsi="Times New Roman"/>
                <w:b w:val="0"/>
                <w:bCs/>
                <w:sz w:val="16"/>
                <w:szCs w:val="16"/>
              </w:rPr>
            </w:pPr>
            <w:r w:rsidRPr="00AF24B5">
              <w:rPr>
                <w:rFonts w:ascii="Times New Roman" w:hAnsi="Times New Roman"/>
                <w:b w:val="0"/>
                <w:bCs/>
                <w:sz w:val="16"/>
                <w:szCs w:val="16"/>
              </w:rPr>
              <w:t>N°</w:t>
            </w:r>
          </w:p>
        </w:tc>
        <w:tc>
          <w:tcPr>
            <w:tcW w:w="3685" w:type="dxa"/>
            <w:vAlign w:val="center"/>
          </w:tcPr>
          <w:p w14:paraId="61FAAB8B" w14:textId="77777777" w:rsidR="00AF24B5" w:rsidRPr="00AF24B5" w:rsidRDefault="00AF24B5" w:rsidP="00AF24B5">
            <w:pPr>
              <w:spacing w:after="0" w:line="240" w:lineRule="auto"/>
              <w:jc w:val="both"/>
              <w:rPr>
                <w:rFonts w:ascii="Times New Roman" w:hAnsi="Times New Roman"/>
                <w:b w:val="0"/>
                <w:bCs/>
                <w:sz w:val="16"/>
                <w:szCs w:val="16"/>
              </w:rPr>
            </w:pPr>
            <w:r w:rsidRPr="00AF24B5">
              <w:rPr>
                <w:rFonts w:ascii="Times New Roman" w:hAnsi="Times New Roman"/>
                <w:b w:val="0"/>
                <w:bCs/>
                <w:sz w:val="16"/>
                <w:szCs w:val="16"/>
              </w:rPr>
              <w:t>Résultats/Effets</w:t>
            </w:r>
          </w:p>
        </w:tc>
        <w:tc>
          <w:tcPr>
            <w:tcW w:w="4991" w:type="dxa"/>
            <w:shd w:val="clear" w:color="auto" w:fill="auto"/>
            <w:vAlign w:val="center"/>
          </w:tcPr>
          <w:p w14:paraId="6893E54F" w14:textId="77777777" w:rsidR="00AF24B5" w:rsidRPr="00AF24B5" w:rsidRDefault="00AF24B5" w:rsidP="00AF24B5">
            <w:pPr>
              <w:spacing w:after="0" w:line="240" w:lineRule="auto"/>
              <w:jc w:val="both"/>
              <w:rPr>
                <w:rFonts w:ascii="Times New Roman" w:hAnsi="Times New Roman"/>
                <w:b w:val="0"/>
                <w:bCs/>
                <w:sz w:val="16"/>
                <w:szCs w:val="16"/>
              </w:rPr>
            </w:pPr>
            <w:r>
              <w:rPr>
                <w:rFonts w:ascii="Times New Roman" w:hAnsi="Times New Roman"/>
                <w:b w:val="0"/>
                <w:bCs/>
                <w:sz w:val="16"/>
                <w:szCs w:val="16"/>
              </w:rPr>
              <w:t>Produits</w:t>
            </w:r>
          </w:p>
        </w:tc>
      </w:tr>
      <w:tr w:rsidR="00AF24B5" w:rsidRPr="00AF24B5" w14:paraId="1F43D7AF" w14:textId="77777777" w:rsidTr="00AF24B5">
        <w:trPr>
          <w:trHeight w:val="169"/>
        </w:trPr>
        <w:tc>
          <w:tcPr>
            <w:tcW w:w="534" w:type="dxa"/>
            <w:vMerge w:val="restart"/>
            <w:vAlign w:val="center"/>
          </w:tcPr>
          <w:p w14:paraId="49A7A069" w14:textId="77777777" w:rsidR="00AF24B5" w:rsidRPr="00AF24B5" w:rsidRDefault="00AF24B5" w:rsidP="00AF24B5">
            <w:pPr>
              <w:spacing w:after="0" w:line="240" w:lineRule="auto"/>
              <w:jc w:val="both"/>
              <w:rPr>
                <w:rFonts w:ascii="Times New Roman" w:hAnsi="Times New Roman"/>
                <w:b w:val="0"/>
                <w:bCs/>
                <w:sz w:val="16"/>
                <w:szCs w:val="16"/>
              </w:rPr>
            </w:pPr>
            <w:r w:rsidRPr="00AF24B5">
              <w:rPr>
                <w:rFonts w:ascii="Times New Roman" w:hAnsi="Times New Roman"/>
                <w:b w:val="0"/>
                <w:bCs/>
                <w:sz w:val="16"/>
                <w:szCs w:val="16"/>
              </w:rPr>
              <w:t>1.</w:t>
            </w:r>
          </w:p>
        </w:tc>
        <w:tc>
          <w:tcPr>
            <w:tcW w:w="3685" w:type="dxa"/>
            <w:vMerge w:val="restart"/>
            <w:vAlign w:val="center"/>
          </w:tcPr>
          <w:p w14:paraId="3EC1AF2A" w14:textId="77777777" w:rsidR="00AF24B5" w:rsidRPr="00AF24B5" w:rsidRDefault="00AF24B5" w:rsidP="00AF24B5">
            <w:pPr>
              <w:spacing w:after="0" w:line="240" w:lineRule="auto"/>
              <w:jc w:val="both"/>
              <w:rPr>
                <w:rFonts w:ascii="Times New Roman" w:hAnsi="Times New Roman"/>
                <w:b w:val="0"/>
                <w:bCs/>
                <w:sz w:val="16"/>
                <w:szCs w:val="16"/>
              </w:rPr>
            </w:pPr>
            <w:r w:rsidRPr="00AF24B5">
              <w:rPr>
                <w:rFonts w:ascii="Times New Roman" w:hAnsi="Times New Roman"/>
                <w:b w:val="0"/>
                <w:bCs/>
                <w:sz w:val="16"/>
                <w:szCs w:val="16"/>
              </w:rPr>
              <w:t>Effet 1 : "D’ici à 2019, la cohésion sociale est facilitée par la justice transitionnelle, le dialogue entre communautés, la culture et l’éducation à la paix."</w:t>
            </w:r>
          </w:p>
        </w:tc>
        <w:tc>
          <w:tcPr>
            <w:tcW w:w="4991" w:type="dxa"/>
            <w:shd w:val="clear" w:color="auto" w:fill="auto"/>
            <w:vAlign w:val="center"/>
          </w:tcPr>
          <w:p w14:paraId="2769C1FD" w14:textId="77777777" w:rsidR="00AF24B5" w:rsidRPr="00AF24B5" w:rsidRDefault="00AF24B5" w:rsidP="00AF24B5">
            <w:pPr>
              <w:spacing w:after="0" w:line="240" w:lineRule="auto"/>
              <w:jc w:val="both"/>
              <w:rPr>
                <w:rFonts w:ascii="Times New Roman" w:hAnsi="Times New Roman"/>
                <w:b w:val="0"/>
                <w:bCs/>
                <w:sz w:val="16"/>
                <w:szCs w:val="16"/>
              </w:rPr>
            </w:pPr>
            <w:r w:rsidRPr="00AF24B5">
              <w:rPr>
                <w:rFonts w:ascii="Times New Roman" w:hAnsi="Times New Roman"/>
                <w:b w:val="0"/>
                <w:bCs/>
                <w:sz w:val="16"/>
                <w:szCs w:val="16"/>
              </w:rPr>
              <w:t>P.1.1. Les institutions responsables du processus de réconciliation nationale possèdent les compétences techniques et opérationnelles requises pour favoriser l’amélioration de la cohésion sociale au service d’une paix durable</w:t>
            </w:r>
          </w:p>
        </w:tc>
      </w:tr>
      <w:tr w:rsidR="00AF24B5" w:rsidRPr="00AF24B5" w14:paraId="4C263FCD" w14:textId="77777777" w:rsidTr="004B5399">
        <w:trPr>
          <w:trHeight w:val="167"/>
        </w:trPr>
        <w:tc>
          <w:tcPr>
            <w:tcW w:w="534" w:type="dxa"/>
            <w:vMerge/>
            <w:vAlign w:val="center"/>
          </w:tcPr>
          <w:p w14:paraId="08B62713" w14:textId="77777777" w:rsidR="00AF24B5" w:rsidRPr="00AF24B5" w:rsidRDefault="00AF24B5" w:rsidP="00AF24B5">
            <w:pPr>
              <w:spacing w:after="0" w:line="240" w:lineRule="auto"/>
              <w:jc w:val="both"/>
              <w:rPr>
                <w:rFonts w:ascii="Times New Roman" w:hAnsi="Times New Roman"/>
                <w:b w:val="0"/>
                <w:bCs/>
                <w:sz w:val="16"/>
                <w:szCs w:val="16"/>
              </w:rPr>
            </w:pPr>
          </w:p>
        </w:tc>
        <w:tc>
          <w:tcPr>
            <w:tcW w:w="3685" w:type="dxa"/>
            <w:vMerge/>
            <w:vAlign w:val="center"/>
          </w:tcPr>
          <w:p w14:paraId="4F05B6DA" w14:textId="77777777" w:rsidR="00AF24B5" w:rsidRPr="00AF24B5" w:rsidRDefault="00AF24B5" w:rsidP="00AF24B5">
            <w:pPr>
              <w:spacing w:after="0" w:line="240" w:lineRule="auto"/>
              <w:jc w:val="both"/>
              <w:rPr>
                <w:rFonts w:ascii="Times New Roman" w:hAnsi="Times New Roman"/>
                <w:b w:val="0"/>
                <w:bCs/>
                <w:sz w:val="16"/>
                <w:szCs w:val="16"/>
              </w:rPr>
            </w:pPr>
          </w:p>
        </w:tc>
        <w:tc>
          <w:tcPr>
            <w:tcW w:w="4991" w:type="dxa"/>
            <w:shd w:val="clear" w:color="auto" w:fill="A8D08D" w:themeFill="accent6" w:themeFillTint="99"/>
            <w:vAlign w:val="center"/>
          </w:tcPr>
          <w:p w14:paraId="2944B6D1" w14:textId="77777777" w:rsidR="00AF24B5" w:rsidRPr="00AF24B5" w:rsidRDefault="00AF24B5" w:rsidP="00AF24B5">
            <w:pPr>
              <w:spacing w:after="0" w:line="240" w:lineRule="auto"/>
              <w:jc w:val="both"/>
              <w:rPr>
                <w:rFonts w:ascii="Times New Roman" w:hAnsi="Times New Roman"/>
                <w:b w:val="0"/>
                <w:bCs/>
                <w:sz w:val="16"/>
                <w:szCs w:val="16"/>
              </w:rPr>
            </w:pPr>
            <w:r w:rsidRPr="00AF24B5">
              <w:rPr>
                <w:rFonts w:ascii="Times New Roman" w:hAnsi="Times New Roman"/>
                <w:b w:val="0"/>
                <w:bCs/>
                <w:sz w:val="16"/>
                <w:szCs w:val="16"/>
              </w:rPr>
              <w:t>P.1.2. Les autorités locales et la société civile (les dirigeants traditionnels, les chefs religieux et les organisations de femmes et de jeunes) du nord possèdent les capacités requises pour prévenir et régler les conflits</w:t>
            </w:r>
          </w:p>
        </w:tc>
      </w:tr>
      <w:tr w:rsidR="00AF24B5" w:rsidRPr="00AF24B5" w14:paraId="3C347FB6" w14:textId="77777777" w:rsidTr="00AF24B5">
        <w:trPr>
          <w:trHeight w:val="167"/>
        </w:trPr>
        <w:tc>
          <w:tcPr>
            <w:tcW w:w="534" w:type="dxa"/>
            <w:vMerge/>
            <w:vAlign w:val="center"/>
          </w:tcPr>
          <w:p w14:paraId="726A6713" w14:textId="77777777" w:rsidR="00AF24B5" w:rsidRPr="00AF24B5" w:rsidRDefault="00AF24B5" w:rsidP="00AF24B5">
            <w:pPr>
              <w:spacing w:after="0" w:line="240" w:lineRule="auto"/>
              <w:jc w:val="both"/>
              <w:rPr>
                <w:rFonts w:ascii="Times New Roman" w:hAnsi="Times New Roman"/>
                <w:b w:val="0"/>
                <w:bCs/>
                <w:sz w:val="16"/>
                <w:szCs w:val="16"/>
              </w:rPr>
            </w:pPr>
          </w:p>
        </w:tc>
        <w:tc>
          <w:tcPr>
            <w:tcW w:w="3685" w:type="dxa"/>
            <w:vMerge/>
            <w:vAlign w:val="center"/>
          </w:tcPr>
          <w:p w14:paraId="7701284E" w14:textId="77777777" w:rsidR="00AF24B5" w:rsidRPr="00AF24B5" w:rsidRDefault="00AF24B5" w:rsidP="00AF24B5">
            <w:pPr>
              <w:spacing w:after="0" w:line="240" w:lineRule="auto"/>
              <w:jc w:val="both"/>
              <w:rPr>
                <w:rFonts w:ascii="Times New Roman" w:hAnsi="Times New Roman"/>
                <w:b w:val="0"/>
                <w:bCs/>
                <w:sz w:val="16"/>
                <w:szCs w:val="16"/>
              </w:rPr>
            </w:pPr>
          </w:p>
        </w:tc>
        <w:tc>
          <w:tcPr>
            <w:tcW w:w="4991" w:type="dxa"/>
            <w:shd w:val="clear" w:color="auto" w:fill="auto"/>
            <w:vAlign w:val="center"/>
          </w:tcPr>
          <w:p w14:paraId="02742177" w14:textId="77777777" w:rsidR="00AF24B5" w:rsidRPr="00AF24B5" w:rsidRDefault="00AF24B5" w:rsidP="00AF24B5">
            <w:pPr>
              <w:spacing w:after="0" w:line="240" w:lineRule="auto"/>
              <w:jc w:val="both"/>
              <w:rPr>
                <w:rFonts w:ascii="Times New Roman" w:hAnsi="Times New Roman"/>
                <w:b w:val="0"/>
                <w:bCs/>
                <w:sz w:val="16"/>
                <w:szCs w:val="16"/>
              </w:rPr>
            </w:pPr>
            <w:r w:rsidRPr="00AF24B5">
              <w:rPr>
                <w:rFonts w:ascii="Times New Roman" w:hAnsi="Times New Roman"/>
                <w:b w:val="0"/>
                <w:bCs/>
                <w:sz w:val="16"/>
                <w:szCs w:val="16"/>
              </w:rPr>
              <w:t>P.1.3. La réintégration et la réadaptation des personnes déplacées à l’intérieur du pays sont garanties grâce à la mise en œuvre effective d’une stratégie de solutions durables</w:t>
            </w:r>
          </w:p>
        </w:tc>
      </w:tr>
      <w:tr w:rsidR="00AF24B5" w:rsidRPr="00AF24B5" w14:paraId="1E4EF962" w14:textId="77777777" w:rsidTr="004B5399">
        <w:trPr>
          <w:trHeight w:val="277"/>
        </w:trPr>
        <w:tc>
          <w:tcPr>
            <w:tcW w:w="534" w:type="dxa"/>
            <w:vMerge w:val="restart"/>
            <w:vAlign w:val="center"/>
          </w:tcPr>
          <w:p w14:paraId="45144CC6" w14:textId="77777777" w:rsidR="00AF24B5" w:rsidRPr="00AF24B5" w:rsidRDefault="00AF24B5" w:rsidP="00AF24B5">
            <w:pPr>
              <w:spacing w:after="0" w:line="240" w:lineRule="auto"/>
              <w:jc w:val="both"/>
              <w:rPr>
                <w:rFonts w:ascii="Times New Roman" w:hAnsi="Times New Roman"/>
                <w:b w:val="0"/>
                <w:bCs/>
                <w:sz w:val="16"/>
                <w:szCs w:val="16"/>
              </w:rPr>
            </w:pPr>
            <w:r w:rsidRPr="00AF24B5">
              <w:rPr>
                <w:rFonts w:ascii="Times New Roman" w:hAnsi="Times New Roman"/>
                <w:b w:val="0"/>
                <w:bCs/>
                <w:sz w:val="16"/>
                <w:szCs w:val="16"/>
              </w:rPr>
              <w:t>2.</w:t>
            </w:r>
          </w:p>
        </w:tc>
        <w:tc>
          <w:tcPr>
            <w:tcW w:w="3685" w:type="dxa"/>
            <w:vMerge w:val="restart"/>
            <w:shd w:val="clear" w:color="auto" w:fill="A8D08D" w:themeFill="accent6" w:themeFillTint="99"/>
            <w:vAlign w:val="center"/>
          </w:tcPr>
          <w:p w14:paraId="36D228BD" w14:textId="77777777" w:rsidR="00AF24B5" w:rsidRPr="00AF24B5" w:rsidRDefault="00AF24B5" w:rsidP="00AF24B5">
            <w:pPr>
              <w:spacing w:after="0" w:line="240" w:lineRule="auto"/>
              <w:jc w:val="both"/>
              <w:rPr>
                <w:rFonts w:ascii="Times New Roman" w:hAnsi="Times New Roman"/>
                <w:b w:val="0"/>
                <w:bCs/>
                <w:sz w:val="16"/>
                <w:szCs w:val="16"/>
              </w:rPr>
            </w:pPr>
            <w:r w:rsidRPr="00AF24B5">
              <w:rPr>
                <w:rFonts w:ascii="Times New Roman" w:hAnsi="Times New Roman"/>
                <w:b w:val="0"/>
                <w:bCs/>
                <w:sz w:val="16"/>
                <w:szCs w:val="16"/>
              </w:rPr>
              <w:t>Effet 2 : "D’ici à 2019, les populations vulnérables, en particulier les femmes et les jeunes, utilisent des capacités de production dans un environnement (naturel) sain qui est propice à la réduction de la pauvreté."</w:t>
            </w:r>
          </w:p>
        </w:tc>
        <w:tc>
          <w:tcPr>
            <w:tcW w:w="4991" w:type="dxa"/>
            <w:shd w:val="clear" w:color="auto" w:fill="auto"/>
            <w:vAlign w:val="center"/>
          </w:tcPr>
          <w:p w14:paraId="3771A836" w14:textId="77777777" w:rsidR="00AF24B5" w:rsidRPr="00AF24B5" w:rsidRDefault="00AF24B5" w:rsidP="00AF24B5">
            <w:pPr>
              <w:spacing w:after="0" w:line="240" w:lineRule="auto"/>
              <w:jc w:val="both"/>
              <w:rPr>
                <w:rFonts w:ascii="Times New Roman" w:hAnsi="Times New Roman"/>
                <w:b w:val="0"/>
                <w:bCs/>
                <w:sz w:val="16"/>
                <w:szCs w:val="16"/>
              </w:rPr>
            </w:pPr>
            <w:r w:rsidRPr="00AF24B5">
              <w:rPr>
                <w:rFonts w:ascii="Times New Roman" w:hAnsi="Times New Roman"/>
                <w:b w:val="0"/>
                <w:bCs/>
                <w:sz w:val="16"/>
                <w:szCs w:val="16"/>
              </w:rPr>
              <w:t>P.2.1. Les Ministères ayant l’économie, les finances et la planification dans leurs attributions ont amélioré leurs capacités de formulation des politiques, de gestion des finances publiques et de coordination de l’aide pour stimuler une croissance diversifiée et réduire l’inégalité</w:t>
            </w:r>
          </w:p>
        </w:tc>
      </w:tr>
      <w:tr w:rsidR="00AF24B5" w:rsidRPr="00AF24B5" w14:paraId="7FAB32D8" w14:textId="77777777" w:rsidTr="004B5399">
        <w:trPr>
          <w:trHeight w:val="276"/>
        </w:trPr>
        <w:tc>
          <w:tcPr>
            <w:tcW w:w="534" w:type="dxa"/>
            <w:vMerge/>
            <w:vAlign w:val="center"/>
          </w:tcPr>
          <w:p w14:paraId="56C1EF4E" w14:textId="77777777" w:rsidR="00AF24B5" w:rsidRPr="00AF24B5" w:rsidRDefault="00AF24B5" w:rsidP="00AF24B5">
            <w:pPr>
              <w:spacing w:after="0" w:line="240" w:lineRule="auto"/>
              <w:jc w:val="both"/>
              <w:rPr>
                <w:rFonts w:ascii="Times New Roman" w:hAnsi="Times New Roman"/>
                <w:b w:val="0"/>
                <w:bCs/>
                <w:sz w:val="16"/>
                <w:szCs w:val="16"/>
              </w:rPr>
            </w:pPr>
          </w:p>
        </w:tc>
        <w:tc>
          <w:tcPr>
            <w:tcW w:w="3685" w:type="dxa"/>
            <w:vMerge/>
            <w:shd w:val="clear" w:color="auto" w:fill="A8D08D" w:themeFill="accent6" w:themeFillTint="99"/>
            <w:vAlign w:val="center"/>
          </w:tcPr>
          <w:p w14:paraId="690660D8" w14:textId="77777777" w:rsidR="00AF24B5" w:rsidRPr="00AF24B5" w:rsidRDefault="00AF24B5" w:rsidP="00AF24B5">
            <w:pPr>
              <w:spacing w:after="0" w:line="240" w:lineRule="auto"/>
              <w:jc w:val="both"/>
              <w:rPr>
                <w:rFonts w:ascii="Times New Roman" w:hAnsi="Times New Roman"/>
                <w:b w:val="0"/>
                <w:bCs/>
                <w:sz w:val="16"/>
                <w:szCs w:val="16"/>
              </w:rPr>
            </w:pPr>
          </w:p>
        </w:tc>
        <w:tc>
          <w:tcPr>
            <w:tcW w:w="4991" w:type="dxa"/>
            <w:shd w:val="clear" w:color="auto" w:fill="auto"/>
            <w:vAlign w:val="center"/>
          </w:tcPr>
          <w:p w14:paraId="34BE32AF" w14:textId="77777777" w:rsidR="00AF24B5" w:rsidRPr="00AF24B5" w:rsidRDefault="00AF24B5" w:rsidP="00AF24B5">
            <w:pPr>
              <w:spacing w:after="0" w:line="240" w:lineRule="auto"/>
              <w:jc w:val="both"/>
              <w:rPr>
                <w:rFonts w:ascii="Times New Roman" w:hAnsi="Times New Roman"/>
                <w:b w:val="0"/>
                <w:bCs/>
                <w:sz w:val="16"/>
                <w:szCs w:val="16"/>
              </w:rPr>
            </w:pPr>
            <w:r w:rsidRPr="00AF24B5">
              <w:rPr>
                <w:rFonts w:ascii="Times New Roman" w:hAnsi="Times New Roman"/>
                <w:b w:val="0"/>
                <w:bCs/>
                <w:sz w:val="16"/>
                <w:szCs w:val="16"/>
              </w:rPr>
              <w:t>P.2.2. La résilience des populations les plus vulnérables  en milieu rural est renforcée au travers de l’amélioration de l’utilisation des ressources naturelles, de la promotion de la réduction des risques de catastrophe et des risques climatiques, de l’utilisation des sources d’énergie renouvelable, de la multiplication des débouchés économiques et de l’amélioration de l’accès aux services financiers</w:t>
            </w:r>
          </w:p>
        </w:tc>
      </w:tr>
      <w:tr w:rsidR="00AF24B5" w:rsidRPr="00AF24B5" w14:paraId="5AC6E319" w14:textId="77777777" w:rsidTr="004B5399">
        <w:trPr>
          <w:trHeight w:val="276"/>
        </w:trPr>
        <w:tc>
          <w:tcPr>
            <w:tcW w:w="534" w:type="dxa"/>
            <w:vMerge/>
            <w:vAlign w:val="center"/>
          </w:tcPr>
          <w:p w14:paraId="65CA8F6A" w14:textId="77777777" w:rsidR="00AF24B5" w:rsidRPr="00AF24B5" w:rsidRDefault="00AF24B5" w:rsidP="00AF24B5">
            <w:pPr>
              <w:spacing w:after="0" w:line="240" w:lineRule="auto"/>
              <w:jc w:val="both"/>
              <w:rPr>
                <w:rFonts w:ascii="Times New Roman" w:hAnsi="Times New Roman"/>
                <w:b w:val="0"/>
                <w:bCs/>
                <w:sz w:val="16"/>
                <w:szCs w:val="16"/>
              </w:rPr>
            </w:pPr>
          </w:p>
        </w:tc>
        <w:tc>
          <w:tcPr>
            <w:tcW w:w="3685" w:type="dxa"/>
            <w:vMerge/>
            <w:shd w:val="clear" w:color="auto" w:fill="A8D08D" w:themeFill="accent6" w:themeFillTint="99"/>
            <w:vAlign w:val="center"/>
          </w:tcPr>
          <w:p w14:paraId="26ECB498" w14:textId="77777777" w:rsidR="00AF24B5" w:rsidRPr="00AF24B5" w:rsidRDefault="00AF24B5" w:rsidP="00AF24B5">
            <w:pPr>
              <w:spacing w:after="0" w:line="240" w:lineRule="auto"/>
              <w:jc w:val="both"/>
              <w:rPr>
                <w:rFonts w:ascii="Times New Roman" w:hAnsi="Times New Roman"/>
                <w:b w:val="0"/>
                <w:bCs/>
                <w:sz w:val="16"/>
                <w:szCs w:val="16"/>
              </w:rPr>
            </w:pPr>
          </w:p>
        </w:tc>
        <w:tc>
          <w:tcPr>
            <w:tcW w:w="4991" w:type="dxa"/>
            <w:shd w:val="clear" w:color="auto" w:fill="auto"/>
            <w:vAlign w:val="center"/>
          </w:tcPr>
          <w:p w14:paraId="61D8F1F3" w14:textId="77777777" w:rsidR="00AF24B5" w:rsidRPr="00AF24B5" w:rsidRDefault="00AF24B5" w:rsidP="00AF24B5">
            <w:pPr>
              <w:spacing w:after="0" w:line="240" w:lineRule="auto"/>
              <w:jc w:val="both"/>
              <w:rPr>
                <w:rFonts w:ascii="Times New Roman" w:hAnsi="Times New Roman"/>
                <w:b w:val="0"/>
                <w:bCs/>
                <w:sz w:val="16"/>
                <w:szCs w:val="16"/>
              </w:rPr>
            </w:pPr>
            <w:r w:rsidRPr="00AF24B5">
              <w:rPr>
                <w:rFonts w:ascii="Times New Roman" w:hAnsi="Times New Roman"/>
                <w:b w:val="0"/>
                <w:bCs/>
                <w:sz w:val="16"/>
                <w:szCs w:val="16"/>
              </w:rPr>
              <w:t>P.2.3. Les capacités de planification, d’évaluation et d’affectation des ressources des institutions responsables de l’environnement sont renforcées pour mettre en œuvre les plans sectoriels visant mieux intégrer les liens entre la pauvreté et l’environnement et les préoccupations en matière de réduction des risques de catastrophe et des risques climatiques</w:t>
            </w:r>
          </w:p>
        </w:tc>
      </w:tr>
      <w:tr w:rsidR="00AF24B5" w:rsidRPr="00AF24B5" w14:paraId="745202BF" w14:textId="77777777" w:rsidTr="00AF24B5">
        <w:trPr>
          <w:trHeight w:val="335"/>
        </w:trPr>
        <w:tc>
          <w:tcPr>
            <w:tcW w:w="534" w:type="dxa"/>
            <w:vMerge w:val="restart"/>
            <w:vAlign w:val="center"/>
          </w:tcPr>
          <w:p w14:paraId="1B031E89" w14:textId="77777777" w:rsidR="00AF24B5" w:rsidRPr="00AF24B5" w:rsidRDefault="00AF24B5" w:rsidP="00AF24B5">
            <w:pPr>
              <w:spacing w:after="0" w:line="240" w:lineRule="auto"/>
              <w:jc w:val="both"/>
              <w:rPr>
                <w:rFonts w:ascii="Times New Roman" w:hAnsi="Times New Roman"/>
                <w:b w:val="0"/>
                <w:bCs/>
                <w:sz w:val="16"/>
                <w:szCs w:val="16"/>
              </w:rPr>
            </w:pPr>
            <w:r w:rsidRPr="00AF24B5">
              <w:rPr>
                <w:rFonts w:ascii="Times New Roman" w:hAnsi="Times New Roman"/>
                <w:b w:val="0"/>
                <w:bCs/>
                <w:sz w:val="16"/>
                <w:szCs w:val="16"/>
              </w:rPr>
              <w:t>3.</w:t>
            </w:r>
          </w:p>
        </w:tc>
        <w:tc>
          <w:tcPr>
            <w:tcW w:w="3685" w:type="dxa"/>
            <w:vMerge w:val="restart"/>
            <w:vAlign w:val="center"/>
          </w:tcPr>
          <w:p w14:paraId="61B72930" w14:textId="77777777" w:rsidR="00AF24B5" w:rsidRPr="00AF24B5" w:rsidRDefault="00AF24B5" w:rsidP="00AF24B5">
            <w:pPr>
              <w:spacing w:after="0" w:line="240" w:lineRule="auto"/>
              <w:jc w:val="both"/>
              <w:rPr>
                <w:rFonts w:ascii="Times New Roman" w:hAnsi="Times New Roman"/>
                <w:b w:val="0"/>
                <w:bCs/>
                <w:sz w:val="16"/>
                <w:szCs w:val="16"/>
              </w:rPr>
            </w:pPr>
            <w:r w:rsidRPr="00AF24B5">
              <w:rPr>
                <w:rFonts w:ascii="Times New Roman" w:hAnsi="Times New Roman"/>
                <w:b w:val="0"/>
                <w:bCs/>
                <w:sz w:val="16"/>
                <w:szCs w:val="16"/>
              </w:rPr>
              <w:t>Effet 3 : "D’ici 2019, l’État et les institutions nationales et locales remplissent plus efficacement leur mission de service public et les acteurs non étatiques participent à la vie de la nation et exercent un contrôle citoyen dans le respect des principes de la bonne gouvernance et de la primauté du droit."</w:t>
            </w:r>
          </w:p>
        </w:tc>
        <w:tc>
          <w:tcPr>
            <w:tcW w:w="4991" w:type="dxa"/>
            <w:shd w:val="clear" w:color="auto" w:fill="auto"/>
            <w:vAlign w:val="center"/>
          </w:tcPr>
          <w:p w14:paraId="4AB3F1DA" w14:textId="77777777" w:rsidR="00AF24B5" w:rsidRPr="00AF24B5" w:rsidRDefault="00AF24B5" w:rsidP="00AF24B5">
            <w:pPr>
              <w:spacing w:after="0" w:line="240" w:lineRule="auto"/>
              <w:jc w:val="both"/>
              <w:rPr>
                <w:rFonts w:ascii="Times New Roman" w:hAnsi="Times New Roman"/>
                <w:b w:val="0"/>
                <w:bCs/>
                <w:sz w:val="16"/>
                <w:szCs w:val="16"/>
              </w:rPr>
            </w:pPr>
            <w:r w:rsidRPr="00AF24B5">
              <w:rPr>
                <w:rFonts w:ascii="Times New Roman" w:hAnsi="Times New Roman"/>
                <w:b w:val="0"/>
                <w:bCs/>
                <w:sz w:val="16"/>
                <w:szCs w:val="16"/>
              </w:rPr>
              <w:t>P.3.1. Les capacités du Parlement sont renforcées dans les matières législatives et le contrôle de l’action gouvernementale</w:t>
            </w:r>
          </w:p>
        </w:tc>
      </w:tr>
      <w:tr w:rsidR="00AF24B5" w:rsidRPr="00AF24B5" w14:paraId="4E97DB8E" w14:textId="77777777" w:rsidTr="00AF24B5">
        <w:trPr>
          <w:trHeight w:val="335"/>
        </w:trPr>
        <w:tc>
          <w:tcPr>
            <w:tcW w:w="534" w:type="dxa"/>
            <w:vMerge/>
            <w:vAlign w:val="center"/>
          </w:tcPr>
          <w:p w14:paraId="09404F54" w14:textId="77777777" w:rsidR="00AF24B5" w:rsidRPr="00AF24B5" w:rsidRDefault="00AF24B5" w:rsidP="00AF24B5">
            <w:pPr>
              <w:spacing w:after="0" w:line="240" w:lineRule="auto"/>
              <w:jc w:val="both"/>
              <w:rPr>
                <w:rFonts w:ascii="Times New Roman" w:hAnsi="Times New Roman"/>
                <w:b w:val="0"/>
                <w:bCs/>
                <w:sz w:val="16"/>
                <w:szCs w:val="16"/>
              </w:rPr>
            </w:pPr>
          </w:p>
        </w:tc>
        <w:tc>
          <w:tcPr>
            <w:tcW w:w="3685" w:type="dxa"/>
            <w:vMerge/>
            <w:vAlign w:val="center"/>
          </w:tcPr>
          <w:p w14:paraId="032FF966" w14:textId="77777777" w:rsidR="00AF24B5" w:rsidRPr="00AF24B5" w:rsidRDefault="00AF24B5" w:rsidP="00AF24B5">
            <w:pPr>
              <w:spacing w:after="0" w:line="240" w:lineRule="auto"/>
              <w:jc w:val="both"/>
              <w:rPr>
                <w:rFonts w:ascii="Times New Roman" w:hAnsi="Times New Roman"/>
                <w:b w:val="0"/>
                <w:bCs/>
                <w:sz w:val="16"/>
                <w:szCs w:val="16"/>
              </w:rPr>
            </w:pPr>
          </w:p>
        </w:tc>
        <w:tc>
          <w:tcPr>
            <w:tcW w:w="4991" w:type="dxa"/>
            <w:shd w:val="clear" w:color="auto" w:fill="auto"/>
            <w:vAlign w:val="center"/>
          </w:tcPr>
          <w:p w14:paraId="627F7427" w14:textId="77777777" w:rsidR="00AF24B5" w:rsidRPr="00AF24B5" w:rsidRDefault="00AF24B5" w:rsidP="00AF24B5">
            <w:pPr>
              <w:spacing w:after="0" w:line="240" w:lineRule="auto"/>
              <w:jc w:val="both"/>
              <w:rPr>
                <w:rFonts w:ascii="Times New Roman" w:hAnsi="Times New Roman"/>
                <w:b w:val="0"/>
                <w:bCs/>
                <w:sz w:val="16"/>
                <w:szCs w:val="16"/>
              </w:rPr>
            </w:pPr>
            <w:r w:rsidRPr="00AF24B5">
              <w:rPr>
                <w:rFonts w:ascii="Times New Roman" w:hAnsi="Times New Roman"/>
                <w:b w:val="0"/>
                <w:bCs/>
                <w:sz w:val="16"/>
                <w:szCs w:val="16"/>
              </w:rPr>
              <w:t>P.3.2. La réforme de la justice et le redéploiement de l’administration dans les régions de Gao, de Kidal et de Tombouctou sont consolidés pour renforcer l’autorité de l’État et la primauté du droit</w:t>
            </w:r>
          </w:p>
        </w:tc>
      </w:tr>
      <w:tr w:rsidR="00AF24B5" w:rsidRPr="00AF24B5" w14:paraId="78E42A36" w14:textId="77777777" w:rsidTr="00AF24B5">
        <w:trPr>
          <w:trHeight w:val="335"/>
        </w:trPr>
        <w:tc>
          <w:tcPr>
            <w:tcW w:w="534" w:type="dxa"/>
            <w:vMerge/>
            <w:vAlign w:val="center"/>
          </w:tcPr>
          <w:p w14:paraId="32CEA9D5" w14:textId="77777777" w:rsidR="00AF24B5" w:rsidRPr="00AF24B5" w:rsidRDefault="00AF24B5" w:rsidP="00AF24B5">
            <w:pPr>
              <w:spacing w:after="0" w:line="240" w:lineRule="auto"/>
              <w:jc w:val="both"/>
              <w:rPr>
                <w:rFonts w:ascii="Times New Roman" w:hAnsi="Times New Roman"/>
                <w:b w:val="0"/>
                <w:bCs/>
                <w:sz w:val="16"/>
                <w:szCs w:val="16"/>
              </w:rPr>
            </w:pPr>
          </w:p>
        </w:tc>
        <w:tc>
          <w:tcPr>
            <w:tcW w:w="3685" w:type="dxa"/>
            <w:vMerge/>
            <w:vAlign w:val="center"/>
          </w:tcPr>
          <w:p w14:paraId="3D5622A7" w14:textId="77777777" w:rsidR="00AF24B5" w:rsidRPr="00AF24B5" w:rsidRDefault="00AF24B5" w:rsidP="00AF24B5">
            <w:pPr>
              <w:spacing w:after="0" w:line="240" w:lineRule="auto"/>
              <w:jc w:val="both"/>
              <w:rPr>
                <w:rFonts w:ascii="Times New Roman" w:hAnsi="Times New Roman"/>
                <w:b w:val="0"/>
                <w:bCs/>
                <w:sz w:val="16"/>
                <w:szCs w:val="16"/>
              </w:rPr>
            </w:pPr>
          </w:p>
        </w:tc>
        <w:tc>
          <w:tcPr>
            <w:tcW w:w="4991" w:type="dxa"/>
            <w:shd w:val="clear" w:color="auto" w:fill="auto"/>
            <w:vAlign w:val="center"/>
          </w:tcPr>
          <w:p w14:paraId="2C7C2514" w14:textId="77777777" w:rsidR="00AF24B5" w:rsidRPr="00AF24B5" w:rsidRDefault="00AF24B5" w:rsidP="00AF24B5">
            <w:pPr>
              <w:spacing w:after="0" w:line="240" w:lineRule="auto"/>
              <w:jc w:val="both"/>
              <w:rPr>
                <w:rFonts w:ascii="Times New Roman" w:hAnsi="Times New Roman"/>
                <w:b w:val="0"/>
                <w:bCs/>
                <w:sz w:val="16"/>
                <w:szCs w:val="16"/>
              </w:rPr>
            </w:pPr>
            <w:r w:rsidRPr="00AF24B5">
              <w:rPr>
                <w:rFonts w:ascii="Times New Roman" w:hAnsi="Times New Roman"/>
                <w:b w:val="0"/>
                <w:bCs/>
                <w:sz w:val="16"/>
                <w:szCs w:val="16"/>
              </w:rPr>
              <w:t>P.3.3. Les capacités institutionnelles des instances en charge de la décentralisation et de la société civile locale sont renforcées en vue du transfert</w:t>
            </w:r>
          </w:p>
          <w:p w14:paraId="31A743E3" w14:textId="77777777" w:rsidR="00AF24B5" w:rsidRPr="00AF24B5" w:rsidRDefault="00AF24B5" w:rsidP="00AF24B5">
            <w:pPr>
              <w:spacing w:after="0" w:line="240" w:lineRule="auto"/>
              <w:jc w:val="both"/>
              <w:rPr>
                <w:rFonts w:ascii="Times New Roman" w:hAnsi="Times New Roman"/>
                <w:b w:val="0"/>
                <w:bCs/>
                <w:sz w:val="16"/>
                <w:szCs w:val="16"/>
              </w:rPr>
            </w:pPr>
            <w:r w:rsidRPr="00AF24B5">
              <w:rPr>
                <w:rFonts w:ascii="Times New Roman" w:hAnsi="Times New Roman"/>
                <w:b w:val="0"/>
                <w:bCs/>
                <w:sz w:val="16"/>
                <w:szCs w:val="16"/>
              </w:rPr>
              <w:t>effectif des pouvoirs et des ressources aux autorités locales</w:t>
            </w:r>
          </w:p>
        </w:tc>
      </w:tr>
      <w:tr w:rsidR="00AF24B5" w:rsidRPr="00AF24B5" w14:paraId="4C66868C" w14:textId="77777777" w:rsidTr="00AF24B5">
        <w:trPr>
          <w:trHeight w:val="415"/>
        </w:trPr>
        <w:tc>
          <w:tcPr>
            <w:tcW w:w="534" w:type="dxa"/>
            <w:vMerge w:val="restart"/>
            <w:vAlign w:val="center"/>
          </w:tcPr>
          <w:p w14:paraId="64345625" w14:textId="77777777" w:rsidR="00AF24B5" w:rsidRPr="00AF24B5" w:rsidRDefault="00AF24B5" w:rsidP="00AF24B5">
            <w:pPr>
              <w:spacing w:after="0" w:line="240" w:lineRule="auto"/>
              <w:jc w:val="both"/>
              <w:rPr>
                <w:rFonts w:ascii="Times New Roman" w:hAnsi="Times New Roman"/>
                <w:b w:val="0"/>
                <w:bCs/>
                <w:sz w:val="16"/>
                <w:szCs w:val="16"/>
              </w:rPr>
            </w:pPr>
            <w:r w:rsidRPr="00AF24B5">
              <w:rPr>
                <w:rFonts w:ascii="Times New Roman" w:hAnsi="Times New Roman"/>
                <w:b w:val="0"/>
                <w:bCs/>
                <w:sz w:val="16"/>
                <w:szCs w:val="16"/>
              </w:rPr>
              <w:t>4.</w:t>
            </w:r>
          </w:p>
        </w:tc>
        <w:tc>
          <w:tcPr>
            <w:tcW w:w="3685" w:type="dxa"/>
            <w:vMerge w:val="restart"/>
            <w:vAlign w:val="center"/>
          </w:tcPr>
          <w:p w14:paraId="46D9C573" w14:textId="77777777" w:rsidR="00AF24B5" w:rsidRPr="00AF24B5" w:rsidRDefault="00AF24B5" w:rsidP="00AF24B5">
            <w:pPr>
              <w:spacing w:after="0" w:line="240" w:lineRule="auto"/>
              <w:jc w:val="both"/>
              <w:rPr>
                <w:rFonts w:ascii="Times New Roman" w:hAnsi="Times New Roman"/>
                <w:b w:val="0"/>
                <w:bCs/>
                <w:sz w:val="16"/>
                <w:szCs w:val="16"/>
              </w:rPr>
            </w:pPr>
            <w:r w:rsidRPr="00AF24B5">
              <w:rPr>
                <w:rFonts w:ascii="Times New Roman" w:hAnsi="Times New Roman"/>
                <w:b w:val="0"/>
                <w:bCs/>
                <w:sz w:val="16"/>
                <w:szCs w:val="16"/>
              </w:rPr>
              <w:t>Effet 4 : "D’ici à 2019, les communautés, en particulier les plus vulnérables et celles touchées par la crise, pourront accéder à des soins de santé de base de qualité et en bénéficier plus facilement et sur un pied d’égalité."</w:t>
            </w:r>
          </w:p>
        </w:tc>
        <w:tc>
          <w:tcPr>
            <w:tcW w:w="4991" w:type="dxa"/>
            <w:shd w:val="clear" w:color="auto" w:fill="auto"/>
            <w:vAlign w:val="center"/>
          </w:tcPr>
          <w:p w14:paraId="2B7897DB" w14:textId="77777777" w:rsidR="00AF24B5" w:rsidRPr="00AF24B5" w:rsidRDefault="00AF24B5" w:rsidP="00AF24B5">
            <w:pPr>
              <w:spacing w:after="0" w:line="240" w:lineRule="auto"/>
              <w:jc w:val="both"/>
              <w:rPr>
                <w:rFonts w:ascii="Times New Roman" w:hAnsi="Times New Roman"/>
                <w:b w:val="0"/>
                <w:bCs/>
                <w:sz w:val="16"/>
                <w:szCs w:val="16"/>
              </w:rPr>
            </w:pPr>
            <w:r w:rsidRPr="00AF24B5">
              <w:rPr>
                <w:rFonts w:ascii="Times New Roman" w:hAnsi="Times New Roman"/>
                <w:b w:val="0"/>
                <w:bCs/>
                <w:sz w:val="16"/>
                <w:szCs w:val="16"/>
              </w:rPr>
              <w:t>P.4.1. Les capacités de coordination, de gestion et de suivi du Ministère de la santé, de la société civile et des bénéficiaires secondaires sont renforcées pour lutter efficacement contre la séropositivité</w:t>
            </w:r>
          </w:p>
        </w:tc>
      </w:tr>
      <w:tr w:rsidR="00AF24B5" w:rsidRPr="00AF24B5" w14:paraId="5D1CC0B5" w14:textId="77777777" w:rsidTr="00AF24B5">
        <w:trPr>
          <w:trHeight w:val="414"/>
        </w:trPr>
        <w:tc>
          <w:tcPr>
            <w:tcW w:w="534" w:type="dxa"/>
            <w:vMerge/>
            <w:vAlign w:val="center"/>
          </w:tcPr>
          <w:p w14:paraId="14448879" w14:textId="77777777" w:rsidR="00AF24B5" w:rsidRPr="00AF24B5" w:rsidRDefault="00AF24B5" w:rsidP="00AF24B5">
            <w:pPr>
              <w:spacing w:after="0" w:line="240" w:lineRule="auto"/>
              <w:jc w:val="both"/>
              <w:rPr>
                <w:rFonts w:ascii="Times New Roman" w:hAnsi="Times New Roman"/>
                <w:b w:val="0"/>
                <w:bCs/>
                <w:sz w:val="16"/>
                <w:szCs w:val="16"/>
              </w:rPr>
            </w:pPr>
          </w:p>
        </w:tc>
        <w:tc>
          <w:tcPr>
            <w:tcW w:w="3685" w:type="dxa"/>
            <w:vMerge/>
            <w:vAlign w:val="center"/>
          </w:tcPr>
          <w:p w14:paraId="243434BE" w14:textId="77777777" w:rsidR="00AF24B5" w:rsidRPr="00AF24B5" w:rsidRDefault="00AF24B5" w:rsidP="00AF24B5">
            <w:pPr>
              <w:spacing w:after="0" w:line="240" w:lineRule="auto"/>
              <w:jc w:val="both"/>
              <w:rPr>
                <w:rFonts w:ascii="Times New Roman" w:hAnsi="Times New Roman"/>
                <w:b w:val="0"/>
                <w:bCs/>
                <w:sz w:val="16"/>
                <w:szCs w:val="16"/>
              </w:rPr>
            </w:pPr>
          </w:p>
        </w:tc>
        <w:tc>
          <w:tcPr>
            <w:tcW w:w="4991" w:type="dxa"/>
            <w:shd w:val="clear" w:color="auto" w:fill="auto"/>
            <w:vAlign w:val="center"/>
          </w:tcPr>
          <w:p w14:paraId="01D82C01" w14:textId="77777777" w:rsidR="00AF24B5" w:rsidRPr="00AF24B5" w:rsidRDefault="00AF24B5" w:rsidP="00AF24B5">
            <w:pPr>
              <w:spacing w:after="0" w:line="240" w:lineRule="auto"/>
              <w:jc w:val="both"/>
              <w:rPr>
                <w:rFonts w:ascii="Times New Roman" w:hAnsi="Times New Roman"/>
                <w:b w:val="0"/>
                <w:bCs/>
                <w:sz w:val="16"/>
                <w:szCs w:val="16"/>
              </w:rPr>
            </w:pPr>
            <w:r w:rsidRPr="00AF24B5">
              <w:rPr>
                <w:rFonts w:ascii="Times New Roman" w:hAnsi="Times New Roman"/>
                <w:b w:val="0"/>
                <w:bCs/>
                <w:sz w:val="16"/>
                <w:szCs w:val="16"/>
              </w:rPr>
              <w:t>P.4.2. Des services performants de prévention et de traitement sont disponibles pour réduire sensiblement le taux de prévalence de la séropositivité</w:t>
            </w:r>
          </w:p>
        </w:tc>
      </w:tr>
    </w:tbl>
    <w:p w14:paraId="3319CF40" w14:textId="77777777" w:rsidR="00AF24B5" w:rsidRPr="00AF24B5" w:rsidRDefault="00AF24B5" w:rsidP="00AF24B5">
      <w:pPr>
        <w:spacing w:after="0" w:line="240" w:lineRule="auto"/>
        <w:jc w:val="both"/>
        <w:rPr>
          <w:rFonts w:ascii="Times New Roman" w:hAnsi="Times New Roman"/>
          <w:bCs/>
          <w:i/>
          <w:sz w:val="20"/>
          <w:szCs w:val="20"/>
        </w:rPr>
      </w:pPr>
      <w:r w:rsidRPr="00AF24B5">
        <w:rPr>
          <w:rFonts w:ascii="Times New Roman" w:hAnsi="Times New Roman"/>
          <w:bCs/>
          <w:i/>
          <w:sz w:val="20"/>
          <w:szCs w:val="20"/>
          <w:u w:val="single"/>
        </w:rPr>
        <w:t>Source</w:t>
      </w:r>
      <w:r w:rsidRPr="00AF24B5">
        <w:rPr>
          <w:rFonts w:ascii="Times New Roman" w:hAnsi="Times New Roman"/>
          <w:bCs/>
          <w:i/>
          <w:sz w:val="20"/>
          <w:szCs w:val="20"/>
        </w:rPr>
        <w:t> : Matrice des résultats et des ressources, CPD 2015-2019.</w:t>
      </w:r>
    </w:p>
    <w:p w14:paraId="00309F86" w14:textId="77777777" w:rsidR="00AF24B5" w:rsidRPr="00AF24B5" w:rsidRDefault="00AF24B5" w:rsidP="00AF24B5">
      <w:pPr>
        <w:spacing w:after="0" w:line="240" w:lineRule="auto"/>
        <w:jc w:val="both"/>
        <w:rPr>
          <w:rFonts w:ascii="Times New Roman" w:hAnsi="Times New Roman"/>
          <w:bCs/>
          <w:sz w:val="24"/>
          <w:szCs w:val="24"/>
        </w:rPr>
      </w:pPr>
    </w:p>
    <w:p w14:paraId="64647FEA" w14:textId="77777777" w:rsidR="00AF24B5" w:rsidRPr="00AF24B5" w:rsidRDefault="00454255" w:rsidP="00AF24B5">
      <w:pPr>
        <w:spacing w:after="0" w:line="240" w:lineRule="auto"/>
        <w:jc w:val="both"/>
        <w:rPr>
          <w:rFonts w:ascii="Times New Roman" w:hAnsi="Times New Roman"/>
          <w:bCs/>
          <w:sz w:val="24"/>
          <w:szCs w:val="24"/>
        </w:rPr>
      </w:pPr>
      <w:r>
        <w:rPr>
          <w:rFonts w:ascii="Times New Roman" w:hAnsi="Times New Roman"/>
          <w:bCs/>
          <w:sz w:val="24"/>
          <w:szCs w:val="24"/>
        </w:rPr>
        <w:t>7</w:t>
      </w:r>
      <w:r w:rsidR="000B5082">
        <w:rPr>
          <w:rFonts w:ascii="Times New Roman" w:hAnsi="Times New Roman"/>
          <w:bCs/>
          <w:sz w:val="24"/>
          <w:szCs w:val="24"/>
        </w:rPr>
        <w:t>4</w:t>
      </w:r>
      <w:r>
        <w:rPr>
          <w:rFonts w:ascii="Times New Roman" w:hAnsi="Times New Roman"/>
          <w:bCs/>
          <w:sz w:val="24"/>
          <w:szCs w:val="24"/>
        </w:rPr>
        <w:t>.</w:t>
      </w:r>
      <w:r w:rsidR="00AF24B5" w:rsidRPr="00AF24B5">
        <w:rPr>
          <w:rFonts w:ascii="Times New Roman" w:hAnsi="Times New Roman"/>
          <w:bCs/>
          <w:sz w:val="24"/>
          <w:szCs w:val="24"/>
        </w:rPr>
        <w:tab/>
        <w:t>L’on pouvait encore améliorer le ciblage des femmes dans l’écriture du programme en corrigeant cette lacune dans la formulation des effets et produit</w:t>
      </w:r>
      <w:r w:rsidR="00452C63">
        <w:rPr>
          <w:rFonts w:ascii="Times New Roman" w:hAnsi="Times New Roman"/>
          <w:bCs/>
          <w:sz w:val="24"/>
          <w:szCs w:val="24"/>
        </w:rPr>
        <w:t>s</w:t>
      </w:r>
      <w:r w:rsidR="00AF24B5" w:rsidRPr="00AF24B5">
        <w:rPr>
          <w:rFonts w:ascii="Times New Roman" w:hAnsi="Times New Roman"/>
          <w:bCs/>
          <w:sz w:val="24"/>
          <w:szCs w:val="24"/>
        </w:rPr>
        <w:t>, par des indicateurs d’effets et de produits sexo-spécifiques. Mais cela n’est pas le cas non plus, puisque justement, des 38 indicateurs de mesure attachés aux effets aux produits de la matrice, seuls 8 mentionnent explicitement des objectifs à atteindre sur le genre, soit un ratio pro-genre de 21%, à peine meilleur que le précédent sur les résultats.</w:t>
      </w:r>
    </w:p>
    <w:p w14:paraId="7E8C229A" w14:textId="77777777" w:rsidR="00AF24B5" w:rsidRPr="00AF24B5" w:rsidRDefault="00AF24B5" w:rsidP="00AF24B5">
      <w:pPr>
        <w:spacing w:after="0" w:line="240" w:lineRule="auto"/>
        <w:jc w:val="both"/>
        <w:rPr>
          <w:rFonts w:ascii="Times New Roman" w:hAnsi="Times New Roman"/>
          <w:bCs/>
          <w:sz w:val="24"/>
          <w:szCs w:val="24"/>
        </w:rPr>
      </w:pPr>
    </w:p>
    <w:p w14:paraId="61185A11" w14:textId="77777777" w:rsidR="00AF24B5" w:rsidRPr="00AF24B5" w:rsidRDefault="00454255" w:rsidP="00AF24B5">
      <w:pPr>
        <w:spacing w:after="0" w:line="240" w:lineRule="auto"/>
        <w:jc w:val="both"/>
        <w:rPr>
          <w:rFonts w:ascii="Times New Roman" w:hAnsi="Times New Roman"/>
          <w:bCs/>
          <w:sz w:val="24"/>
          <w:szCs w:val="24"/>
        </w:rPr>
      </w:pPr>
      <w:r>
        <w:rPr>
          <w:rFonts w:ascii="Times New Roman" w:hAnsi="Times New Roman"/>
          <w:bCs/>
          <w:sz w:val="24"/>
          <w:szCs w:val="24"/>
        </w:rPr>
        <w:t>7</w:t>
      </w:r>
      <w:r w:rsidR="000B5082">
        <w:rPr>
          <w:rFonts w:ascii="Times New Roman" w:hAnsi="Times New Roman"/>
          <w:bCs/>
          <w:sz w:val="24"/>
          <w:szCs w:val="24"/>
        </w:rPr>
        <w:t>5</w:t>
      </w:r>
      <w:r>
        <w:rPr>
          <w:rFonts w:ascii="Times New Roman" w:hAnsi="Times New Roman"/>
          <w:bCs/>
          <w:sz w:val="24"/>
          <w:szCs w:val="24"/>
        </w:rPr>
        <w:t>.</w:t>
      </w:r>
      <w:r w:rsidR="00AF24B5" w:rsidRPr="00AF24B5">
        <w:rPr>
          <w:rFonts w:ascii="Times New Roman" w:hAnsi="Times New Roman"/>
          <w:bCs/>
          <w:sz w:val="24"/>
          <w:szCs w:val="24"/>
        </w:rPr>
        <w:tab/>
      </w:r>
      <w:r w:rsidR="00AF24B5" w:rsidRPr="001436B7">
        <w:rPr>
          <w:rFonts w:ascii="Times New Roman" w:hAnsi="Times New Roman"/>
          <w:bCs/>
          <w:sz w:val="24"/>
          <w:szCs w:val="24"/>
        </w:rPr>
        <w:t>Cette faiblesse dans la formulation du cadre logique, en matière de genre, est cohérent</w:t>
      </w:r>
      <w:r w:rsidR="00452C63" w:rsidRPr="001436B7">
        <w:rPr>
          <w:rFonts w:ascii="Times New Roman" w:hAnsi="Times New Roman"/>
          <w:bCs/>
          <w:sz w:val="24"/>
          <w:szCs w:val="24"/>
        </w:rPr>
        <w:t>e</w:t>
      </w:r>
      <w:r w:rsidR="00AF24B5" w:rsidRPr="001436B7">
        <w:rPr>
          <w:rFonts w:ascii="Times New Roman" w:hAnsi="Times New Roman"/>
          <w:bCs/>
          <w:sz w:val="24"/>
          <w:szCs w:val="24"/>
        </w:rPr>
        <w:t xml:space="preserve"> avec le fait que le Bureau n’avait pas de ressource genre jusqu’à une période récente. Un point focal genre a été désigné au sein d</w:t>
      </w:r>
      <w:r w:rsidR="00452C63" w:rsidRPr="001436B7">
        <w:rPr>
          <w:rFonts w:ascii="Times New Roman" w:hAnsi="Times New Roman"/>
          <w:bCs/>
          <w:sz w:val="24"/>
          <w:szCs w:val="24"/>
        </w:rPr>
        <w:t xml:space="preserve">’une </w:t>
      </w:r>
      <w:r w:rsidR="00AF24B5" w:rsidRPr="001436B7">
        <w:rPr>
          <w:rFonts w:ascii="Times New Roman" w:hAnsi="Times New Roman"/>
          <w:bCs/>
          <w:sz w:val="24"/>
          <w:szCs w:val="24"/>
        </w:rPr>
        <w:t xml:space="preserve">Unité </w:t>
      </w:r>
      <w:r w:rsidR="00452C63" w:rsidRPr="001436B7">
        <w:rPr>
          <w:rFonts w:ascii="Times New Roman" w:hAnsi="Times New Roman"/>
          <w:bCs/>
          <w:sz w:val="24"/>
          <w:szCs w:val="24"/>
        </w:rPr>
        <w:t>thématique</w:t>
      </w:r>
      <w:r w:rsidR="00AF24B5" w:rsidRPr="001436B7">
        <w:rPr>
          <w:rFonts w:ascii="Times New Roman" w:hAnsi="Times New Roman"/>
          <w:bCs/>
          <w:sz w:val="24"/>
          <w:szCs w:val="24"/>
        </w:rPr>
        <w:t xml:space="preserve">. </w:t>
      </w:r>
      <w:r w:rsidR="00452C63" w:rsidRPr="001436B7">
        <w:rPr>
          <w:rFonts w:ascii="Times New Roman" w:hAnsi="Times New Roman"/>
          <w:bCs/>
          <w:sz w:val="24"/>
          <w:szCs w:val="24"/>
        </w:rPr>
        <w:t>Ledit point focal indique lui-même que</w:t>
      </w:r>
      <w:r w:rsidR="00AF24B5" w:rsidRPr="001436B7">
        <w:rPr>
          <w:rFonts w:ascii="Times New Roman" w:hAnsi="Times New Roman"/>
          <w:bCs/>
          <w:sz w:val="24"/>
          <w:szCs w:val="24"/>
        </w:rPr>
        <w:t xml:space="preserve"> cette désignation était faite sans préparation dans la substance</w:t>
      </w:r>
      <w:r w:rsidR="00452C63" w:rsidRPr="001436B7">
        <w:rPr>
          <w:rFonts w:ascii="Times New Roman" w:hAnsi="Times New Roman"/>
          <w:bCs/>
          <w:sz w:val="24"/>
          <w:szCs w:val="24"/>
        </w:rPr>
        <w:t>, et cette</w:t>
      </w:r>
      <w:r w:rsidR="00AF24B5" w:rsidRPr="001436B7">
        <w:rPr>
          <w:rFonts w:ascii="Times New Roman" w:hAnsi="Times New Roman"/>
          <w:bCs/>
          <w:sz w:val="24"/>
          <w:szCs w:val="24"/>
        </w:rPr>
        <w:t xml:space="preserve"> situation jointe au fait de cumuler cette charge avec ses responsabilités courantes dans une unité déjà en sous-effectifs, n’a pas permis de peser significativement en faveur d’une prise en charge adéquate du genre dans le programme.</w:t>
      </w:r>
    </w:p>
    <w:p w14:paraId="7E441C35" w14:textId="77777777" w:rsidR="00AF24B5" w:rsidRPr="00AF24B5" w:rsidRDefault="00AF24B5" w:rsidP="00AF24B5">
      <w:pPr>
        <w:spacing w:after="0" w:line="240" w:lineRule="auto"/>
        <w:jc w:val="both"/>
        <w:rPr>
          <w:rFonts w:ascii="Times New Roman" w:hAnsi="Times New Roman"/>
          <w:bCs/>
          <w:sz w:val="24"/>
          <w:szCs w:val="24"/>
        </w:rPr>
      </w:pPr>
    </w:p>
    <w:p w14:paraId="15FB1BE3" w14:textId="77777777" w:rsidR="00AF24B5" w:rsidRPr="00AF24B5" w:rsidRDefault="00454255" w:rsidP="00AF24B5">
      <w:pPr>
        <w:spacing w:after="0" w:line="240" w:lineRule="auto"/>
        <w:jc w:val="both"/>
        <w:rPr>
          <w:rFonts w:ascii="Times New Roman" w:hAnsi="Times New Roman"/>
          <w:bCs/>
          <w:sz w:val="24"/>
          <w:szCs w:val="24"/>
        </w:rPr>
      </w:pPr>
      <w:r>
        <w:rPr>
          <w:rFonts w:ascii="Times New Roman" w:hAnsi="Times New Roman"/>
          <w:bCs/>
          <w:sz w:val="24"/>
          <w:szCs w:val="24"/>
        </w:rPr>
        <w:t>7</w:t>
      </w:r>
      <w:r w:rsidR="000B5082">
        <w:rPr>
          <w:rFonts w:ascii="Times New Roman" w:hAnsi="Times New Roman"/>
          <w:bCs/>
          <w:sz w:val="24"/>
          <w:szCs w:val="24"/>
        </w:rPr>
        <w:t>6</w:t>
      </w:r>
      <w:r>
        <w:rPr>
          <w:rFonts w:ascii="Times New Roman" w:hAnsi="Times New Roman"/>
          <w:bCs/>
          <w:sz w:val="24"/>
          <w:szCs w:val="24"/>
        </w:rPr>
        <w:t>.</w:t>
      </w:r>
      <w:r w:rsidR="00AF24B5" w:rsidRPr="00AF24B5">
        <w:rPr>
          <w:rFonts w:ascii="Times New Roman" w:hAnsi="Times New Roman"/>
          <w:bCs/>
          <w:sz w:val="24"/>
          <w:szCs w:val="24"/>
        </w:rPr>
        <w:tab/>
        <w:t xml:space="preserve">La résonnance du programme sur les femmes ne reflète heureusement pas systématiquement les lacunes ci-dessus. Quelques segments du programme montrent même un </w:t>
      </w:r>
      <w:r w:rsidR="00AF24B5" w:rsidRPr="00AF24B5">
        <w:rPr>
          <w:rFonts w:ascii="Times New Roman" w:hAnsi="Times New Roman"/>
          <w:bCs/>
          <w:sz w:val="24"/>
          <w:szCs w:val="24"/>
        </w:rPr>
        <w:lastRenderedPageBreak/>
        <w:t>tropisme pro genre très robuste. En matière de résilience et de relèvement économique et social à la base, les femmes sont souvent bénéficiaires principales des interventions. Les activités génératrices de revenus leur profitent essentiellement, au côté de la cible jeune, dont une partie importante est aussi féminine. Les renforcements de capacités articulées autour des stratégies de résilience leur profitent également de manière notable. Les infrastructures communautaires de base, comme les plateformes multifonctionnelles, l’énergie solaire, les forages, les micro aménagements hydro agricoles, leur profitent aussi bien énormément. Dans le domaine de la justice, la promotion des droits et plus spécifiquement la lutte contre les violences basées sur le genre, touchent les femmes de façon substantielle. Enfin, en matière de santé aussi, la lutte contre la pandémie du SIDA a construit des résultats notable sur la la femme en général, la femme enceinte en particulier.</w:t>
      </w:r>
    </w:p>
    <w:p w14:paraId="5D69860A" w14:textId="77777777" w:rsidR="00AF24B5" w:rsidRPr="00AF24B5" w:rsidRDefault="00AF24B5" w:rsidP="00AF24B5">
      <w:pPr>
        <w:spacing w:after="0" w:line="240" w:lineRule="auto"/>
        <w:jc w:val="both"/>
        <w:rPr>
          <w:rFonts w:ascii="Times New Roman" w:hAnsi="Times New Roman"/>
          <w:bCs/>
          <w:sz w:val="24"/>
          <w:szCs w:val="24"/>
        </w:rPr>
      </w:pPr>
    </w:p>
    <w:p w14:paraId="34481EC7" w14:textId="77777777" w:rsidR="00AF24B5" w:rsidRPr="00AF24B5" w:rsidRDefault="00454255" w:rsidP="00AF24B5">
      <w:pPr>
        <w:spacing w:after="0" w:line="240" w:lineRule="auto"/>
        <w:jc w:val="both"/>
        <w:rPr>
          <w:rFonts w:ascii="Times New Roman" w:hAnsi="Times New Roman"/>
          <w:bCs/>
          <w:sz w:val="24"/>
          <w:szCs w:val="24"/>
        </w:rPr>
      </w:pPr>
      <w:r>
        <w:rPr>
          <w:rFonts w:ascii="Times New Roman" w:hAnsi="Times New Roman"/>
          <w:bCs/>
          <w:sz w:val="24"/>
          <w:szCs w:val="24"/>
        </w:rPr>
        <w:t>7</w:t>
      </w:r>
      <w:r w:rsidR="000B5082">
        <w:rPr>
          <w:rFonts w:ascii="Times New Roman" w:hAnsi="Times New Roman"/>
          <w:bCs/>
          <w:sz w:val="24"/>
          <w:szCs w:val="24"/>
        </w:rPr>
        <w:t>7</w:t>
      </w:r>
      <w:r>
        <w:rPr>
          <w:rFonts w:ascii="Times New Roman" w:hAnsi="Times New Roman"/>
          <w:bCs/>
          <w:sz w:val="24"/>
          <w:szCs w:val="24"/>
        </w:rPr>
        <w:t>.</w:t>
      </w:r>
      <w:r w:rsidR="00AF24B5" w:rsidRPr="00AF24B5">
        <w:rPr>
          <w:rFonts w:ascii="Times New Roman" w:hAnsi="Times New Roman"/>
          <w:bCs/>
          <w:sz w:val="24"/>
          <w:szCs w:val="24"/>
        </w:rPr>
        <w:tab/>
        <w:t xml:space="preserve">Cependant tous ces impacts féminins sont moins le fait d’un ciblage intentionnel que le programme n’a pas pu faire, que la résultante du positionnement économique et sociologique des femmes dans les sociétés maliennes. </w:t>
      </w:r>
      <w:r w:rsidR="00AF24B5" w:rsidRPr="00AF24B5">
        <w:rPr>
          <w:rFonts w:ascii="Times New Roman" w:hAnsi="Times New Roman"/>
          <w:sz w:val="24"/>
          <w:szCs w:val="24"/>
        </w:rPr>
        <w:t>Or même si les femmes sont fortement représentées parmi les bénéficiaires des outils de développement mis en place par le programme, cela ne les met pas forcément dans des positions de leadership au sein des superstructures sociales qui organisent et gèrent leur environnement de cibles. Il faut donc inscrire dans les projets l’idée que même en présence de cibles massivement féminines, il y a malgré tout lieu de construire les stratégies appropriées pour identifier et prendre en charge les questions genre qui vont bien au-delà de l’inclusion formelle.</w:t>
      </w:r>
    </w:p>
    <w:p w14:paraId="4DD17668" w14:textId="77777777" w:rsidR="00AF24B5" w:rsidRDefault="00AF24B5" w:rsidP="00F221A7">
      <w:pPr>
        <w:spacing w:after="0" w:line="240" w:lineRule="auto"/>
        <w:jc w:val="both"/>
        <w:rPr>
          <w:rFonts w:ascii="Times New Roman" w:hAnsi="Times New Roman"/>
          <w:sz w:val="24"/>
          <w:szCs w:val="24"/>
        </w:rPr>
      </w:pPr>
    </w:p>
    <w:p w14:paraId="77B863DF" w14:textId="77777777" w:rsidR="00AF24B5" w:rsidRPr="006B309F" w:rsidRDefault="00AF24B5" w:rsidP="00AF24B5">
      <w:pPr>
        <w:pStyle w:val="Titre2"/>
        <w:numPr>
          <w:ilvl w:val="1"/>
          <w:numId w:val="5"/>
        </w:numPr>
        <w:spacing w:before="0"/>
        <w:rPr>
          <w:color w:val="auto"/>
        </w:rPr>
      </w:pPr>
      <w:bookmarkStart w:id="135" w:name="_Toc499211621"/>
      <w:bookmarkStart w:id="136" w:name="_Toc499213894"/>
      <w:r>
        <w:rPr>
          <w:color w:val="auto"/>
        </w:rPr>
        <w:t>Mobilisation de ressources</w:t>
      </w:r>
      <w:bookmarkEnd w:id="135"/>
      <w:bookmarkEnd w:id="136"/>
    </w:p>
    <w:p w14:paraId="77DC5805" w14:textId="77777777" w:rsidR="00AF24B5" w:rsidRDefault="00AF24B5" w:rsidP="00F221A7">
      <w:pPr>
        <w:spacing w:after="0" w:line="240" w:lineRule="auto"/>
        <w:jc w:val="both"/>
        <w:rPr>
          <w:rFonts w:ascii="Times New Roman" w:hAnsi="Times New Roman"/>
          <w:sz w:val="24"/>
          <w:szCs w:val="24"/>
        </w:rPr>
      </w:pPr>
    </w:p>
    <w:p w14:paraId="5B29BB50" w14:textId="77777777" w:rsidR="00AF24B5" w:rsidRDefault="00454255" w:rsidP="00AF24B5">
      <w:pPr>
        <w:spacing w:after="0" w:line="240" w:lineRule="auto"/>
        <w:jc w:val="both"/>
        <w:rPr>
          <w:rFonts w:ascii="Times New Roman" w:hAnsi="Times New Roman"/>
          <w:sz w:val="24"/>
          <w:szCs w:val="24"/>
        </w:rPr>
      </w:pPr>
      <w:r>
        <w:rPr>
          <w:rFonts w:ascii="Times New Roman" w:hAnsi="Times New Roman"/>
          <w:sz w:val="24"/>
          <w:szCs w:val="24"/>
        </w:rPr>
        <w:t>7</w:t>
      </w:r>
      <w:r w:rsidR="000B5082">
        <w:rPr>
          <w:rFonts w:ascii="Times New Roman" w:hAnsi="Times New Roman"/>
          <w:sz w:val="24"/>
          <w:szCs w:val="24"/>
        </w:rPr>
        <w:t>8</w:t>
      </w:r>
      <w:r>
        <w:rPr>
          <w:rFonts w:ascii="Times New Roman" w:hAnsi="Times New Roman"/>
          <w:sz w:val="24"/>
          <w:szCs w:val="24"/>
        </w:rPr>
        <w:t>.</w:t>
      </w:r>
      <w:r w:rsidR="00AF24B5" w:rsidRPr="00AF24B5">
        <w:rPr>
          <w:rFonts w:ascii="Times New Roman" w:hAnsi="Times New Roman"/>
          <w:sz w:val="24"/>
          <w:szCs w:val="24"/>
        </w:rPr>
        <w:tab/>
        <w:t>Le programme est adossé à une stratégie de mobilisation. Sa mise en œuvre est basée sur l’exploitation du spectre des partenaires au développement potentiellement intéressés au Mali, qu’ils soient présents physiquement ou non dans le pays. Le Bureau valorise aussi des acteurs de coopération traditionnels avec lesquels le PNUD en partenariat sur au niveau corporate. Enfin le Gouvernement du Mali est aussi une source de finance considérée avec beaucoup d’intérêt.</w:t>
      </w:r>
    </w:p>
    <w:p w14:paraId="6B03E3DF" w14:textId="77777777" w:rsidR="00AF24B5" w:rsidRDefault="00AF24B5" w:rsidP="00AF24B5">
      <w:pPr>
        <w:spacing w:after="0" w:line="240" w:lineRule="auto"/>
        <w:jc w:val="both"/>
        <w:rPr>
          <w:rFonts w:ascii="Times New Roman" w:hAnsi="Times New Roman"/>
          <w:sz w:val="24"/>
          <w:szCs w:val="24"/>
        </w:rPr>
      </w:pPr>
    </w:p>
    <w:p w14:paraId="0F49CCDD" w14:textId="77777777" w:rsidR="00AF24B5" w:rsidRPr="00AF24B5" w:rsidRDefault="000B5082" w:rsidP="00AF24B5">
      <w:pPr>
        <w:spacing w:after="0" w:line="240" w:lineRule="auto"/>
        <w:jc w:val="both"/>
        <w:rPr>
          <w:rFonts w:ascii="Times New Roman" w:hAnsi="Times New Roman"/>
          <w:sz w:val="24"/>
          <w:szCs w:val="24"/>
        </w:rPr>
      </w:pPr>
      <w:r>
        <w:rPr>
          <w:rFonts w:ascii="Times New Roman" w:hAnsi="Times New Roman"/>
          <w:sz w:val="24"/>
          <w:szCs w:val="24"/>
        </w:rPr>
        <w:t>79</w:t>
      </w:r>
      <w:r w:rsidR="00454255">
        <w:rPr>
          <w:rFonts w:ascii="Times New Roman" w:hAnsi="Times New Roman"/>
          <w:sz w:val="24"/>
          <w:szCs w:val="24"/>
        </w:rPr>
        <w:t>.</w:t>
      </w:r>
      <w:r w:rsidR="00AF24B5">
        <w:rPr>
          <w:rFonts w:ascii="Times New Roman" w:hAnsi="Times New Roman"/>
          <w:sz w:val="24"/>
          <w:szCs w:val="24"/>
        </w:rPr>
        <w:tab/>
      </w:r>
      <w:r w:rsidR="00AF24B5" w:rsidRPr="00AF24B5">
        <w:rPr>
          <w:rFonts w:ascii="Times New Roman" w:hAnsi="Times New Roman"/>
          <w:sz w:val="24"/>
          <w:szCs w:val="24"/>
        </w:rPr>
        <w:t>Sur le plan opérationnel, les partenaires sont approchés par des notes conceptuelles et ou physiquement au Mali et à l’extérieur. Lorsque cela est possible aussi, pour ceux qui sont présent dans l’environnement, notamment, des visites de résultats de terrain sont organisées, sur la base des acquis d’expériences pilotes déjà développées par le programme et arrivées à maturité. Enfin, en termes de contexte, la situation de pays en crise ou post crise est un atout de coopération, parce que les donateurs se pressent encore au côté du pays pour l’aider à surmonter cette épreuve.</w:t>
      </w:r>
    </w:p>
    <w:p w14:paraId="1D44EEAA" w14:textId="77777777" w:rsidR="00AF24B5" w:rsidRDefault="00AF24B5" w:rsidP="00AF24B5">
      <w:pPr>
        <w:spacing w:after="0" w:line="240" w:lineRule="auto"/>
        <w:jc w:val="both"/>
        <w:rPr>
          <w:rFonts w:ascii="Times New Roman" w:hAnsi="Times New Roman"/>
          <w:sz w:val="24"/>
          <w:szCs w:val="24"/>
        </w:rPr>
      </w:pPr>
    </w:p>
    <w:p w14:paraId="7884A1F5" w14:textId="77777777" w:rsidR="00AF24B5" w:rsidRDefault="00454255" w:rsidP="00AF24B5">
      <w:pPr>
        <w:spacing w:after="0" w:line="240" w:lineRule="auto"/>
        <w:jc w:val="both"/>
        <w:rPr>
          <w:rFonts w:ascii="Times New Roman" w:hAnsi="Times New Roman"/>
          <w:sz w:val="24"/>
          <w:szCs w:val="24"/>
        </w:rPr>
      </w:pPr>
      <w:r>
        <w:rPr>
          <w:rFonts w:ascii="Times New Roman" w:hAnsi="Times New Roman"/>
          <w:sz w:val="24"/>
          <w:szCs w:val="24"/>
        </w:rPr>
        <w:t>8</w:t>
      </w:r>
      <w:r w:rsidR="000B5082">
        <w:rPr>
          <w:rFonts w:ascii="Times New Roman" w:hAnsi="Times New Roman"/>
          <w:sz w:val="24"/>
          <w:szCs w:val="24"/>
        </w:rPr>
        <w:t>0</w:t>
      </w:r>
      <w:r>
        <w:rPr>
          <w:rFonts w:ascii="Times New Roman" w:hAnsi="Times New Roman"/>
          <w:sz w:val="24"/>
          <w:szCs w:val="24"/>
        </w:rPr>
        <w:t>.</w:t>
      </w:r>
      <w:r w:rsidR="00AF24B5" w:rsidRPr="00AF24B5">
        <w:rPr>
          <w:rFonts w:ascii="Times New Roman" w:hAnsi="Times New Roman"/>
          <w:sz w:val="24"/>
          <w:szCs w:val="24"/>
        </w:rPr>
        <w:tab/>
        <w:t>Aussi, à fin 2017, la mobilisation de ressources ressort très efficace sur le programme. Le Bureau affiche des engagements de partenaires de financement pour u</w:t>
      </w:r>
      <w:r w:rsidR="00971306">
        <w:rPr>
          <w:rFonts w:ascii="Times New Roman" w:hAnsi="Times New Roman"/>
          <w:sz w:val="24"/>
          <w:szCs w:val="24"/>
        </w:rPr>
        <w:t xml:space="preserve">n montant total de 117 121 141 </w:t>
      </w:r>
      <w:r w:rsidR="00AF24B5" w:rsidRPr="00AF24B5">
        <w:rPr>
          <w:rFonts w:ascii="Times New Roman" w:hAnsi="Times New Roman"/>
          <w:sz w:val="24"/>
          <w:szCs w:val="24"/>
        </w:rPr>
        <w:t>USD, soit 77% de l’objectif de mobilisation des ressources Non core sur la période 2015-2019. Les principaux partenaires du PNUD Mali sont le Fonds Mondial 44%, le Fonds pour l’Environnement Mondial (FEM) 15%, le Gouvernement du Mali 11%. D’autres contributeurs plus modestes sont le Secrétariat Fonds d'adaptation 6.7%, l’Allemagne 6%, la Norvège 5%, les Pays Pas 4.6%, JICA 3.5%, le Fonds climat 1.8%, etc.</w:t>
      </w:r>
      <w:r w:rsidR="00AF24B5">
        <w:rPr>
          <w:rFonts w:ascii="Times New Roman" w:hAnsi="Times New Roman"/>
          <w:sz w:val="24"/>
          <w:szCs w:val="24"/>
        </w:rPr>
        <w:t xml:space="preserve"> Le graphique ci-dessous donne la situation exhaustive des partenaires financiers du programme sur la période du cycle allant de 2015à 2017.</w:t>
      </w:r>
    </w:p>
    <w:p w14:paraId="134628AC" w14:textId="77777777" w:rsidR="00B002E3" w:rsidRDefault="00B002E3" w:rsidP="00AF24B5">
      <w:pPr>
        <w:spacing w:after="0" w:line="240" w:lineRule="auto"/>
        <w:jc w:val="both"/>
        <w:rPr>
          <w:rFonts w:ascii="Times New Roman" w:hAnsi="Times New Roman"/>
          <w:sz w:val="24"/>
          <w:szCs w:val="24"/>
        </w:rPr>
      </w:pPr>
    </w:p>
    <w:p w14:paraId="0592FAEC" w14:textId="77777777" w:rsidR="00B002E3" w:rsidRPr="000442E1" w:rsidRDefault="00B002E3" w:rsidP="00B002E3">
      <w:pPr>
        <w:pStyle w:val="Titre1"/>
        <w:spacing w:before="0" w:line="240" w:lineRule="auto"/>
        <w:rPr>
          <w:rFonts w:ascii="Times New Roman" w:hAnsi="Times New Roman"/>
          <w:color w:val="auto"/>
          <w:sz w:val="24"/>
          <w:szCs w:val="24"/>
        </w:rPr>
      </w:pPr>
      <w:bookmarkStart w:id="137" w:name="_Toc499211622"/>
      <w:bookmarkStart w:id="138" w:name="_Toc499213895"/>
      <w:r>
        <w:rPr>
          <w:rFonts w:ascii="Times New Roman" w:hAnsi="Times New Roman"/>
          <w:color w:val="auto"/>
          <w:sz w:val="24"/>
          <w:szCs w:val="24"/>
        </w:rPr>
        <w:lastRenderedPageBreak/>
        <w:t>Figure 1</w:t>
      </w:r>
      <w:r w:rsidRPr="000442E1">
        <w:rPr>
          <w:rFonts w:ascii="Times New Roman" w:hAnsi="Times New Roman"/>
          <w:color w:val="auto"/>
          <w:sz w:val="24"/>
          <w:szCs w:val="24"/>
        </w:rPr>
        <w:t xml:space="preserve"> : </w:t>
      </w:r>
      <w:r>
        <w:rPr>
          <w:rFonts w:ascii="Times New Roman" w:hAnsi="Times New Roman"/>
          <w:color w:val="auto"/>
          <w:sz w:val="24"/>
          <w:szCs w:val="24"/>
        </w:rPr>
        <w:t>Cartographie des sources de financement du Programme</w:t>
      </w:r>
      <w:bookmarkEnd w:id="137"/>
      <w:bookmarkEnd w:id="138"/>
    </w:p>
    <w:p w14:paraId="72B0D831" w14:textId="77777777" w:rsidR="00790B11" w:rsidRDefault="00790B11" w:rsidP="00AF24B5">
      <w:pPr>
        <w:spacing w:after="0" w:line="240" w:lineRule="auto"/>
        <w:jc w:val="center"/>
        <w:rPr>
          <w:rFonts w:ascii="Times New Roman" w:hAnsi="Times New Roman"/>
          <w:sz w:val="24"/>
          <w:szCs w:val="24"/>
        </w:rPr>
      </w:pPr>
    </w:p>
    <w:p w14:paraId="0562D34E" w14:textId="22E95EC6" w:rsidR="00790B11" w:rsidRDefault="00EA74DA" w:rsidP="00AF24B5">
      <w:pPr>
        <w:spacing w:after="0" w:line="240" w:lineRule="auto"/>
        <w:jc w:val="center"/>
        <w:rPr>
          <w:rFonts w:ascii="Times New Roman" w:hAnsi="Times New Roman"/>
          <w:sz w:val="24"/>
          <w:szCs w:val="24"/>
        </w:rPr>
      </w:pPr>
      <w:r>
        <w:rPr>
          <w:rFonts w:ascii="Times New Roman" w:hAnsi="Times New Roman"/>
          <w:noProof/>
          <w:sz w:val="24"/>
          <w:szCs w:val="24"/>
          <w:lang w:eastAsia="fr-FR"/>
        </w:rPr>
        <mc:AlternateContent>
          <mc:Choice Requires="wps">
            <w:drawing>
              <wp:anchor distT="0" distB="0" distL="114300" distR="114300" simplePos="0" relativeHeight="251671040" behindDoc="0" locked="0" layoutInCell="1" allowOverlap="1" wp14:anchorId="1A3A463E" wp14:editId="04288E57">
                <wp:simplePos x="0" y="0"/>
                <wp:positionH relativeFrom="column">
                  <wp:posOffset>162560</wp:posOffset>
                </wp:positionH>
                <wp:positionV relativeFrom="paragraph">
                  <wp:posOffset>-113665</wp:posOffset>
                </wp:positionV>
                <wp:extent cx="5252720" cy="3689350"/>
                <wp:effectExtent l="0" t="0" r="0" b="0"/>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720" cy="368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7BA7A" w14:textId="77777777" w:rsidR="004F261E" w:rsidRDefault="004F261E">
                            <w:r w:rsidRPr="00790B11">
                              <w:rPr>
                                <w:noProof/>
                                <w:lang w:eastAsia="fr-FR"/>
                              </w:rPr>
                              <w:drawing>
                                <wp:inline distT="0" distB="0" distL="0" distR="0" wp14:anchorId="0F327FB2" wp14:editId="1F599473">
                                  <wp:extent cx="5095210" cy="3604437"/>
                                  <wp:effectExtent l="19050" t="0" r="0" b="0"/>
                                  <wp:docPr id="1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A463E" id="Text Box 26" o:spid="_x0000_s1034" type="#_x0000_t202" style="position:absolute;left:0;text-align:left;margin-left:12.8pt;margin-top:-8.95pt;width:413.6pt;height:29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lfhg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" stroked="f">
                <v:textbox>
                  <w:txbxContent>
                    <w:p w14:paraId="1A97BA7A" w14:textId="77777777" w:rsidR="004F261E" w:rsidRDefault="004F261E">
                      <w:r w:rsidRPr="00790B11">
                        <w:rPr>
                          <w:noProof/>
                          <w:lang w:eastAsia="fr-FR"/>
                        </w:rPr>
                        <w:drawing>
                          <wp:inline distT="0" distB="0" distL="0" distR="0" wp14:anchorId="0F327FB2" wp14:editId="1F599473">
                            <wp:extent cx="5095210" cy="3604437"/>
                            <wp:effectExtent l="19050" t="0" r="0" b="0"/>
                            <wp:docPr id="1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shape>
            </w:pict>
          </mc:Fallback>
        </mc:AlternateContent>
      </w:r>
    </w:p>
    <w:p w14:paraId="3B51026C" w14:textId="77777777" w:rsidR="00790B11" w:rsidRDefault="00790B11" w:rsidP="00AF24B5">
      <w:pPr>
        <w:spacing w:after="0" w:line="240" w:lineRule="auto"/>
        <w:jc w:val="center"/>
        <w:rPr>
          <w:rFonts w:ascii="Times New Roman" w:hAnsi="Times New Roman"/>
          <w:sz w:val="24"/>
          <w:szCs w:val="24"/>
        </w:rPr>
      </w:pPr>
    </w:p>
    <w:p w14:paraId="2DD6ADB8" w14:textId="77777777" w:rsidR="00790B11" w:rsidRDefault="00790B11" w:rsidP="00AF24B5">
      <w:pPr>
        <w:spacing w:after="0" w:line="240" w:lineRule="auto"/>
        <w:jc w:val="center"/>
        <w:rPr>
          <w:rFonts w:ascii="Times New Roman" w:hAnsi="Times New Roman"/>
          <w:sz w:val="24"/>
          <w:szCs w:val="24"/>
        </w:rPr>
      </w:pPr>
    </w:p>
    <w:p w14:paraId="1FD3466F" w14:textId="77777777" w:rsidR="00790B11" w:rsidRDefault="00790B11" w:rsidP="00AF24B5">
      <w:pPr>
        <w:spacing w:after="0" w:line="240" w:lineRule="auto"/>
        <w:jc w:val="center"/>
        <w:rPr>
          <w:rFonts w:ascii="Times New Roman" w:hAnsi="Times New Roman"/>
          <w:sz w:val="24"/>
          <w:szCs w:val="24"/>
        </w:rPr>
      </w:pPr>
    </w:p>
    <w:p w14:paraId="0741DAF5" w14:textId="77777777" w:rsidR="00790B11" w:rsidRDefault="00790B11" w:rsidP="00AF24B5">
      <w:pPr>
        <w:spacing w:after="0" w:line="240" w:lineRule="auto"/>
        <w:jc w:val="center"/>
        <w:rPr>
          <w:rFonts w:ascii="Times New Roman" w:hAnsi="Times New Roman"/>
          <w:sz w:val="24"/>
          <w:szCs w:val="24"/>
        </w:rPr>
      </w:pPr>
    </w:p>
    <w:p w14:paraId="04799930" w14:textId="77777777" w:rsidR="00790B11" w:rsidRDefault="00790B11" w:rsidP="00AF24B5">
      <w:pPr>
        <w:spacing w:after="0" w:line="240" w:lineRule="auto"/>
        <w:jc w:val="center"/>
        <w:rPr>
          <w:rFonts w:ascii="Times New Roman" w:hAnsi="Times New Roman"/>
          <w:sz w:val="24"/>
          <w:szCs w:val="24"/>
        </w:rPr>
      </w:pPr>
    </w:p>
    <w:p w14:paraId="47F6720C" w14:textId="77777777" w:rsidR="00790B11" w:rsidRDefault="00790B11" w:rsidP="00AF24B5">
      <w:pPr>
        <w:spacing w:after="0" w:line="240" w:lineRule="auto"/>
        <w:jc w:val="center"/>
        <w:rPr>
          <w:rFonts w:ascii="Times New Roman" w:hAnsi="Times New Roman"/>
          <w:sz w:val="24"/>
          <w:szCs w:val="24"/>
        </w:rPr>
      </w:pPr>
    </w:p>
    <w:p w14:paraId="54820542" w14:textId="77777777" w:rsidR="00790B11" w:rsidRDefault="00790B11" w:rsidP="00AF24B5">
      <w:pPr>
        <w:spacing w:after="0" w:line="240" w:lineRule="auto"/>
        <w:jc w:val="center"/>
        <w:rPr>
          <w:rFonts w:ascii="Times New Roman" w:hAnsi="Times New Roman"/>
          <w:sz w:val="24"/>
          <w:szCs w:val="24"/>
        </w:rPr>
      </w:pPr>
    </w:p>
    <w:p w14:paraId="1B109915" w14:textId="77777777" w:rsidR="00790B11" w:rsidRDefault="00790B11" w:rsidP="00AF24B5">
      <w:pPr>
        <w:spacing w:after="0" w:line="240" w:lineRule="auto"/>
        <w:jc w:val="center"/>
        <w:rPr>
          <w:rFonts w:ascii="Times New Roman" w:hAnsi="Times New Roman"/>
          <w:sz w:val="24"/>
          <w:szCs w:val="24"/>
        </w:rPr>
      </w:pPr>
    </w:p>
    <w:p w14:paraId="66CD87E1" w14:textId="77777777" w:rsidR="00790B11" w:rsidRDefault="00790B11" w:rsidP="00AF24B5">
      <w:pPr>
        <w:spacing w:after="0" w:line="240" w:lineRule="auto"/>
        <w:jc w:val="center"/>
        <w:rPr>
          <w:rFonts w:ascii="Times New Roman" w:hAnsi="Times New Roman"/>
          <w:sz w:val="24"/>
          <w:szCs w:val="24"/>
        </w:rPr>
      </w:pPr>
    </w:p>
    <w:p w14:paraId="75E2A6FD" w14:textId="77777777" w:rsidR="00790B11" w:rsidRDefault="00790B11" w:rsidP="00AF24B5">
      <w:pPr>
        <w:spacing w:after="0" w:line="240" w:lineRule="auto"/>
        <w:jc w:val="center"/>
        <w:rPr>
          <w:rFonts w:ascii="Times New Roman" w:hAnsi="Times New Roman"/>
          <w:sz w:val="24"/>
          <w:szCs w:val="24"/>
        </w:rPr>
      </w:pPr>
    </w:p>
    <w:p w14:paraId="132D3977" w14:textId="77777777" w:rsidR="00790B11" w:rsidRDefault="00790B11" w:rsidP="00AF24B5">
      <w:pPr>
        <w:spacing w:after="0" w:line="240" w:lineRule="auto"/>
        <w:jc w:val="center"/>
        <w:rPr>
          <w:rFonts w:ascii="Times New Roman" w:hAnsi="Times New Roman"/>
          <w:sz w:val="24"/>
          <w:szCs w:val="24"/>
        </w:rPr>
      </w:pPr>
    </w:p>
    <w:p w14:paraId="49023FF4" w14:textId="77777777" w:rsidR="00790B11" w:rsidRDefault="00790B11" w:rsidP="00AF24B5">
      <w:pPr>
        <w:spacing w:after="0" w:line="240" w:lineRule="auto"/>
        <w:jc w:val="center"/>
        <w:rPr>
          <w:rFonts w:ascii="Times New Roman" w:hAnsi="Times New Roman"/>
          <w:sz w:val="24"/>
          <w:szCs w:val="24"/>
        </w:rPr>
      </w:pPr>
    </w:p>
    <w:p w14:paraId="765C568B" w14:textId="77777777" w:rsidR="00790B11" w:rsidRDefault="00790B11" w:rsidP="00AF24B5">
      <w:pPr>
        <w:spacing w:after="0" w:line="240" w:lineRule="auto"/>
        <w:jc w:val="center"/>
        <w:rPr>
          <w:rFonts w:ascii="Times New Roman" w:hAnsi="Times New Roman"/>
          <w:sz w:val="24"/>
          <w:szCs w:val="24"/>
        </w:rPr>
      </w:pPr>
    </w:p>
    <w:p w14:paraId="4F7109B5" w14:textId="77777777" w:rsidR="00790B11" w:rsidRDefault="00790B11" w:rsidP="00AF24B5">
      <w:pPr>
        <w:spacing w:after="0" w:line="240" w:lineRule="auto"/>
        <w:jc w:val="center"/>
        <w:rPr>
          <w:rFonts w:ascii="Times New Roman" w:hAnsi="Times New Roman"/>
          <w:sz w:val="24"/>
          <w:szCs w:val="24"/>
        </w:rPr>
      </w:pPr>
    </w:p>
    <w:p w14:paraId="3E8E3E4B" w14:textId="77777777" w:rsidR="00790B11" w:rsidRDefault="00790B11" w:rsidP="00AF24B5">
      <w:pPr>
        <w:spacing w:after="0" w:line="240" w:lineRule="auto"/>
        <w:jc w:val="center"/>
        <w:rPr>
          <w:rFonts w:ascii="Times New Roman" w:hAnsi="Times New Roman"/>
          <w:sz w:val="24"/>
          <w:szCs w:val="24"/>
        </w:rPr>
      </w:pPr>
    </w:p>
    <w:p w14:paraId="71F89F68" w14:textId="77777777" w:rsidR="00790B11" w:rsidRDefault="00790B11" w:rsidP="00AF24B5">
      <w:pPr>
        <w:spacing w:after="0" w:line="240" w:lineRule="auto"/>
        <w:jc w:val="center"/>
        <w:rPr>
          <w:rFonts w:ascii="Times New Roman" w:hAnsi="Times New Roman"/>
          <w:sz w:val="24"/>
          <w:szCs w:val="24"/>
        </w:rPr>
      </w:pPr>
    </w:p>
    <w:p w14:paraId="6A0842A7" w14:textId="77777777" w:rsidR="00790B11" w:rsidRDefault="00790B11" w:rsidP="00AF24B5">
      <w:pPr>
        <w:spacing w:after="0" w:line="240" w:lineRule="auto"/>
        <w:jc w:val="center"/>
        <w:rPr>
          <w:rFonts w:ascii="Times New Roman" w:hAnsi="Times New Roman"/>
          <w:sz w:val="24"/>
          <w:szCs w:val="24"/>
        </w:rPr>
      </w:pPr>
    </w:p>
    <w:p w14:paraId="59F1F3D5" w14:textId="77777777" w:rsidR="00790B11" w:rsidRDefault="00790B11" w:rsidP="00AF24B5">
      <w:pPr>
        <w:spacing w:after="0" w:line="240" w:lineRule="auto"/>
        <w:jc w:val="center"/>
        <w:rPr>
          <w:rFonts w:ascii="Times New Roman" w:hAnsi="Times New Roman"/>
          <w:sz w:val="24"/>
          <w:szCs w:val="24"/>
        </w:rPr>
      </w:pPr>
    </w:p>
    <w:p w14:paraId="32241330" w14:textId="77777777" w:rsidR="00790B11" w:rsidRDefault="00790B11" w:rsidP="00AF24B5">
      <w:pPr>
        <w:spacing w:after="0" w:line="240" w:lineRule="auto"/>
        <w:jc w:val="center"/>
        <w:rPr>
          <w:rFonts w:ascii="Times New Roman" w:hAnsi="Times New Roman"/>
          <w:sz w:val="24"/>
          <w:szCs w:val="24"/>
        </w:rPr>
      </w:pPr>
    </w:p>
    <w:p w14:paraId="2D00E5FD" w14:textId="2CD876C6" w:rsidR="00790B11" w:rsidRDefault="00EA74DA" w:rsidP="00AF24B5">
      <w:pPr>
        <w:spacing w:after="0" w:line="240" w:lineRule="auto"/>
        <w:jc w:val="center"/>
        <w:rPr>
          <w:rFonts w:ascii="Times New Roman" w:hAnsi="Times New Roman"/>
          <w:sz w:val="24"/>
          <w:szCs w:val="24"/>
        </w:rPr>
      </w:pPr>
      <w:r>
        <w:rPr>
          <w:rFonts w:ascii="Times New Roman" w:hAnsi="Times New Roman"/>
          <w:noProof/>
          <w:sz w:val="24"/>
          <w:szCs w:val="24"/>
          <w:lang w:eastAsia="fr-FR"/>
        </w:rPr>
        <mc:AlternateContent>
          <mc:Choice Requires="wps">
            <w:drawing>
              <wp:anchor distT="0" distB="0" distL="114300" distR="114300" simplePos="0" relativeHeight="251670016" behindDoc="0" locked="0" layoutInCell="1" allowOverlap="1" wp14:anchorId="48A578E3" wp14:editId="33B47425">
                <wp:simplePos x="0" y="0"/>
                <wp:positionH relativeFrom="column">
                  <wp:posOffset>1493520</wp:posOffset>
                </wp:positionH>
                <wp:positionV relativeFrom="paragraph">
                  <wp:posOffset>70485</wp:posOffset>
                </wp:positionV>
                <wp:extent cx="2667000" cy="254000"/>
                <wp:effectExtent l="3175" t="635" r="0" b="254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C2382" w14:textId="77777777" w:rsidR="004F261E" w:rsidRPr="00790B11" w:rsidRDefault="004F261E" w:rsidP="00790B11">
                            <w:pPr>
                              <w:jc w:val="center"/>
                              <w:rPr>
                                <w:rFonts w:ascii="Times New Roman" w:hAnsi="Times New Roman"/>
                                <w:i/>
                                <w:sz w:val="20"/>
                                <w:szCs w:val="20"/>
                              </w:rPr>
                            </w:pPr>
                            <w:r w:rsidRPr="00790B11">
                              <w:rPr>
                                <w:rFonts w:ascii="Times New Roman" w:hAnsi="Times New Roman"/>
                                <w:i/>
                                <w:sz w:val="20"/>
                                <w:szCs w:val="20"/>
                              </w:rPr>
                              <w:t>Source : PMSU, PNUD/Mali, Septembre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578E3" id="Text Box 25" o:spid="_x0000_s1035" type="#_x0000_t202" style="position:absolute;left:0;text-align:left;margin-left:117.6pt;margin-top:5.55pt;width:210pt;height:2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" stroked="f">
                <v:textbox>
                  <w:txbxContent>
                    <w:p w14:paraId="398C2382" w14:textId="77777777" w:rsidR="004F261E" w:rsidRPr="00790B11" w:rsidRDefault="004F261E" w:rsidP="00790B11">
                      <w:pPr>
                        <w:jc w:val="center"/>
                        <w:rPr>
                          <w:rFonts w:ascii="Times New Roman" w:hAnsi="Times New Roman"/>
                          <w:i/>
                          <w:sz w:val="20"/>
                          <w:szCs w:val="20"/>
                        </w:rPr>
                      </w:pPr>
                      <w:r w:rsidRPr="00790B11">
                        <w:rPr>
                          <w:rFonts w:ascii="Times New Roman" w:hAnsi="Times New Roman"/>
                          <w:i/>
                          <w:sz w:val="20"/>
                          <w:szCs w:val="20"/>
                        </w:rPr>
                        <w:t>Source : PMSU, PNUD/Mali, Septembre 2017.</w:t>
                      </w:r>
                    </w:p>
                  </w:txbxContent>
                </v:textbox>
              </v:shape>
            </w:pict>
          </mc:Fallback>
        </mc:AlternateContent>
      </w:r>
    </w:p>
    <w:p w14:paraId="1683F4AD" w14:textId="77777777" w:rsidR="00790B11" w:rsidRDefault="00790B11" w:rsidP="00AF24B5">
      <w:pPr>
        <w:spacing w:after="0" w:line="240" w:lineRule="auto"/>
        <w:jc w:val="center"/>
        <w:rPr>
          <w:rFonts w:ascii="Times New Roman" w:hAnsi="Times New Roman"/>
          <w:sz w:val="24"/>
          <w:szCs w:val="24"/>
        </w:rPr>
      </w:pPr>
    </w:p>
    <w:p w14:paraId="5F4E5B8D" w14:textId="77777777" w:rsidR="00AF24B5" w:rsidRPr="00AF24B5" w:rsidRDefault="000B5082" w:rsidP="00AF24B5">
      <w:pPr>
        <w:spacing w:after="0" w:line="240" w:lineRule="auto"/>
        <w:jc w:val="both"/>
        <w:rPr>
          <w:rFonts w:ascii="Times New Roman" w:hAnsi="Times New Roman"/>
          <w:sz w:val="24"/>
          <w:szCs w:val="24"/>
        </w:rPr>
      </w:pPr>
      <w:r>
        <w:rPr>
          <w:rFonts w:ascii="Times New Roman" w:hAnsi="Times New Roman"/>
          <w:sz w:val="24"/>
          <w:szCs w:val="24"/>
        </w:rPr>
        <w:t>81</w:t>
      </w:r>
      <w:r w:rsidR="00454255">
        <w:rPr>
          <w:rFonts w:ascii="Times New Roman" w:hAnsi="Times New Roman"/>
          <w:sz w:val="24"/>
          <w:szCs w:val="24"/>
        </w:rPr>
        <w:t>.</w:t>
      </w:r>
      <w:r w:rsidR="00AF24B5" w:rsidRPr="00AF24B5">
        <w:rPr>
          <w:rFonts w:ascii="Times New Roman" w:hAnsi="Times New Roman"/>
          <w:sz w:val="24"/>
          <w:szCs w:val="24"/>
        </w:rPr>
        <w:tab/>
        <w:t>L’analyse des sources montre une prépondérance pour trois partenaires, le Fonds Mondial/Maladies, le Fonds Mondial Environnement et le Gouvernement du Mali. A plus de 44% des financements actuels, le Fonds est un enjeu important pour le programme. La perspective que le pays en reprenne la gestion, en 2018, constitue donc un risque financier important pour le programme, à suivre donc avec beaucoup d’attention. Certes de ce qui ressort des échanges, la partie malienne pourrait continuer de s’appuyer sur le programme, le temps de conforter davantage ses capacités et ne pas risquer de fragiliser les acquis de santé publique en cours de constitution dans le cadre de ce mécanisme.</w:t>
      </w:r>
    </w:p>
    <w:p w14:paraId="5C1B0DBB" w14:textId="77777777" w:rsidR="00AF24B5" w:rsidRDefault="00AF24B5" w:rsidP="00AF24B5">
      <w:pPr>
        <w:spacing w:after="0" w:line="240" w:lineRule="auto"/>
        <w:jc w:val="both"/>
        <w:rPr>
          <w:rFonts w:ascii="Times New Roman" w:hAnsi="Times New Roman"/>
          <w:sz w:val="24"/>
          <w:szCs w:val="24"/>
        </w:rPr>
      </w:pPr>
    </w:p>
    <w:p w14:paraId="14EAB326" w14:textId="77777777" w:rsidR="00AF24B5" w:rsidRDefault="000B5082" w:rsidP="00AF24B5">
      <w:pPr>
        <w:spacing w:after="0" w:line="240" w:lineRule="auto"/>
        <w:jc w:val="both"/>
        <w:rPr>
          <w:rFonts w:ascii="Times New Roman" w:hAnsi="Times New Roman"/>
          <w:sz w:val="24"/>
          <w:szCs w:val="24"/>
        </w:rPr>
      </w:pPr>
      <w:r>
        <w:rPr>
          <w:rFonts w:ascii="Times New Roman" w:hAnsi="Times New Roman"/>
          <w:sz w:val="24"/>
          <w:szCs w:val="24"/>
        </w:rPr>
        <w:t>82</w:t>
      </w:r>
      <w:r w:rsidR="00454255">
        <w:rPr>
          <w:rFonts w:ascii="Times New Roman" w:hAnsi="Times New Roman"/>
          <w:sz w:val="24"/>
          <w:szCs w:val="24"/>
        </w:rPr>
        <w:t>.</w:t>
      </w:r>
      <w:r w:rsidR="00AF24B5" w:rsidRPr="00AF24B5">
        <w:rPr>
          <w:rFonts w:ascii="Times New Roman" w:hAnsi="Times New Roman"/>
          <w:sz w:val="24"/>
          <w:szCs w:val="24"/>
        </w:rPr>
        <w:tab/>
        <w:t>Les ressources du Fonds pour l’Environnement Mondial affichent des perspectives plus stables. Ce partenaire montre toutefois la caractéristique de ne pas permettre au programme de rationnaliser les cadres de mise en œuvre des projets qu’il finance. Enfin l’importance croissante du financement en provenance du Gouvernement donne un</w:t>
      </w:r>
      <w:r w:rsidR="001436B7">
        <w:rPr>
          <w:rFonts w:ascii="Times New Roman" w:hAnsi="Times New Roman"/>
          <w:sz w:val="24"/>
          <w:szCs w:val="24"/>
        </w:rPr>
        <w:t>e</w:t>
      </w:r>
      <w:r w:rsidR="00AF24B5" w:rsidRPr="00AF24B5">
        <w:rPr>
          <w:rFonts w:ascii="Times New Roman" w:hAnsi="Times New Roman"/>
          <w:sz w:val="24"/>
          <w:szCs w:val="24"/>
        </w:rPr>
        <w:t xml:space="preserve"> confirmation du raffermissement du positionnement du PNUD comme un partenaire stratégique et opérationnel du Mali.</w:t>
      </w:r>
    </w:p>
    <w:p w14:paraId="0AE78815" w14:textId="77777777" w:rsidR="004B5399" w:rsidRPr="00AF24B5" w:rsidRDefault="004B5399" w:rsidP="00AF24B5">
      <w:pPr>
        <w:spacing w:after="0" w:line="240" w:lineRule="auto"/>
        <w:jc w:val="both"/>
        <w:rPr>
          <w:rFonts w:ascii="Times New Roman" w:hAnsi="Times New Roman"/>
          <w:sz w:val="24"/>
          <w:szCs w:val="24"/>
        </w:rPr>
      </w:pPr>
    </w:p>
    <w:p w14:paraId="6F5C47D8" w14:textId="77777777" w:rsidR="00641ACB" w:rsidRPr="006B309F" w:rsidRDefault="00641ACB" w:rsidP="00641ACB">
      <w:pPr>
        <w:pStyle w:val="Titre2"/>
        <w:numPr>
          <w:ilvl w:val="1"/>
          <w:numId w:val="5"/>
        </w:numPr>
        <w:spacing w:before="0"/>
        <w:rPr>
          <w:color w:val="auto"/>
        </w:rPr>
      </w:pPr>
      <w:bookmarkStart w:id="139" w:name="_Toc499211623"/>
      <w:bookmarkStart w:id="140" w:name="_Toc499213896"/>
      <w:r>
        <w:rPr>
          <w:color w:val="auto"/>
        </w:rPr>
        <w:t>Synopsis des Forces et des Faibles</w:t>
      </w:r>
      <w:bookmarkEnd w:id="139"/>
      <w:bookmarkEnd w:id="140"/>
    </w:p>
    <w:p w14:paraId="423D2ED7" w14:textId="77777777" w:rsidR="00AF24B5" w:rsidRPr="00F221A7" w:rsidRDefault="00AF24B5" w:rsidP="00F221A7">
      <w:pPr>
        <w:spacing w:after="0" w:line="240" w:lineRule="auto"/>
        <w:jc w:val="both"/>
        <w:rPr>
          <w:rFonts w:ascii="Times New Roman" w:hAnsi="Times New Roman"/>
          <w:sz w:val="24"/>
          <w:szCs w:val="24"/>
        </w:rPr>
      </w:pPr>
    </w:p>
    <w:p w14:paraId="403AD43C" w14:textId="77777777" w:rsidR="00BD5C78" w:rsidRPr="006B309F" w:rsidRDefault="00BD5C78" w:rsidP="00B026AE">
      <w:pPr>
        <w:pStyle w:val="Titre3"/>
        <w:numPr>
          <w:ilvl w:val="2"/>
          <w:numId w:val="5"/>
        </w:numPr>
        <w:spacing w:before="0" w:line="240" w:lineRule="auto"/>
        <w:rPr>
          <w:rFonts w:ascii="Times New Roman" w:hAnsi="Times New Roman"/>
          <w:color w:val="auto"/>
          <w:sz w:val="24"/>
          <w:szCs w:val="24"/>
        </w:rPr>
      </w:pPr>
      <w:bookmarkStart w:id="141" w:name="_Toc499211624"/>
      <w:bookmarkStart w:id="142" w:name="_Toc499213897"/>
      <w:r w:rsidRPr="006B309F">
        <w:rPr>
          <w:rFonts w:ascii="Times New Roman" w:hAnsi="Times New Roman"/>
          <w:color w:val="auto"/>
          <w:sz w:val="24"/>
          <w:szCs w:val="24"/>
        </w:rPr>
        <w:t xml:space="preserve">Forces et </w:t>
      </w:r>
      <w:r w:rsidR="00641ACB">
        <w:rPr>
          <w:rFonts w:ascii="Times New Roman" w:hAnsi="Times New Roman"/>
          <w:color w:val="auto"/>
          <w:sz w:val="24"/>
          <w:szCs w:val="24"/>
        </w:rPr>
        <w:t>opportunités du Programme</w:t>
      </w:r>
      <w:bookmarkEnd w:id="141"/>
      <w:bookmarkEnd w:id="142"/>
    </w:p>
    <w:p w14:paraId="2BECCB61" w14:textId="77777777" w:rsidR="00BD5C78" w:rsidRPr="006B309F" w:rsidRDefault="00BD5C78" w:rsidP="00B96F0F">
      <w:pPr>
        <w:spacing w:after="0" w:line="240" w:lineRule="auto"/>
        <w:rPr>
          <w:rFonts w:ascii="Times New Roman" w:hAnsi="Times New Roman"/>
          <w:b/>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245"/>
        <w:gridCol w:w="4395"/>
      </w:tblGrid>
      <w:tr w:rsidR="00CE21CE" w:rsidRPr="00454255" w14:paraId="389BA4B3" w14:textId="77777777" w:rsidTr="00A55071">
        <w:tc>
          <w:tcPr>
            <w:tcW w:w="567" w:type="dxa"/>
            <w:shd w:val="clear" w:color="auto" w:fill="D9D9D9" w:themeFill="background1" w:themeFillShade="D9"/>
            <w:vAlign w:val="center"/>
          </w:tcPr>
          <w:p w14:paraId="364309F4" w14:textId="77777777" w:rsidR="00CE21CE" w:rsidRPr="00454255" w:rsidRDefault="00CE21CE" w:rsidP="00B96F0F">
            <w:pPr>
              <w:spacing w:after="0" w:line="240" w:lineRule="auto"/>
              <w:rPr>
                <w:rFonts w:ascii="Times New Roman" w:hAnsi="Times New Roman"/>
              </w:rPr>
            </w:pPr>
          </w:p>
        </w:tc>
        <w:tc>
          <w:tcPr>
            <w:tcW w:w="5245" w:type="dxa"/>
            <w:shd w:val="clear" w:color="auto" w:fill="D9D9D9" w:themeFill="background1" w:themeFillShade="D9"/>
            <w:vAlign w:val="center"/>
          </w:tcPr>
          <w:p w14:paraId="44E19495" w14:textId="77777777" w:rsidR="00CE21CE" w:rsidRPr="00454255" w:rsidRDefault="00CE21CE" w:rsidP="00B96F0F">
            <w:pPr>
              <w:spacing w:after="0" w:line="240" w:lineRule="auto"/>
              <w:rPr>
                <w:rFonts w:ascii="Times New Roman" w:hAnsi="Times New Roman"/>
                <w:b/>
              </w:rPr>
            </w:pPr>
            <w:r w:rsidRPr="00454255">
              <w:rPr>
                <w:rFonts w:ascii="Times New Roman" w:hAnsi="Times New Roman"/>
                <w:b/>
              </w:rPr>
              <w:t>Forces</w:t>
            </w:r>
            <w:r w:rsidR="003726BC" w:rsidRPr="00454255">
              <w:rPr>
                <w:rFonts w:ascii="Times New Roman" w:hAnsi="Times New Roman"/>
                <w:b/>
              </w:rPr>
              <w:t>/Opportunités</w:t>
            </w:r>
          </w:p>
        </w:tc>
        <w:tc>
          <w:tcPr>
            <w:tcW w:w="4395" w:type="dxa"/>
            <w:shd w:val="clear" w:color="auto" w:fill="D9D9D9" w:themeFill="background1" w:themeFillShade="D9"/>
            <w:vAlign w:val="center"/>
          </w:tcPr>
          <w:p w14:paraId="1D0DE1C9" w14:textId="77777777" w:rsidR="00CE21CE" w:rsidRPr="00454255" w:rsidRDefault="00CE21CE" w:rsidP="00CE21CE">
            <w:pPr>
              <w:spacing w:after="0" w:line="240" w:lineRule="auto"/>
              <w:rPr>
                <w:rFonts w:ascii="Times New Roman" w:hAnsi="Times New Roman"/>
                <w:b/>
              </w:rPr>
            </w:pPr>
            <w:r w:rsidRPr="00454255">
              <w:rPr>
                <w:rFonts w:ascii="Times New Roman" w:hAnsi="Times New Roman"/>
                <w:b/>
              </w:rPr>
              <w:t>Résonnances sur le Programme</w:t>
            </w:r>
          </w:p>
        </w:tc>
      </w:tr>
      <w:tr w:rsidR="00CE21CE" w:rsidRPr="00454255" w14:paraId="593EA3CE" w14:textId="77777777" w:rsidTr="00A55071">
        <w:tc>
          <w:tcPr>
            <w:tcW w:w="567" w:type="dxa"/>
            <w:shd w:val="clear" w:color="auto" w:fill="D9D9D9" w:themeFill="background1" w:themeFillShade="D9"/>
            <w:vAlign w:val="center"/>
          </w:tcPr>
          <w:p w14:paraId="460A4836" w14:textId="77777777" w:rsidR="00CE21CE" w:rsidRPr="00454255" w:rsidRDefault="00A55071" w:rsidP="00B96F0F">
            <w:pPr>
              <w:spacing w:after="0" w:line="240" w:lineRule="auto"/>
              <w:rPr>
                <w:rFonts w:ascii="Times New Roman" w:hAnsi="Times New Roman"/>
              </w:rPr>
            </w:pPr>
            <w:r w:rsidRPr="00454255">
              <w:rPr>
                <w:rFonts w:ascii="Times New Roman" w:hAnsi="Times New Roman"/>
              </w:rPr>
              <w:t>1.</w:t>
            </w:r>
          </w:p>
        </w:tc>
        <w:tc>
          <w:tcPr>
            <w:tcW w:w="5245" w:type="dxa"/>
            <w:vAlign w:val="center"/>
          </w:tcPr>
          <w:p w14:paraId="138109A6" w14:textId="77777777" w:rsidR="00CE21CE" w:rsidRPr="00454255" w:rsidRDefault="00CE21CE" w:rsidP="003726BC">
            <w:pPr>
              <w:spacing w:after="0" w:line="240" w:lineRule="auto"/>
              <w:rPr>
                <w:rFonts w:ascii="Times New Roman" w:hAnsi="Times New Roman"/>
              </w:rPr>
            </w:pPr>
            <w:r w:rsidRPr="00454255">
              <w:rPr>
                <w:rFonts w:ascii="Times New Roman" w:hAnsi="Times New Roman"/>
              </w:rPr>
              <w:t>Environnement de capacités de référence</w:t>
            </w:r>
            <w:r w:rsidR="003726BC" w:rsidRPr="00454255">
              <w:rPr>
                <w:rFonts w:ascii="Times New Roman" w:hAnsi="Times New Roman"/>
              </w:rPr>
              <w:t> : le PNUD dispose in situ d’une équipe pays implantée de longue durée et de façon continue, mais peut aussi mobiliser au niveau des autres Bureaux pays, Bureaux et centres régionaux, ou encore puiser dans un réseau mondialisé d’expertise de haut niveau</w:t>
            </w:r>
          </w:p>
        </w:tc>
        <w:tc>
          <w:tcPr>
            <w:tcW w:w="4395" w:type="dxa"/>
            <w:vAlign w:val="center"/>
          </w:tcPr>
          <w:p w14:paraId="585BEA76" w14:textId="77777777" w:rsidR="00CE21CE" w:rsidRPr="00454255" w:rsidRDefault="003726BC" w:rsidP="00D76EFA">
            <w:pPr>
              <w:pStyle w:val="Paragraphedeliste"/>
              <w:numPr>
                <w:ilvl w:val="0"/>
                <w:numId w:val="110"/>
              </w:numPr>
              <w:spacing w:after="0" w:line="240" w:lineRule="auto"/>
              <w:rPr>
                <w:rFonts w:ascii="Times New Roman" w:hAnsi="Times New Roman"/>
              </w:rPr>
            </w:pPr>
            <w:r w:rsidRPr="00454255">
              <w:rPr>
                <w:rFonts w:ascii="Times New Roman" w:hAnsi="Times New Roman"/>
              </w:rPr>
              <w:t>Exécution avantagée par des bases techniques solides ; tous besoins de capacités peuvent être satisfaits au meilleur coût avantage et dans des délais raisonnablement appropriés</w:t>
            </w:r>
          </w:p>
        </w:tc>
      </w:tr>
      <w:tr w:rsidR="00CE21CE" w:rsidRPr="00454255" w14:paraId="7BCC3414" w14:textId="77777777" w:rsidTr="00A55071">
        <w:tc>
          <w:tcPr>
            <w:tcW w:w="567" w:type="dxa"/>
            <w:shd w:val="clear" w:color="auto" w:fill="D9D9D9" w:themeFill="background1" w:themeFillShade="D9"/>
            <w:vAlign w:val="center"/>
          </w:tcPr>
          <w:p w14:paraId="531F081A" w14:textId="77777777" w:rsidR="00CE21CE" w:rsidRPr="00454255" w:rsidRDefault="00A55071" w:rsidP="00B96F0F">
            <w:pPr>
              <w:spacing w:after="0" w:line="240" w:lineRule="auto"/>
              <w:rPr>
                <w:rFonts w:ascii="Times New Roman" w:hAnsi="Times New Roman"/>
              </w:rPr>
            </w:pPr>
            <w:r w:rsidRPr="00454255">
              <w:rPr>
                <w:rFonts w:ascii="Times New Roman" w:hAnsi="Times New Roman"/>
              </w:rPr>
              <w:lastRenderedPageBreak/>
              <w:t>2.</w:t>
            </w:r>
          </w:p>
        </w:tc>
        <w:tc>
          <w:tcPr>
            <w:tcW w:w="5245" w:type="dxa"/>
            <w:vAlign w:val="center"/>
          </w:tcPr>
          <w:p w14:paraId="6886A75B" w14:textId="77777777" w:rsidR="00CE21CE" w:rsidRPr="00454255" w:rsidRDefault="00CE21CE" w:rsidP="00B96F0F">
            <w:pPr>
              <w:spacing w:after="0" w:line="240" w:lineRule="auto"/>
              <w:rPr>
                <w:rFonts w:ascii="Times New Roman" w:hAnsi="Times New Roman"/>
              </w:rPr>
            </w:pPr>
            <w:r w:rsidRPr="00454255">
              <w:rPr>
                <w:rFonts w:ascii="Times New Roman" w:hAnsi="Times New Roman"/>
              </w:rPr>
              <w:t>Standard de gestion de rang international</w:t>
            </w:r>
            <w:r w:rsidR="003726BC" w:rsidRPr="00454255">
              <w:rPr>
                <w:rFonts w:ascii="Times New Roman" w:hAnsi="Times New Roman"/>
              </w:rPr>
              <w:t> :</w:t>
            </w:r>
          </w:p>
        </w:tc>
        <w:tc>
          <w:tcPr>
            <w:tcW w:w="4395" w:type="dxa"/>
            <w:vAlign w:val="center"/>
          </w:tcPr>
          <w:p w14:paraId="10CF4D11" w14:textId="77777777" w:rsidR="00C23CCA" w:rsidRPr="00454255" w:rsidRDefault="003726BC" w:rsidP="00D76EFA">
            <w:pPr>
              <w:pStyle w:val="Paragraphedeliste"/>
              <w:numPr>
                <w:ilvl w:val="0"/>
                <w:numId w:val="109"/>
              </w:numPr>
              <w:spacing w:after="0" w:line="240" w:lineRule="auto"/>
              <w:rPr>
                <w:rFonts w:ascii="Times New Roman" w:hAnsi="Times New Roman"/>
              </w:rPr>
            </w:pPr>
            <w:r w:rsidRPr="00454255">
              <w:rPr>
                <w:rFonts w:ascii="Times New Roman" w:hAnsi="Times New Roman"/>
              </w:rPr>
              <w:t>Exécution servie par des exigences forte en matière de transparence et de normes de qualité, directement mises en œuvre par le Bureau pour les achats directs ; ou sur lesquelles la partie nationale s’aligne en régime NIM (la justification d’une avance de fonds déclenche la suivante)</w:t>
            </w:r>
          </w:p>
        </w:tc>
      </w:tr>
      <w:tr w:rsidR="00CE21CE" w:rsidRPr="00454255" w14:paraId="472CD86B" w14:textId="77777777" w:rsidTr="00A55071">
        <w:tc>
          <w:tcPr>
            <w:tcW w:w="567" w:type="dxa"/>
            <w:shd w:val="clear" w:color="auto" w:fill="D9D9D9" w:themeFill="background1" w:themeFillShade="D9"/>
            <w:vAlign w:val="center"/>
          </w:tcPr>
          <w:p w14:paraId="63F6D83A" w14:textId="77777777" w:rsidR="00CE21CE" w:rsidRPr="00454255" w:rsidRDefault="00A55071" w:rsidP="00B96F0F">
            <w:pPr>
              <w:spacing w:after="0" w:line="240" w:lineRule="auto"/>
              <w:rPr>
                <w:rFonts w:ascii="Times New Roman" w:hAnsi="Times New Roman"/>
              </w:rPr>
            </w:pPr>
            <w:r w:rsidRPr="00454255">
              <w:rPr>
                <w:rFonts w:ascii="Times New Roman" w:hAnsi="Times New Roman"/>
              </w:rPr>
              <w:t>3.</w:t>
            </w:r>
          </w:p>
        </w:tc>
        <w:tc>
          <w:tcPr>
            <w:tcW w:w="5245" w:type="dxa"/>
            <w:vAlign w:val="center"/>
          </w:tcPr>
          <w:p w14:paraId="0FD217BE" w14:textId="77777777" w:rsidR="00CE21CE" w:rsidRPr="00454255" w:rsidRDefault="00CE21CE" w:rsidP="00B96F0F">
            <w:pPr>
              <w:spacing w:after="0" w:line="240" w:lineRule="auto"/>
              <w:rPr>
                <w:rFonts w:ascii="Times New Roman" w:hAnsi="Times New Roman"/>
              </w:rPr>
            </w:pPr>
            <w:r w:rsidRPr="00454255">
              <w:rPr>
                <w:rFonts w:ascii="Times New Roman" w:hAnsi="Times New Roman"/>
              </w:rPr>
              <w:t>Ressorts de flexibilité important</w:t>
            </w:r>
            <w:r w:rsidR="003726BC" w:rsidRPr="00454255">
              <w:rPr>
                <w:rFonts w:ascii="Times New Roman" w:hAnsi="Times New Roman"/>
              </w:rPr>
              <w:t>s</w:t>
            </w:r>
          </w:p>
        </w:tc>
        <w:tc>
          <w:tcPr>
            <w:tcW w:w="4395" w:type="dxa"/>
            <w:vAlign w:val="center"/>
          </w:tcPr>
          <w:p w14:paraId="09E5925E" w14:textId="77777777" w:rsidR="00CE21CE" w:rsidRPr="00454255" w:rsidRDefault="00C23CCA" w:rsidP="00D76EFA">
            <w:pPr>
              <w:pStyle w:val="Paragraphedeliste"/>
              <w:numPr>
                <w:ilvl w:val="0"/>
                <w:numId w:val="108"/>
              </w:numPr>
              <w:spacing w:after="0" w:line="240" w:lineRule="auto"/>
              <w:rPr>
                <w:rFonts w:ascii="Times New Roman" w:hAnsi="Times New Roman"/>
              </w:rPr>
            </w:pPr>
            <w:r w:rsidRPr="00454255">
              <w:rPr>
                <w:rFonts w:ascii="Times New Roman" w:hAnsi="Times New Roman"/>
              </w:rPr>
              <w:t xml:space="preserve">Le programme en retire une capacité d’adaptation importante, parfaitement </w:t>
            </w:r>
            <w:r w:rsidR="00A267D4" w:rsidRPr="00454255">
              <w:rPr>
                <w:rFonts w:ascii="Times New Roman" w:hAnsi="Times New Roman"/>
              </w:rPr>
              <w:t>par la partie nationale qui sollicite le programme sur des urgences non programmées mais pertinentes</w:t>
            </w:r>
          </w:p>
        </w:tc>
      </w:tr>
      <w:tr w:rsidR="00C23CCA" w:rsidRPr="00454255" w14:paraId="42789CA0" w14:textId="77777777" w:rsidTr="00A55071">
        <w:tc>
          <w:tcPr>
            <w:tcW w:w="567" w:type="dxa"/>
            <w:shd w:val="clear" w:color="auto" w:fill="D9D9D9" w:themeFill="background1" w:themeFillShade="D9"/>
            <w:vAlign w:val="center"/>
          </w:tcPr>
          <w:p w14:paraId="1E776A86" w14:textId="77777777" w:rsidR="00C23CCA" w:rsidRPr="00454255" w:rsidRDefault="00A55071" w:rsidP="00B96F0F">
            <w:pPr>
              <w:spacing w:after="0" w:line="240" w:lineRule="auto"/>
              <w:rPr>
                <w:rFonts w:ascii="Times New Roman" w:hAnsi="Times New Roman"/>
              </w:rPr>
            </w:pPr>
            <w:r w:rsidRPr="00454255">
              <w:rPr>
                <w:rFonts w:ascii="Times New Roman" w:hAnsi="Times New Roman"/>
              </w:rPr>
              <w:t>4.</w:t>
            </w:r>
          </w:p>
        </w:tc>
        <w:tc>
          <w:tcPr>
            <w:tcW w:w="5245" w:type="dxa"/>
            <w:vAlign w:val="center"/>
          </w:tcPr>
          <w:p w14:paraId="663E4E80" w14:textId="77777777" w:rsidR="00C23CCA" w:rsidRPr="00454255" w:rsidRDefault="00C23CCA" w:rsidP="00B96F0F">
            <w:pPr>
              <w:spacing w:after="0" w:line="240" w:lineRule="auto"/>
              <w:rPr>
                <w:rFonts w:ascii="Times New Roman" w:hAnsi="Times New Roman"/>
              </w:rPr>
            </w:pPr>
            <w:r w:rsidRPr="00454255">
              <w:rPr>
                <w:rFonts w:ascii="Times New Roman" w:hAnsi="Times New Roman"/>
              </w:rPr>
              <w:t>Capacité de subsidiarité et de pro activité utile :</w:t>
            </w:r>
          </w:p>
          <w:p w14:paraId="7F566AB3" w14:textId="77777777" w:rsidR="00C23CCA" w:rsidRPr="00454255" w:rsidRDefault="00C23CCA" w:rsidP="00D76EFA">
            <w:pPr>
              <w:pStyle w:val="Paragraphedeliste"/>
              <w:numPr>
                <w:ilvl w:val="0"/>
                <w:numId w:val="11"/>
              </w:numPr>
              <w:spacing w:after="0" w:line="240" w:lineRule="auto"/>
              <w:rPr>
                <w:rFonts w:ascii="Times New Roman" w:hAnsi="Times New Roman"/>
              </w:rPr>
            </w:pPr>
            <w:r w:rsidRPr="00454255">
              <w:rPr>
                <w:rFonts w:ascii="Times New Roman" w:hAnsi="Times New Roman"/>
              </w:rPr>
              <w:t>Subsidiarité pour suppléer à l’absence des fonds de contrepartie nationale</w:t>
            </w:r>
          </w:p>
          <w:p w14:paraId="31484BF1" w14:textId="77777777" w:rsidR="00C23CCA" w:rsidRPr="00454255" w:rsidRDefault="00C23CCA" w:rsidP="00D76EFA">
            <w:pPr>
              <w:pStyle w:val="Paragraphedeliste"/>
              <w:numPr>
                <w:ilvl w:val="0"/>
                <w:numId w:val="11"/>
              </w:numPr>
              <w:spacing w:after="0" w:line="240" w:lineRule="auto"/>
              <w:rPr>
                <w:rFonts w:ascii="Times New Roman" w:hAnsi="Times New Roman"/>
              </w:rPr>
            </w:pPr>
            <w:r w:rsidRPr="00454255">
              <w:rPr>
                <w:rFonts w:ascii="Times New Roman" w:hAnsi="Times New Roman"/>
              </w:rPr>
              <w:t>Pro activité pour pré positionner des ressources Core en attendant qu’un PTF finisse de dérouler ses procédures pour rendre disponible ses concours</w:t>
            </w:r>
          </w:p>
        </w:tc>
        <w:tc>
          <w:tcPr>
            <w:tcW w:w="4395" w:type="dxa"/>
            <w:vAlign w:val="center"/>
          </w:tcPr>
          <w:p w14:paraId="3D961A38" w14:textId="77777777" w:rsidR="00C23CCA" w:rsidRPr="00454255" w:rsidRDefault="00C23CCA" w:rsidP="00D76EFA">
            <w:pPr>
              <w:pStyle w:val="Paragraphedeliste"/>
              <w:numPr>
                <w:ilvl w:val="0"/>
                <w:numId w:val="11"/>
              </w:numPr>
              <w:spacing w:after="0" w:line="240" w:lineRule="auto"/>
              <w:rPr>
                <w:rFonts w:ascii="Times New Roman" w:hAnsi="Times New Roman"/>
              </w:rPr>
            </w:pPr>
            <w:r w:rsidRPr="00454255">
              <w:rPr>
                <w:rFonts w:ascii="Times New Roman" w:hAnsi="Times New Roman"/>
              </w:rPr>
              <w:t>Le programme en retire</w:t>
            </w:r>
            <w:r w:rsidR="00A267D4" w:rsidRPr="00454255">
              <w:rPr>
                <w:rFonts w:ascii="Times New Roman" w:hAnsi="Times New Roman"/>
              </w:rPr>
              <w:t xml:space="preserve"> des </w:t>
            </w:r>
            <w:r w:rsidRPr="00454255">
              <w:rPr>
                <w:rFonts w:ascii="Times New Roman" w:hAnsi="Times New Roman"/>
              </w:rPr>
              <w:t>marge</w:t>
            </w:r>
            <w:r w:rsidR="00A267D4" w:rsidRPr="00454255">
              <w:rPr>
                <w:rFonts w:ascii="Times New Roman" w:hAnsi="Times New Roman"/>
              </w:rPr>
              <w:t>s</w:t>
            </w:r>
            <w:r w:rsidRPr="00454255">
              <w:rPr>
                <w:rFonts w:ascii="Times New Roman" w:hAnsi="Times New Roman"/>
              </w:rPr>
              <w:t xml:space="preserve"> de manœuvre </w:t>
            </w:r>
            <w:r w:rsidR="00A267D4" w:rsidRPr="00454255">
              <w:rPr>
                <w:rFonts w:ascii="Times New Roman" w:hAnsi="Times New Roman"/>
              </w:rPr>
              <w:t xml:space="preserve">et </w:t>
            </w:r>
            <w:r w:rsidRPr="00454255">
              <w:rPr>
                <w:rFonts w:ascii="Times New Roman" w:hAnsi="Times New Roman"/>
              </w:rPr>
              <w:t xml:space="preserve">de </w:t>
            </w:r>
            <w:r w:rsidR="00A267D4" w:rsidRPr="00454255">
              <w:rPr>
                <w:rFonts w:ascii="Times New Roman" w:hAnsi="Times New Roman"/>
              </w:rPr>
              <w:t xml:space="preserve">la </w:t>
            </w:r>
            <w:r w:rsidRPr="00454255">
              <w:rPr>
                <w:rFonts w:ascii="Times New Roman" w:hAnsi="Times New Roman"/>
              </w:rPr>
              <w:t xml:space="preserve">crédibilité vis-à-vis des partenaires </w:t>
            </w:r>
            <w:r w:rsidR="00A267D4" w:rsidRPr="00454255">
              <w:rPr>
                <w:rFonts w:ascii="Times New Roman" w:hAnsi="Times New Roman"/>
              </w:rPr>
              <w:t>(</w:t>
            </w:r>
            <w:r w:rsidRPr="00454255">
              <w:rPr>
                <w:rFonts w:ascii="Times New Roman" w:hAnsi="Times New Roman"/>
              </w:rPr>
              <w:t>nationaux et financiers</w:t>
            </w:r>
            <w:r w:rsidR="00A267D4" w:rsidRPr="00454255">
              <w:rPr>
                <w:rFonts w:ascii="Times New Roman" w:hAnsi="Times New Roman"/>
              </w:rPr>
              <w:t>)</w:t>
            </w:r>
          </w:p>
        </w:tc>
      </w:tr>
      <w:tr w:rsidR="00CE21CE" w:rsidRPr="00454255" w14:paraId="390B4444" w14:textId="77777777" w:rsidTr="00A55071">
        <w:tc>
          <w:tcPr>
            <w:tcW w:w="567" w:type="dxa"/>
            <w:shd w:val="clear" w:color="auto" w:fill="D9D9D9" w:themeFill="background1" w:themeFillShade="D9"/>
            <w:vAlign w:val="center"/>
          </w:tcPr>
          <w:p w14:paraId="281D8E80" w14:textId="77777777" w:rsidR="00CE21CE" w:rsidRPr="00454255" w:rsidRDefault="00A55071" w:rsidP="00B96F0F">
            <w:pPr>
              <w:spacing w:after="0" w:line="240" w:lineRule="auto"/>
              <w:rPr>
                <w:rFonts w:ascii="Times New Roman" w:hAnsi="Times New Roman"/>
              </w:rPr>
            </w:pPr>
            <w:r w:rsidRPr="00454255">
              <w:rPr>
                <w:rFonts w:ascii="Times New Roman" w:hAnsi="Times New Roman"/>
              </w:rPr>
              <w:t>5.</w:t>
            </w:r>
          </w:p>
        </w:tc>
        <w:tc>
          <w:tcPr>
            <w:tcW w:w="5245" w:type="dxa"/>
            <w:vAlign w:val="center"/>
          </w:tcPr>
          <w:p w14:paraId="10F09F51" w14:textId="77777777" w:rsidR="00CE21CE" w:rsidRPr="00454255" w:rsidRDefault="00CE21CE" w:rsidP="00A267D4">
            <w:pPr>
              <w:spacing w:after="0" w:line="240" w:lineRule="auto"/>
              <w:rPr>
                <w:rFonts w:ascii="Times New Roman" w:hAnsi="Times New Roman"/>
              </w:rPr>
            </w:pPr>
            <w:r w:rsidRPr="00454255">
              <w:rPr>
                <w:rFonts w:ascii="Times New Roman" w:hAnsi="Times New Roman"/>
              </w:rPr>
              <w:t>Confiance de</w:t>
            </w:r>
            <w:r w:rsidR="00A267D4" w:rsidRPr="00454255">
              <w:rPr>
                <w:rFonts w:ascii="Times New Roman" w:hAnsi="Times New Roman"/>
              </w:rPr>
              <w:t>s partenaires :</w:t>
            </w:r>
          </w:p>
          <w:p w14:paraId="7A1C9F98" w14:textId="77777777" w:rsidR="00A267D4" w:rsidRPr="00454255" w:rsidRDefault="00A267D4" w:rsidP="00D76EFA">
            <w:pPr>
              <w:pStyle w:val="Paragraphedeliste"/>
              <w:numPr>
                <w:ilvl w:val="0"/>
                <w:numId w:val="106"/>
              </w:numPr>
              <w:spacing w:after="0" w:line="240" w:lineRule="auto"/>
              <w:rPr>
                <w:rFonts w:ascii="Times New Roman" w:hAnsi="Times New Roman"/>
              </w:rPr>
            </w:pPr>
            <w:r w:rsidRPr="00454255">
              <w:rPr>
                <w:rFonts w:ascii="Times New Roman" w:hAnsi="Times New Roman"/>
              </w:rPr>
              <w:t>Nationaux : Gouvernement confie des ressources propres au PNUD pour exécution diligen</w:t>
            </w:r>
            <w:r w:rsidR="00B87561" w:rsidRPr="00454255">
              <w:rPr>
                <w:rFonts w:ascii="Times New Roman" w:hAnsi="Times New Roman"/>
              </w:rPr>
              <w:t>t</w:t>
            </w:r>
            <w:r w:rsidRPr="00454255">
              <w:rPr>
                <w:rFonts w:ascii="Times New Roman" w:hAnsi="Times New Roman"/>
              </w:rPr>
              <w:t>e et efficiente</w:t>
            </w:r>
          </w:p>
          <w:p w14:paraId="37237AC3" w14:textId="77777777" w:rsidR="00A267D4" w:rsidRPr="00454255" w:rsidRDefault="00B87561" w:rsidP="00D76EFA">
            <w:pPr>
              <w:pStyle w:val="Paragraphedeliste"/>
              <w:numPr>
                <w:ilvl w:val="0"/>
                <w:numId w:val="106"/>
              </w:numPr>
              <w:spacing w:after="0" w:line="240" w:lineRule="auto"/>
              <w:rPr>
                <w:rFonts w:ascii="Times New Roman" w:hAnsi="Times New Roman"/>
              </w:rPr>
            </w:pPr>
            <w:r w:rsidRPr="00454255">
              <w:rPr>
                <w:rFonts w:ascii="Times New Roman" w:hAnsi="Times New Roman"/>
              </w:rPr>
              <w:t xml:space="preserve">Malgré </w:t>
            </w:r>
            <w:r w:rsidR="00F74A48" w:rsidRPr="00454255">
              <w:rPr>
                <w:rFonts w:ascii="Times New Roman" w:hAnsi="Times New Roman"/>
              </w:rPr>
              <w:t>la concurrence grandissante</w:t>
            </w:r>
            <w:r w:rsidRPr="00454255">
              <w:rPr>
                <w:rFonts w:ascii="Times New Roman" w:hAnsi="Times New Roman"/>
              </w:rPr>
              <w:t xml:space="preserve"> des entités de société civile, le programme continue d’avoir la confiance des PTF qui apprécient sa capacité à se projeter dans l’arrière peys, en s’appuyant au besoin sur les moyens de la Mission</w:t>
            </w:r>
          </w:p>
        </w:tc>
        <w:tc>
          <w:tcPr>
            <w:tcW w:w="4395" w:type="dxa"/>
            <w:vAlign w:val="center"/>
          </w:tcPr>
          <w:p w14:paraId="67295E15" w14:textId="77777777" w:rsidR="00CE21CE" w:rsidRPr="00454255" w:rsidRDefault="00F52F7F" w:rsidP="00D76EFA">
            <w:pPr>
              <w:pStyle w:val="Paragraphedeliste"/>
              <w:numPr>
                <w:ilvl w:val="0"/>
                <w:numId w:val="106"/>
              </w:numPr>
              <w:spacing w:after="0" w:line="240" w:lineRule="auto"/>
              <w:rPr>
                <w:rFonts w:ascii="Times New Roman" w:hAnsi="Times New Roman"/>
              </w:rPr>
            </w:pPr>
            <w:r w:rsidRPr="00454255">
              <w:rPr>
                <w:rFonts w:ascii="Times New Roman" w:hAnsi="Times New Roman"/>
              </w:rPr>
              <w:t xml:space="preserve">Le programme en retire </w:t>
            </w:r>
            <w:r w:rsidR="00B87561" w:rsidRPr="00454255">
              <w:rPr>
                <w:rFonts w:ascii="Times New Roman" w:hAnsi="Times New Roman"/>
              </w:rPr>
              <w:t>un accès avantageux à des ressources de développement</w:t>
            </w:r>
          </w:p>
        </w:tc>
      </w:tr>
      <w:tr w:rsidR="00B87561" w:rsidRPr="00454255" w14:paraId="0A1716F8" w14:textId="77777777" w:rsidTr="00A55071">
        <w:tc>
          <w:tcPr>
            <w:tcW w:w="567" w:type="dxa"/>
            <w:shd w:val="clear" w:color="auto" w:fill="D9D9D9" w:themeFill="background1" w:themeFillShade="D9"/>
            <w:vAlign w:val="center"/>
          </w:tcPr>
          <w:p w14:paraId="0046A91E" w14:textId="77777777" w:rsidR="00B87561" w:rsidRPr="00454255" w:rsidRDefault="00291723" w:rsidP="00B96F0F">
            <w:pPr>
              <w:spacing w:after="0" w:line="240" w:lineRule="auto"/>
              <w:rPr>
                <w:rFonts w:ascii="Times New Roman" w:hAnsi="Times New Roman"/>
              </w:rPr>
            </w:pPr>
            <w:r w:rsidRPr="00454255">
              <w:rPr>
                <w:rFonts w:ascii="Times New Roman" w:hAnsi="Times New Roman"/>
              </w:rPr>
              <w:t>6.</w:t>
            </w:r>
          </w:p>
        </w:tc>
        <w:tc>
          <w:tcPr>
            <w:tcW w:w="5245" w:type="dxa"/>
            <w:vAlign w:val="center"/>
          </w:tcPr>
          <w:p w14:paraId="31D29128" w14:textId="77777777" w:rsidR="00B87561" w:rsidRPr="00454255" w:rsidRDefault="00B87561" w:rsidP="00B87561">
            <w:pPr>
              <w:spacing w:after="0" w:line="240" w:lineRule="auto"/>
              <w:rPr>
                <w:rFonts w:ascii="Times New Roman" w:hAnsi="Times New Roman"/>
              </w:rPr>
            </w:pPr>
            <w:r w:rsidRPr="00454255">
              <w:rPr>
                <w:rFonts w:ascii="Times New Roman" w:hAnsi="Times New Roman"/>
              </w:rPr>
              <w:t>Présence de la MINUSMA</w:t>
            </w:r>
          </w:p>
        </w:tc>
        <w:tc>
          <w:tcPr>
            <w:tcW w:w="4395" w:type="dxa"/>
            <w:vAlign w:val="center"/>
          </w:tcPr>
          <w:p w14:paraId="76177A48" w14:textId="77777777" w:rsidR="00B87561" w:rsidRPr="00454255" w:rsidRDefault="00B87561" w:rsidP="00D76EFA">
            <w:pPr>
              <w:pStyle w:val="Paragraphedeliste"/>
              <w:numPr>
                <w:ilvl w:val="0"/>
                <w:numId w:val="107"/>
              </w:numPr>
              <w:spacing w:after="0" w:line="240" w:lineRule="auto"/>
              <w:rPr>
                <w:rFonts w:ascii="Times New Roman" w:hAnsi="Times New Roman"/>
              </w:rPr>
            </w:pPr>
            <w:r w:rsidRPr="00454255">
              <w:rPr>
                <w:rFonts w:ascii="Times New Roman" w:hAnsi="Times New Roman"/>
              </w:rPr>
              <w:t>Le programme a la capacité, en s’appuyant sur ce bouclier, de se projeter sur des terrains difficiles, en matière de sécurité notamment</w:t>
            </w:r>
          </w:p>
          <w:p w14:paraId="7DBB00B5" w14:textId="77777777" w:rsidR="00B87561" w:rsidRPr="00454255" w:rsidRDefault="00B87561" w:rsidP="00D76EFA">
            <w:pPr>
              <w:pStyle w:val="Paragraphedeliste"/>
              <w:numPr>
                <w:ilvl w:val="0"/>
                <w:numId w:val="107"/>
              </w:numPr>
              <w:spacing w:after="0" w:line="240" w:lineRule="auto"/>
              <w:rPr>
                <w:rFonts w:ascii="Times New Roman" w:hAnsi="Times New Roman"/>
              </w:rPr>
            </w:pPr>
            <w:r w:rsidRPr="00454255">
              <w:rPr>
                <w:rFonts w:ascii="Times New Roman" w:hAnsi="Times New Roman"/>
              </w:rPr>
              <w:t>Le programme accède aussi aux fonds de consolidation de la paix et de relèvement</w:t>
            </w:r>
            <w:r w:rsidR="00291723" w:rsidRPr="00454255">
              <w:rPr>
                <w:rFonts w:ascii="Times New Roman" w:hAnsi="Times New Roman"/>
              </w:rPr>
              <w:t>,</w:t>
            </w:r>
            <w:r w:rsidRPr="00454255">
              <w:rPr>
                <w:rFonts w:ascii="Times New Roman" w:hAnsi="Times New Roman"/>
              </w:rPr>
              <w:t xml:space="preserve"> géré</w:t>
            </w:r>
            <w:r w:rsidR="00291723" w:rsidRPr="00454255">
              <w:rPr>
                <w:rFonts w:ascii="Times New Roman" w:hAnsi="Times New Roman"/>
              </w:rPr>
              <w:t>s</w:t>
            </w:r>
            <w:r w:rsidRPr="00454255">
              <w:rPr>
                <w:rFonts w:ascii="Times New Roman" w:hAnsi="Times New Roman"/>
              </w:rPr>
              <w:t xml:space="preserve"> par la Mission</w:t>
            </w:r>
          </w:p>
        </w:tc>
      </w:tr>
      <w:tr w:rsidR="00B87561" w:rsidRPr="00454255" w14:paraId="041854A5" w14:textId="77777777" w:rsidTr="00A55071">
        <w:tc>
          <w:tcPr>
            <w:tcW w:w="567" w:type="dxa"/>
            <w:shd w:val="clear" w:color="auto" w:fill="D9D9D9" w:themeFill="background1" w:themeFillShade="D9"/>
            <w:vAlign w:val="center"/>
          </w:tcPr>
          <w:p w14:paraId="32D8DB45" w14:textId="77777777" w:rsidR="00B87561" w:rsidRPr="00454255" w:rsidRDefault="00291723" w:rsidP="00B96F0F">
            <w:pPr>
              <w:spacing w:after="0" w:line="240" w:lineRule="auto"/>
              <w:rPr>
                <w:rFonts w:ascii="Times New Roman" w:hAnsi="Times New Roman"/>
              </w:rPr>
            </w:pPr>
            <w:r w:rsidRPr="00454255">
              <w:rPr>
                <w:rFonts w:ascii="Times New Roman" w:hAnsi="Times New Roman"/>
              </w:rPr>
              <w:t>7.</w:t>
            </w:r>
          </w:p>
        </w:tc>
        <w:tc>
          <w:tcPr>
            <w:tcW w:w="5245" w:type="dxa"/>
            <w:vAlign w:val="center"/>
          </w:tcPr>
          <w:p w14:paraId="4460C23A" w14:textId="77777777" w:rsidR="00B87561" w:rsidRPr="00454255" w:rsidRDefault="00B87561" w:rsidP="00B87561">
            <w:pPr>
              <w:spacing w:after="0" w:line="240" w:lineRule="auto"/>
              <w:rPr>
                <w:rFonts w:ascii="Times New Roman" w:hAnsi="Times New Roman"/>
              </w:rPr>
            </w:pPr>
            <w:r w:rsidRPr="00454255">
              <w:rPr>
                <w:rFonts w:ascii="Times New Roman" w:hAnsi="Times New Roman"/>
              </w:rPr>
              <w:t>Existence d’entités nationales de valeur (Cellule</w:t>
            </w:r>
            <w:r w:rsidR="00291723" w:rsidRPr="00454255">
              <w:rPr>
                <w:rFonts w:ascii="Times New Roman" w:hAnsi="Times New Roman"/>
              </w:rPr>
              <w:t>s</w:t>
            </w:r>
            <w:r w:rsidRPr="00454255">
              <w:rPr>
                <w:rFonts w:ascii="Times New Roman" w:hAnsi="Times New Roman"/>
              </w:rPr>
              <w:t xml:space="preserve"> C</w:t>
            </w:r>
            <w:r w:rsidR="00291723" w:rsidRPr="00454255">
              <w:rPr>
                <w:rFonts w:ascii="Times New Roman" w:hAnsi="Times New Roman"/>
              </w:rPr>
              <w:t xml:space="preserve">SRP, Harmonisation de l’Aide, Climat des Affaires, Observatoire DHD, Direction de la Coopération Multilatérale, Direction Générale des Collectivités Territoriales, </w:t>
            </w:r>
            <w:r w:rsidR="00410681" w:rsidRPr="00410681">
              <w:rPr>
                <w:rFonts w:ascii="Times New Roman" w:hAnsi="Times New Roman"/>
              </w:rPr>
              <w:t>Agence de l’Environnement et du Développement Durable</w:t>
            </w:r>
            <w:r w:rsidR="00410681">
              <w:rPr>
                <w:rFonts w:ascii="Times New Roman" w:hAnsi="Times New Roman"/>
              </w:rPr>
              <w:t xml:space="preserve">, </w:t>
            </w:r>
            <w:r w:rsidR="00291723" w:rsidRPr="00454255">
              <w:rPr>
                <w:rFonts w:ascii="Times New Roman" w:hAnsi="Times New Roman"/>
              </w:rPr>
              <w:t>etc.)</w:t>
            </w:r>
          </w:p>
        </w:tc>
        <w:tc>
          <w:tcPr>
            <w:tcW w:w="4395" w:type="dxa"/>
            <w:vAlign w:val="center"/>
          </w:tcPr>
          <w:p w14:paraId="4F0814F2" w14:textId="77777777" w:rsidR="00B87561" w:rsidRPr="00454255" w:rsidRDefault="00291723" w:rsidP="00D76EFA">
            <w:pPr>
              <w:pStyle w:val="Paragraphedeliste"/>
              <w:numPr>
                <w:ilvl w:val="0"/>
                <w:numId w:val="107"/>
              </w:numPr>
              <w:spacing w:after="0" w:line="240" w:lineRule="auto"/>
              <w:rPr>
                <w:rFonts w:ascii="Times New Roman" w:hAnsi="Times New Roman"/>
              </w:rPr>
            </w:pPr>
            <w:r w:rsidRPr="00454255">
              <w:rPr>
                <w:rFonts w:ascii="Times New Roman" w:hAnsi="Times New Roman"/>
              </w:rPr>
              <w:t>Le programme dispose de relais pour porter ses approches de développer de capacités stratégiques</w:t>
            </w:r>
          </w:p>
        </w:tc>
      </w:tr>
    </w:tbl>
    <w:p w14:paraId="3473F16B" w14:textId="77777777" w:rsidR="00350348" w:rsidRDefault="00350348" w:rsidP="00B96F0F">
      <w:pPr>
        <w:spacing w:after="0" w:line="240" w:lineRule="auto"/>
        <w:rPr>
          <w:rFonts w:ascii="Times New Roman" w:hAnsi="Times New Roman"/>
          <w:b/>
          <w:sz w:val="24"/>
          <w:szCs w:val="24"/>
        </w:rPr>
      </w:pPr>
    </w:p>
    <w:p w14:paraId="5F01678B" w14:textId="77777777" w:rsidR="00350348" w:rsidRDefault="00350348">
      <w:pPr>
        <w:spacing w:after="0" w:line="240" w:lineRule="auto"/>
        <w:rPr>
          <w:rFonts w:ascii="Times New Roman" w:hAnsi="Times New Roman"/>
          <w:b/>
          <w:sz w:val="24"/>
          <w:szCs w:val="24"/>
        </w:rPr>
      </w:pPr>
      <w:r>
        <w:rPr>
          <w:rFonts w:ascii="Times New Roman" w:hAnsi="Times New Roman"/>
          <w:b/>
          <w:sz w:val="24"/>
          <w:szCs w:val="24"/>
        </w:rPr>
        <w:br w:type="page"/>
      </w:r>
    </w:p>
    <w:p w14:paraId="53EE18E2" w14:textId="77777777" w:rsidR="00CE21CE" w:rsidRPr="00F74A48" w:rsidRDefault="00906CCC" w:rsidP="0045466A">
      <w:pPr>
        <w:pStyle w:val="Titre4"/>
        <w:numPr>
          <w:ilvl w:val="2"/>
          <w:numId w:val="5"/>
        </w:numPr>
        <w:spacing w:before="0" w:line="240" w:lineRule="auto"/>
        <w:rPr>
          <w:rFonts w:ascii="Times New Roman" w:hAnsi="Times New Roman"/>
          <w:i w:val="0"/>
          <w:color w:val="auto"/>
          <w:sz w:val="24"/>
          <w:szCs w:val="24"/>
        </w:rPr>
      </w:pPr>
      <w:r w:rsidRPr="00F74A48">
        <w:rPr>
          <w:rFonts w:ascii="Times New Roman" w:hAnsi="Times New Roman"/>
          <w:i w:val="0"/>
          <w:color w:val="auto"/>
          <w:sz w:val="24"/>
          <w:szCs w:val="24"/>
        </w:rPr>
        <w:lastRenderedPageBreak/>
        <w:t>Faiblesses et contraintes au Programme</w:t>
      </w:r>
    </w:p>
    <w:p w14:paraId="703D8AB0" w14:textId="77777777" w:rsidR="006A214E" w:rsidRPr="006B309F" w:rsidRDefault="006A214E" w:rsidP="00B96F0F">
      <w:pPr>
        <w:spacing w:after="0" w:line="240" w:lineRule="auto"/>
        <w:rPr>
          <w:rFonts w:ascii="Times New Roman" w:hAnsi="Times New Roman"/>
          <w:b/>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245"/>
        <w:gridCol w:w="4395"/>
      </w:tblGrid>
      <w:tr w:rsidR="00CE21CE" w:rsidRPr="00454255" w14:paraId="35B96A13" w14:textId="77777777" w:rsidTr="00A55071">
        <w:tc>
          <w:tcPr>
            <w:tcW w:w="567" w:type="dxa"/>
            <w:shd w:val="clear" w:color="auto" w:fill="D9D9D9" w:themeFill="background1" w:themeFillShade="D9"/>
            <w:vAlign w:val="center"/>
          </w:tcPr>
          <w:p w14:paraId="03FE740F" w14:textId="77777777" w:rsidR="00CE21CE" w:rsidRPr="00454255" w:rsidRDefault="00407F82" w:rsidP="00B96F0F">
            <w:pPr>
              <w:spacing w:after="0" w:line="240" w:lineRule="auto"/>
              <w:rPr>
                <w:rFonts w:ascii="Times New Roman" w:hAnsi="Times New Roman"/>
              </w:rPr>
            </w:pPr>
            <w:r w:rsidRPr="00454255">
              <w:rPr>
                <w:rFonts w:ascii="Times New Roman" w:hAnsi="Times New Roman"/>
              </w:rPr>
              <w:t>N°</w:t>
            </w:r>
          </w:p>
        </w:tc>
        <w:tc>
          <w:tcPr>
            <w:tcW w:w="5245" w:type="dxa"/>
            <w:shd w:val="clear" w:color="auto" w:fill="D9D9D9" w:themeFill="background1" w:themeFillShade="D9"/>
            <w:vAlign w:val="center"/>
          </w:tcPr>
          <w:p w14:paraId="53B70923" w14:textId="77777777" w:rsidR="00CE21CE" w:rsidRPr="00454255" w:rsidRDefault="00CE21CE" w:rsidP="00B96F0F">
            <w:pPr>
              <w:spacing w:after="0" w:line="240" w:lineRule="auto"/>
              <w:rPr>
                <w:rFonts w:ascii="Times New Roman" w:hAnsi="Times New Roman"/>
                <w:b/>
              </w:rPr>
            </w:pPr>
            <w:r w:rsidRPr="00454255">
              <w:rPr>
                <w:rFonts w:ascii="Times New Roman" w:hAnsi="Times New Roman"/>
                <w:b/>
              </w:rPr>
              <w:t>Faiblesses</w:t>
            </w:r>
            <w:r w:rsidR="00407F82" w:rsidRPr="00454255">
              <w:rPr>
                <w:rFonts w:ascii="Times New Roman" w:hAnsi="Times New Roman"/>
                <w:b/>
              </w:rPr>
              <w:t>/Contraintes au Programme</w:t>
            </w:r>
          </w:p>
        </w:tc>
        <w:tc>
          <w:tcPr>
            <w:tcW w:w="4395" w:type="dxa"/>
            <w:shd w:val="clear" w:color="auto" w:fill="D9D9D9" w:themeFill="background1" w:themeFillShade="D9"/>
            <w:vAlign w:val="center"/>
          </w:tcPr>
          <w:p w14:paraId="2FE66B91" w14:textId="77777777" w:rsidR="00CE21CE" w:rsidRPr="00454255" w:rsidRDefault="00CE21CE" w:rsidP="00B96F0F">
            <w:pPr>
              <w:spacing w:after="0" w:line="240" w:lineRule="auto"/>
              <w:rPr>
                <w:rFonts w:ascii="Times New Roman" w:hAnsi="Times New Roman"/>
                <w:b/>
              </w:rPr>
            </w:pPr>
            <w:r w:rsidRPr="00454255">
              <w:rPr>
                <w:rFonts w:ascii="Times New Roman" w:hAnsi="Times New Roman"/>
                <w:b/>
              </w:rPr>
              <w:t>Résonnances sur le Programme</w:t>
            </w:r>
          </w:p>
        </w:tc>
      </w:tr>
      <w:tr w:rsidR="00CE299E" w:rsidRPr="00454255" w14:paraId="77ADE753" w14:textId="77777777" w:rsidTr="00A55071">
        <w:tc>
          <w:tcPr>
            <w:tcW w:w="567" w:type="dxa"/>
            <w:shd w:val="clear" w:color="auto" w:fill="D9D9D9" w:themeFill="background1" w:themeFillShade="D9"/>
            <w:vAlign w:val="center"/>
          </w:tcPr>
          <w:p w14:paraId="252730EC" w14:textId="77777777" w:rsidR="00CE299E" w:rsidRPr="00454255" w:rsidRDefault="00CE299E" w:rsidP="00627362">
            <w:pPr>
              <w:spacing w:after="0" w:line="240" w:lineRule="auto"/>
              <w:rPr>
                <w:rFonts w:ascii="Times New Roman" w:hAnsi="Times New Roman"/>
              </w:rPr>
            </w:pPr>
            <w:r w:rsidRPr="00454255">
              <w:rPr>
                <w:rFonts w:ascii="Times New Roman" w:hAnsi="Times New Roman"/>
              </w:rPr>
              <w:t>1.</w:t>
            </w:r>
          </w:p>
        </w:tc>
        <w:tc>
          <w:tcPr>
            <w:tcW w:w="5245" w:type="dxa"/>
            <w:vAlign w:val="center"/>
          </w:tcPr>
          <w:p w14:paraId="6B8C954A" w14:textId="77777777" w:rsidR="00071737" w:rsidRPr="00454255" w:rsidRDefault="00CE299E" w:rsidP="003349C0">
            <w:pPr>
              <w:spacing w:after="0" w:line="240" w:lineRule="auto"/>
              <w:rPr>
                <w:rFonts w:ascii="Times New Roman" w:hAnsi="Times New Roman"/>
              </w:rPr>
            </w:pPr>
            <w:r w:rsidRPr="00454255">
              <w:rPr>
                <w:rFonts w:ascii="Times New Roman" w:hAnsi="Times New Roman"/>
              </w:rPr>
              <w:t xml:space="preserve">Cadre de résultats </w:t>
            </w:r>
            <w:r w:rsidR="00071737" w:rsidRPr="00454255">
              <w:rPr>
                <w:rFonts w:ascii="Times New Roman" w:hAnsi="Times New Roman"/>
              </w:rPr>
              <w:t>problématique :</w:t>
            </w:r>
          </w:p>
          <w:p w14:paraId="0B4823A2" w14:textId="77777777" w:rsidR="00071737" w:rsidRPr="00454255" w:rsidRDefault="00071737" w:rsidP="00D76EFA">
            <w:pPr>
              <w:pStyle w:val="Paragraphedeliste"/>
              <w:numPr>
                <w:ilvl w:val="0"/>
                <w:numId w:val="111"/>
              </w:numPr>
              <w:spacing w:after="0" w:line="240" w:lineRule="auto"/>
              <w:rPr>
                <w:rFonts w:ascii="Times New Roman" w:hAnsi="Times New Roman"/>
              </w:rPr>
            </w:pPr>
            <w:r w:rsidRPr="00454255">
              <w:rPr>
                <w:rFonts w:ascii="Times New Roman" w:hAnsi="Times New Roman"/>
              </w:rPr>
              <w:t>Confusions entre produits et effets et entre leurs indicateurs</w:t>
            </w:r>
          </w:p>
          <w:p w14:paraId="698BB91E" w14:textId="77777777" w:rsidR="00CE299E" w:rsidRPr="00454255" w:rsidRDefault="00071737" w:rsidP="00D76EFA">
            <w:pPr>
              <w:pStyle w:val="Paragraphedeliste"/>
              <w:numPr>
                <w:ilvl w:val="0"/>
                <w:numId w:val="111"/>
              </w:numPr>
              <w:spacing w:after="0" w:line="240" w:lineRule="auto"/>
              <w:rPr>
                <w:rFonts w:ascii="Times New Roman" w:hAnsi="Times New Roman"/>
              </w:rPr>
            </w:pPr>
            <w:r w:rsidRPr="00454255">
              <w:rPr>
                <w:rFonts w:ascii="Times New Roman" w:hAnsi="Times New Roman"/>
              </w:rPr>
              <w:t>Mauvaise lisibilité des projets dans leurs contributions dans la matrice logique</w:t>
            </w:r>
          </w:p>
        </w:tc>
        <w:tc>
          <w:tcPr>
            <w:tcW w:w="4395" w:type="dxa"/>
            <w:vAlign w:val="center"/>
          </w:tcPr>
          <w:p w14:paraId="3049A7BD" w14:textId="77777777" w:rsidR="00071737" w:rsidRPr="00454255" w:rsidRDefault="00CE299E" w:rsidP="00D76EFA">
            <w:pPr>
              <w:pStyle w:val="Paragraphedeliste"/>
              <w:numPr>
                <w:ilvl w:val="0"/>
                <w:numId w:val="114"/>
              </w:numPr>
              <w:spacing w:after="0" w:line="240" w:lineRule="auto"/>
              <w:rPr>
                <w:rFonts w:ascii="Times New Roman" w:hAnsi="Times New Roman"/>
              </w:rPr>
            </w:pPr>
            <w:r w:rsidRPr="00454255">
              <w:rPr>
                <w:rFonts w:ascii="Times New Roman" w:hAnsi="Times New Roman"/>
              </w:rPr>
              <w:t>De</w:t>
            </w:r>
            <w:r w:rsidR="00071737" w:rsidRPr="00454255">
              <w:rPr>
                <w:rFonts w:ascii="Times New Roman" w:hAnsi="Times New Roman"/>
              </w:rPr>
              <w:t xml:space="preserve">s </w:t>
            </w:r>
            <w:r w:rsidRPr="00454255">
              <w:rPr>
                <w:rFonts w:ascii="Times New Roman" w:hAnsi="Times New Roman"/>
              </w:rPr>
              <w:t xml:space="preserve">rendus au niveau projet ne se traduisent pas toujours clairement en impacts sur les </w:t>
            </w:r>
            <w:r w:rsidR="00071737" w:rsidRPr="00454255">
              <w:rPr>
                <w:rFonts w:ascii="Times New Roman" w:hAnsi="Times New Roman"/>
              </w:rPr>
              <w:t>indicateurs r</w:t>
            </w:r>
            <w:r w:rsidRPr="00454255">
              <w:rPr>
                <w:rFonts w:ascii="Times New Roman" w:hAnsi="Times New Roman"/>
              </w:rPr>
              <w:t>etenus dans la matrice du C</w:t>
            </w:r>
            <w:r w:rsidR="00071737" w:rsidRPr="00454255">
              <w:rPr>
                <w:rFonts w:ascii="Times New Roman" w:hAnsi="Times New Roman"/>
              </w:rPr>
              <w:t>PD</w:t>
            </w:r>
          </w:p>
          <w:p w14:paraId="14B4D075" w14:textId="77777777" w:rsidR="00CE299E" w:rsidRPr="00454255" w:rsidRDefault="00071737" w:rsidP="00D76EFA">
            <w:pPr>
              <w:pStyle w:val="Paragraphedeliste"/>
              <w:numPr>
                <w:ilvl w:val="0"/>
                <w:numId w:val="114"/>
              </w:numPr>
              <w:spacing w:after="0" w:line="240" w:lineRule="auto"/>
              <w:rPr>
                <w:rFonts w:ascii="Times New Roman" w:hAnsi="Times New Roman"/>
              </w:rPr>
            </w:pPr>
            <w:r w:rsidRPr="00454255">
              <w:rPr>
                <w:rFonts w:ascii="Times New Roman" w:hAnsi="Times New Roman"/>
              </w:rPr>
              <w:t>Evaluabilité du programme minoré</w:t>
            </w:r>
            <w:r w:rsidR="00CE299E" w:rsidRPr="00454255">
              <w:rPr>
                <w:rFonts w:ascii="Times New Roman" w:hAnsi="Times New Roman"/>
              </w:rPr>
              <w:t>e</w:t>
            </w:r>
          </w:p>
        </w:tc>
      </w:tr>
      <w:tr w:rsidR="00CE299E" w:rsidRPr="00454255" w14:paraId="28C34F57" w14:textId="77777777" w:rsidTr="00A55071">
        <w:tc>
          <w:tcPr>
            <w:tcW w:w="567" w:type="dxa"/>
            <w:shd w:val="clear" w:color="auto" w:fill="D9D9D9" w:themeFill="background1" w:themeFillShade="D9"/>
            <w:vAlign w:val="center"/>
          </w:tcPr>
          <w:p w14:paraId="65905EA6" w14:textId="77777777" w:rsidR="00CE299E" w:rsidRPr="00454255" w:rsidRDefault="00CE299E" w:rsidP="00627362">
            <w:pPr>
              <w:spacing w:after="0" w:line="240" w:lineRule="auto"/>
              <w:rPr>
                <w:rFonts w:ascii="Times New Roman" w:hAnsi="Times New Roman"/>
              </w:rPr>
            </w:pPr>
            <w:r w:rsidRPr="00454255">
              <w:rPr>
                <w:rFonts w:ascii="Times New Roman" w:hAnsi="Times New Roman"/>
              </w:rPr>
              <w:t>2.</w:t>
            </w:r>
          </w:p>
        </w:tc>
        <w:tc>
          <w:tcPr>
            <w:tcW w:w="5245" w:type="dxa"/>
            <w:vAlign w:val="center"/>
          </w:tcPr>
          <w:p w14:paraId="6E8BFE1D" w14:textId="77777777" w:rsidR="00CE299E" w:rsidRPr="00454255" w:rsidRDefault="00071737" w:rsidP="00071737">
            <w:pPr>
              <w:spacing w:after="0" w:line="240" w:lineRule="auto"/>
              <w:rPr>
                <w:rFonts w:ascii="Times New Roman" w:hAnsi="Times New Roman"/>
              </w:rPr>
            </w:pPr>
            <w:r w:rsidRPr="00454255">
              <w:rPr>
                <w:rFonts w:ascii="Times New Roman" w:hAnsi="Times New Roman"/>
              </w:rPr>
              <w:t>Maîtrise encore faible des procédures d’exécution par les partenaires nationaux, malgré les formations prodiguées</w:t>
            </w:r>
          </w:p>
        </w:tc>
        <w:tc>
          <w:tcPr>
            <w:tcW w:w="4395" w:type="dxa"/>
            <w:vAlign w:val="center"/>
          </w:tcPr>
          <w:p w14:paraId="0BA08963" w14:textId="77777777" w:rsidR="00CE299E" w:rsidRPr="00454255" w:rsidRDefault="00CE299E" w:rsidP="00D76EFA">
            <w:pPr>
              <w:pStyle w:val="Paragraphedeliste"/>
              <w:numPr>
                <w:ilvl w:val="0"/>
                <w:numId w:val="114"/>
              </w:numPr>
              <w:spacing w:after="0" w:line="240" w:lineRule="auto"/>
              <w:rPr>
                <w:rFonts w:ascii="Times New Roman" w:hAnsi="Times New Roman"/>
              </w:rPr>
            </w:pPr>
            <w:r w:rsidRPr="00454255">
              <w:rPr>
                <w:rFonts w:ascii="Times New Roman" w:hAnsi="Times New Roman"/>
              </w:rPr>
              <w:t xml:space="preserve">Exécution </w:t>
            </w:r>
            <w:r w:rsidR="00071737" w:rsidRPr="00454255">
              <w:rPr>
                <w:rFonts w:ascii="Times New Roman" w:hAnsi="Times New Roman"/>
              </w:rPr>
              <w:t xml:space="preserve">souvent </w:t>
            </w:r>
            <w:r w:rsidRPr="00454255">
              <w:rPr>
                <w:rFonts w:ascii="Times New Roman" w:hAnsi="Times New Roman"/>
              </w:rPr>
              <w:t xml:space="preserve">retardée </w:t>
            </w:r>
            <w:r w:rsidR="00071737" w:rsidRPr="00454255">
              <w:rPr>
                <w:rFonts w:ascii="Times New Roman" w:hAnsi="Times New Roman"/>
              </w:rPr>
              <w:t>par la non-conformité des documents de programmation et de justification d’exécution précédente</w:t>
            </w:r>
          </w:p>
        </w:tc>
      </w:tr>
      <w:tr w:rsidR="00CE299E" w:rsidRPr="00454255" w14:paraId="6A80E861" w14:textId="77777777" w:rsidTr="00A55071">
        <w:tc>
          <w:tcPr>
            <w:tcW w:w="567" w:type="dxa"/>
            <w:shd w:val="clear" w:color="auto" w:fill="D9D9D9" w:themeFill="background1" w:themeFillShade="D9"/>
            <w:vAlign w:val="center"/>
          </w:tcPr>
          <w:p w14:paraId="67C7952B" w14:textId="77777777" w:rsidR="00CE299E" w:rsidRPr="00454255" w:rsidRDefault="00CE299E" w:rsidP="00627362">
            <w:pPr>
              <w:spacing w:after="0" w:line="240" w:lineRule="auto"/>
              <w:rPr>
                <w:rFonts w:ascii="Times New Roman" w:hAnsi="Times New Roman"/>
              </w:rPr>
            </w:pPr>
            <w:r w:rsidRPr="00454255">
              <w:rPr>
                <w:rFonts w:ascii="Times New Roman" w:hAnsi="Times New Roman"/>
              </w:rPr>
              <w:t>4.</w:t>
            </w:r>
          </w:p>
        </w:tc>
        <w:tc>
          <w:tcPr>
            <w:tcW w:w="5245" w:type="dxa"/>
            <w:vAlign w:val="center"/>
          </w:tcPr>
          <w:p w14:paraId="6EB28748" w14:textId="77777777" w:rsidR="00CE299E" w:rsidRPr="00454255" w:rsidRDefault="00CE299E" w:rsidP="00071737">
            <w:pPr>
              <w:spacing w:after="0" w:line="240" w:lineRule="auto"/>
              <w:rPr>
                <w:rFonts w:ascii="Times New Roman" w:hAnsi="Times New Roman"/>
              </w:rPr>
            </w:pPr>
            <w:r w:rsidRPr="00454255">
              <w:rPr>
                <w:rFonts w:ascii="Times New Roman" w:hAnsi="Times New Roman"/>
              </w:rPr>
              <w:t>Emiettement du portefeuille : composé de multiples micro-interventions sans liant véritable si ce n’est qu’ils ont le même chargé de programme ou le même Directeur national</w:t>
            </w:r>
          </w:p>
        </w:tc>
        <w:tc>
          <w:tcPr>
            <w:tcW w:w="4395" w:type="dxa"/>
            <w:vAlign w:val="center"/>
          </w:tcPr>
          <w:p w14:paraId="51FCCE3D" w14:textId="77777777" w:rsidR="00CE299E" w:rsidRPr="00454255" w:rsidRDefault="00CE299E" w:rsidP="00D76EFA">
            <w:pPr>
              <w:pStyle w:val="Paragraphedeliste"/>
              <w:numPr>
                <w:ilvl w:val="0"/>
                <w:numId w:val="114"/>
              </w:numPr>
              <w:spacing w:after="0" w:line="240" w:lineRule="auto"/>
              <w:rPr>
                <w:rFonts w:ascii="Times New Roman" w:hAnsi="Times New Roman"/>
              </w:rPr>
            </w:pPr>
            <w:r w:rsidRPr="00454255">
              <w:rPr>
                <w:rFonts w:ascii="Times New Roman" w:hAnsi="Times New Roman"/>
              </w:rPr>
              <w:t xml:space="preserve">Impacts amoindris et coûts d’opération plus élevés </w:t>
            </w:r>
            <w:r w:rsidR="00071737" w:rsidRPr="00454255">
              <w:rPr>
                <w:rFonts w:ascii="Times New Roman" w:hAnsi="Times New Roman"/>
              </w:rPr>
              <w:t>(que</w:t>
            </w:r>
            <w:r w:rsidRPr="00454255">
              <w:rPr>
                <w:rFonts w:ascii="Times New Roman" w:hAnsi="Times New Roman"/>
              </w:rPr>
              <w:t xml:space="preserve"> dans une approche programme </w:t>
            </w:r>
            <w:r w:rsidR="00071737" w:rsidRPr="00454255">
              <w:rPr>
                <w:rFonts w:ascii="Times New Roman" w:hAnsi="Times New Roman"/>
              </w:rPr>
              <w:t>)</w:t>
            </w:r>
          </w:p>
        </w:tc>
      </w:tr>
      <w:tr w:rsidR="00CE299E" w:rsidRPr="00454255" w14:paraId="73B516EF" w14:textId="77777777" w:rsidTr="00A55071">
        <w:tc>
          <w:tcPr>
            <w:tcW w:w="567" w:type="dxa"/>
            <w:shd w:val="clear" w:color="auto" w:fill="D9D9D9" w:themeFill="background1" w:themeFillShade="D9"/>
            <w:vAlign w:val="center"/>
          </w:tcPr>
          <w:p w14:paraId="6E5FB27E" w14:textId="77777777" w:rsidR="00CE299E" w:rsidRPr="00454255" w:rsidRDefault="00CE299E" w:rsidP="00627362">
            <w:pPr>
              <w:spacing w:after="0" w:line="240" w:lineRule="auto"/>
              <w:rPr>
                <w:rFonts w:ascii="Times New Roman" w:hAnsi="Times New Roman"/>
              </w:rPr>
            </w:pPr>
            <w:r w:rsidRPr="00454255">
              <w:rPr>
                <w:rFonts w:ascii="Times New Roman" w:hAnsi="Times New Roman"/>
              </w:rPr>
              <w:t>5.</w:t>
            </w:r>
          </w:p>
        </w:tc>
        <w:tc>
          <w:tcPr>
            <w:tcW w:w="5245" w:type="dxa"/>
            <w:vAlign w:val="center"/>
          </w:tcPr>
          <w:p w14:paraId="684F8322" w14:textId="77777777" w:rsidR="00CE299E" w:rsidRPr="00454255" w:rsidRDefault="00CE299E" w:rsidP="00A10DF1">
            <w:pPr>
              <w:spacing w:after="0" w:line="240" w:lineRule="auto"/>
              <w:rPr>
                <w:rFonts w:ascii="Times New Roman" w:hAnsi="Times New Roman"/>
              </w:rPr>
            </w:pPr>
            <w:r w:rsidRPr="00454255">
              <w:rPr>
                <w:rFonts w:ascii="Times New Roman" w:hAnsi="Times New Roman"/>
              </w:rPr>
              <w:t>Faible intégration des activités, qui entre les clusters, voire à l’intérieur, ne font que cohabiter</w:t>
            </w:r>
          </w:p>
        </w:tc>
        <w:tc>
          <w:tcPr>
            <w:tcW w:w="4395" w:type="dxa"/>
            <w:vAlign w:val="center"/>
          </w:tcPr>
          <w:p w14:paraId="4D6696D4" w14:textId="77777777" w:rsidR="00CE299E" w:rsidRPr="00454255" w:rsidRDefault="00CE299E" w:rsidP="00D76EFA">
            <w:pPr>
              <w:pStyle w:val="Paragraphedeliste"/>
              <w:numPr>
                <w:ilvl w:val="0"/>
                <w:numId w:val="114"/>
              </w:numPr>
              <w:spacing w:after="0" w:line="240" w:lineRule="auto"/>
              <w:rPr>
                <w:rFonts w:ascii="Times New Roman" w:hAnsi="Times New Roman"/>
              </w:rPr>
            </w:pPr>
            <w:r w:rsidRPr="00454255">
              <w:rPr>
                <w:rFonts w:ascii="Times New Roman" w:hAnsi="Times New Roman"/>
              </w:rPr>
              <w:t>Impacts amoindris et coûts d’opération proportionnellement amplifiés</w:t>
            </w:r>
          </w:p>
        </w:tc>
      </w:tr>
      <w:tr w:rsidR="00CE299E" w:rsidRPr="00454255" w14:paraId="6950EE3B" w14:textId="77777777" w:rsidTr="00A55071">
        <w:tc>
          <w:tcPr>
            <w:tcW w:w="567" w:type="dxa"/>
            <w:shd w:val="clear" w:color="auto" w:fill="D9D9D9" w:themeFill="background1" w:themeFillShade="D9"/>
            <w:vAlign w:val="center"/>
          </w:tcPr>
          <w:p w14:paraId="053DB973" w14:textId="77777777" w:rsidR="00CE299E" w:rsidRPr="00454255" w:rsidRDefault="00CE299E" w:rsidP="00627362">
            <w:pPr>
              <w:spacing w:after="0" w:line="240" w:lineRule="auto"/>
              <w:rPr>
                <w:rFonts w:ascii="Times New Roman" w:hAnsi="Times New Roman"/>
              </w:rPr>
            </w:pPr>
            <w:r w:rsidRPr="00454255">
              <w:rPr>
                <w:rFonts w:ascii="Times New Roman" w:hAnsi="Times New Roman"/>
              </w:rPr>
              <w:t>6.</w:t>
            </w:r>
          </w:p>
        </w:tc>
        <w:tc>
          <w:tcPr>
            <w:tcW w:w="5245" w:type="dxa"/>
            <w:vAlign w:val="center"/>
          </w:tcPr>
          <w:p w14:paraId="2C00368A" w14:textId="77777777" w:rsidR="00CE299E" w:rsidRPr="00454255" w:rsidRDefault="00CE299E" w:rsidP="00CE21CE">
            <w:pPr>
              <w:spacing w:after="0" w:line="240" w:lineRule="auto"/>
              <w:rPr>
                <w:rFonts w:ascii="Times New Roman" w:hAnsi="Times New Roman"/>
              </w:rPr>
            </w:pPr>
            <w:r w:rsidRPr="00454255">
              <w:rPr>
                <w:rFonts w:ascii="Times New Roman" w:hAnsi="Times New Roman"/>
              </w:rPr>
              <w:t>Stratégie de mobilisation de ressources extravertie : plus tirée par les bailleurs potentiels qu’ancrée dans l’âme du programme</w:t>
            </w:r>
          </w:p>
        </w:tc>
        <w:tc>
          <w:tcPr>
            <w:tcW w:w="4395" w:type="dxa"/>
            <w:vAlign w:val="center"/>
          </w:tcPr>
          <w:p w14:paraId="1F3903BB" w14:textId="77777777" w:rsidR="00CE299E" w:rsidRPr="00454255" w:rsidRDefault="00CE299E" w:rsidP="00D76EFA">
            <w:pPr>
              <w:pStyle w:val="Paragraphedeliste"/>
              <w:numPr>
                <w:ilvl w:val="0"/>
                <w:numId w:val="114"/>
              </w:numPr>
              <w:spacing w:after="0" w:line="240" w:lineRule="auto"/>
              <w:rPr>
                <w:rFonts w:ascii="Times New Roman" w:hAnsi="Times New Roman"/>
              </w:rPr>
            </w:pPr>
            <w:r w:rsidRPr="00454255">
              <w:rPr>
                <w:rFonts w:ascii="Times New Roman" w:hAnsi="Times New Roman"/>
              </w:rPr>
              <w:t>Cette contrainte nourrie l’émiettement du programme et contribue à minorer ses effets</w:t>
            </w:r>
          </w:p>
        </w:tc>
      </w:tr>
      <w:tr w:rsidR="00CE299E" w:rsidRPr="00454255" w14:paraId="06D78849" w14:textId="77777777" w:rsidTr="00A55071">
        <w:tc>
          <w:tcPr>
            <w:tcW w:w="567" w:type="dxa"/>
            <w:shd w:val="clear" w:color="auto" w:fill="D9D9D9" w:themeFill="background1" w:themeFillShade="D9"/>
            <w:vAlign w:val="center"/>
          </w:tcPr>
          <w:p w14:paraId="60D02A58" w14:textId="77777777" w:rsidR="00CE299E" w:rsidRPr="00454255" w:rsidRDefault="00CE299E" w:rsidP="00627362">
            <w:pPr>
              <w:spacing w:after="0" w:line="240" w:lineRule="auto"/>
              <w:rPr>
                <w:rFonts w:ascii="Times New Roman" w:hAnsi="Times New Roman"/>
              </w:rPr>
            </w:pPr>
            <w:r w:rsidRPr="00454255">
              <w:rPr>
                <w:rFonts w:ascii="Times New Roman" w:hAnsi="Times New Roman"/>
              </w:rPr>
              <w:t>7.</w:t>
            </w:r>
          </w:p>
        </w:tc>
        <w:tc>
          <w:tcPr>
            <w:tcW w:w="5245" w:type="dxa"/>
            <w:vAlign w:val="center"/>
          </w:tcPr>
          <w:p w14:paraId="2CF554CD" w14:textId="77777777" w:rsidR="00CE299E" w:rsidRPr="00454255" w:rsidRDefault="00CE299E" w:rsidP="00CE21CE">
            <w:pPr>
              <w:spacing w:after="0" w:line="240" w:lineRule="auto"/>
              <w:rPr>
                <w:rFonts w:ascii="Times New Roman" w:hAnsi="Times New Roman"/>
              </w:rPr>
            </w:pPr>
            <w:r w:rsidRPr="00454255">
              <w:rPr>
                <w:rFonts w:ascii="Times New Roman" w:hAnsi="Times New Roman"/>
              </w:rPr>
              <w:t>Faiblesse de la programmation conjointe et des synergies inter agences</w:t>
            </w:r>
          </w:p>
        </w:tc>
        <w:tc>
          <w:tcPr>
            <w:tcW w:w="4395" w:type="dxa"/>
            <w:vAlign w:val="center"/>
          </w:tcPr>
          <w:p w14:paraId="5AC3065A" w14:textId="77777777" w:rsidR="00CE299E" w:rsidRPr="00454255" w:rsidRDefault="00FB2A57" w:rsidP="00D76EFA">
            <w:pPr>
              <w:pStyle w:val="Paragraphedeliste"/>
              <w:numPr>
                <w:ilvl w:val="0"/>
                <w:numId w:val="114"/>
              </w:numPr>
              <w:spacing w:after="0" w:line="240" w:lineRule="auto"/>
              <w:rPr>
                <w:rFonts w:ascii="Times New Roman" w:hAnsi="Times New Roman"/>
              </w:rPr>
            </w:pPr>
            <w:r w:rsidRPr="00454255">
              <w:rPr>
                <w:rFonts w:ascii="Times New Roman" w:hAnsi="Times New Roman"/>
              </w:rPr>
              <w:t xml:space="preserve">Programme coupé de possibles démultiplicateurs d’effet et </w:t>
            </w:r>
            <w:r w:rsidR="00071737" w:rsidRPr="00454255">
              <w:rPr>
                <w:rFonts w:ascii="Times New Roman" w:hAnsi="Times New Roman"/>
              </w:rPr>
              <w:t>d’</w:t>
            </w:r>
            <w:r w:rsidRPr="00454255">
              <w:rPr>
                <w:rFonts w:ascii="Times New Roman" w:hAnsi="Times New Roman"/>
              </w:rPr>
              <w:t xml:space="preserve">économies d’échelle (qui auraient pu venir des autres agences si les programmes étaient </w:t>
            </w:r>
            <w:r w:rsidR="00B451C7" w:rsidRPr="00454255">
              <w:rPr>
                <w:rFonts w:ascii="Times New Roman" w:hAnsi="Times New Roman"/>
              </w:rPr>
              <w:t>vraiment conjoints</w:t>
            </w:r>
            <w:r w:rsidRPr="00454255">
              <w:rPr>
                <w:rFonts w:ascii="Times New Roman" w:hAnsi="Times New Roman"/>
              </w:rPr>
              <w:t xml:space="preserve"> comme le </w:t>
            </w:r>
            <w:r w:rsidR="00B451C7" w:rsidRPr="00454255">
              <w:rPr>
                <w:rFonts w:ascii="Times New Roman" w:hAnsi="Times New Roman"/>
              </w:rPr>
              <w:t>permet le cadre de l’UNDAF</w:t>
            </w:r>
            <w:r w:rsidRPr="00454255">
              <w:rPr>
                <w:rFonts w:ascii="Times New Roman" w:hAnsi="Times New Roman"/>
              </w:rPr>
              <w:t>)</w:t>
            </w:r>
          </w:p>
        </w:tc>
      </w:tr>
      <w:tr w:rsidR="00486ED6" w:rsidRPr="00454255" w14:paraId="65A4B225" w14:textId="77777777" w:rsidTr="00A55071">
        <w:tc>
          <w:tcPr>
            <w:tcW w:w="567" w:type="dxa"/>
            <w:shd w:val="clear" w:color="auto" w:fill="D9D9D9" w:themeFill="background1" w:themeFillShade="D9"/>
            <w:vAlign w:val="center"/>
          </w:tcPr>
          <w:p w14:paraId="159406FA" w14:textId="77777777" w:rsidR="00486ED6" w:rsidRPr="00454255" w:rsidRDefault="00486ED6" w:rsidP="00AE1CFC">
            <w:pPr>
              <w:spacing w:after="0" w:line="240" w:lineRule="auto"/>
              <w:rPr>
                <w:rFonts w:ascii="Times New Roman" w:hAnsi="Times New Roman"/>
              </w:rPr>
            </w:pPr>
            <w:r w:rsidRPr="00454255">
              <w:rPr>
                <w:rFonts w:ascii="Times New Roman" w:hAnsi="Times New Roman"/>
              </w:rPr>
              <w:t>8.</w:t>
            </w:r>
          </w:p>
        </w:tc>
        <w:tc>
          <w:tcPr>
            <w:tcW w:w="5245" w:type="dxa"/>
            <w:vAlign w:val="center"/>
          </w:tcPr>
          <w:p w14:paraId="6ADC6FF9" w14:textId="77777777" w:rsidR="00486ED6" w:rsidRPr="00454255" w:rsidRDefault="00486ED6" w:rsidP="00B96F0F">
            <w:pPr>
              <w:spacing w:after="0" w:line="240" w:lineRule="auto"/>
              <w:rPr>
                <w:rFonts w:ascii="Times New Roman" w:hAnsi="Times New Roman"/>
              </w:rPr>
            </w:pPr>
            <w:r w:rsidRPr="00454255">
              <w:rPr>
                <w:rFonts w:ascii="Times New Roman" w:hAnsi="Times New Roman"/>
              </w:rPr>
              <w:t>Fa</w:t>
            </w:r>
            <w:r w:rsidR="00B451C7" w:rsidRPr="00454255">
              <w:rPr>
                <w:rFonts w:ascii="Times New Roman" w:hAnsi="Times New Roman"/>
              </w:rPr>
              <w:t>i</w:t>
            </w:r>
            <w:r w:rsidRPr="00454255">
              <w:rPr>
                <w:rFonts w:ascii="Times New Roman" w:hAnsi="Times New Roman"/>
              </w:rPr>
              <w:t xml:space="preserve">ble intégration </w:t>
            </w:r>
            <w:r w:rsidR="00B451C7" w:rsidRPr="00454255">
              <w:rPr>
                <w:rFonts w:ascii="Times New Roman" w:hAnsi="Times New Roman"/>
              </w:rPr>
              <w:t xml:space="preserve">matricielle </w:t>
            </w:r>
            <w:r w:rsidRPr="00454255">
              <w:rPr>
                <w:rFonts w:ascii="Times New Roman" w:hAnsi="Times New Roman"/>
              </w:rPr>
              <w:t>du genre</w:t>
            </w:r>
            <w:r w:rsidR="00B451C7" w:rsidRPr="00454255">
              <w:rPr>
                <w:rFonts w:ascii="Times New Roman" w:hAnsi="Times New Roman"/>
              </w:rPr>
              <w:t xml:space="preserve"> (malgré le fait que les cibles de beaucoup d’intervention sont des femmes)</w:t>
            </w:r>
          </w:p>
        </w:tc>
        <w:tc>
          <w:tcPr>
            <w:tcW w:w="4395" w:type="dxa"/>
            <w:vAlign w:val="center"/>
          </w:tcPr>
          <w:p w14:paraId="25C0846B" w14:textId="77777777" w:rsidR="00486ED6" w:rsidRPr="00454255" w:rsidRDefault="00486ED6" w:rsidP="00D76EFA">
            <w:pPr>
              <w:pStyle w:val="Paragraphedeliste"/>
              <w:numPr>
                <w:ilvl w:val="0"/>
                <w:numId w:val="114"/>
              </w:numPr>
              <w:spacing w:after="0" w:line="240" w:lineRule="auto"/>
              <w:rPr>
                <w:rFonts w:ascii="Times New Roman" w:hAnsi="Times New Roman"/>
              </w:rPr>
            </w:pPr>
            <w:r w:rsidRPr="00454255">
              <w:rPr>
                <w:rFonts w:ascii="Times New Roman" w:hAnsi="Times New Roman"/>
              </w:rPr>
              <w:t xml:space="preserve">Les performances genre </w:t>
            </w:r>
            <w:r w:rsidR="00B451C7" w:rsidRPr="00454255">
              <w:rPr>
                <w:rFonts w:ascii="Times New Roman" w:hAnsi="Times New Roman"/>
              </w:rPr>
              <w:t xml:space="preserve">du programme </w:t>
            </w:r>
            <w:r w:rsidRPr="00454255">
              <w:rPr>
                <w:rFonts w:ascii="Times New Roman" w:hAnsi="Times New Roman"/>
              </w:rPr>
              <w:t>en sont affectées, se réduisant à acter la représentation des femmes dans les cibles, trouvée en place</w:t>
            </w:r>
            <w:r w:rsidR="00B451C7" w:rsidRPr="00454255">
              <w:rPr>
                <w:rFonts w:ascii="Times New Roman" w:hAnsi="Times New Roman"/>
              </w:rPr>
              <w:t>, sans qu’il y ait de véritables bris de lignes</w:t>
            </w:r>
          </w:p>
        </w:tc>
      </w:tr>
      <w:tr w:rsidR="00486ED6" w:rsidRPr="00454255" w14:paraId="0D732717" w14:textId="77777777" w:rsidTr="00A55071">
        <w:tc>
          <w:tcPr>
            <w:tcW w:w="567" w:type="dxa"/>
            <w:shd w:val="clear" w:color="auto" w:fill="D9D9D9" w:themeFill="background1" w:themeFillShade="D9"/>
            <w:vAlign w:val="center"/>
          </w:tcPr>
          <w:p w14:paraId="7A5314E6" w14:textId="77777777" w:rsidR="00486ED6" w:rsidRPr="00454255" w:rsidRDefault="00486ED6" w:rsidP="00AE1CFC">
            <w:pPr>
              <w:spacing w:after="0" w:line="240" w:lineRule="auto"/>
              <w:rPr>
                <w:rFonts w:ascii="Times New Roman" w:hAnsi="Times New Roman"/>
              </w:rPr>
            </w:pPr>
            <w:r w:rsidRPr="00454255">
              <w:rPr>
                <w:rFonts w:ascii="Times New Roman" w:hAnsi="Times New Roman"/>
              </w:rPr>
              <w:t>9.</w:t>
            </w:r>
          </w:p>
        </w:tc>
        <w:tc>
          <w:tcPr>
            <w:tcW w:w="5245" w:type="dxa"/>
            <w:vAlign w:val="center"/>
          </w:tcPr>
          <w:p w14:paraId="6055A521" w14:textId="77777777" w:rsidR="00486ED6" w:rsidRPr="00454255" w:rsidRDefault="00486ED6" w:rsidP="00B451C7">
            <w:pPr>
              <w:spacing w:after="0" w:line="240" w:lineRule="auto"/>
              <w:rPr>
                <w:rFonts w:ascii="Times New Roman" w:hAnsi="Times New Roman"/>
              </w:rPr>
            </w:pPr>
            <w:r w:rsidRPr="00454255">
              <w:rPr>
                <w:rFonts w:ascii="Times New Roman" w:hAnsi="Times New Roman"/>
              </w:rPr>
              <w:t xml:space="preserve">Stratégie de communication </w:t>
            </w:r>
            <w:r w:rsidR="00B451C7" w:rsidRPr="00454255">
              <w:rPr>
                <w:rFonts w:ascii="Times New Roman" w:hAnsi="Times New Roman"/>
              </w:rPr>
              <w:t>à tropisme plutôt événementiel</w:t>
            </w:r>
          </w:p>
        </w:tc>
        <w:tc>
          <w:tcPr>
            <w:tcW w:w="4395" w:type="dxa"/>
            <w:vAlign w:val="center"/>
          </w:tcPr>
          <w:p w14:paraId="50ACBA47" w14:textId="77777777" w:rsidR="00486ED6" w:rsidRPr="00454255" w:rsidRDefault="00B451C7" w:rsidP="00D76EFA">
            <w:pPr>
              <w:pStyle w:val="Paragraphedeliste"/>
              <w:numPr>
                <w:ilvl w:val="0"/>
                <w:numId w:val="114"/>
              </w:numPr>
              <w:spacing w:after="0" w:line="240" w:lineRule="auto"/>
              <w:rPr>
                <w:rFonts w:ascii="Times New Roman" w:hAnsi="Times New Roman"/>
              </w:rPr>
            </w:pPr>
            <w:r w:rsidRPr="00454255">
              <w:rPr>
                <w:rFonts w:ascii="Times New Roman" w:hAnsi="Times New Roman"/>
              </w:rPr>
              <w:t>Les aspects de substance ne sont pas assez mis en avant (pour soutenir par exemple la mobilisation de ressources)</w:t>
            </w:r>
          </w:p>
        </w:tc>
      </w:tr>
      <w:tr w:rsidR="00486ED6" w:rsidRPr="00454255" w14:paraId="0464DCEB" w14:textId="77777777" w:rsidTr="00A55071">
        <w:tc>
          <w:tcPr>
            <w:tcW w:w="567" w:type="dxa"/>
            <w:shd w:val="clear" w:color="auto" w:fill="D9D9D9" w:themeFill="background1" w:themeFillShade="D9"/>
            <w:vAlign w:val="center"/>
          </w:tcPr>
          <w:p w14:paraId="15AF430C" w14:textId="77777777" w:rsidR="00486ED6" w:rsidRPr="00454255" w:rsidRDefault="00486ED6" w:rsidP="00AE1CFC">
            <w:pPr>
              <w:spacing w:after="0" w:line="240" w:lineRule="auto"/>
              <w:rPr>
                <w:rFonts w:ascii="Times New Roman" w:hAnsi="Times New Roman"/>
              </w:rPr>
            </w:pPr>
            <w:r w:rsidRPr="00454255">
              <w:rPr>
                <w:rFonts w:ascii="Times New Roman" w:hAnsi="Times New Roman"/>
              </w:rPr>
              <w:t>10.</w:t>
            </w:r>
          </w:p>
        </w:tc>
        <w:tc>
          <w:tcPr>
            <w:tcW w:w="5245" w:type="dxa"/>
            <w:vAlign w:val="center"/>
          </w:tcPr>
          <w:p w14:paraId="7FABE4D8" w14:textId="77777777" w:rsidR="00486ED6" w:rsidRPr="00454255" w:rsidRDefault="00B451C7" w:rsidP="00B96F0F">
            <w:pPr>
              <w:spacing w:after="0" w:line="240" w:lineRule="auto"/>
              <w:rPr>
                <w:rFonts w:ascii="Times New Roman" w:hAnsi="Times New Roman"/>
              </w:rPr>
            </w:pPr>
            <w:r w:rsidRPr="00454255">
              <w:rPr>
                <w:rFonts w:ascii="Times New Roman" w:hAnsi="Times New Roman"/>
              </w:rPr>
              <w:t>Des  pratiques de gestion opérationnelle de portefeuille avec la partie nationale éclatées et non harmonisées</w:t>
            </w:r>
          </w:p>
          <w:p w14:paraId="0077293C" w14:textId="77777777" w:rsidR="00B451C7" w:rsidRPr="00454255" w:rsidRDefault="00B451C7" w:rsidP="00D76EFA">
            <w:pPr>
              <w:pStyle w:val="Paragraphedeliste"/>
              <w:numPr>
                <w:ilvl w:val="0"/>
                <w:numId w:val="112"/>
              </w:numPr>
              <w:spacing w:after="0" w:line="240" w:lineRule="auto"/>
              <w:rPr>
                <w:rFonts w:ascii="Times New Roman" w:hAnsi="Times New Roman"/>
              </w:rPr>
            </w:pPr>
            <w:r w:rsidRPr="00454255">
              <w:rPr>
                <w:rFonts w:ascii="Times New Roman" w:hAnsi="Times New Roman"/>
              </w:rPr>
              <w:t>Plusieurs petits projets du même domaine gérés par différentes unités de projet</w:t>
            </w:r>
          </w:p>
          <w:p w14:paraId="76759286" w14:textId="77777777" w:rsidR="00B451C7" w:rsidRPr="00454255" w:rsidRDefault="00B451C7" w:rsidP="00D76EFA">
            <w:pPr>
              <w:pStyle w:val="Paragraphedeliste"/>
              <w:numPr>
                <w:ilvl w:val="0"/>
                <w:numId w:val="112"/>
              </w:numPr>
              <w:spacing w:after="0" w:line="240" w:lineRule="auto"/>
              <w:rPr>
                <w:rFonts w:ascii="Times New Roman" w:hAnsi="Times New Roman"/>
              </w:rPr>
            </w:pPr>
            <w:r w:rsidRPr="00454255">
              <w:rPr>
                <w:rFonts w:ascii="Times New Roman" w:hAnsi="Times New Roman"/>
              </w:rPr>
              <w:t>Staffs de ces unités de projet traités différemment, y compris sur le plan b</w:t>
            </w:r>
            <w:r w:rsidR="00151319" w:rsidRPr="00454255">
              <w:rPr>
                <w:rFonts w:ascii="Times New Roman" w:hAnsi="Times New Roman"/>
              </w:rPr>
              <w:t>u</w:t>
            </w:r>
            <w:r w:rsidRPr="00454255">
              <w:rPr>
                <w:rFonts w:ascii="Times New Roman" w:hAnsi="Times New Roman"/>
              </w:rPr>
              <w:t>dgétaire</w:t>
            </w:r>
          </w:p>
        </w:tc>
        <w:tc>
          <w:tcPr>
            <w:tcW w:w="4395" w:type="dxa"/>
            <w:vAlign w:val="center"/>
          </w:tcPr>
          <w:p w14:paraId="17831392" w14:textId="77777777" w:rsidR="00151319" w:rsidRPr="00454255" w:rsidRDefault="00486ED6" w:rsidP="00D76EFA">
            <w:pPr>
              <w:pStyle w:val="Paragraphedeliste"/>
              <w:numPr>
                <w:ilvl w:val="0"/>
                <w:numId w:val="114"/>
              </w:numPr>
              <w:spacing w:after="0" w:line="240" w:lineRule="auto"/>
              <w:rPr>
                <w:rFonts w:ascii="Times New Roman" w:hAnsi="Times New Roman"/>
              </w:rPr>
            </w:pPr>
            <w:r w:rsidRPr="00454255">
              <w:rPr>
                <w:rFonts w:ascii="Times New Roman" w:hAnsi="Times New Roman"/>
              </w:rPr>
              <w:t xml:space="preserve">Le programme </w:t>
            </w:r>
            <w:r w:rsidR="00151319" w:rsidRPr="00454255">
              <w:rPr>
                <w:rFonts w:ascii="Times New Roman" w:hAnsi="Times New Roman"/>
              </w:rPr>
              <w:t>encore des coûts d’opération proportionnellement plus élevés que une situation à dominante NEX</w:t>
            </w:r>
          </w:p>
          <w:p w14:paraId="1A9294D8" w14:textId="77777777" w:rsidR="00486ED6" w:rsidRPr="00454255" w:rsidRDefault="00151319" w:rsidP="00D76EFA">
            <w:pPr>
              <w:pStyle w:val="Paragraphedeliste"/>
              <w:numPr>
                <w:ilvl w:val="0"/>
                <w:numId w:val="114"/>
              </w:numPr>
              <w:spacing w:after="0" w:line="240" w:lineRule="auto"/>
              <w:rPr>
                <w:rFonts w:ascii="Times New Roman" w:hAnsi="Times New Roman"/>
              </w:rPr>
            </w:pPr>
            <w:r w:rsidRPr="00454255">
              <w:rPr>
                <w:rFonts w:ascii="Times New Roman" w:hAnsi="Times New Roman"/>
              </w:rPr>
              <w:t xml:space="preserve">Efficience de l’exécution nationale desservie par ce qui est perçu comme une doctrine d’exécution à géométrie variable </w:t>
            </w:r>
          </w:p>
        </w:tc>
      </w:tr>
      <w:tr w:rsidR="00486ED6" w:rsidRPr="00454255" w14:paraId="18699496" w14:textId="77777777" w:rsidTr="00A55071">
        <w:tc>
          <w:tcPr>
            <w:tcW w:w="567" w:type="dxa"/>
            <w:shd w:val="clear" w:color="auto" w:fill="D9D9D9" w:themeFill="background1" w:themeFillShade="D9"/>
            <w:vAlign w:val="center"/>
          </w:tcPr>
          <w:p w14:paraId="2C7BCA8F" w14:textId="77777777" w:rsidR="00486ED6" w:rsidRPr="00454255" w:rsidRDefault="00486ED6" w:rsidP="00AE1CFC">
            <w:pPr>
              <w:spacing w:after="0" w:line="240" w:lineRule="auto"/>
              <w:rPr>
                <w:rFonts w:ascii="Times New Roman" w:hAnsi="Times New Roman"/>
              </w:rPr>
            </w:pPr>
            <w:r w:rsidRPr="00454255">
              <w:rPr>
                <w:rFonts w:ascii="Times New Roman" w:hAnsi="Times New Roman"/>
              </w:rPr>
              <w:t>11.</w:t>
            </w:r>
          </w:p>
        </w:tc>
        <w:tc>
          <w:tcPr>
            <w:tcW w:w="5245" w:type="dxa"/>
            <w:vAlign w:val="center"/>
          </w:tcPr>
          <w:p w14:paraId="2416A9B7" w14:textId="77777777" w:rsidR="00486ED6" w:rsidRPr="00454255" w:rsidRDefault="00486ED6" w:rsidP="00151319">
            <w:pPr>
              <w:spacing w:after="0" w:line="240" w:lineRule="auto"/>
              <w:rPr>
                <w:rFonts w:ascii="Times New Roman" w:hAnsi="Times New Roman"/>
              </w:rPr>
            </w:pPr>
            <w:r w:rsidRPr="00454255">
              <w:rPr>
                <w:rFonts w:ascii="Times New Roman" w:hAnsi="Times New Roman"/>
              </w:rPr>
              <w:t xml:space="preserve">Absence récurrente des </w:t>
            </w:r>
            <w:r w:rsidR="00151319" w:rsidRPr="00454255">
              <w:rPr>
                <w:rFonts w:ascii="Times New Roman" w:hAnsi="Times New Roman"/>
              </w:rPr>
              <w:t>contreparties nationales</w:t>
            </w:r>
          </w:p>
        </w:tc>
        <w:tc>
          <w:tcPr>
            <w:tcW w:w="4395" w:type="dxa"/>
            <w:vAlign w:val="center"/>
          </w:tcPr>
          <w:p w14:paraId="14799C30" w14:textId="77777777" w:rsidR="00486ED6" w:rsidRPr="00454255" w:rsidRDefault="00151319" w:rsidP="00D76EFA">
            <w:pPr>
              <w:pStyle w:val="Paragraphedeliste"/>
              <w:numPr>
                <w:ilvl w:val="0"/>
                <w:numId w:val="114"/>
              </w:numPr>
              <w:spacing w:after="0" w:line="240" w:lineRule="auto"/>
              <w:rPr>
                <w:rFonts w:ascii="Times New Roman" w:hAnsi="Times New Roman"/>
              </w:rPr>
            </w:pPr>
            <w:r w:rsidRPr="00454255">
              <w:rPr>
                <w:rFonts w:ascii="Times New Roman" w:hAnsi="Times New Roman"/>
              </w:rPr>
              <w:t>Le programme divertit des ressources d’investissement vers des emplois d’opération (loyers de siège, par exemple) que la contrepartie nationale devait couvrir</w:t>
            </w:r>
          </w:p>
        </w:tc>
      </w:tr>
      <w:tr w:rsidR="00486ED6" w:rsidRPr="00454255" w14:paraId="4EDAFCD1" w14:textId="77777777" w:rsidTr="00A55071">
        <w:tc>
          <w:tcPr>
            <w:tcW w:w="567" w:type="dxa"/>
            <w:shd w:val="clear" w:color="auto" w:fill="D9D9D9" w:themeFill="background1" w:themeFillShade="D9"/>
            <w:vAlign w:val="center"/>
          </w:tcPr>
          <w:p w14:paraId="25760C58" w14:textId="77777777" w:rsidR="00486ED6" w:rsidRPr="00454255" w:rsidRDefault="00486ED6" w:rsidP="00AE1CFC">
            <w:pPr>
              <w:spacing w:after="0" w:line="240" w:lineRule="auto"/>
              <w:rPr>
                <w:rFonts w:ascii="Times New Roman" w:hAnsi="Times New Roman"/>
              </w:rPr>
            </w:pPr>
            <w:r w:rsidRPr="00454255">
              <w:rPr>
                <w:rFonts w:ascii="Times New Roman" w:hAnsi="Times New Roman"/>
              </w:rPr>
              <w:t>12.</w:t>
            </w:r>
          </w:p>
        </w:tc>
        <w:tc>
          <w:tcPr>
            <w:tcW w:w="5245" w:type="dxa"/>
            <w:vAlign w:val="center"/>
          </w:tcPr>
          <w:p w14:paraId="3CC45B3E" w14:textId="77777777" w:rsidR="00486ED6" w:rsidRPr="00454255" w:rsidRDefault="00486ED6" w:rsidP="00407F82">
            <w:pPr>
              <w:spacing w:after="0" w:line="240" w:lineRule="auto"/>
              <w:rPr>
                <w:rFonts w:ascii="Times New Roman" w:hAnsi="Times New Roman"/>
              </w:rPr>
            </w:pPr>
            <w:r w:rsidRPr="00454255">
              <w:rPr>
                <w:rFonts w:ascii="Times New Roman" w:hAnsi="Times New Roman"/>
              </w:rPr>
              <w:t>Appropriation nationale affaiblie par l’instabilité institutionnelle et la faible motivation de certains partenaires nationaux : intéressement financier au programme absent ou modeste souvent invoqué par les acteurs rencontrés</w:t>
            </w:r>
          </w:p>
        </w:tc>
        <w:tc>
          <w:tcPr>
            <w:tcW w:w="4395" w:type="dxa"/>
            <w:vAlign w:val="center"/>
          </w:tcPr>
          <w:p w14:paraId="53ED3A1B" w14:textId="77777777" w:rsidR="00486ED6" w:rsidRPr="00454255" w:rsidRDefault="00486ED6" w:rsidP="00D76EFA">
            <w:pPr>
              <w:pStyle w:val="Paragraphedeliste"/>
              <w:numPr>
                <w:ilvl w:val="0"/>
                <w:numId w:val="114"/>
              </w:numPr>
              <w:spacing w:after="0" w:line="240" w:lineRule="auto"/>
              <w:rPr>
                <w:rFonts w:ascii="Times New Roman" w:hAnsi="Times New Roman"/>
              </w:rPr>
            </w:pPr>
            <w:r w:rsidRPr="00454255">
              <w:rPr>
                <w:rFonts w:ascii="Times New Roman" w:hAnsi="Times New Roman"/>
              </w:rPr>
              <w:t>Exécution handicaper par un faible leadership national : soit les partenaires ont été changés, soit ils ne se sentent pas motivés financièrement</w:t>
            </w:r>
          </w:p>
        </w:tc>
      </w:tr>
      <w:tr w:rsidR="00486ED6" w:rsidRPr="00454255" w14:paraId="088C53B9" w14:textId="77777777" w:rsidTr="00A55071">
        <w:tc>
          <w:tcPr>
            <w:tcW w:w="567" w:type="dxa"/>
            <w:shd w:val="clear" w:color="auto" w:fill="D9D9D9" w:themeFill="background1" w:themeFillShade="D9"/>
            <w:vAlign w:val="center"/>
          </w:tcPr>
          <w:p w14:paraId="4221C40E" w14:textId="77777777" w:rsidR="00486ED6" w:rsidRPr="00454255" w:rsidRDefault="00486ED6" w:rsidP="00AE1CFC">
            <w:pPr>
              <w:spacing w:after="0" w:line="240" w:lineRule="auto"/>
              <w:rPr>
                <w:rFonts w:ascii="Times New Roman" w:hAnsi="Times New Roman"/>
              </w:rPr>
            </w:pPr>
            <w:r w:rsidRPr="00454255">
              <w:rPr>
                <w:rFonts w:ascii="Times New Roman" w:hAnsi="Times New Roman"/>
              </w:rPr>
              <w:t>13.</w:t>
            </w:r>
          </w:p>
        </w:tc>
        <w:tc>
          <w:tcPr>
            <w:tcW w:w="5245" w:type="dxa"/>
            <w:vAlign w:val="center"/>
          </w:tcPr>
          <w:p w14:paraId="246B16AB" w14:textId="77777777" w:rsidR="00486ED6" w:rsidRPr="00454255" w:rsidRDefault="00151319" w:rsidP="00407F82">
            <w:pPr>
              <w:spacing w:after="0" w:line="240" w:lineRule="auto"/>
              <w:rPr>
                <w:rFonts w:ascii="Times New Roman" w:hAnsi="Times New Roman"/>
              </w:rPr>
            </w:pPr>
            <w:r w:rsidRPr="00454255">
              <w:rPr>
                <w:rFonts w:ascii="Times New Roman" w:hAnsi="Times New Roman"/>
              </w:rPr>
              <w:t>Environnement de crise</w:t>
            </w:r>
          </w:p>
          <w:p w14:paraId="3B515FD5" w14:textId="77777777" w:rsidR="00151319" w:rsidRPr="00454255" w:rsidRDefault="00151319" w:rsidP="00D76EFA">
            <w:pPr>
              <w:pStyle w:val="Paragraphedeliste"/>
              <w:numPr>
                <w:ilvl w:val="0"/>
                <w:numId w:val="113"/>
              </w:numPr>
              <w:spacing w:after="0" w:line="240" w:lineRule="auto"/>
              <w:rPr>
                <w:rFonts w:ascii="Times New Roman" w:hAnsi="Times New Roman"/>
              </w:rPr>
            </w:pPr>
            <w:r w:rsidRPr="00454255">
              <w:rPr>
                <w:rFonts w:ascii="Times New Roman" w:hAnsi="Times New Roman"/>
              </w:rPr>
              <w:t>Crise sécuritaire</w:t>
            </w:r>
            <w:r w:rsidR="00F74A48" w:rsidRPr="00454255">
              <w:rPr>
                <w:rFonts w:ascii="Times New Roman" w:hAnsi="Times New Roman"/>
              </w:rPr>
              <w:t xml:space="preserve"> qui rend difficile et onéreux l’accès d’une grande partie du territoire national</w:t>
            </w:r>
          </w:p>
          <w:p w14:paraId="3BD653AF" w14:textId="77777777" w:rsidR="00151319" w:rsidRPr="00454255" w:rsidRDefault="00151319" w:rsidP="00D76EFA">
            <w:pPr>
              <w:pStyle w:val="Paragraphedeliste"/>
              <w:numPr>
                <w:ilvl w:val="0"/>
                <w:numId w:val="113"/>
              </w:numPr>
              <w:spacing w:after="0" w:line="240" w:lineRule="auto"/>
              <w:rPr>
                <w:rFonts w:ascii="Times New Roman" w:hAnsi="Times New Roman"/>
              </w:rPr>
            </w:pPr>
            <w:r w:rsidRPr="00454255">
              <w:rPr>
                <w:rFonts w:ascii="Times New Roman" w:hAnsi="Times New Roman"/>
              </w:rPr>
              <w:lastRenderedPageBreak/>
              <w:t xml:space="preserve">Détérioration du stock de capacités naturellement affecté par les dysfonctionnements institutionnels en place depuis 2013 </w:t>
            </w:r>
          </w:p>
        </w:tc>
        <w:tc>
          <w:tcPr>
            <w:tcW w:w="4395" w:type="dxa"/>
            <w:vAlign w:val="center"/>
          </w:tcPr>
          <w:p w14:paraId="28552A3B" w14:textId="77777777" w:rsidR="00486ED6" w:rsidRPr="00454255" w:rsidRDefault="00F74A48" w:rsidP="00D76EFA">
            <w:pPr>
              <w:pStyle w:val="Paragraphedeliste"/>
              <w:numPr>
                <w:ilvl w:val="0"/>
                <w:numId w:val="114"/>
              </w:numPr>
              <w:spacing w:after="0" w:line="240" w:lineRule="auto"/>
              <w:rPr>
                <w:rFonts w:ascii="Times New Roman" w:hAnsi="Times New Roman"/>
              </w:rPr>
            </w:pPr>
            <w:r w:rsidRPr="00454255">
              <w:rPr>
                <w:rFonts w:ascii="Times New Roman" w:hAnsi="Times New Roman"/>
              </w:rPr>
              <w:lastRenderedPageBreak/>
              <w:t>L’exécution du p</w:t>
            </w:r>
            <w:r w:rsidR="00486ED6" w:rsidRPr="00454255">
              <w:rPr>
                <w:rFonts w:ascii="Times New Roman" w:hAnsi="Times New Roman"/>
              </w:rPr>
              <w:t xml:space="preserve">rogramme </w:t>
            </w:r>
            <w:r w:rsidRPr="00454255">
              <w:rPr>
                <w:rFonts w:ascii="Times New Roman" w:hAnsi="Times New Roman"/>
              </w:rPr>
              <w:t>consomme plus de temps de coûts d’opération</w:t>
            </w:r>
          </w:p>
          <w:p w14:paraId="6641E21D" w14:textId="77777777" w:rsidR="00F74A48" w:rsidRPr="00454255" w:rsidRDefault="00F74A48" w:rsidP="00D76EFA">
            <w:pPr>
              <w:pStyle w:val="Paragraphedeliste"/>
              <w:numPr>
                <w:ilvl w:val="0"/>
                <w:numId w:val="114"/>
              </w:numPr>
              <w:spacing w:after="0" w:line="240" w:lineRule="auto"/>
              <w:rPr>
                <w:rFonts w:ascii="Times New Roman" w:hAnsi="Times New Roman"/>
              </w:rPr>
            </w:pPr>
            <w:r w:rsidRPr="00454255">
              <w:rPr>
                <w:rFonts w:ascii="Times New Roman" w:hAnsi="Times New Roman"/>
              </w:rPr>
              <w:t>Le suivi de terrain est plus difficile</w:t>
            </w:r>
          </w:p>
        </w:tc>
      </w:tr>
    </w:tbl>
    <w:p w14:paraId="0A7483E0" w14:textId="77777777" w:rsidR="00F52F7F" w:rsidRPr="006B309F" w:rsidRDefault="00F52F7F" w:rsidP="00F52F7F">
      <w:pPr>
        <w:pStyle w:val="Titre2"/>
        <w:spacing w:before="0"/>
        <w:rPr>
          <w:color w:val="auto"/>
        </w:rPr>
      </w:pPr>
    </w:p>
    <w:p w14:paraId="32F3ED89" w14:textId="77777777" w:rsidR="00BA3DC6" w:rsidRPr="006B309F" w:rsidRDefault="00BA3DC6" w:rsidP="00B026AE">
      <w:pPr>
        <w:pStyle w:val="Titre2"/>
        <w:numPr>
          <w:ilvl w:val="1"/>
          <w:numId w:val="5"/>
        </w:numPr>
        <w:spacing w:before="0"/>
        <w:rPr>
          <w:color w:val="auto"/>
        </w:rPr>
      </w:pPr>
      <w:bookmarkStart w:id="143" w:name="_Toc499211625"/>
      <w:bookmarkStart w:id="144" w:name="_Toc499213898"/>
      <w:r w:rsidRPr="006B309F">
        <w:rPr>
          <w:color w:val="auto"/>
        </w:rPr>
        <w:t>Efficience</w:t>
      </w:r>
      <w:bookmarkEnd w:id="143"/>
      <w:bookmarkEnd w:id="144"/>
    </w:p>
    <w:p w14:paraId="52EC6D58" w14:textId="77777777" w:rsidR="00ED4CD5" w:rsidRPr="006B309F" w:rsidRDefault="00ED4CD5" w:rsidP="00B96F0F">
      <w:pPr>
        <w:spacing w:after="0" w:line="240" w:lineRule="auto"/>
        <w:jc w:val="both"/>
        <w:rPr>
          <w:rFonts w:ascii="Times New Roman" w:hAnsi="Times New Roman"/>
          <w:sz w:val="24"/>
          <w:szCs w:val="24"/>
        </w:rPr>
      </w:pPr>
    </w:p>
    <w:p w14:paraId="532BBB3C" w14:textId="77777777" w:rsidR="00212816" w:rsidRDefault="000B5082" w:rsidP="006709ED">
      <w:pPr>
        <w:pStyle w:val="Default"/>
        <w:jc w:val="both"/>
        <w:rPr>
          <w:rFonts w:ascii="Times New Roman" w:hAnsi="Times New Roman"/>
          <w:b w:val="0"/>
        </w:rPr>
      </w:pPr>
      <w:r>
        <w:rPr>
          <w:rFonts w:ascii="Times New Roman" w:hAnsi="Times New Roman"/>
          <w:b w:val="0"/>
        </w:rPr>
        <w:t>83</w:t>
      </w:r>
      <w:r w:rsidR="00BA3DC6" w:rsidRPr="006709ED">
        <w:rPr>
          <w:rFonts w:ascii="Times New Roman" w:hAnsi="Times New Roman"/>
          <w:b w:val="0"/>
        </w:rPr>
        <w:t>.</w:t>
      </w:r>
      <w:r w:rsidR="00BA3DC6" w:rsidRPr="006709ED">
        <w:rPr>
          <w:rFonts w:ascii="Times New Roman" w:hAnsi="Times New Roman"/>
          <w:b w:val="0"/>
        </w:rPr>
        <w:tab/>
        <w:t xml:space="preserve">Le programme avait prévu pour un volant </w:t>
      </w:r>
      <w:r w:rsidR="00D5003E" w:rsidRPr="006709ED">
        <w:rPr>
          <w:rFonts w:ascii="Times New Roman" w:hAnsi="Times New Roman"/>
          <w:b w:val="0"/>
        </w:rPr>
        <w:t xml:space="preserve">global </w:t>
      </w:r>
      <w:r w:rsidR="00BA3DC6" w:rsidRPr="006709ED">
        <w:rPr>
          <w:rFonts w:ascii="Times New Roman" w:hAnsi="Times New Roman"/>
          <w:b w:val="0"/>
        </w:rPr>
        <w:t xml:space="preserve">de ressources de </w:t>
      </w:r>
      <w:r w:rsidR="006709ED" w:rsidRPr="006709ED">
        <w:rPr>
          <w:b w:val="0"/>
          <w:sz w:val="23"/>
          <w:szCs w:val="23"/>
        </w:rPr>
        <w:t xml:space="preserve">187 443 000 </w:t>
      </w:r>
      <w:r w:rsidR="00BA3DC6" w:rsidRPr="006709ED">
        <w:rPr>
          <w:rFonts w:ascii="Times New Roman" w:hAnsi="Times New Roman"/>
          <w:b w:val="0"/>
        </w:rPr>
        <w:t xml:space="preserve"> dollar</w:t>
      </w:r>
      <w:r w:rsidR="00D5003E" w:rsidRPr="006709ED">
        <w:rPr>
          <w:rFonts w:ascii="Times New Roman" w:hAnsi="Times New Roman"/>
          <w:b w:val="0"/>
        </w:rPr>
        <w:t xml:space="preserve"> américain </w:t>
      </w:r>
      <w:r w:rsidR="00BA3DC6" w:rsidRPr="006709ED">
        <w:rPr>
          <w:rFonts w:ascii="Times New Roman" w:hAnsi="Times New Roman"/>
          <w:b w:val="0"/>
        </w:rPr>
        <w:t>sur les 5 années du cycle</w:t>
      </w:r>
      <w:r w:rsidR="006709ED">
        <w:rPr>
          <w:rFonts w:ascii="Times New Roman" w:hAnsi="Times New Roman"/>
          <w:b w:val="0"/>
        </w:rPr>
        <w:t xml:space="preserve">, répartis entre </w:t>
      </w:r>
      <w:r w:rsidR="00DC1CF1" w:rsidRPr="00DC1CF1">
        <w:rPr>
          <w:rFonts w:ascii="Times New Roman" w:hAnsi="Times New Roman"/>
          <w:b w:val="0"/>
        </w:rPr>
        <w:t>31 943</w:t>
      </w:r>
      <w:r w:rsidR="00DC1CF1">
        <w:rPr>
          <w:rFonts w:ascii="Times New Roman" w:hAnsi="Times New Roman"/>
          <w:b w:val="0"/>
        </w:rPr>
        <w:t> </w:t>
      </w:r>
      <w:r w:rsidR="00DC1CF1" w:rsidRPr="00DC1CF1">
        <w:rPr>
          <w:rFonts w:ascii="Times New Roman" w:hAnsi="Times New Roman"/>
          <w:b w:val="0"/>
        </w:rPr>
        <w:t>000</w:t>
      </w:r>
      <w:r w:rsidR="00DC1CF1">
        <w:rPr>
          <w:rFonts w:ascii="Times New Roman" w:hAnsi="Times New Roman"/>
          <w:b w:val="0"/>
        </w:rPr>
        <w:t xml:space="preserve"> USD de ressources core et </w:t>
      </w:r>
      <w:r w:rsidR="00DC1CF1" w:rsidRPr="00DC1CF1">
        <w:rPr>
          <w:rFonts w:ascii="Times New Roman" w:hAnsi="Times New Roman"/>
          <w:b w:val="0"/>
        </w:rPr>
        <w:t>155 500</w:t>
      </w:r>
      <w:r w:rsidR="00DC1CF1">
        <w:rPr>
          <w:rFonts w:ascii="Times New Roman" w:hAnsi="Times New Roman"/>
          <w:b w:val="0"/>
        </w:rPr>
        <w:t> </w:t>
      </w:r>
      <w:r w:rsidR="00DC1CF1" w:rsidRPr="00DC1CF1">
        <w:rPr>
          <w:rFonts w:ascii="Times New Roman" w:hAnsi="Times New Roman"/>
          <w:b w:val="0"/>
        </w:rPr>
        <w:t>000</w:t>
      </w:r>
      <w:r w:rsidR="00DC1CF1">
        <w:rPr>
          <w:rFonts w:ascii="Times New Roman" w:hAnsi="Times New Roman"/>
          <w:b w:val="0"/>
        </w:rPr>
        <w:t xml:space="preserve"> USD à mobiliser</w:t>
      </w:r>
      <w:r w:rsidR="00BA3DC6" w:rsidRPr="006709ED">
        <w:rPr>
          <w:rFonts w:ascii="Times New Roman" w:hAnsi="Times New Roman"/>
          <w:b w:val="0"/>
        </w:rPr>
        <w:t xml:space="preserve">. A </w:t>
      </w:r>
      <w:r w:rsidR="006709ED">
        <w:rPr>
          <w:rFonts w:ascii="Times New Roman" w:hAnsi="Times New Roman"/>
          <w:b w:val="0"/>
        </w:rPr>
        <w:t xml:space="preserve">mi-parcours </w:t>
      </w:r>
      <w:r w:rsidR="00ED4CD5" w:rsidRPr="006709ED">
        <w:rPr>
          <w:rFonts w:ascii="Times New Roman" w:hAnsi="Times New Roman"/>
          <w:b w:val="0"/>
        </w:rPr>
        <w:t xml:space="preserve">de </w:t>
      </w:r>
      <w:r w:rsidR="00A55071" w:rsidRPr="006709ED">
        <w:rPr>
          <w:rFonts w:ascii="Times New Roman" w:hAnsi="Times New Roman"/>
          <w:b w:val="0"/>
        </w:rPr>
        <w:t>l’échéance</w:t>
      </w:r>
      <w:r w:rsidR="00BA3DC6" w:rsidRPr="006709ED">
        <w:rPr>
          <w:rFonts w:ascii="Times New Roman" w:hAnsi="Times New Roman"/>
          <w:b w:val="0"/>
        </w:rPr>
        <w:t xml:space="preserve">, le total des ressources </w:t>
      </w:r>
      <w:r w:rsidR="00DC1CF1">
        <w:rPr>
          <w:rFonts w:ascii="Times New Roman" w:hAnsi="Times New Roman"/>
          <w:b w:val="0"/>
        </w:rPr>
        <w:t xml:space="preserve">disponibles sur les quatre résultats stratégiques du programme s’élève à </w:t>
      </w:r>
      <w:r w:rsidR="00DC1CF1" w:rsidRPr="00DC1CF1">
        <w:rPr>
          <w:rFonts w:ascii="Times New Roman" w:hAnsi="Times New Roman"/>
          <w:b w:val="0"/>
        </w:rPr>
        <w:t xml:space="preserve">187 943 000 </w:t>
      </w:r>
      <w:r w:rsidR="00BA3DC6" w:rsidRPr="006709ED">
        <w:rPr>
          <w:rFonts w:ascii="Times New Roman" w:hAnsi="Times New Roman"/>
          <w:b w:val="0"/>
        </w:rPr>
        <w:t xml:space="preserve">USD, </w:t>
      </w:r>
      <w:r w:rsidR="00DC1CF1">
        <w:rPr>
          <w:rFonts w:ascii="Times New Roman" w:hAnsi="Times New Roman"/>
          <w:b w:val="0"/>
        </w:rPr>
        <w:t xml:space="preserve">distribués entre  </w:t>
      </w:r>
      <w:r w:rsidR="00DC1CF1" w:rsidRPr="00DC1CF1">
        <w:rPr>
          <w:rFonts w:ascii="Times New Roman" w:hAnsi="Times New Roman"/>
          <w:b w:val="0"/>
        </w:rPr>
        <w:t xml:space="preserve">31 943 000 </w:t>
      </w:r>
      <w:r w:rsidR="00DC1CF1">
        <w:rPr>
          <w:rFonts w:ascii="Times New Roman" w:hAnsi="Times New Roman"/>
          <w:b w:val="0"/>
        </w:rPr>
        <w:t xml:space="preserve">USD de ressources ordinaires et  </w:t>
      </w:r>
      <w:r w:rsidR="00DC1CF1" w:rsidRPr="00DC1CF1">
        <w:rPr>
          <w:rFonts w:ascii="Times New Roman" w:hAnsi="Times New Roman"/>
          <w:b w:val="0"/>
        </w:rPr>
        <w:t>156 000</w:t>
      </w:r>
      <w:r w:rsidR="00DC1CF1">
        <w:rPr>
          <w:rFonts w:ascii="Times New Roman" w:hAnsi="Times New Roman"/>
          <w:b w:val="0"/>
        </w:rPr>
        <w:t> </w:t>
      </w:r>
      <w:r w:rsidR="00DC1CF1" w:rsidRPr="00DC1CF1">
        <w:rPr>
          <w:rFonts w:ascii="Times New Roman" w:hAnsi="Times New Roman"/>
          <w:b w:val="0"/>
        </w:rPr>
        <w:t>000</w:t>
      </w:r>
      <w:r w:rsidR="00DC1CF1">
        <w:rPr>
          <w:rFonts w:ascii="Times New Roman" w:hAnsi="Times New Roman"/>
          <w:b w:val="0"/>
        </w:rPr>
        <w:t xml:space="preserve"> USD au titre des ressources externes</w:t>
      </w:r>
      <w:r w:rsidR="00BA3DC6" w:rsidRPr="006709ED">
        <w:rPr>
          <w:rFonts w:ascii="Times New Roman" w:hAnsi="Times New Roman"/>
          <w:b w:val="0"/>
        </w:rPr>
        <w:t xml:space="preserve">. </w:t>
      </w:r>
      <w:r w:rsidR="005E4020" w:rsidRPr="006709ED">
        <w:rPr>
          <w:rFonts w:ascii="Times New Roman" w:hAnsi="Times New Roman"/>
          <w:b w:val="0"/>
        </w:rPr>
        <w:t>Cet important résultat de mobilisation de ressources est une conséquence des responsabilités prises par le Bureau et le programme dans la gestion de la crise majeure qu</w:t>
      </w:r>
      <w:r w:rsidR="00DC1CF1">
        <w:rPr>
          <w:rFonts w:ascii="Times New Roman" w:hAnsi="Times New Roman"/>
          <w:b w:val="0"/>
        </w:rPr>
        <w:t>e traverse le Mali depuis 2013</w:t>
      </w:r>
      <w:r w:rsidR="005E4020" w:rsidRPr="006709ED">
        <w:rPr>
          <w:rFonts w:ascii="Times New Roman" w:hAnsi="Times New Roman"/>
          <w:b w:val="0"/>
        </w:rPr>
        <w:t>.</w:t>
      </w:r>
    </w:p>
    <w:p w14:paraId="4FBAC6B6" w14:textId="77777777" w:rsidR="0082359A" w:rsidRDefault="0082359A" w:rsidP="0082359A">
      <w:pPr>
        <w:pStyle w:val="Titre1"/>
        <w:spacing w:before="0" w:line="240" w:lineRule="auto"/>
        <w:rPr>
          <w:rFonts w:ascii="Times New Roman" w:hAnsi="Times New Roman"/>
          <w:color w:val="auto"/>
          <w:sz w:val="24"/>
          <w:szCs w:val="24"/>
        </w:rPr>
      </w:pPr>
    </w:p>
    <w:p w14:paraId="4B660CC2" w14:textId="77777777" w:rsidR="0082359A" w:rsidRPr="000442E1" w:rsidRDefault="0082359A" w:rsidP="0082359A">
      <w:pPr>
        <w:pStyle w:val="Titre1"/>
        <w:spacing w:before="0" w:line="240" w:lineRule="auto"/>
        <w:rPr>
          <w:rFonts w:ascii="Times New Roman" w:hAnsi="Times New Roman"/>
          <w:color w:val="auto"/>
          <w:sz w:val="24"/>
          <w:szCs w:val="24"/>
        </w:rPr>
      </w:pPr>
      <w:bookmarkStart w:id="145" w:name="_Toc499211626"/>
      <w:bookmarkStart w:id="146" w:name="_Toc499213899"/>
      <w:r>
        <w:rPr>
          <w:rFonts w:ascii="Times New Roman" w:hAnsi="Times New Roman"/>
          <w:color w:val="auto"/>
          <w:sz w:val="24"/>
          <w:szCs w:val="24"/>
        </w:rPr>
        <w:t>Figures 2</w:t>
      </w:r>
      <w:r w:rsidRPr="000442E1">
        <w:rPr>
          <w:rFonts w:ascii="Times New Roman" w:hAnsi="Times New Roman"/>
          <w:color w:val="auto"/>
          <w:sz w:val="24"/>
          <w:szCs w:val="24"/>
        </w:rPr>
        <w:t xml:space="preserve"> : </w:t>
      </w:r>
      <w:r>
        <w:rPr>
          <w:rFonts w:ascii="Times New Roman" w:hAnsi="Times New Roman"/>
          <w:color w:val="auto"/>
          <w:sz w:val="24"/>
          <w:szCs w:val="24"/>
        </w:rPr>
        <w:t>Programmation versus Exécution budgétaire</w:t>
      </w:r>
      <w:bookmarkEnd w:id="145"/>
      <w:bookmarkEnd w:id="146"/>
    </w:p>
    <w:p w14:paraId="250443BF" w14:textId="77777777" w:rsidR="0082359A" w:rsidRDefault="0082359A" w:rsidP="006709ED">
      <w:pPr>
        <w:pStyle w:val="Default"/>
        <w:jc w:val="both"/>
        <w:rPr>
          <w:rFonts w:ascii="Times New Roman" w:hAnsi="Times New Roman"/>
          <w:b w:val="0"/>
        </w:rPr>
      </w:pPr>
    </w:p>
    <w:p w14:paraId="2FA7C4FD" w14:textId="77777777" w:rsidR="00184C37" w:rsidRDefault="00184C37">
      <w:pPr>
        <w:spacing w:after="0" w:line="240" w:lineRule="auto"/>
        <w:rPr>
          <w:rFonts w:ascii="Times New Roman" w:hAnsi="Times New Roman"/>
          <w:b/>
        </w:rPr>
      </w:pPr>
    </w:p>
    <w:p w14:paraId="523CE624" w14:textId="3C76D5FD" w:rsidR="00184C37" w:rsidRDefault="00EA74DA">
      <w:pPr>
        <w:spacing w:after="0" w:line="240" w:lineRule="auto"/>
        <w:rPr>
          <w:rFonts w:ascii="Times New Roman" w:hAnsi="Times New Roman"/>
          <w:b/>
        </w:rPr>
      </w:pPr>
      <w:r>
        <w:rPr>
          <w:rFonts w:ascii="Times New Roman" w:hAnsi="Times New Roman"/>
          <w:b/>
          <w:noProof/>
          <w:lang w:eastAsia="fr-FR"/>
        </w:rPr>
        <mc:AlternateContent>
          <mc:Choice Requires="wpg">
            <w:drawing>
              <wp:anchor distT="0" distB="0" distL="114300" distR="114300" simplePos="0" relativeHeight="251668992" behindDoc="0" locked="0" layoutInCell="1" allowOverlap="1" wp14:anchorId="0F1B776E" wp14:editId="14131E1C">
                <wp:simplePos x="0" y="0"/>
                <wp:positionH relativeFrom="column">
                  <wp:posOffset>-66675</wp:posOffset>
                </wp:positionH>
                <wp:positionV relativeFrom="paragraph">
                  <wp:posOffset>6985</wp:posOffset>
                </wp:positionV>
                <wp:extent cx="5925820" cy="3026410"/>
                <wp:effectExtent l="5080" t="5715" r="12700" b="0"/>
                <wp:wrapNone/>
                <wp:docPr id="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820" cy="3026410"/>
                          <a:chOff x="1313" y="5927"/>
                          <a:chExt cx="9332" cy="4766"/>
                        </a:xfrm>
                      </wpg:grpSpPr>
                      <wps:wsp>
                        <wps:cNvPr id="9" name="Text Box 13"/>
                        <wps:cNvSpPr txBox="1">
                          <a:spLocks noChangeArrowheads="1"/>
                        </wps:cNvSpPr>
                        <wps:spPr bwMode="auto">
                          <a:xfrm>
                            <a:off x="1313" y="5927"/>
                            <a:ext cx="4496" cy="4334"/>
                          </a:xfrm>
                          <a:prstGeom prst="rect">
                            <a:avLst/>
                          </a:prstGeom>
                          <a:solidFill>
                            <a:srgbClr val="FFFFFF"/>
                          </a:solidFill>
                          <a:ln w="9525">
                            <a:solidFill>
                              <a:srgbClr val="000000"/>
                            </a:solidFill>
                            <a:miter lim="800000"/>
                            <a:headEnd/>
                            <a:tailEnd/>
                          </a:ln>
                        </wps:spPr>
                        <wps:txbx>
                          <w:txbxContent>
                            <w:p w14:paraId="01D8160B" w14:textId="77777777" w:rsidR="004F261E" w:rsidRDefault="004F261E">
                              <w:r>
                                <w:rPr>
                                  <w:noProof/>
                                  <w:lang w:eastAsia="fr-FR"/>
                                </w:rPr>
                                <w:drawing>
                                  <wp:inline distT="0" distB="0" distL="0" distR="0" wp14:anchorId="4AA0CFE0" wp14:editId="1653A4E3">
                                    <wp:extent cx="2654315" cy="2668772"/>
                                    <wp:effectExtent l="1905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wps:txbx>
                        <wps:bodyPr rot="0" vert="horz" wrap="square" lIns="91440" tIns="45720" rIns="91440" bIns="45720" anchor="t" anchorCtr="0" upright="1">
                          <a:noAutofit/>
                        </wps:bodyPr>
                      </wps:wsp>
                      <wps:wsp>
                        <wps:cNvPr id="10" name="Text Box 14"/>
                        <wps:cNvSpPr txBox="1">
                          <a:spLocks noChangeArrowheads="1"/>
                        </wps:cNvSpPr>
                        <wps:spPr bwMode="auto">
                          <a:xfrm>
                            <a:off x="6149" y="5927"/>
                            <a:ext cx="4496" cy="4334"/>
                          </a:xfrm>
                          <a:prstGeom prst="rect">
                            <a:avLst/>
                          </a:prstGeom>
                          <a:solidFill>
                            <a:srgbClr val="FFFFFF"/>
                          </a:solidFill>
                          <a:ln w="9525">
                            <a:solidFill>
                              <a:srgbClr val="000000"/>
                            </a:solidFill>
                            <a:miter lim="800000"/>
                            <a:headEnd/>
                            <a:tailEnd/>
                          </a:ln>
                        </wps:spPr>
                        <wps:txbx>
                          <w:txbxContent>
                            <w:p w14:paraId="77C873BA" w14:textId="77777777" w:rsidR="004F261E" w:rsidRDefault="004F261E" w:rsidP="00352445">
                              <w:r w:rsidRPr="00686FAE">
                                <w:rPr>
                                  <w:noProof/>
                                  <w:lang w:eastAsia="fr-FR"/>
                                </w:rPr>
                                <w:drawing>
                                  <wp:inline distT="0" distB="0" distL="0" distR="0" wp14:anchorId="21E94A25" wp14:editId="0DCE3154">
                                    <wp:extent cx="2654315" cy="2668772"/>
                                    <wp:effectExtent l="19050" t="0" r="0" b="0"/>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wps:txbx>
                        <wps:bodyPr rot="0" vert="horz" wrap="square" lIns="91440" tIns="45720" rIns="91440" bIns="45720" anchor="t" anchorCtr="0" upright="1">
                          <a:noAutofit/>
                        </wps:bodyPr>
                      </wps:wsp>
                      <wps:wsp>
                        <wps:cNvPr id="13" name="Text Box 15"/>
                        <wps:cNvSpPr txBox="1">
                          <a:spLocks noChangeArrowheads="1"/>
                        </wps:cNvSpPr>
                        <wps:spPr bwMode="auto">
                          <a:xfrm>
                            <a:off x="1423" y="10275"/>
                            <a:ext cx="9222"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E1B6F" w14:textId="77777777" w:rsidR="004F261E" w:rsidRPr="00184C37" w:rsidRDefault="004F261E">
                              <w:pPr>
                                <w:rPr>
                                  <w:i/>
                                </w:rPr>
                              </w:pPr>
                              <w:r w:rsidRPr="00184C37">
                                <w:rPr>
                                  <w:b/>
                                  <w:i/>
                                  <w:u w:val="single"/>
                                </w:rPr>
                                <w:t>Source</w:t>
                              </w:r>
                              <w:r w:rsidRPr="00184C37">
                                <w:rPr>
                                  <w:i/>
                                </w:rPr>
                                <w:t> : Données budgétaires, PMSU, PNUD, Mal</w:t>
                              </w:r>
                              <w:r>
                                <w:rPr>
                                  <w:i/>
                                </w:rPr>
                                <w:t>,</w:t>
                              </w:r>
                              <w:r w:rsidRPr="00184C37">
                                <w:rPr>
                                  <w:i/>
                                </w:rPr>
                                <w:t xml:space="preserve"> Bamako, Octobre 2017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B776E" id="Group 24" o:spid="_x0000_s1036" style="position:absolute;margin-left:-5.25pt;margin-top:.55pt;width:466.6pt;height:238.3pt;z-index:251668992" coordorigin="1313,5927" coordsize="9332,4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">
                <v:shape id="Text Box 13" o:spid="_x0000_s1037" type="#_x0000_t202" style="position:absolute;left:1313;top:5927;width:4496;height:4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01D8160B" w14:textId="77777777" w:rsidR="004F261E" w:rsidRDefault="004F261E">
                        <w:r>
                          <w:rPr>
                            <w:noProof/>
                            <w:lang w:eastAsia="fr-FR"/>
                          </w:rPr>
                          <w:drawing>
                            <wp:inline distT="0" distB="0" distL="0" distR="0" wp14:anchorId="4AA0CFE0" wp14:editId="1653A4E3">
                              <wp:extent cx="2654315" cy="2668772"/>
                              <wp:effectExtent l="1905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v:shape id="Text Box 14" o:spid="_x0000_s1038" type="#_x0000_t202" style="position:absolute;left:6149;top:5927;width:4496;height:4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77C873BA" w14:textId="77777777" w:rsidR="004F261E" w:rsidRDefault="004F261E" w:rsidP="00352445">
                        <w:r w:rsidRPr="00686FAE">
                          <w:rPr>
                            <w:noProof/>
                            <w:lang w:eastAsia="fr-FR"/>
                          </w:rPr>
                          <w:drawing>
                            <wp:inline distT="0" distB="0" distL="0" distR="0" wp14:anchorId="21E94A25" wp14:editId="0DCE3154">
                              <wp:extent cx="2654315" cy="2668772"/>
                              <wp:effectExtent l="19050" t="0" r="0" b="0"/>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shape>
                <v:shape id="_x0000_s1039" type="#_x0000_t202" style="position:absolute;left:1423;top:10275;width:9222;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61CE1B6F" w14:textId="77777777" w:rsidR="004F261E" w:rsidRPr="00184C37" w:rsidRDefault="004F261E">
                        <w:pPr>
                          <w:rPr>
                            <w:i/>
                          </w:rPr>
                        </w:pPr>
                        <w:r w:rsidRPr="00184C37">
                          <w:rPr>
                            <w:b/>
                            <w:i/>
                            <w:u w:val="single"/>
                          </w:rPr>
                          <w:t>Source</w:t>
                        </w:r>
                        <w:r w:rsidRPr="00184C37">
                          <w:rPr>
                            <w:i/>
                          </w:rPr>
                          <w:t> : Données budgétaires, PMSU, PNUD, Mal</w:t>
                        </w:r>
                        <w:r>
                          <w:rPr>
                            <w:i/>
                          </w:rPr>
                          <w:t>,</w:t>
                        </w:r>
                        <w:r w:rsidRPr="00184C37">
                          <w:rPr>
                            <w:i/>
                          </w:rPr>
                          <w:t xml:space="preserve"> Bamako, Octobre 2017</w:t>
                        </w:r>
                      </w:p>
                    </w:txbxContent>
                  </v:textbox>
                </v:shape>
              </v:group>
            </w:pict>
          </mc:Fallback>
        </mc:AlternateContent>
      </w:r>
    </w:p>
    <w:p w14:paraId="0555D0D1" w14:textId="77777777" w:rsidR="00184C37" w:rsidRDefault="00184C37">
      <w:pPr>
        <w:spacing w:after="0" w:line="240" w:lineRule="auto"/>
        <w:rPr>
          <w:rFonts w:ascii="Times New Roman" w:hAnsi="Times New Roman"/>
          <w:b/>
        </w:rPr>
      </w:pPr>
    </w:p>
    <w:p w14:paraId="48389E51" w14:textId="77777777" w:rsidR="00184C37" w:rsidRDefault="00184C37">
      <w:pPr>
        <w:spacing w:after="0" w:line="240" w:lineRule="auto"/>
        <w:rPr>
          <w:rFonts w:ascii="Times New Roman" w:hAnsi="Times New Roman"/>
          <w:b/>
        </w:rPr>
      </w:pPr>
    </w:p>
    <w:p w14:paraId="3F1E72B3" w14:textId="77777777" w:rsidR="00184C37" w:rsidRDefault="00184C37">
      <w:pPr>
        <w:spacing w:after="0" w:line="240" w:lineRule="auto"/>
        <w:rPr>
          <w:rFonts w:ascii="Times New Roman" w:hAnsi="Times New Roman"/>
          <w:b/>
        </w:rPr>
      </w:pPr>
    </w:p>
    <w:p w14:paraId="0E231EBD" w14:textId="77777777" w:rsidR="00184C37" w:rsidRDefault="00184C37">
      <w:pPr>
        <w:spacing w:after="0" w:line="240" w:lineRule="auto"/>
        <w:rPr>
          <w:rFonts w:ascii="Times New Roman" w:hAnsi="Times New Roman"/>
          <w:b/>
        </w:rPr>
      </w:pPr>
    </w:p>
    <w:p w14:paraId="745EE6BD" w14:textId="77777777" w:rsidR="00454255" w:rsidRDefault="00454255">
      <w:pPr>
        <w:spacing w:after="0" w:line="240" w:lineRule="auto"/>
        <w:rPr>
          <w:rFonts w:ascii="Times New Roman" w:hAnsi="Times New Roman"/>
          <w:b/>
        </w:rPr>
      </w:pPr>
    </w:p>
    <w:p w14:paraId="77C6D5B2" w14:textId="77777777" w:rsidR="00454255" w:rsidRDefault="00454255">
      <w:pPr>
        <w:spacing w:after="0" w:line="240" w:lineRule="auto"/>
        <w:rPr>
          <w:rFonts w:ascii="Times New Roman" w:hAnsi="Times New Roman"/>
          <w:b/>
        </w:rPr>
      </w:pPr>
    </w:p>
    <w:p w14:paraId="22010361" w14:textId="77777777" w:rsidR="00454255" w:rsidRDefault="00454255">
      <w:pPr>
        <w:spacing w:after="0" w:line="240" w:lineRule="auto"/>
        <w:rPr>
          <w:rFonts w:ascii="Times New Roman" w:hAnsi="Times New Roman"/>
          <w:b/>
        </w:rPr>
      </w:pPr>
    </w:p>
    <w:p w14:paraId="1BEB6181" w14:textId="77777777" w:rsidR="00454255" w:rsidRDefault="00454255">
      <w:pPr>
        <w:spacing w:after="0" w:line="240" w:lineRule="auto"/>
        <w:rPr>
          <w:rFonts w:ascii="Times New Roman" w:hAnsi="Times New Roman"/>
          <w:b/>
        </w:rPr>
      </w:pPr>
    </w:p>
    <w:p w14:paraId="30084D5C" w14:textId="77777777" w:rsidR="00454255" w:rsidRDefault="00454255">
      <w:pPr>
        <w:spacing w:after="0" w:line="240" w:lineRule="auto"/>
        <w:rPr>
          <w:rFonts w:ascii="Times New Roman" w:hAnsi="Times New Roman"/>
          <w:b/>
        </w:rPr>
      </w:pPr>
    </w:p>
    <w:p w14:paraId="498C7E70" w14:textId="77777777" w:rsidR="00454255" w:rsidRDefault="00454255">
      <w:pPr>
        <w:spacing w:after="0" w:line="240" w:lineRule="auto"/>
        <w:rPr>
          <w:rFonts w:ascii="Times New Roman" w:hAnsi="Times New Roman"/>
          <w:b/>
        </w:rPr>
      </w:pPr>
    </w:p>
    <w:p w14:paraId="2DDB7B7C" w14:textId="77777777" w:rsidR="00184C37" w:rsidRDefault="00184C37">
      <w:pPr>
        <w:spacing w:after="0" w:line="240" w:lineRule="auto"/>
        <w:rPr>
          <w:rFonts w:ascii="Times New Roman" w:hAnsi="Times New Roman"/>
          <w:b/>
        </w:rPr>
      </w:pPr>
    </w:p>
    <w:p w14:paraId="581D13FF" w14:textId="77777777" w:rsidR="00454255" w:rsidRDefault="00454255">
      <w:pPr>
        <w:spacing w:after="0" w:line="240" w:lineRule="auto"/>
        <w:rPr>
          <w:rFonts w:ascii="Times New Roman" w:hAnsi="Times New Roman"/>
          <w:b/>
        </w:rPr>
      </w:pPr>
    </w:p>
    <w:p w14:paraId="6E94F035" w14:textId="77777777" w:rsidR="00184C37" w:rsidRDefault="00184C37">
      <w:pPr>
        <w:spacing w:after="0" w:line="240" w:lineRule="auto"/>
        <w:rPr>
          <w:rFonts w:ascii="Times New Roman" w:hAnsi="Times New Roman"/>
          <w:b/>
        </w:rPr>
      </w:pPr>
    </w:p>
    <w:p w14:paraId="62D00189" w14:textId="77777777" w:rsidR="00184C37" w:rsidRDefault="00184C37">
      <w:pPr>
        <w:spacing w:after="0" w:line="240" w:lineRule="auto"/>
        <w:rPr>
          <w:rFonts w:ascii="Times New Roman" w:hAnsi="Times New Roman"/>
          <w:b/>
        </w:rPr>
      </w:pPr>
    </w:p>
    <w:p w14:paraId="60D7CE58" w14:textId="77777777" w:rsidR="00184C37" w:rsidRDefault="00184C37">
      <w:pPr>
        <w:spacing w:after="0" w:line="240" w:lineRule="auto"/>
        <w:rPr>
          <w:rFonts w:ascii="Times New Roman" w:hAnsi="Times New Roman"/>
          <w:b/>
        </w:rPr>
      </w:pPr>
    </w:p>
    <w:p w14:paraId="5213DD2F" w14:textId="77777777" w:rsidR="00184C37" w:rsidRDefault="00184C37">
      <w:pPr>
        <w:spacing w:after="0" w:line="240" w:lineRule="auto"/>
        <w:rPr>
          <w:rFonts w:ascii="Times New Roman" w:hAnsi="Times New Roman"/>
          <w:b/>
        </w:rPr>
      </w:pPr>
    </w:p>
    <w:p w14:paraId="5F193E65" w14:textId="77777777" w:rsidR="00184C37" w:rsidRDefault="00184C37">
      <w:pPr>
        <w:spacing w:after="0" w:line="240" w:lineRule="auto"/>
        <w:rPr>
          <w:rFonts w:ascii="Times New Roman" w:hAnsi="Times New Roman"/>
          <w:b/>
        </w:rPr>
      </w:pPr>
    </w:p>
    <w:p w14:paraId="667B9F3A" w14:textId="77777777" w:rsidR="00184C37" w:rsidRDefault="00184C37">
      <w:pPr>
        <w:spacing w:after="0" w:line="240" w:lineRule="auto"/>
        <w:rPr>
          <w:rFonts w:ascii="Times New Roman" w:hAnsi="Times New Roman"/>
          <w:b/>
        </w:rPr>
      </w:pPr>
    </w:p>
    <w:p w14:paraId="2F985B8C" w14:textId="77777777" w:rsidR="00184C37" w:rsidRDefault="00184C37">
      <w:pPr>
        <w:spacing w:after="0" w:line="240" w:lineRule="auto"/>
        <w:rPr>
          <w:rFonts w:ascii="Times New Roman" w:hAnsi="Times New Roman"/>
          <w:b/>
        </w:rPr>
      </w:pPr>
    </w:p>
    <w:p w14:paraId="02FCDDC8" w14:textId="77777777" w:rsidR="0045466A" w:rsidRDefault="00454255" w:rsidP="00664267">
      <w:pPr>
        <w:spacing w:after="0" w:line="240" w:lineRule="auto"/>
        <w:jc w:val="both"/>
        <w:rPr>
          <w:rFonts w:ascii="Times New Roman" w:hAnsi="Times New Roman"/>
          <w:sz w:val="24"/>
          <w:szCs w:val="24"/>
        </w:rPr>
      </w:pPr>
      <w:r>
        <w:rPr>
          <w:rFonts w:ascii="Times New Roman" w:hAnsi="Times New Roman"/>
          <w:sz w:val="24"/>
          <w:szCs w:val="24"/>
        </w:rPr>
        <w:t>8</w:t>
      </w:r>
      <w:r w:rsidR="000B5082">
        <w:rPr>
          <w:rFonts w:ascii="Times New Roman" w:hAnsi="Times New Roman"/>
          <w:sz w:val="24"/>
          <w:szCs w:val="24"/>
        </w:rPr>
        <w:t>4</w:t>
      </w:r>
      <w:r>
        <w:rPr>
          <w:rFonts w:ascii="Times New Roman" w:hAnsi="Times New Roman"/>
          <w:sz w:val="24"/>
          <w:szCs w:val="24"/>
        </w:rPr>
        <w:t>.</w:t>
      </w:r>
      <w:r w:rsidR="002710EA" w:rsidRPr="00664267">
        <w:rPr>
          <w:rFonts w:ascii="Times New Roman" w:hAnsi="Times New Roman"/>
          <w:sz w:val="24"/>
          <w:szCs w:val="24"/>
        </w:rPr>
        <w:tab/>
        <w:t xml:space="preserve">Il ressort des graphiques ci-dessus que le programme connaît des rééquilibrages significatifs entre la phase de programmation budgétaire et la réalité de l’exécution des ressources, en termes d’ancrage dans les résultats stratégiques. Dans l’allocation initiale, l’écart de provisions extrêmes est de 46 millions de dollar, entre le Résultat 1 (25 millions) et le Résultat 2 (71). </w:t>
      </w:r>
      <w:r w:rsidR="00664267" w:rsidRPr="00664267">
        <w:rPr>
          <w:rFonts w:ascii="Times New Roman" w:hAnsi="Times New Roman"/>
          <w:sz w:val="24"/>
          <w:szCs w:val="24"/>
        </w:rPr>
        <w:t xml:space="preserve">Il n’est plus, à fin Septembre 2017, que de </w:t>
      </w:r>
      <w:r w:rsidR="00664267">
        <w:rPr>
          <w:rFonts w:ascii="Times New Roman" w:hAnsi="Times New Roman"/>
          <w:sz w:val="24"/>
          <w:szCs w:val="24"/>
        </w:rPr>
        <w:t>33</w:t>
      </w:r>
      <w:r w:rsidR="00664267" w:rsidRPr="00664267">
        <w:rPr>
          <w:rFonts w:ascii="Times New Roman" w:hAnsi="Times New Roman"/>
          <w:sz w:val="24"/>
          <w:szCs w:val="24"/>
        </w:rPr>
        <w:t xml:space="preserve"> millions, et non plus entre les Résultats 1 et 2, mais entre le Résultat 1 (8 millions) et le Résultat 4 (41 millions)</w:t>
      </w:r>
      <w:r w:rsidR="00664267">
        <w:rPr>
          <w:rFonts w:ascii="Times New Roman" w:hAnsi="Times New Roman"/>
          <w:sz w:val="24"/>
          <w:szCs w:val="24"/>
        </w:rPr>
        <w:t>. Ainsi que l’illustre le graphe ci-dessous, l’importance budgétaire relative des différents résultats a significativement évolué, au profit notamment du Résultat 4, ce qui dénote l’importance qu’ont prise dans le programme les ressources du Fonds Mondial contre la Paludisme, la Tuberculose et le VIH/SIDA.</w:t>
      </w:r>
      <w:r w:rsidR="002171EB">
        <w:rPr>
          <w:rFonts w:ascii="Times New Roman" w:hAnsi="Times New Roman"/>
          <w:sz w:val="24"/>
          <w:szCs w:val="24"/>
        </w:rPr>
        <w:t xml:space="preserve"> De fait, près de 40% des décaissements du programme s’inscrivent dans le cadre des ressources levées auprès de ce bailleur pour lequel le Bureau du PNUD au Mali assure le statut de récipiendaire principal pour le pays.</w:t>
      </w:r>
    </w:p>
    <w:p w14:paraId="39D505EB" w14:textId="77777777" w:rsidR="0082359A" w:rsidRDefault="0082359A" w:rsidP="00664267">
      <w:pPr>
        <w:spacing w:after="0" w:line="240" w:lineRule="auto"/>
        <w:jc w:val="both"/>
        <w:rPr>
          <w:rFonts w:ascii="Times New Roman" w:hAnsi="Times New Roman"/>
          <w:sz w:val="24"/>
          <w:szCs w:val="24"/>
        </w:rPr>
      </w:pPr>
    </w:p>
    <w:p w14:paraId="3C50CE0F" w14:textId="77777777" w:rsidR="0082359A" w:rsidRDefault="0082359A" w:rsidP="0082359A">
      <w:pPr>
        <w:pStyle w:val="Titre1"/>
        <w:spacing w:before="0" w:line="240" w:lineRule="auto"/>
        <w:rPr>
          <w:rFonts w:ascii="Times New Roman" w:hAnsi="Times New Roman"/>
          <w:color w:val="auto"/>
          <w:sz w:val="24"/>
          <w:szCs w:val="24"/>
        </w:rPr>
      </w:pPr>
    </w:p>
    <w:p w14:paraId="02FDDD16" w14:textId="77777777" w:rsidR="0082359A" w:rsidRDefault="0082359A">
      <w:pPr>
        <w:spacing w:after="0" w:line="240" w:lineRule="auto"/>
        <w:rPr>
          <w:rFonts w:ascii="Times New Roman" w:eastAsia="Times New Roman" w:hAnsi="Times New Roman"/>
          <w:b/>
          <w:bCs/>
          <w:sz w:val="24"/>
          <w:szCs w:val="24"/>
        </w:rPr>
      </w:pPr>
      <w:r>
        <w:rPr>
          <w:rFonts w:ascii="Times New Roman" w:hAnsi="Times New Roman"/>
          <w:sz w:val="24"/>
          <w:szCs w:val="24"/>
        </w:rPr>
        <w:br w:type="page"/>
      </w:r>
    </w:p>
    <w:p w14:paraId="60173AFB" w14:textId="77777777" w:rsidR="0082359A" w:rsidRPr="000442E1" w:rsidRDefault="0082359A" w:rsidP="0082359A">
      <w:pPr>
        <w:pStyle w:val="Titre1"/>
        <w:spacing w:before="0" w:line="240" w:lineRule="auto"/>
        <w:rPr>
          <w:rFonts w:ascii="Times New Roman" w:hAnsi="Times New Roman"/>
          <w:color w:val="auto"/>
          <w:sz w:val="24"/>
          <w:szCs w:val="24"/>
        </w:rPr>
      </w:pPr>
      <w:bookmarkStart w:id="147" w:name="_Toc499211627"/>
      <w:bookmarkStart w:id="148" w:name="_Toc499213900"/>
      <w:r>
        <w:rPr>
          <w:rFonts w:ascii="Times New Roman" w:hAnsi="Times New Roman"/>
          <w:color w:val="auto"/>
          <w:sz w:val="24"/>
          <w:szCs w:val="24"/>
        </w:rPr>
        <w:lastRenderedPageBreak/>
        <w:t>Figure 3</w:t>
      </w:r>
      <w:r w:rsidRPr="000442E1">
        <w:rPr>
          <w:rFonts w:ascii="Times New Roman" w:hAnsi="Times New Roman"/>
          <w:color w:val="auto"/>
          <w:sz w:val="24"/>
          <w:szCs w:val="24"/>
        </w:rPr>
        <w:t xml:space="preserve"> : </w:t>
      </w:r>
      <w:r>
        <w:rPr>
          <w:rFonts w:ascii="Times New Roman" w:hAnsi="Times New Roman"/>
          <w:color w:val="auto"/>
          <w:sz w:val="24"/>
          <w:szCs w:val="24"/>
        </w:rPr>
        <w:t>Programme versus Exécution budgétaire, par Résultat</w:t>
      </w:r>
      <w:bookmarkEnd w:id="147"/>
      <w:bookmarkEnd w:id="148"/>
    </w:p>
    <w:p w14:paraId="763E8C8B" w14:textId="77777777" w:rsidR="0082359A" w:rsidRDefault="0082359A" w:rsidP="00664267">
      <w:pPr>
        <w:spacing w:after="0" w:line="240" w:lineRule="auto"/>
        <w:jc w:val="both"/>
        <w:rPr>
          <w:rFonts w:ascii="Times New Roman" w:hAnsi="Times New Roman"/>
          <w:sz w:val="24"/>
          <w:szCs w:val="24"/>
        </w:rPr>
      </w:pPr>
    </w:p>
    <w:p w14:paraId="58A2ADC6" w14:textId="77777777" w:rsidR="00184C37" w:rsidRPr="00664267" w:rsidRDefault="00184C37" w:rsidP="00664267">
      <w:pPr>
        <w:spacing w:after="0" w:line="240" w:lineRule="auto"/>
        <w:jc w:val="both"/>
        <w:rPr>
          <w:rFonts w:ascii="Times New Roman" w:hAnsi="Times New Roman"/>
          <w:sz w:val="24"/>
          <w:szCs w:val="24"/>
        </w:rPr>
      </w:pPr>
    </w:p>
    <w:p w14:paraId="73F179BD" w14:textId="438132A0" w:rsidR="0045466A" w:rsidRDefault="00EA74DA">
      <w:pPr>
        <w:spacing w:after="0" w:line="240" w:lineRule="auto"/>
        <w:rPr>
          <w:rFonts w:ascii="Times New Roman" w:hAnsi="Times New Roman"/>
          <w:b/>
          <w:sz w:val="24"/>
          <w:szCs w:val="24"/>
        </w:rPr>
      </w:pPr>
      <w:r>
        <w:rPr>
          <w:rFonts w:ascii="Times New Roman" w:hAnsi="Times New Roman"/>
          <w:b/>
          <w:noProof/>
          <w:sz w:val="24"/>
          <w:szCs w:val="24"/>
          <w:lang w:eastAsia="fr-FR"/>
        </w:rPr>
        <mc:AlternateContent>
          <mc:Choice Requires="wpg">
            <w:drawing>
              <wp:anchor distT="0" distB="0" distL="114300" distR="114300" simplePos="0" relativeHeight="251664896" behindDoc="0" locked="0" layoutInCell="1" allowOverlap="1" wp14:anchorId="2BC17E12" wp14:editId="57391255">
                <wp:simplePos x="0" y="0"/>
                <wp:positionH relativeFrom="column">
                  <wp:posOffset>3175</wp:posOffset>
                </wp:positionH>
                <wp:positionV relativeFrom="paragraph">
                  <wp:posOffset>24765</wp:posOffset>
                </wp:positionV>
                <wp:extent cx="5890895" cy="3658870"/>
                <wp:effectExtent l="0" t="3175" r="0" b="0"/>
                <wp:wrapNone/>
                <wp:docPr id="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895" cy="3658870"/>
                          <a:chOff x="1423" y="2009"/>
                          <a:chExt cx="9277" cy="5762"/>
                        </a:xfrm>
                      </wpg:grpSpPr>
                      <wps:wsp>
                        <wps:cNvPr id="6" name="Text Box 17"/>
                        <wps:cNvSpPr txBox="1">
                          <a:spLocks noChangeArrowheads="1"/>
                        </wps:cNvSpPr>
                        <wps:spPr bwMode="auto">
                          <a:xfrm>
                            <a:off x="1423" y="2009"/>
                            <a:ext cx="9277" cy="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C56CF" w14:textId="77777777" w:rsidR="004F261E" w:rsidRDefault="004F261E">
                              <w:r>
                                <w:rPr>
                                  <w:noProof/>
                                  <w:lang w:eastAsia="fr-FR"/>
                                </w:rPr>
                                <w:drawing>
                                  <wp:inline distT="0" distB="0" distL="0" distR="0" wp14:anchorId="3A472CB9" wp14:editId="578B7A71">
                                    <wp:extent cx="5765062" cy="3157870"/>
                                    <wp:effectExtent l="19050" t="0" r="7088"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wps:txbx>
                        <wps:bodyPr rot="0" vert="horz" wrap="square" lIns="91440" tIns="45720" rIns="91440" bIns="45720" anchor="t" anchorCtr="0" upright="1">
                          <a:noAutofit/>
                        </wps:bodyPr>
                      </wps:wsp>
                      <wps:wsp>
                        <wps:cNvPr id="7" name="Text Box 22"/>
                        <wps:cNvSpPr txBox="1">
                          <a:spLocks noChangeArrowheads="1"/>
                        </wps:cNvSpPr>
                        <wps:spPr bwMode="auto">
                          <a:xfrm>
                            <a:off x="1624" y="7234"/>
                            <a:ext cx="6999"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E6D9E" w14:textId="77777777" w:rsidR="004F261E" w:rsidRPr="00184C37" w:rsidRDefault="004F261E" w:rsidP="003929F9">
                              <w:pPr>
                                <w:rPr>
                                  <w:i/>
                                </w:rPr>
                              </w:pPr>
                              <w:r w:rsidRPr="00184C37">
                                <w:rPr>
                                  <w:b/>
                                  <w:i/>
                                  <w:u w:val="single"/>
                                </w:rPr>
                                <w:t>Source</w:t>
                              </w:r>
                              <w:r w:rsidRPr="00184C37">
                                <w:rPr>
                                  <w:i/>
                                </w:rPr>
                                <w:t> : Données budgétaires, PMSU, PNUD, Mal</w:t>
                              </w:r>
                              <w:r>
                                <w:rPr>
                                  <w:i/>
                                </w:rPr>
                                <w:t>i,</w:t>
                              </w:r>
                              <w:r w:rsidRPr="00184C37">
                                <w:rPr>
                                  <w:i/>
                                </w:rPr>
                                <w:t xml:space="preserve"> Bamako, Octobre 2017</w:t>
                              </w:r>
                            </w:p>
                            <w:p w14:paraId="5A9004E3" w14:textId="77777777" w:rsidR="004F261E" w:rsidRDefault="004F261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17E12" id="Group 23" o:spid="_x0000_s1040" style="position:absolute;margin-left:.25pt;margin-top:1.95pt;width:463.85pt;height:288.1pt;z-index:251664896" coordorigin="1423,2009" coordsize="9277,5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">
                <v:shape id="Text Box 17" o:spid="_x0000_s1041" type="#_x0000_t202" style="position:absolute;left:1423;top:2009;width:9277;height:5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722C56CF" w14:textId="77777777" w:rsidR="004F261E" w:rsidRDefault="004F261E">
                        <w:r>
                          <w:rPr>
                            <w:noProof/>
                            <w:lang w:eastAsia="fr-FR"/>
                          </w:rPr>
                          <w:drawing>
                            <wp:inline distT="0" distB="0" distL="0" distR="0" wp14:anchorId="3A472CB9" wp14:editId="578B7A71">
                              <wp:extent cx="5765062" cy="3157870"/>
                              <wp:effectExtent l="19050" t="0" r="7088"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v:shape>
                <v:shape id="Text Box 22" o:spid="_x0000_s1042" type="#_x0000_t202" style="position:absolute;left:1624;top:7234;width:6999;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0E0E6D9E" w14:textId="77777777" w:rsidR="004F261E" w:rsidRPr="00184C37" w:rsidRDefault="004F261E" w:rsidP="003929F9">
                        <w:pPr>
                          <w:rPr>
                            <w:i/>
                          </w:rPr>
                        </w:pPr>
                        <w:r w:rsidRPr="00184C37">
                          <w:rPr>
                            <w:b/>
                            <w:i/>
                            <w:u w:val="single"/>
                          </w:rPr>
                          <w:t>Source</w:t>
                        </w:r>
                        <w:r w:rsidRPr="00184C37">
                          <w:rPr>
                            <w:i/>
                          </w:rPr>
                          <w:t> : Données budgétaires, PMSU, PNUD, Mal</w:t>
                        </w:r>
                        <w:r>
                          <w:rPr>
                            <w:i/>
                          </w:rPr>
                          <w:t>i,</w:t>
                        </w:r>
                        <w:r w:rsidRPr="00184C37">
                          <w:rPr>
                            <w:i/>
                          </w:rPr>
                          <w:t xml:space="preserve"> Bamako, Octobre 2017</w:t>
                        </w:r>
                      </w:p>
                      <w:p w14:paraId="5A9004E3" w14:textId="77777777" w:rsidR="004F261E" w:rsidRDefault="004F261E"/>
                    </w:txbxContent>
                  </v:textbox>
                </v:shape>
              </v:group>
            </w:pict>
          </mc:Fallback>
        </mc:AlternateContent>
      </w:r>
    </w:p>
    <w:p w14:paraId="11D84EAF" w14:textId="77777777" w:rsidR="00CE410D" w:rsidRDefault="00CE410D">
      <w:pPr>
        <w:spacing w:after="0" w:line="240" w:lineRule="auto"/>
        <w:rPr>
          <w:rFonts w:ascii="Times New Roman" w:hAnsi="Times New Roman"/>
          <w:b/>
          <w:sz w:val="24"/>
          <w:szCs w:val="24"/>
        </w:rPr>
      </w:pPr>
    </w:p>
    <w:p w14:paraId="324F4F57" w14:textId="77777777" w:rsidR="0045466A" w:rsidRDefault="0045466A">
      <w:pPr>
        <w:spacing w:after="0" w:line="240" w:lineRule="auto"/>
        <w:rPr>
          <w:rFonts w:ascii="Times New Roman" w:hAnsi="Times New Roman"/>
          <w:b/>
          <w:sz w:val="24"/>
          <w:szCs w:val="24"/>
        </w:rPr>
      </w:pPr>
    </w:p>
    <w:p w14:paraId="27A38630" w14:textId="77777777" w:rsidR="0045466A" w:rsidRDefault="0045466A">
      <w:pPr>
        <w:spacing w:after="0" w:line="240" w:lineRule="auto"/>
        <w:rPr>
          <w:rFonts w:ascii="Times New Roman" w:hAnsi="Times New Roman"/>
          <w:b/>
          <w:sz w:val="24"/>
          <w:szCs w:val="24"/>
        </w:rPr>
      </w:pPr>
    </w:p>
    <w:p w14:paraId="475FA126" w14:textId="77777777" w:rsidR="0045466A" w:rsidRDefault="0045466A">
      <w:pPr>
        <w:spacing w:after="0" w:line="240" w:lineRule="auto"/>
        <w:rPr>
          <w:rFonts w:ascii="Times New Roman" w:hAnsi="Times New Roman"/>
          <w:b/>
          <w:sz w:val="24"/>
          <w:szCs w:val="24"/>
        </w:rPr>
      </w:pPr>
    </w:p>
    <w:p w14:paraId="3AB6141C" w14:textId="77777777" w:rsidR="0045466A" w:rsidRDefault="0045466A">
      <w:pPr>
        <w:spacing w:after="0" w:line="240" w:lineRule="auto"/>
        <w:rPr>
          <w:rFonts w:ascii="Times New Roman" w:hAnsi="Times New Roman"/>
          <w:b/>
          <w:sz w:val="24"/>
          <w:szCs w:val="24"/>
        </w:rPr>
      </w:pPr>
    </w:p>
    <w:p w14:paraId="762E3FD3" w14:textId="77777777" w:rsidR="0045466A" w:rsidRDefault="0045466A">
      <w:pPr>
        <w:spacing w:after="0" w:line="240" w:lineRule="auto"/>
        <w:rPr>
          <w:rFonts w:ascii="Times New Roman" w:hAnsi="Times New Roman"/>
          <w:b/>
          <w:sz w:val="24"/>
          <w:szCs w:val="24"/>
        </w:rPr>
      </w:pPr>
    </w:p>
    <w:p w14:paraId="675370B2" w14:textId="77777777" w:rsidR="0045466A" w:rsidRDefault="0045466A">
      <w:pPr>
        <w:spacing w:after="0" w:line="240" w:lineRule="auto"/>
        <w:rPr>
          <w:rFonts w:ascii="Times New Roman" w:hAnsi="Times New Roman"/>
          <w:b/>
          <w:sz w:val="24"/>
          <w:szCs w:val="24"/>
        </w:rPr>
      </w:pPr>
    </w:p>
    <w:p w14:paraId="07173E00" w14:textId="77777777" w:rsidR="0045466A" w:rsidRDefault="0045466A">
      <w:pPr>
        <w:spacing w:after="0" w:line="240" w:lineRule="auto"/>
        <w:rPr>
          <w:rFonts w:ascii="Times New Roman" w:hAnsi="Times New Roman"/>
          <w:b/>
          <w:sz w:val="24"/>
          <w:szCs w:val="24"/>
        </w:rPr>
      </w:pPr>
    </w:p>
    <w:p w14:paraId="21B2379B" w14:textId="77777777" w:rsidR="0045466A" w:rsidRDefault="0045466A">
      <w:pPr>
        <w:spacing w:after="0" w:line="240" w:lineRule="auto"/>
        <w:rPr>
          <w:rFonts w:ascii="Times New Roman" w:hAnsi="Times New Roman"/>
          <w:b/>
          <w:sz w:val="24"/>
          <w:szCs w:val="24"/>
        </w:rPr>
      </w:pPr>
    </w:p>
    <w:p w14:paraId="4D0BF23A" w14:textId="77777777" w:rsidR="0045466A" w:rsidRDefault="0045466A">
      <w:pPr>
        <w:spacing w:after="0" w:line="240" w:lineRule="auto"/>
        <w:rPr>
          <w:rFonts w:ascii="Times New Roman" w:hAnsi="Times New Roman"/>
          <w:b/>
          <w:sz w:val="24"/>
          <w:szCs w:val="24"/>
        </w:rPr>
      </w:pPr>
    </w:p>
    <w:p w14:paraId="5E586865" w14:textId="77777777" w:rsidR="0045466A" w:rsidRDefault="0045466A">
      <w:pPr>
        <w:spacing w:after="0" w:line="240" w:lineRule="auto"/>
        <w:rPr>
          <w:rFonts w:ascii="Times New Roman" w:hAnsi="Times New Roman"/>
          <w:b/>
          <w:sz w:val="24"/>
          <w:szCs w:val="24"/>
        </w:rPr>
      </w:pPr>
    </w:p>
    <w:p w14:paraId="00A9D5EB" w14:textId="77777777" w:rsidR="0045466A" w:rsidRDefault="0045466A">
      <w:pPr>
        <w:spacing w:after="0" w:line="240" w:lineRule="auto"/>
        <w:rPr>
          <w:rFonts w:ascii="Times New Roman" w:hAnsi="Times New Roman"/>
          <w:b/>
          <w:sz w:val="24"/>
          <w:szCs w:val="24"/>
        </w:rPr>
      </w:pPr>
    </w:p>
    <w:p w14:paraId="0E804914" w14:textId="77777777" w:rsidR="0045466A" w:rsidRDefault="0045466A">
      <w:pPr>
        <w:spacing w:after="0" w:line="240" w:lineRule="auto"/>
        <w:rPr>
          <w:rFonts w:ascii="Times New Roman" w:hAnsi="Times New Roman"/>
          <w:b/>
          <w:sz w:val="24"/>
          <w:szCs w:val="24"/>
        </w:rPr>
      </w:pPr>
    </w:p>
    <w:p w14:paraId="6A803A4A" w14:textId="77777777" w:rsidR="0045466A" w:rsidRDefault="0045466A">
      <w:pPr>
        <w:spacing w:after="0" w:line="240" w:lineRule="auto"/>
        <w:rPr>
          <w:rFonts w:ascii="Times New Roman" w:hAnsi="Times New Roman"/>
          <w:b/>
          <w:sz w:val="24"/>
          <w:szCs w:val="24"/>
        </w:rPr>
      </w:pPr>
    </w:p>
    <w:p w14:paraId="54490CCC" w14:textId="77777777" w:rsidR="0045466A" w:rsidRDefault="0045466A">
      <w:pPr>
        <w:spacing w:after="0" w:line="240" w:lineRule="auto"/>
        <w:rPr>
          <w:rFonts w:ascii="Times New Roman" w:hAnsi="Times New Roman"/>
          <w:b/>
          <w:sz w:val="24"/>
          <w:szCs w:val="24"/>
        </w:rPr>
      </w:pPr>
    </w:p>
    <w:p w14:paraId="117CE373" w14:textId="77777777" w:rsidR="0045466A" w:rsidRDefault="0045466A">
      <w:pPr>
        <w:spacing w:after="0" w:line="240" w:lineRule="auto"/>
        <w:rPr>
          <w:rFonts w:ascii="Times New Roman" w:hAnsi="Times New Roman"/>
          <w:b/>
          <w:sz w:val="24"/>
          <w:szCs w:val="24"/>
        </w:rPr>
      </w:pPr>
    </w:p>
    <w:p w14:paraId="7F2E777C" w14:textId="77777777" w:rsidR="0045466A" w:rsidRDefault="0045466A">
      <w:pPr>
        <w:spacing w:after="0" w:line="240" w:lineRule="auto"/>
        <w:rPr>
          <w:rFonts w:ascii="Times New Roman" w:hAnsi="Times New Roman"/>
          <w:b/>
          <w:sz w:val="24"/>
          <w:szCs w:val="24"/>
        </w:rPr>
      </w:pPr>
    </w:p>
    <w:p w14:paraId="34AABF8B" w14:textId="77777777" w:rsidR="0045466A" w:rsidRDefault="0045466A">
      <w:pPr>
        <w:spacing w:after="0" w:line="240" w:lineRule="auto"/>
        <w:rPr>
          <w:rFonts w:ascii="Times New Roman" w:hAnsi="Times New Roman"/>
          <w:b/>
          <w:sz w:val="24"/>
          <w:szCs w:val="24"/>
        </w:rPr>
      </w:pPr>
    </w:p>
    <w:p w14:paraId="1582F5C4" w14:textId="77777777" w:rsidR="0045466A" w:rsidRDefault="0045466A">
      <w:pPr>
        <w:spacing w:after="0" w:line="240" w:lineRule="auto"/>
        <w:rPr>
          <w:rFonts w:ascii="Times New Roman" w:hAnsi="Times New Roman"/>
          <w:b/>
          <w:sz w:val="24"/>
          <w:szCs w:val="24"/>
        </w:rPr>
      </w:pPr>
    </w:p>
    <w:p w14:paraId="5C1B1181" w14:textId="77777777" w:rsidR="0045466A" w:rsidRDefault="0045466A">
      <w:pPr>
        <w:spacing w:after="0" w:line="240" w:lineRule="auto"/>
        <w:rPr>
          <w:rFonts w:ascii="Times New Roman" w:hAnsi="Times New Roman"/>
          <w:b/>
          <w:sz w:val="24"/>
          <w:szCs w:val="24"/>
        </w:rPr>
      </w:pPr>
    </w:p>
    <w:p w14:paraId="157B6FA3" w14:textId="77777777" w:rsidR="00CE410D" w:rsidRDefault="00CE410D" w:rsidP="002B5FE6">
      <w:pPr>
        <w:spacing w:after="0" w:line="240" w:lineRule="auto"/>
        <w:rPr>
          <w:rFonts w:ascii="Times New Roman" w:hAnsi="Times New Roman"/>
          <w:b/>
          <w:sz w:val="24"/>
          <w:szCs w:val="24"/>
        </w:rPr>
      </w:pPr>
    </w:p>
    <w:p w14:paraId="3B7677AA" w14:textId="77777777" w:rsidR="00BA3DC6" w:rsidRPr="006B309F" w:rsidRDefault="00454255" w:rsidP="002B5FE6">
      <w:pPr>
        <w:spacing w:after="0" w:line="240" w:lineRule="auto"/>
        <w:jc w:val="both"/>
        <w:rPr>
          <w:rFonts w:ascii="Times New Roman" w:hAnsi="Times New Roman"/>
          <w:sz w:val="24"/>
          <w:szCs w:val="24"/>
        </w:rPr>
      </w:pPr>
      <w:r>
        <w:rPr>
          <w:rFonts w:ascii="Times New Roman" w:hAnsi="Times New Roman"/>
          <w:sz w:val="24"/>
          <w:szCs w:val="24"/>
        </w:rPr>
        <w:t>8</w:t>
      </w:r>
      <w:r w:rsidR="000B5082">
        <w:rPr>
          <w:rFonts w:ascii="Times New Roman" w:hAnsi="Times New Roman"/>
          <w:sz w:val="24"/>
          <w:szCs w:val="24"/>
        </w:rPr>
        <w:t>5</w:t>
      </w:r>
      <w:r w:rsidR="0024772E" w:rsidRPr="006B309F">
        <w:rPr>
          <w:rFonts w:ascii="Times New Roman" w:hAnsi="Times New Roman"/>
          <w:sz w:val="24"/>
          <w:szCs w:val="24"/>
        </w:rPr>
        <w:t>.</w:t>
      </w:r>
      <w:r w:rsidR="00BA3DC6" w:rsidRPr="006B309F">
        <w:rPr>
          <w:rFonts w:ascii="Times New Roman" w:hAnsi="Times New Roman"/>
          <w:sz w:val="24"/>
          <w:szCs w:val="24"/>
        </w:rPr>
        <w:tab/>
        <w:t>La problématique de l’efficience du cadre budgétaire recouvre le rapport coût-avantage sur l’ensemble des livraisons effectuées par le programme</w:t>
      </w:r>
      <w:r w:rsidR="00ED4CD5" w:rsidRPr="006B309F">
        <w:rPr>
          <w:rFonts w:ascii="Times New Roman" w:hAnsi="Times New Roman"/>
          <w:sz w:val="24"/>
          <w:szCs w:val="24"/>
        </w:rPr>
        <w:t xml:space="preserve"> à travers ses </w:t>
      </w:r>
      <w:r w:rsidR="00E46C58">
        <w:rPr>
          <w:rFonts w:ascii="Times New Roman" w:hAnsi="Times New Roman"/>
          <w:sz w:val="24"/>
          <w:szCs w:val="24"/>
        </w:rPr>
        <w:t xml:space="preserve">quatre </w:t>
      </w:r>
      <w:r w:rsidR="00ED4CD5" w:rsidRPr="006B309F">
        <w:rPr>
          <w:rFonts w:ascii="Times New Roman" w:hAnsi="Times New Roman"/>
          <w:sz w:val="24"/>
          <w:szCs w:val="24"/>
        </w:rPr>
        <w:t>composantes</w:t>
      </w:r>
      <w:r w:rsidR="00BA3DC6" w:rsidRPr="006B309F">
        <w:rPr>
          <w:rFonts w:ascii="Times New Roman" w:hAnsi="Times New Roman"/>
          <w:sz w:val="24"/>
          <w:szCs w:val="24"/>
        </w:rPr>
        <w:t xml:space="preserve">. Sont à </w:t>
      </w:r>
      <w:r w:rsidR="00ED4CD5" w:rsidRPr="006B309F">
        <w:rPr>
          <w:rFonts w:ascii="Times New Roman" w:hAnsi="Times New Roman"/>
          <w:sz w:val="24"/>
          <w:szCs w:val="24"/>
        </w:rPr>
        <w:t>considérer</w:t>
      </w:r>
      <w:r w:rsidR="00BA3DC6" w:rsidRPr="006B309F">
        <w:rPr>
          <w:rFonts w:ascii="Times New Roman" w:hAnsi="Times New Roman"/>
          <w:sz w:val="24"/>
          <w:szCs w:val="24"/>
        </w:rPr>
        <w:t>, à cet égard et notamment, la qualité de la gestion même des ressources, qui permet ou ne permet pas de les sécuriser en les dédiant exclusivement a</w:t>
      </w:r>
      <w:r w:rsidR="00ED4CD5" w:rsidRPr="006B309F">
        <w:rPr>
          <w:rFonts w:ascii="Times New Roman" w:hAnsi="Times New Roman"/>
          <w:sz w:val="24"/>
          <w:szCs w:val="24"/>
        </w:rPr>
        <w:t>ux emplois substantiels auxquel</w:t>
      </w:r>
      <w:r w:rsidR="00BA3DC6" w:rsidRPr="006B309F">
        <w:rPr>
          <w:rFonts w:ascii="Times New Roman" w:hAnsi="Times New Roman"/>
          <w:sz w:val="24"/>
          <w:szCs w:val="24"/>
        </w:rPr>
        <w:t xml:space="preserve">s elles </w:t>
      </w:r>
      <w:r w:rsidR="00ED4CD5" w:rsidRPr="006B309F">
        <w:rPr>
          <w:rFonts w:ascii="Times New Roman" w:hAnsi="Times New Roman"/>
          <w:sz w:val="24"/>
          <w:szCs w:val="24"/>
        </w:rPr>
        <w:t xml:space="preserve">sont </w:t>
      </w:r>
      <w:r w:rsidR="00BA3DC6" w:rsidRPr="006B309F">
        <w:rPr>
          <w:rFonts w:ascii="Times New Roman" w:hAnsi="Times New Roman"/>
          <w:sz w:val="24"/>
          <w:szCs w:val="24"/>
        </w:rPr>
        <w:t>destinées ; la qualité des produits rendus et des résultats obtenus</w:t>
      </w:r>
      <w:r w:rsidR="00A55071" w:rsidRPr="006B309F">
        <w:rPr>
          <w:rFonts w:ascii="Times New Roman" w:hAnsi="Times New Roman"/>
          <w:sz w:val="24"/>
          <w:szCs w:val="24"/>
        </w:rPr>
        <w:t>,</w:t>
      </w:r>
      <w:r w:rsidR="00BA3DC6" w:rsidRPr="006B309F">
        <w:rPr>
          <w:rFonts w:ascii="Times New Roman" w:hAnsi="Times New Roman"/>
          <w:sz w:val="24"/>
          <w:szCs w:val="24"/>
        </w:rPr>
        <w:t xml:space="preserve"> significative de plus ou moins de "</w:t>
      </w:r>
      <w:r w:rsidR="00ED4CD5" w:rsidRPr="006B309F">
        <w:rPr>
          <w:rFonts w:ascii="Times New Roman" w:hAnsi="Times New Roman"/>
          <w:i/>
          <w:sz w:val="24"/>
          <w:szCs w:val="24"/>
        </w:rPr>
        <w:t xml:space="preserve">value for </w:t>
      </w:r>
      <w:r w:rsidR="00BA3DC6" w:rsidRPr="006B309F">
        <w:rPr>
          <w:rFonts w:ascii="Times New Roman" w:hAnsi="Times New Roman"/>
          <w:i/>
          <w:sz w:val="24"/>
          <w:szCs w:val="24"/>
        </w:rPr>
        <w:t>money</w:t>
      </w:r>
      <w:r w:rsidR="00BA3DC6" w:rsidRPr="006B309F">
        <w:rPr>
          <w:rFonts w:ascii="Times New Roman" w:hAnsi="Times New Roman"/>
          <w:sz w:val="24"/>
          <w:szCs w:val="24"/>
        </w:rPr>
        <w:t>", et, entre les deux, les modèles opératoires qui</w:t>
      </w:r>
      <w:r w:rsidR="00A55071" w:rsidRPr="006B309F">
        <w:rPr>
          <w:rFonts w:ascii="Times New Roman" w:hAnsi="Times New Roman"/>
          <w:sz w:val="24"/>
          <w:szCs w:val="24"/>
        </w:rPr>
        <w:t>,</w:t>
      </w:r>
      <w:r w:rsidR="00BA3DC6" w:rsidRPr="006B309F">
        <w:rPr>
          <w:rFonts w:ascii="Times New Roman" w:hAnsi="Times New Roman"/>
          <w:sz w:val="24"/>
          <w:szCs w:val="24"/>
        </w:rPr>
        <w:t xml:space="preserve"> en étant plus ou moins onéreux</w:t>
      </w:r>
      <w:r w:rsidR="00A55071" w:rsidRPr="006B309F">
        <w:rPr>
          <w:rFonts w:ascii="Times New Roman" w:hAnsi="Times New Roman"/>
          <w:sz w:val="24"/>
          <w:szCs w:val="24"/>
        </w:rPr>
        <w:t>,</w:t>
      </w:r>
      <w:r w:rsidR="00BA3DC6" w:rsidRPr="006B309F">
        <w:rPr>
          <w:rFonts w:ascii="Times New Roman" w:hAnsi="Times New Roman"/>
          <w:sz w:val="24"/>
          <w:szCs w:val="24"/>
        </w:rPr>
        <w:t xml:space="preserve"> laissent arriver plus ou moins de ressources et de résultats aux bénéficiaires.</w:t>
      </w:r>
      <w:r w:rsidR="00A55071" w:rsidRPr="006B309F">
        <w:rPr>
          <w:rFonts w:ascii="Times New Roman" w:hAnsi="Times New Roman"/>
          <w:sz w:val="24"/>
          <w:szCs w:val="24"/>
        </w:rPr>
        <w:t xml:space="preserve"> Quelques autres dimensions du programme qui influencent ses rendus sont également examinés plus bas.</w:t>
      </w:r>
    </w:p>
    <w:p w14:paraId="4AD9781E" w14:textId="77777777" w:rsidR="00BA3DC6" w:rsidRPr="006B309F" w:rsidRDefault="00BA3DC6" w:rsidP="002B5FE6">
      <w:pPr>
        <w:spacing w:after="0" w:line="240" w:lineRule="auto"/>
        <w:jc w:val="both"/>
        <w:rPr>
          <w:rFonts w:ascii="Times New Roman" w:hAnsi="Times New Roman"/>
          <w:sz w:val="24"/>
          <w:szCs w:val="24"/>
        </w:rPr>
      </w:pPr>
    </w:p>
    <w:p w14:paraId="13E1FC0E" w14:textId="77777777" w:rsidR="00BA3DC6" w:rsidRPr="006B309F" w:rsidRDefault="00454255" w:rsidP="002B5FE6">
      <w:pPr>
        <w:spacing w:after="0" w:line="240" w:lineRule="auto"/>
        <w:jc w:val="both"/>
        <w:rPr>
          <w:rFonts w:ascii="Times New Roman" w:hAnsi="Times New Roman"/>
          <w:sz w:val="24"/>
          <w:szCs w:val="24"/>
        </w:rPr>
      </w:pPr>
      <w:r>
        <w:rPr>
          <w:rFonts w:ascii="Times New Roman" w:hAnsi="Times New Roman"/>
          <w:sz w:val="24"/>
          <w:szCs w:val="24"/>
        </w:rPr>
        <w:t>8</w:t>
      </w:r>
      <w:r w:rsidR="000B5082">
        <w:rPr>
          <w:rFonts w:ascii="Times New Roman" w:hAnsi="Times New Roman"/>
          <w:sz w:val="24"/>
          <w:szCs w:val="24"/>
        </w:rPr>
        <w:t>6</w:t>
      </w:r>
      <w:r w:rsidR="0024772E" w:rsidRPr="006B309F">
        <w:rPr>
          <w:rFonts w:ascii="Times New Roman" w:hAnsi="Times New Roman"/>
          <w:sz w:val="24"/>
          <w:szCs w:val="24"/>
        </w:rPr>
        <w:t>.</w:t>
      </w:r>
      <w:r w:rsidR="00BA3DC6" w:rsidRPr="006B309F">
        <w:rPr>
          <w:rFonts w:ascii="Times New Roman" w:hAnsi="Times New Roman"/>
          <w:sz w:val="24"/>
          <w:szCs w:val="24"/>
        </w:rPr>
        <w:tab/>
      </w:r>
      <w:r w:rsidR="00232C75" w:rsidRPr="006B309F">
        <w:rPr>
          <w:rStyle w:val="Titre3Car"/>
          <w:rFonts w:ascii="Times New Roman" w:eastAsia="Calibri" w:hAnsi="Times New Roman"/>
          <w:i/>
          <w:color w:val="auto"/>
          <w:sz w:val="24"/>
          <w:szCs w:val="24"/>
        </w:rPr>
        <w:t>Value</w:t>
      </w:r>
      <w:r w:rsidR="00BA3DC6" w:rsidRPr="006B309F">
        <w:rPr>
          <w:rStyle w:val="Titre3Car"/>
          <w:rFonts w:ascii="Times New Roman" w:eastAsia="Calibri" w:hAnsi="Times New Roman"/>
          <w:i/>
          <w:color w:val="auto"/>
          <w:sz w:val="24"/>
          <w:szCs w:val="24"/>
        </w:rPr>
        <w:t>-for-</w:t>
      </w:r>
      <w:r w:rsidR="00232C75" w:rsidRPr="006B309F">
        <w:rPr>
          <w:rStyle w:val="Titre3Car"/>
          <w:rFonts w:ascii="Times New Roman" w:eastAsia="Calibri" w:hAnsi="Times New Roman"/>
          <w:i/>
          <w:color w:val="auto"/>
          <w:sz w:val="24"/>
          <w:szCs w:val="24"/>
        </w:rPr>
        <w:t xml:space="preserve">money </w:t>
      </w:r>
      <w:r w:rsidR="00BA3DC6" w:rsidRPr="006B309F">
        <w:rPr>
          <w:rStyle w:val="Titre3Car"/>
          <w:rFonts w:ascii="Times New Roman" w:eastAsia="Calibri" w:hAnsi="Times New Roman"/>
          <w:i/>
          <w:color w:val="auto"/>
          <w:sz w:val="24"/>
          <w:szCs w:val="24"/>
        </w:rPr>
        <w:t>ou lien entre quotité de ressources et résultats </w:t>
      </w:r>
      <w:r w:rsidR="00BA3DC6" w:rsidRPr="006B309F">
        <w:rPr>
          <w:rFonts w:ascii="Times New Roman" w:hAnsi="Times New Roman"/>
          <w:sz w:val="24"/>
          <w:szCs w:val="24"/>
        </w:rPr>
        <w:t xml:space="preserve">: L’exécution des ressources dédiées </w:t>
      </w:r>
      <w:r w:rsidR="00ED4CD5" w:rsidRPr="006B309F">
        <w:rPr>
          <w:rFonts w:ascii="Times New Roman" w:hAnsi="Times New Roman"/>
          <w:sz w:val="24"/>
          <w:szCs w:val="24"/>
        </w:rPr>
        <w:t>au programme</w:t>
      </w:r>
      <w:r w:rsidR="00BA3DC6" w:rsidRPr="006B309F">
        <w:rPr>
          <w:rFonts w:ascii="Times New Roman" w:hAnsi="Times New Roman"/>
          <w:sz w:val="24"/>
          <w:szCs w:val="24"/>
        </w:rPr>
        <w:t xml:space="preserve"> est gérée par le Bureau, </w:t>
      </w:r>
      <w:r w:rsidR="00ED4CD5" w:rsidRPr="006B309F">
        <w:rPr>
          <w:rFonts w:ascii="Times New Roman" w:hAnsi="Times New Roman"/>
          <w:sz w:val="24"/>
          <w:szCs w:val="24"/>
        </w:rPr>
        <w:t>en exécution directe pour partie, et par les partenaires d’exécution pour une autre partie et dans le cadre de la modalité dite d’exécution nationale. M</w:t>
      </w:r>
      <w:r w:rsidR="00E46C58">
        <w:rPr>
          <w:rFonts w:ascii="Times New Roman" w:hAnsi="Times New Roman"/>
          <w:sz w:val="24"/>
          <w:szCs w:val="24"/>
        </w:rPr>
        <w:t>ais m</w:t>
      </w:r>
      <w:r w:rsidR="00ED4CD5" w:rsidRPr="006B309F">
        <w:rPr>
          <w:rFonts w:ascii="Times New Roman" w:hAnsi="Times New Roman"/>
          <w:sz w:val="24"/>
          <w:szCs w:val="24"/>
        </w:rPr>
        <w:t xml:space="preserve">ême dans ce dernier cas, il arrive que </w:t>
      </w:r>
      <w:r w:rsidR="00BA3DC6" w:rsidRPr="006B309F">
        <w:rPr>
          <w:rFonts w:ascii="Times New Roman" w:hAnsi="Times New Roman"/>
          <w:sz w:val="24"/>
          <w:szCs w:val="24"/>
        </w:rPr>
        <w:t>le Bureau appliqu</w:t>
      </w:r>
      <w:r w:rsidR="00ED4CD5" w:rsidRPr="006B309F">
        <w:rPr>
          <w:rFonts w:ascii="Times New Roman" w:hAnsi="Times New Roman"/>
          <w:sz w:val="24"/>
          <w:szCs w:val="24"/>
        </w:rPr>
        <w:t>e</w:t>
      </w:r>
      <w:r w:rsidR="00BA3DC6" w:rsidRPr="006B309F">
        <w:rPr>
          <w:rFonts w:ascii="Times New Roman" w:hAnsi="Times New Roman"/>
          <w:sz w:val="24"/>
          <w:szCs w:val="24"/>
        </w:rPr>
        <w:t xml:space="preserve"> la procédure des paiements directs</w:t>
      </w:r>
      <w:r w:rsidR="00E46C58">
        <w:rPr>
          <w:rFonts w:ascii="Times New Roman" w:hAnsi="Times New Roman"/>
          <w:sz w:val="24"/>
          <w:szCs w:val="24"/>
        </w:rPr>
        <w:t>, normalement à la demande de la partie nationale</w:t>
      </w:r>
      <w:r w:rsidR="00BA3DC6" w:rsidRPr="006B309F">
        <w:rPr>
          <w:rFonts w:ascii="Times New Roman" w:hAnsi="Times New Roman"/>
          <w:sz w:val="24"/>
          <w:szCs w:val="24"/>
        </w:rPr>
        <w:t xml:space="preserve">. </w:t>
      </w:r>
      <w:r w:rsidR="00ED4CD5" w:rsidRPr="006B309F">
        <w:rPr>
          <w:rFonts w:ascii="Times New Roman" w:hAnsi="Times New Roman"/>
          <w:sz w:val="24"/>
          <w:szCs w:val="24"/>
        </w:rPr>
        <w:t xml:space="preserve">En tout état de cause, quelle que soit la modalité d’exécution utilisée, le Bureau </w:t>
      </w:r>
      <w:r w:rsidR="00A55071" w:rsidRPr="006B309F">
        <w:rPr>
          <w:rFonts w:ascii="Times New Roman" w:hAnsi="Times New Roman"/>
          <w:sz w:val="24"/>
          <w:szCs w:val="24"/>
        </w:rPr>
        <w:t>s’</w:t>
      </w:r>
      <w:r w:rsidR="00ED4CD5" w:rsidRPr="006B309F">
        <w:rPr>
          <w:rFonts w:ascii="Times New Roman" w:hAnsi="Times New Roman"/>
          <w:sz w:val="24"/>
          <w:szCs w:val="24"/>
        </w:rPr>
        <w:t>assure du respect des normes d’intégrité</w:t>
      </w:r>
      <w:r w:rsidR="00E46C58">
        <w:rPr>
          <w:rFonts w:ascii="Times New Roman" w:hAnsi="Times New Roman"/>
          <w:sz w:val="24"/>
          <w:szCs w:val="24"/>
        </w:rPr>
        <w:t xml:space="preserve">, de transparence et de rationalité économique, </w:t>
      </w:r>
      <w:r w:rsidR="00ED4CD5" w:rsidRPr="006B309F">
        <w:rPr>
          <w:rFonts w:ascii="Times New Roman" w:hAnsi="Times New Roman"/>
          <w:sz w:val="24"/>
          <w:szCs w:val="24"/>
        </w:rPr>
        <w:t xml:space="preserve">qui font la réputation du PNUD. </w:t>
      </w:r>
      <w:r w:rsidR="00BA3DC6" w:rsidRPr="006B309F">
        <w:rPr>
          <w:rFonts w:ascii="Times New Roman" w:hAnsi="Times New Roman"/>
          <w:sz w:val="24"/>
          <w:szCs w:val="24"/>
        </w:rPr>
        <w:t xml:space="preserve">Au total, les procédures fiduciaires </w:t>
      </w:r>
      <w:r w:rsidR="00ED4CD5" w:rsidRPr="006B309F">
        <w:rPr>
          <w:rFonts w:ascii="Times New Roman" w:hAnsi="Times New Roman"/>
          <w:sz w:val="24"/>
          <w:szCs w:val="24"/>
        </w:rPr>
        <w:t xml:space="preserve">de </w:t>
      </w:r>
      <w:r w:rsidR="00BA3DC6" w:rsidRPr="006B309F">
        <w:rPr>
          <w:rFonts w:ascii="Times New Roman" w:hAnsi="Times New Roman"/>
          <w:sz w:val="24"/>
          <w:szCs w:val="24"/>
        </w:rPr>
        <w:t xml:space="preserve">standard international </w:t>
      </w:r>
      <w:r w:rsidR="00ED4CD5" w:rsidRPr="006B309F">
        <w:rPr>
          <w:rFonts w:ascii="Times New Roman" w:hAnsi="Times New Roman"/>
          <w:sz w:val="24"/>
          <w:szCs w:val="24"/>
        </w:rPr>
        <w:t xml:space="preserve">de l’Agence, </w:t>
      </w:r>
      <w:r w:rsidR="00BA3DC6" w:rsidRPr="006B309F">
        <w:rPr>
          <w:rFonts w:ascii="Times New Roman" w:hAnsi="Times New Roman"/>
          <w:sz w:val="24"/>
          <w:szCs w:val="24"/>
        </w:rPr>
        <w:t>permet</w:t>
      </w:r>
      <w:r w:rsidR="00ED4CD5" w:rsidRPr="006B309F">
        <w:rPr>
          <w:rFonts w:ascii="Times New Roman" w:hAnsi="Times New Roman"/>
          <w:sz w:val="24"/>
          <w:szCs w:val="24"/>
        </w:rPr>
        <w:t>tent</w:t>
      </w:r>
      <w:r w:rsidR="00E46C58">
        <w:rPr>
          <w:rFonts w:ascii="Times New Roman" w:hAnsi="Times New Roman"/>
          <w:sz w:val="24"/>
          <w:szCs w:val="24"/>
        </w:rPr>
        <w:t xml:space="preserve"> de sécuriser des produits </w:t>
      </w:r>
      <w:r w:rsidR="00BA3DC6" w:rsidRPr="006B309F">
        <w:rPr>
          <w:rFonts w:ascii="Times New Roman" w:hAnsi="Times New Roman"/>
          <w:sz w:val="24"/>
          <w:szCs w:val="24"/>
        </w:rPr>
        <w:t>au meilleur rapport coût-avantage. Ce</w:t>
      </w:r>
      <w:r w:rsidR="00ED4CD5" w:rsidRPr="006B309F">
        <w:rPr>
          <w:rFonts w:ascii="Times New Roman" w:hAnsi="Times New Roman"/>
          <w:sz w:val="24"/>
          <w:szCs w:val="24"/>
        </w:rPr>
        <w:t xml:space="preserve"> cadre budgétaire </w:t>
      </w:r>
      <w:r w:rsidR="00BA3DC6" w:rsidRPr="006B309F">
        <w:rPr>
          <w:rFonts w:ascii="Times New Roman" w:hAnsi="Times New Roman"/>
          <w:sz w:val="24"/>
          <w:szCs w:val="24"/>
        </w:rPr>
        <w:t>constitue</w:t>
      </w:r>
      <w:r w:rsidR="00E46C58">
        <w:rPr>
          <w:rFonts w:ascii="Times New Roman" w:hAnsi="Times New Roman"/>
          <w:sz w:val="24"/>
          <w:szCs w:val="24"/>
        </w:rPr>
        <w:t xml:space="preserve"> donc</w:t>
      </w:r>
      <w:r w:rsidR="00BA3DC6" w:rsidRPr="006B309F">
        <w:rPr>
          <w:rFonts w:ascii="Times New Roman" w:hAnsi="Times New Roman"/>
          <w:sz w:val="24"/>
          <w:szCs w:val="24"/>
        </w:rPr>
        <w:t xml:space="preserve"> un véritable outil de promotion d</w:t>
      </w:r>
      <w:r w:rsidR="00E46C58">
        <w:rPr>
          <w:rFonts w:ascii="Times New Roman" w:hAnsi="Times New Roman"/>
          <w:sz w:val="24"/>
          <w:szCs w:val="24"/>
        </w:rPr>
        <w:t xml:space="preserve">’une </w:t>
      </w:r>
      <w:r w:rsidR="00BA3DC6" w:rsidRPr="006B309F">
        <w:rPr>
          <w:rFonts w:ascii="Times New Roman" w:hAnsi="Times New Roman"/>
          <w:sz w:val="24"/>
          <w:szCs w:val="24"/>
        </w:rPr>
        <w:t>gestion efficiente sur les tra</w:t>
      </w:r>
      <w:r w:rsidR="00ED4CD5" w:rsidRPr="006B309F">
        <w:rPr>
          <w:rFonts w:ascii="Times New Roman" w:hAnsi="Times New Roman"/>
          <w:sz w:val="24"/>
          <w:szCs w:val="24"/>
        </w:rPr>
        <w:t>nsactions au sein du programme.</w:t>
      </w:r>
    </w:p>
    <w:p w14:paraId="5F8F60CD" w14:textId="77777777" w:rsidR="00BA3DC6" w:rsidRPr="006B309F" w:rsidRDefault="00BA3DC6" w:rsidP="002B5FE6">
      <w:pPr>
        <w:spacing w:after="0" w:line="240" w:lineRule="auto"/>
        <w:jc w:val="both"/>
        <w:rPr>
          <w:rFonts w:ascii="Times New Roman" w:hAnsi="Times New Roman"/>
          <w:sz w:val="24"/>
          <w:szCs w:val="24"/>
        </w:rPr>
      </w:pPr>
    </w:p>
    <w:p w14:paraId="1A818FC3" w14:textId="77777777" w:rsidR="00BA3DC6" w:rsidRPr="006B309F" w:rsidRDefault="00454255" w:rsidP="002B5FE6">
      <w:pPr>
        <w:spacing w:after="0" w:line="240" w:lineRule="auto"/>
        <w:jc w:val="both"/>
        <w:rPr>
          <w:rFonts w:ascii="Times New Roman" w:hAnsi="Times New Roman"/>
          <w:sz w:val="24"/>
          <w:szCs w:val="24"/>
        </w:rPr>
      </w:pPr>
      <w:r>
        <w:rPr>
          <w:rFonts w:ascii="Times New Roman" w:hAnsi="Times New Roman"/>
          <w:sz w:val="24"/>
          <w:szCs w:val="24"/>
        </w:rPr>
        <w:t>8</w:t>
      </w:r>
      <w:r w:rsidR="000B5082">
        <w:rPr>
          <w:rFonts w:ascii="Times New Roman" w:hAnsi="Times New Roman"/>
          <w:sz w:val="24"/>
          <w:szCs w:val="24"/>
        </w:rPr>
        <w:t>7</w:t>
      </w:r>
      <w:r w:rsidR="0024772E" w:rsidRPr="006B309F">
        <w:rPr>
          <w:rFonts w:ascii="Times New Roman" w:hAnsi="Times New Roman"/>
          <w:sz w:val="24"/>
          <w:szCs w:val="24"/>
        </w:rPr>
        <w:t>.</w:t>
      </w:r>
      <w:r w:rsidR="00BA3DC6" w:rsidRPr="006B309F">
        <w:rPr>
          <w:rFonts w:ascii="Times New Roman" w:hAnsi="Times New Roman"/>
          <w:sz w:val="24"/>
          <w:szCs w:val="24"/>
        </w:rPr>
        <w:tab/>
        <w:t xml:space="preserve">S’il y a un effort pour bien gérer les ressources consacrées </w:t>
      </w:r>
      <w:r w:rsidR="00ED4CD5" w:rsidRPr="006B309F">
        <w:rPr>
          <w:rFonts w:ascii="Times New Roman" w:hAnsi="Times New Roman"/>
          <w:sz w:val="24"/>
          <w:szCs w:val="24"/>
        </w:rPr>
        <w:t>au programme</w:t>
      </w:r>
      <w:r w:rsidR="00BA3DC6" w:rsidRPr="006B309F">
        <w:rPr>
          <w:rFonts w:ascii="Times New Roman" w:hAnsi="Times New Roman"/>
          <w:sz w:val="24"/>
          <w:szCs w:val="24"/>
        </w:rPr>
        <w:t>, pour autant et en face, les livraisons obtenues en échange des ressources dépensées, sont-elles d’une robuste</w:t>
      </w:r>
      <w:r w:rsidR="00670DB1" w:rsidRPr="006B309F">
        <w:rPr>
          <w:rFonts w:ascii="Times New Roman" w:hAnsi="Times New Roman"/>
          <w:sz w:val="24"/>
          <w:szCs w:val="24"/>
        </w:rPr>
        <w:t>s</w:t>
      </w:r>
      <w:r w:rsidR="00BA3DC6" w:rsidRPr="006B309F">
        <w:rPr>
          <w:rFonts w:ascii="Times New Roman" w:hAnsi="Times New Roman"/>
          <w:sz w:val="24"/>
          <w:szCs w:val="24"/>
        </w:rPr>
        <w:t>s</w:t>
      </w:r>
      <w:r w:rsidR="00670DB1" w:rsidRPr="006B309F">
        <w:rPr>
          <w:rFonts w:ascii="Times New Roman" w:hAnsi="Times New Roman"/>
          <w:sz w:val="24"/>
          <w:szCs w:val="24"/>
        </w:rPr>
        <w:t>e satisfaisante</w:t>
      </w:r>
      <w:r w:rsidR="00BA3DC6" w:rsidRPr="006B309F">
        <w:rPr>
          <w:rFonts w:ascii="Times New Roman" w:hAnsi="Times New Roman"/>
          <w:sz w:val="24"/>
          <w:szCs w:val="24"/>
        </w:rPr>
        <w:t xml:space="preserve"> ? </w:t>
      </w:r>
      <w:r w:rsidR="001B1A09">
        <w:rPr>
          <w:rFonts w:ascii="Times New Roman" w:hAnsi="Times New Roman"/>
          <w:sz w:val="24"/>
          <w:szCs w:val="24"/>
        </w:rPr>
        <w:t xml:space="preserve">Au vu des réalisations visitées par la mission et des perceptions </w:t>
      </w:r>
      <w:r w:rsidR="001B1A09">
        <w:rPr>
          <w:rFonts w:ascii="Times New Roman" w:hAnsi="Times New Roman"/>
          <w:sz w:val="24"/>
          <w:szCs w:val="24"/>
        </w:rPr>
        <w:lastRenderedPageBreak/>
        <w:t>exprimées par les partenaires et bénéficiaires rencontrés, p</w:t>
      </w:r>
      <w:r w:rsidR="00BA3DC6" w:rsidRPr="006B309F">
        <w:rPr>
          <w:rFonts w:ascii="Times New Roman" w:hAnsi="Times New Roman"/>
          <w:sz w:val="24"/>
          <w:szCs w:val="24"/>
        </w:rPr>
        <w:t xml:space="preserve">ar la qualité des procédures mises en œuvre, le programme arrive à faire en sorte que les </w:t>
      </w:r>
      <w:r w:rsidR="001B1A09">
        <w:rPr>
          <w:rFonts w:ascii="Times New Roman" w:hAnsi="Times New Roman"/>
          <w:sz w:val="24"/>
          <w:szCs w:val="24"/>
        </w:rPr>
        <w:t xml:space="preserve">livraisons, de hard comme de soft,  </w:t>
      </w:r>
      <w:r w:rsidR="00BA3DC6" w:rsidRPr="006B309F">
        <w:rPr>
          <w:rFonts w:ascii="Times New Roman" w:hAnsi="Times New Roman"/>
          <w:sz w:val="24"/>
          <w:szCs w:val="24"/>
        </w:rPr>
        <w:t>se fassent dans de bonnes conditions et soient de bonne facture</w:t>
      </w:r>
      <w:r w:rsidR="001B1A09">
        <w:rPr>
          <w:rFonts w:ascii="Times New Roman" w:hAnsi="Times New Roman"/>
          <w:sz w:val="24"/>
          <w:szCs w:val="24"/>
        </w:rPr>
        <w:t>, généralement parlant naturellement</w:t>
      </w:r>
      <w:r w:rsidR="00BA3DC6" w:rsidRPr="006B309F">
        <w:rPr>
          <w:rFonts w:ascii="Times New Roman" w:hAnsi="Times New Roman"/>
          <w:sz w:val="24"/>
          <w:szCs w:val="24"/>
        </w:rPr>
        <w:t>.</w:t>
      </w:r>
      <w:r w:rsidR="001B1A09">
        <w:rPr>
          <w:rFonts w:ascii="Times New Roman" w:hAnsi="Times New Roman"/>
          <w:sz w:val="24"/>
          <w:szCs w:val="24"/>
        </w:rPr>
        <w:t xml:space="preserve"> Nonobstant ce profil général, des rendus physiques peuvent parfois déroger à cette observation d’ensemble : cas par exemple de tables-bancs livré à l’Ecole nationale de la police</w:t>
      </w:r>
      <w:r w:rsidR="00EC6E53">
        <w:rPr>
          <w:rFonts w:ascii="Times New Roman" w:hAnsi="Times New Roman"/>
          <w:sz w:val="24"/>
          <w:szCs w:val="24"/>
        </w:rPr>
        <w:t xml:space="preserve">, faits pour des écoliers et guère adaptés à des apprenants adultes. Par ailleurs, si l’on considère spécifiquement des produits de renforcement de capacités, leur qualité dépend aussi de </w:t>
      </w:r>
      <w:r w:rsidR="00BA3DC6" w:rsidRPr="006B309F">
        <w:rPr>
          <w:rFonts w:ascii="Times New Roman" w:hAnsi="Times New Roman"/>
          <w:sz w:val="24"/>
          <w:szCs w:val="24"/>
        </w:rPr>
        <w:t>l’environnement institutionnel</w:t>
      </w:r>
      <w:r w:rsidR="001B1A09">
        <w:rPr>
          <w:rFonts w:ascii="Times New Roman" w:hAnsi="Times New Roman"/>
          <w:sz w:val="24"/>
          <w:szCs w:val="24"/>
        </w:rPr>
        <w:t xml:space="preserve"> national et de ses servitudes. </w:t>
      </w:r>
      <w:r w:rsidR="00BA3DC6" w:rsidRPr="006B309F">
        <w:rPr>
          <w:rFonts w:ascii="Times New Roman" w:hAnsi="Times New Roman"/>
          <w:sz w:val="24"/>
          <w:szCs w:val="24"/>
        </w:rPr>
        <w:t xml:space="preserve">L’on </w:t>
      </w:r>
      <w:r w:rsidR="00ED4CD5" w:rsidRPr="006B309F">
        <w:rPr>
          <w:rFonts w:ascii="Times New Roman" w:hAnsi="Times New Roman"/>
          <w:sz w:val="24"/>
          <w:szCs w:val="24"/>
        </w:rPr>
        <w:t xml:space="preserve">est </w:t>
      </w:r>
      <w:r w:rsidR="00BA3DC6" w:rsidRPr="006B309F">
        <w:rPr>
          <w:rFonts w:ascii="Times New Roman" w:hAnsi="Times New Roman"/>
          <w:sz w:val="24"/>
          <w:szCs w:val="24"/>
        </w:rPr>
        <w:t xml:space="preserve">ici dans le cas de figure où le </w:t>
      </w:r>
      <w:r w:rsidR="00EC6E53">
        <w:rPr>
          <w:rFonts w:ascii="Times New Roman" w:hAnsi="Times New Roman"/>
          <w:sz w:val="24"/>
          <w:szCs w:val="24"/>
        </w:rPr>
        <w:t>programme,</w:t>
      </w:r>
      <w:r w:rsidR="00BA3DC6" w:rsidRPr="006B309F">
        <w:rPr>
          <w:rFonts w:ascii="Times New Roman" w:hAnsi="Times New Roman"/>
          <w:sz w:val="24"/>
          <w:szCs w:val="24"/>
        </w:rPr>
        <w:t xml:space="preserve"> grâce à </w:t>
      </w:r>
      <w:r w:rsidR="00ED4CD5" w:rsidRPr="006B309F">
        <w:rPr>
          <w:rFonts w:ascii="Times New Roman" w:hAnsi="Times New Roman"/>
          <w:sz w:val="24"/>
          <w:szCs w:val="24"/>
        </w:rPr>
        <w:t>ses standard</w:t>
      </w:r>
      <w:r w:rsidR="0038039C" w:rsidRPr="006B309F">
        <w:rPr>
          <w:rFonts w:ascii="Times New Roman" w:hAnsi="Times New Roman"/>
          <w:sz w:val="24"/>
          <w:szCs w:val="24"/>
        </w:rPr>
        <w:t>s</w:t>
      </w:r>
      <w:r w:rsidR="00ED4CD5" w:rsidRPr="006B309F">
        <w:rPr>
          <w:rFonts w:ascii="Times New Roman" w:hAnsi="Times New Roman"/>
          <w:sz w:val="24"/>
          <w:szCs w:val="24"/>
        </w:rPr>
        <w:t xml:space="preserve"> de gestion</w:t>
      </w:r>
      <w:r w:rsidR="00BA3DC6" w:rsidRPr="006B309F">
        <w:rPr>
          <w:rFonts w:ascii="Times New Roman" w:hAnsi="Times New Roman"/>
          <w:sz w:val="24"/>
          <w:szCs w:val="24"/>
        </w:rPr>
        <w:t xml:space="preserve">, construit une courbe de dépenses optimale en théorie dans une logique </w:t>
      </w:r>
      <w:r w:rsidR="00ED4CD5" w:rsidRPr="006B309F">
        <w:rPr>
          <w:rFonts w:ascii="Times New Roman" w:hAnsi="Times New Roman"/>
          <w:sz w:val="24"/>
          <w:szCs w:val="24"/>
        </w:rPr>
        <w:t xml:space="preserve">efficiente de livraison </w:t>
      </w:r>
      <w:r w:rsidR="00BA3DC6" w:rsidRPr="006B309F">
        <w:rPr>
          <w:rFonts w:ascii="Times New Roman" w:hAnsi="Times New Roman"/>
          <w:sz w:val="24"/>
          <w:szCs w:val="24"/>
        </w:rPr>
        <w:t>de produit</w:t>
      </w:r>
      <w:r w:rsidR="00ED4CD5" w:rsidRPr="006B309F">
        <w:rPr>
          <w:rFonts w:ascii="Times New Roman" w:hAnsi="Times New Roman"/>
          <w:sz w:val="24"/>
          <w:szCs w:val="24"/>
        </w:rPr>
        <w:t>s</w:t>
      </w:r>
      <w:r w:rsidR="00BA3DC6" w:rsidRPr="006B309F">
        <w:rPr>
          <w:rFonts w:ascii="Times New Roman" w:hAnsi="Times New Roman"/>
          <w:sz w:val="24"/>
          <w:szCs w:val="24"/>
        </w:rPr>
        <w:t xml:space="preserve">, mais </w:t>
      </w:r>
      <w:r w:rsidR="00ED4CD5" w:rsidRPr="006B309F">
        <w:rPr>
          <w:rFonts w:ascii="Times New Roman" w:hAnsi="Times New Roman"/>
          <w:sz w:val="24"/>
          <w:szCs w:val="24"/>
        </w:rPr>
        <w:t xml:space="preserve">peut-être ou parfois </w:t>
      </w:r>
      <w:r w:rsidR="00BA3DC6" w:rsidRPr="006B309F">
        <w:rPr>
          <w:rFonts w:ascii="Times New Roman" w:hAnsi="Times New Roman"/>
          <w:sz w:val="24"/>
          <w:szCs w:val="24"/>
        </w:rPr>
        <w:t xml:space="preserve">faiblement rentable en termes d’effet à cause </w:t>
      </w:r>
      <w:r w:rsidR="00ED4CD5" w:rsidRPr="006B309F">
        <w:rPr>
          <w:rFonts w:ascii="Times New Roman" w:hAnsi="Times New Roman"/>
          <w:sz w:val="24"/>
          <w:szCs w:val="24"/>
        </w:rPr>
        <w:t>de la qualité et de la réceptivité des bénéficiaires – institutionnels ou personnes physiques.</w:t>
      </w:r>
    </w:p>
    <w:p w14:paraId="7774E5E8" w14:textId="77777777" w:rsidR="00DC6A98" w:rsidRPr="006B309F" w:rsidRDefault="00DC6A98" w:rsidP="002B5FE6">
      <w:pPr>
        <w:spacing w:after="0" w:line="240" w:lineRule="auto"/>
        <w:jc w:val="both"/>
        <w:rPr>
          <w:rFonts w:ascii="Times New Roman" w:hAnsi="Times New Roman"/>
          <w:sz w:val="24"/>
          <w:szCs w:val="24"/>
        </w:rPr>
      </w:pPr>
    </w:p>
    <w:p w14:paraId="5AA4ECB7" w14:textId="77777777" w:rsidR="00BA3DC6" w:rsidRPr="006B309F" w:rsidRDefault="00454255" w:rsidP="002B5FE6">
      <w:pPr>
        <w:spacing w:after="0" w:line="240" w:lineRule="auto"/>
        <w:jc w:val="both"/>
        <w:rPr>
          <w:rFonts w:ascii="Times New Roman" w:hAnsi="Times New Roman"/>
          <w:sz w:val="24"/>
          <w:szCs w:val="24"/>
        </w:rPr>
      </w:pPr>
      <w:r>
        <w:rPr>
          <w:rFonts w:ascii="Times New Roman" w:hAnsi="Times New Roman"/>
          <w:sz w:val="24"/>
          <w:szCs w:val="24"/>
        </w:rPr>
        <w:t>8</w:t>
      </w:r>
      <w:r w:rsidR="000B5082">
        <w:rPr>
          <w:rFonts w:ascii="Times New Roman" w:hAnsi="Times New Roman"/>
          <w:sz w:val="24"/>
          <w:szCs w:val="24"/>
        </w:rPr>
        <w:t>8</w:t>
      </w:r>
      <w:r w:rsidR="0024772E" w:rsidRPr="006B309F">
        <w:rPr>
          <w:rFonts w:ascii="Times New Roman" w:hAnsi="Times New Roman"/>
          <w:sz w:val="24"/>
          <w:szCs w:val="24"/>
        </w:rPr>
        <w:t>.</w:t>
      </w:r>
      <w:r w:rsidR="00BA3DC6" w:rsidRPr="006B309F">
        <w:rPr>
          <w:rFonts w:ascii="Times New Roman" w:hAnsi="Times New Roman"/>
          <w:sz w:val="24"/>
          <w:szCs w:val="24"/>
        </w:rPr>
        <w:tab/>
        <w:t>En</w:t>
      </w:r>
      <w:r w:rsidR="00EC6E53">
        <w:rPr>
          <w:rFonts w:ascii="Times New Roman" w:hAnsi="Times New Roman"/>
          <w:sz w:val="24"/>
          <w:szCs w:val="24"/>
        </w:rPr>
        <w:t xml:space="preserve"> résumé, en termes de "</w:t>
      </w:r>
      <w:r w:rsidR="00CC08A5" w:rsidRPr="006B309F">
        <w:rPr>
          <w:rFonts w:ascii="Times New Roman" w:hAnsi="Times New Roman"/>
          <w:sz w:val="24"/>
          <w:szCs w:val="24"/>
        </w:rPr>
        <w:t xml:space="preserve">value </w:t>
      </w:r>
      <w:r w:rsidR="00BA3DC6" w:rsidRPr="006B309F">
        <w:rPr>
          <w:rFonts w:ascii="Times New Roman" w:hAnsi="Times New Roman"/>
          <w:sz w:val="24"/>
          <w:szCs w:val="24"/>
        </w:rPr>
        <w:t xml:space="preserve">for </w:t>
      </w:r>
      <w:r w:rsidR="00CC08A5" w:rsidRPr="006B309F">
        <w:rPr>
          <w:rFonts w:ascii="Times New Roman" w:hAnsi="Times New Roman"/>
          <w:sz w:val="24"/>
          <w:szCs w:val="24"/>
        </w:rPr>
        <w:t>money</w:t>
      </w:r>
      <w:r w:rsidR="00BA3DC6" w:rsidRPr="006B309F">
        <w:rPr>
          <w:rFonts w:ascii="Times New Roman" w:hAnsi="Times New Roman"/>
          <w:sz w:val="24"/>
          <w:szCs w:val="24"/>
        </w:rPr>
        <w:t>", le programme fait du mieux possible</w:t>
      </w:r>
      <w:r w:rsidR="00EC6E53">
        <w:rPr>
          <w:rFonts w:ascii="Times New Roman" w:hAnsi="Times New Roman"/>
          <w:sz w:val="24"/>
          <w:szCs w:val="24"/>
        </w:rPr>
        <w:t>,</w:t>
      </w:r>
      <w:r w:rsidR="00BA3DC6" w:rsidRPr="006B309F">
        <w:rPr>
          <w:rFonts w:ascii="Times New Roman" w:hAnsi="Times New Roman"/>
          <w:sz w:val="24"/>
          <w:szCs w:val="24"/>
        </w:rPr>
        <w:t xml:space="preserve"> </w:t>
      </w:r>
      <w:r w:rsidR="00EC6E53">
        <w:rPr>
          <w:rFonts w:ascii="Times New Roman" w:hAnsi="Times New Roman"/>
          <w:sz w:val="24"/>
          <w:szCs w:val="24"/>
        </w:rPr>
        <w:t xml:space="preserve">dans l’absolu, </w:t>
      </w:r>
      <w:r w:rsidR="00BA3DC6" w:rsidRPr="006B309F">
        <w:rPr>
          <w:rFonts w:ascii="Times New Roman" w:hAnsi="Times New Roman"/>
          <w:sz w:val="24"/>
          <w:szCs w:val="24"/>
        </w:rPr>
        <w:t>pour rationaliser la ressource. En échange de la ressource même rationalisée, ce qui est obtenu est généralement robuste et donc induit un bon registre de "</w:t>
      </w:r>
      <w:r w:rsidR="00232C75" w:rsidRPr="006B309F">
        <w:rPr>
          <w:rFonts w:ascii="Times New Roman" w:hAnsi="Times New Roman"/>
          <w:sz w:val="24"/>
          <w:szCs w:val="24"/>
        </w:rPr>
        <w:t xml:space="preserve">value for </w:t>
      </w:r>
      <w:r w:rsidR="00BA3DC6" w:rsidRPr="006B309F">
        <w:rPr>
          <w:rFonts w:ascii="Times New Roman" w:hAnsi="Times New Roman"/>
          <w:sz w:val="24"/>
          <w:szCs w:val="24"/>
        </w:rPr>
        <w:t>money" lorsqu’il s’agit de réalisations dures (équipement</w:t>
      </w:r>
      <w:r w:rsidR="00670DB1" w:rsidRPr="006B309F">
        <w:rPr>
          <w:rFonts w:ascii="Times New Roman" w:hAnsi="Times New Roman"/>
          <w:sz w:val="24"/>
          <w:szCs w:val="24"/>
        </w:rPr>
        <w:t>s</w:t>
      </w:r>
      <w:r w:rsidR="00BA3DC6" w:rsidRPr="006B309F">
        <w:rPr>
          <w:rFonts w:ascii="Times New Roman" w:hAnsi="Times New Roman"/>
          <w:sz w:val="24"/>
          <w:szCs w:val="24"/>
        </w:rPr>
        <w:t xml:space="preserve"> et infrastructures), mais surdéterminé par l’environnement institutionnel local lorsqu’il s’agit de produits soft comme le renforcement de capacités.</w:t>
      </w:r>
    </w:p>
    <w:p w14:paraId="041A1701" w14:textId="77777777" w:rsidR="00DC6A98" w:rsidRPr="006B309F" w:rsidRDefault="00DC6A98" w:rsidP="002B5FE6">
      <w:pPr>
        <w:spacing w:after="0" w:line="240" w:lineRule="auto"/>
        <w:jc w:val="both"/>
        <w:rPr>
          <w:rFonts w:ascii="Times New Roman" w:hAnsi="Times New Roman"/>
          <w:sz w:val="24"/>
          <w:szCs w:val="24"/>
        </w:rPr>
      </w:pPr>
    </w:p>
    <w:p w14:paraId="77F131C4" w14:textId="77777777" w:rsidR="00BA3DC6" w:rsidRPr="006B309F" w:rsidRDefault="000B5082" w:rsidP="002B5FE6">
      <w:pPr>
        <w:spacing w:after="0" w:line="240" w:lineRule="auto"/>
        <w:jc w:val="both"/>
        <w:rPr>
          <w:rFonts w:ascii="Times New Roman" w:hAnsi="Times New Roman"/>
          <w:sz w:val="24"/>
          <w:szCs w:val="24"/>
        </w:rPr>
      </w:pPr>
      <w:r>
        <w:rPr>
          <w:rFonts w:ascii="Times New Roman" w:hAnsi="Times New Roman"/>
          <w:sz w:val="24"/>
          <w:szCs w:val="24"/>
        </w:rPr>
        <w:t>8</w:t>
      </w:r>
      <w:r w:rsidR="00454255">
        <w:rPr>
          <w:rFonts w:ascii="Times New Roman" w:hAnsi="Times New Roman"/>
          <w:sz w:val="24"/>
          <w:szCs w:val="24"/>
        </w:rPr>
        <w:t>9</w:t>
      </w:r>
      <w:r w:rsidR="0024772E" w:rsidRPr="006B309F">
        <w:rPr>
          <w:rFonts w:ascii="Times New Roman" w:hAnsi="Times New Roman"/>
          <w:sz w:val="24"/>
          <w:szCs w:val="24"/>
        </w:rPr>
        <w:t>.</w:t>
      </w:r>
      <w:r w:rsidR="00BA3DC6" w:rsidRPr="006B309F">
        <w:rPr>
          <w:rFonts w:ascii="Times New Roman" w:hAnsi="Times New Roman"/>
          <w:sz w:val="24"/>
          <w:szCs w:val="24"/>
        </w:rPr>
        <w:tab/>
      </w:r>
      <w:r w:rsidR="00BA3DC6" w:rsidRPr="006B309F">
        <w:rPr>
          <w:rStyle w:val="Titre3Car"/>
          <w:rFonts w:ascii="Times New Roman" w:eastAsia="Calibri" w:hAnsi="Times New Roman"/>
          <w:i/>
          <w:color w:val="auto"/>
          <w:sz w:val="24"/>
          <w:szCs w:val="24"/>
        </w:rPr>
        <w:t>Efficience du modèle organisationnel</w:t>
      </w:r>
      <w:r w:rsidR="00BA3DC6" w:rsidRPr="006B309F">
        <w:rPr>
          <w:rFonts w:ascii="Times New Roman" w:hAnsi="Times New Roman"/>
          <w:sz w:val="24"/>
          <w:szCs w:val="24"/>
        </w:rPr>
        <w:t> : A côté des coûts stratégiques dont le rendement est apprécié supra, l’efficience globale du programme interpelle aussi ses coûts d’intermédiation. Autrement</w:t>
      </w:r>
      <w:r w:rsidR="00670DB1" w:rsidRPr="006B309F">
        <w:rPr>
          <w:rFonts w:ascii="Times New Roman" w:hAnsi="Times New Roman"/>
          <w:sz w:val="24"/>
          <w:szCs w:val="24"/>
        </w:rPr>
        <w:t xml:space="preserve"> dit</w:t>
      </w:r>
      <w:r w:rsidR="00BA3DC6" w:rsidRPr="006B309F">
        <w:rPr>
          <w:rFonts w:ascii="Times New Roman" w:hAnsi="Times New Roman"/>
          <w:sz w:val="24"/>
          <w:szCs w:val="24"/>
        </w:rPr>
        <w:t>, dans quelle limite parvient-il à contenir ce type de dépense</w:t>
      </w:r>
      <w:r w:rsidR="00CC08A5" w:rsidRPr="006B309F">
        <w:rPr>
          <w:rFonts w:ascii="Times New Roman" w:hAnsi="Times New Roman"/>
          <w:sz w:val="24"/>
          <w:szCs w:val="24"/>
        </w:rPr>
        <w:t>s</w:t>
      </w:r>
      <w:r w:rsidR="00BA3DC6" w:rsidRPr="006B309F">
        <w:rPr>
          <w:rFonts w:ascii="Times New Roman" w:hAnsi="Times New Roman"/>
          <w:sz w:val="24"/>
          <w:szCs w:val="24"/>
        </w:rPr>
        <w:t xml:space="preserve">, représenté par </w:t>
      </w:r>
      <w:r w:rsidR="00BA3DC6" w:rsidRPr="004F261E">
        <w:rPr>
          <w:rFonts w:ascii="Times New Roman" w:hAnsi="Times New Roman"/>
          <w:sz w:val="24"/>
          <w:szCs w:val="24"/>
        </w:rPr>
        <w:t>les coûts encourus pour apporter aux bénéficiaires finaux les ressources du programme</w:t>
      </w:r>
      <w:r w:rsidR="00670DB1" w:rsidRPr="004F261E">
        <w:rPr>
          <w:rFonts w:ascii="Times New Roman" w:hAnsi="Times New Roman"/>
          <w:sz w:val="24"/>
          <w:szCs w:val="24"/>
        </w:rPr>
        <w:t> ?</w:t>
      </w:r>
      <w:r w:rsidR="00BA3DC6" w:rsidRPr="004F261E">
        <w:rPr>
          <w:rFonts w:ascii="Times New Roman" w:hAnsi="Times New Roman"/>
          <w:sz w:val="24"/>
          <w:szCs w:val="24"/>
        </w:rPr>
        <w:t xml:space="preserve"> </w:t>
      </w:r>
      <w:r w:rsidR="006B6C7E" w:rsidRPr="004F261E">
        <w:rPr>
          <w:rFonts w:ascii="Times New Roman" w:hAnsi="Times New Roman"/>
          <w:sz w:val="24"/>
          <w:szCs w:val="24"/>
        </w:rPr>
        <w:t xml:space="preserve">L’ampleur des </w:t>
      </w:r>
      <w:r w:rsidR="00BA3DC6" w:rsidRPr="004F261E">
        <w:rPr>
          <w:rFonts w:ascii="Times New Roman" w:hAnsi="Times New Roman"/>
          <w:sz w:val="24"/>
          <w:szCs w:val="24"/>
        </w:rPr>
        <w:t xml:space="preserve">dépenses </w:t>
      </w:r>
      <w:r w:rsidR="00CC08A5" w:rsidRPr="004F261E">
        <w:rPr>
          <w:rFonts w:ascii="Times New Roman" w:hAnsi="Times New Roman"/>
          <w:sz w:val="24"/>
          <w:szCs w:val="24"/>
        </w:rPr>
        <w:t>d’opération</w:t>
      </w:r>
      <w:r w:rsidR="00BA3DC6" w:rsidRPr="004F261E">
        <w:rPr>
          <w:rFonts w:ascii="Times New Roman" w:hAnsi="Times New Roman"/>
          <w:sz w:val="24"/>
          <w:szCs w:val="24"/>
        </w:rPr>
        <w:t xml:space="preserve"> </w:t>
      </w:r>
      <w:r w:rsidR="006B6C7E" w:rsidRPr="004F261E">
        <w:rPr>
          <w:rFonts w:ascii="Times New Roman" w:hAnsi="Times New Roman"/>
          <w:sz w:val="24"/>
          <w:szCs w:val="24"/>
        </w:rPr>
        <w:t>devait normalement être</w:t>
      </w:r>
      <w:r w:rsidR="00CC08A5" w:rsidRPr="004F261E">
        <w:rPr>
          <w:rFonts w:ascii="Times New Roman" w:hAnsi="Times New Roman"/>
          <w:sz w:val="24"/>
          <w:szCs w:val="24"/>
        </w:rPr>
        <w:t xml:space="preserve"> raisonnable comme cela est généralement le cas lorsque l’exécution nationale est dominante. La</w:t>
      </w:r>
      <w:r w:rsidR="00BA3DC6" w:rsidRPr="004F261E">
        <w:rPr>
          <w:rFonts w:ascii="Times New Roman" w:hAnsi="Times New Roman"/>
          <w:sz w:val="24"/>
          <w:szCs w:val="24"/>
        </w:rPr>
        <w:t xml:space="preserve"> modalité d’exécution nationale, </w:t>
      </w:r>
      <w:r w:rsidR="004D5980" w:rsidRPr="004F261E">
        <w:rPr>
          <w:rFonts w:ascii="Times New Roman" w:hAnsi="Times New Roman"/>
          <w:sz w:val="24"/>
          <w:szCs w:val="24"/>
        </w:rPr>
        <w:t xml:space="preserve">en droit, </w:t>
      </w:r>
      <w:r w:rsidR="00CC08A5" w:rsidRPr="004F261E">
        <w:rPr>
          <w:rFonts w:ascii="Times New Roman" w:hAnsi="Times New Roman"/>
          <w:sz w:val="24"/>
          <w:szCs w:val="24"/>
        </w:rPr>
        <w:t>diminue le</w:t>
      </w:r>
      <w:r w:rsidR="00BA3DC6" w:rsidRPr="004F261E">
        <w:rPr>
          <w:rFonts w:ascii="Times New Roman" w:hAnsi="Times New Roman"/>
          <w:sz w:val="24"/>
          <w:szCs w:val="24"/>
        </w:rPr>
        <w:t xml:space="preserve"> staff</w:t>
      </w:r>
      <w:r w:rsidR="00CC08A5" w:rsidRPr="004F261E">
        <w:rPr>
          <w:rFonts w:ascii="Times New Roman" w:hAnsi="Times New Roman"/>
          <w:sz w:val="24"/>
          <w:szCs w:val="24"/>
        </w:rPr>
        <w:t>ing directement rémunéré par le programme</w:t>
      </w:r>
      <w:r w:rsidR="00CC08A5" w:rsidRPr="006B309F">
        <w:rPr>
          <w:rFonts w:ascii="Times New Roman" w:hAnsi="Times New Roman"/>
          <w:sz w:val="24"/>
          <w:szCs w:val="24"/>
        </w:rPr>
        <w:t xml:space="preserve">, les entités nationales </w:t>
      </w:r>
      <w:r w:rsidR="00BE7FB1" w:rsidRPr="006B309F">
        <w:rPr>
          <w:rFonts w:ascii="Times New Roman" w:hAnsi="Times New Roman"/>
          <w:sz w:val="24"/>
          <w:szCs w:val="24"/>
        </w:rPr>
        <w:t xml:space="preserve">étant </w:t>
      </w:r>
      <w:r w:rsidR="00866FBC" w:rsidRPr="006B309F">
        <w:rPr>
          <w:rFonts w:ascii="Times New Roman" w:hAnsi="Times New Roman"/>
          <w:sz w:val="24"/>
          <w:szCs w:val="24"/>
        </w:rPr>
        <w:t xml:space="preserve">aux </w:t>
      </w:r>
      <w:r w:rsidR="00BE7FB1" w:rsidRPr="006B309F">
        <w:rPr>
          <w:rFonts w:ascii="Times New Roman" w:hAnsi="Times New Roman"/>
          <w:sz w:val="24"/>
          <w:szCs w:val="24"/>
        </w:rPr>
        <w:t>responsabilité</w:t>
      </w:r>
      <w:r w:rsidR="00866FBC" w:rsidRPr="006B309F">
        <w:rPr>
          <w:rFonts w:ascii="Times New Roman" w:hAnsi="Times New Roman"/>
          <w:sz w:val="24"/>
          <w:szCs w:val="24"/>
        </w:rPr>
        <w:t>s</w:t>
      </w:r>
      <w:r w:rsidR="00BE7FB1" w:rsidRPr="006B309F">
        <w:rPr>
          <w:rFonts w:ascii="Times New Roman" w:hAnsi="Times New Roman"/>
          <w:sz w:val="24"/>
          <w:szCs w:val="24"/>
        </w:rPr>
        <w:t>.</w:t>
      </w:r>
    </w:p>
    <w:p w14:paraId="7B0F1314" w14:textId="77777777" w:rsidR="00BA3DC6" w:rsidRPr="006B309F" w:rsidRDefault="00BA3DC6" w:rsidP="002B5FE6">
      <w:pPr>
        <w:spacing w:after="0" w:line="240" w:lineRule="auto"/>
        <w:jc w:val="both"/>
        <w:rPr>
          <w:rFonts w:ascii="Times New Roman" w:hAnsi="Times New Roman"/>
          <w:sz w:val="24"/>
          <w:szCs w:val="24"/>
        </w:rPr>
      </w:pPr>
    </w:p>
    <w:p w14:paraId="0C5BCF3E" w14:textId="77777777" w:rsidR="00BA3DC6" w:rsidRPr="006B309F" w:rsidRDefault="000B5082" w:rsidP="002B5FE6">
      <w:pPr>
        <w:spacing w:after="0" w:line="240" w:lineRule="auto"/>
        <w:jc w:val="both"/>
        <w:rPr>
          <w:rFonts w:ascii="Times New Roman" w:hAnsi="Times New Roman"/>
          <w:sz w:val="24"/>
          <w:szCs w:val="24"/>
        </w:rPr>
      </w:pPr>
      <w:r>
        <w:rPr>
          <w:rFonts w:ascii="Times New Roman" w:hAnsi="Times New Roman"/>
          <w:sz w:val="24"/>
          <w:szCs w:val="24"/>
        </w:rPr>
        <w:t>90</w:t>
      </w:r>
      <w:r w:rsidR="0024772E" w:rsidRPr="006B309F">
        <w:rPr>
          <w:rFonts w:ascii="Times New Roman" w:hAnsi="Times New Roman"/>
          <w:sz w:val="24"/>
          <w:szCs w:val="24"/>
        </w:rPr>
        <w:t>.</w:t>
      </w:r>
      <w:r w:rsidR="00BA3DC6" w:rsidRPr="006B309F">
        <w:rPr>
          <w:rFonts w:ascii="Times New Roman" w:hAnsi="Times New Roman"/>
          <w:sz w:val="24"/>
          <w:szCs w:val="24"/>
        </w:rPr>
        <w:tab/>
      </w:r>
      <w:r w:rsidR="004D5980">
        <w:rPr>
          <w:rFonts w:ascii="Times New Roman" w:hAnsi="Times New Roman"/>
          <w:sz w:val="24"/>
          <w:szCs w:val="24"/>
        </w:rPr>
        <w:t xml:space="preserve">Dans la pratique de l’exécution nationale en République du Mali, les gains d’efficience qui auraient </w:t>
      </w:r>
      <w:r w:rsidR="00597409">
        <w:rPr>
          <w:rFonts w:ascii="Times New Roman" w:hAnsi="Times New Roman"/>
          <w:sz w:val="24"/>
          <w:szCs w:val="24"/>
        </w:rPr>
        <w:t xml:space="preserve">pu </w:t>
      </w:r>
      <w:r w:rsidR="004D5980">
        <w:rPr>
          <w:rFonts w:ascii="Times New Roman" w:hAnsi="Times New Roman"/>
          <w:sz w:val="24"/>
          <w:szCs w:val="24"/>
        </w:rPr>
        <w:t>en être attendu</w:t>
      </w:r>
      <w:r w:rsidR="006B6C7E">
        <w:rPr>
          <w:rFonts w:ascii="Times New Roman" w:hAnsi="Times New Roman"/>
          <w:sz w:val="24"/>
          <w:szCs w:val="24"/>
        </w:rPr>
        <w:t>s</w:t>
      </w:r>
      <w:r w:rsidR="004D5980">
        <w:rPr>
          <w:rFonts w:ascii="Times New Roman" w:hAnsi="Times New Roman"/>
          <w:sz w:val="24"/>
          <w:szCs w:val="24"/>
        </w:rPr>
        <w:t xml:space="preserve"> ne sont pas forcément au rendez-vous, hélas. D’abord l’</w:t>
      </w:r>
      <w:r w:rsidR="00BA3DC6" w:rsidRPr="006B309F">
        <w:rPr>
          <w:rFonts w:ascii="Times New Roman" w:hAnsi="Times New Roman"/>
          <w:sz w:val="24"/>
          <w:szCs w:val="24"/>
        </w:rPr>
        <w:t>é</w:t>
      </w:r>
      <w:r w:rsidR="004D5980">
        <w:rPr>
          <w:rFonts w:ascii="Times New Roman" w:hAnsi="Times New Roman"/>
          <w:sz w:val="24"/>
          <w:szCs w:val="24"/>
        </w:rPr>
        <w:t xml:space="preserve">miettement </w:t>
      </w:r>
      <w:r w:rsidR="00BE7FB1" w:rsidRPr="006B309F">
        <w:rPr>
          <w:rFonts w:ascii="Times New Roman" w:hAnsi="Times New Roman"/>
          <w:sz w:val="24"/>
          <w:szCs w:val="24"/>
        </w:rPr>
        <w:t xml:space="preserve">du portefeuille en une kyrielle </w:t>
      </w:r>
      <w:r w:rsidR="00BA3DC6" w:rsidRPr="006B309F">
        <w:rPr>
          <w:rFonts w:ascii="Times New Roman" w:hAnsi="Times New Roman"/>
          <w:sz w:val="24"/>
          <w:szCs w:val="24"/>
        </w:rPr>
        <w:t xml:space="preserve">de </w:t>
      </w:r>
      <w:r w:rsidR="00BE7FB1" w:rsidRPr="006B309F">
        <w:rPr>
          <w:rFonts w:ascii="Times New Roman" w:hAnsi="Times New Roman"/>
          <w:sz w:val="24"/>
          <w:szCs w:val="24"/>
        </w:rPr>
        <w:t>petites interventions</w:t>
      </w:r>
      <w:r w:rsidR="004D5980">
        <w:rPr>
          <w:rFonts w:ascii="Times New Roman" w:hAnsi="Times New Roman"/>
          <w:sz w:val="24"/>
          <w:szCs w:val="24"/>
        </w:rPr>
        <w:t xml:space="preserve">, </w:t>
      </w:r>
      <w:r w:rsidR="00BE7FB1" w:rsidRPr="006B309F">
        <w:rPr>
          <w:rFonts w:ascii="Times New Roman" w:hAnsi="Times New Roman"/>
          <w:sz w:val="24"/>
          <w:szCs w:val="24"/>
        </w:rPr>
        <w:t>augmente les charges de gestion</w:t>
      </w:r>
      <w:r w:rsidR="00BA3DC6" w:rsidRPr="006B309F">
        <w:rPr>
          <w:rFonts w:ascii="Times New Roman" w:hAnsi="Times New Roman"/>
          <w:sz w:val="24"/>
          <w:szCs w:val="24"/>
        </w:rPr>
        <w:t xml:space="preserve">, </w:t>
      </w:r>
      <w:r w:rsidR="00BE7FB1" w:rsidRPr="006B309F">
        <w:rPr>
          <w:rFonts w:ascii="Times New Roman" w:hAnsi="Times New Roman"/>
          <w:sz w:val="24"/>
          <w:szCs w:val="24"/>
        </w:rPr>
        <w:t>tout en ayant un i</w:t>
      </w:r>
      <w:r w:rsidR="00BA3DC6" w:rsidRPr="006B309F">
        <w:rPr>
          <w:rFonts w:ascii="Times New Roman" w:hAnsi="Times New Roman"/>
          <w:sz w:val="24"/>
          <w:szCs w:val="24"/>
        </w:rPr>
        <w:t>mpact plus faible qu’il n’aurait été si cette fourmilière était recentrée dans une véritable approche programme. Il est connu qu’en matière de stratégies de développement, l’on obtient plus de résultats et de bien meilleure qualité avec des paquets de services cohérents qu’</w:t>
      </w:r>
      <w:r w:rsidR="004D5980">
        <w:rPr>
          <w:rFonts w:ascii="Times New Roman" w:hAnsi="Times New Roman"/>
          <w:sz w:val="24"/>
          <w:szCs w:val="24"/>
        </w:rPr>
        <w:t>avec des interventions éparses. Ensuite, les projets mis en œuvre en modalité d’exécution nationale sont quand même dotés d’unités de gestion spécifiques (un coordonnateur national et son staff, qui sont différents du Directeur national et de son administration</w:t>
      </w:r>
      <w:r w:rsidR="00FC5D1F">
        <w:rPr>
          <w:rFonts w:ascii="Times New Roman" w:hAnsi="Times New Roman"/>
          <w:sz w:val="24"/>
          <w:szCs w:val="24"/>
        </w:rPr>
        <w:t>)</w:t>
      </w:r>
      <w:r w:rsidR="004D5980">
        <w:rPr>
          <w:rFonts w:ascii="Times New Roman" w:hAnsi="Times New Roman"/>
          <w:sz w:val="24"/>
          <w:szCs w:val="24"/>
        </w:rPr>
        <w:t>. Le moins que l’on puisse dire est que ce dispositif lourd, conflictuel et frustrant pour la partie nationale, augmente peut être la rapidité d’exécution des projets concernés mais est surtout très onéreuse et empêche de faire parvenir aux bénéficiaires directs le maximum de ressources.</w:t>
      </w:r>
    </w:p>
    <w:p w14:paraId="392A436F" w14:textId="77777777" w:rsidR="00F52F7F" w:rsidRPr="006B309F" w:rsidRDefault="00F52F7F" w:rsidP="00B96F0F">
      <w:pPr>
        <w:spacing w:after="0" w:line="240" w:lineRule="auto"/>
        <w:jc w:val="both"/>
        <w:rPr>
          <w:rFonts w:ascii="Times New Roman" w:hAnsi="Times New Roman"/>
          <w:sz w:val="24"/>
          <w:szCs w:val="24"/>
        </w:rPr>
      </w:pPr>
    </w:p>
    <w:p w14:paraId="2569BEDC" w14:textId="77777777" w:rsidR="00F52F7F" w:rsidRPr="006B309F" w:rsidRDefault="00454255" w:rsidP="00B96F0F">
      <w:pPr>
        <w:spacing w:after="0" w:line="240" w:lineRule="auto"/>
        <w:jc w:val="both"/>
        <w:rPr>
          <w:rFonts w:ascii="Times New Roman" w:hAnsi="Times New Roman"/>
          <w:sz w:val="24"/>
          <w:szCs w:val="24"/>
        </w:rPr>
      </w:pPr>
      <w:r>
        <w:rPr>
          <w:rFonts w:ascii="Times New Roman" w:hAnsi="Times New Roman"/>
          <w:sz w:val="24"/>
          <w:szCs w:val="24"/>
        </w:rPr>
        <w:t>9</w:t>
      </w:r>
      <w:r w:rsidR="000B5082">
        <w:rPr>
          <w:rFonts w:ascii="Times New Roman" w:hAnsi="Times New Roman"/>
          <w:sz w:val="24"/>
          <w:szCs w:val="24"/>
        </w:rPr>
        <w:t>1</w:t>
      </w:r>
      <w:r w:rsidR="002710D2" w:rsidRPr="006B309F">
        <w:rPr>
          <w:rFonts w:ascii="Times New Roman" w:hAnsi="Times New Roman"/>
          <w:sz w:val="24"/>
          <w:szCs w:val="24"/>
        </w:rPr>
        <w:t>.</w:t>
      </w:r>
      <w:r w:rsidR="002710D2" w:rsidRPr="006B309F">
        <w:rPr>
          <w:rFonts w:ascii="Times New Roman" w:hAnsi="Times New Roman"/>
          <w:sz w:val="24"/>
          <w:szCs w:val="24"/>
        </w:rPr>
        <w:tab/>
      </w:r>
      <w:r w:rsidR="00F52F7F" w:rsidRPr="006B309F">
        <w:rPr>
          <w:rStyle w:val="Titre3Car"/>
          <w:rFonts w:ascii="Times New Roman" w:eastAsia="Calibri" w:hAnsi="Times New Roman"/>
          <w:i/>
          <w:color w:val="auto"/>
          <w:sz w:val="24"/>
          <w:szCs w:val="24"/>
        </w:rPr>
        <w:t xml:space="preserve">Valeurs ajoutées des inputs corporate et des synergies inter </w:t>
      </w:r>
      <w:r w:rsidR="0042520E" w:rsidRPr="006B309F">
        <w:rPr>
          <w:rStyle w:val="Titre3Car"/>
          <w:rFonts w:ascii="Times New Roman" w:eastAsia="Calibri" w:hAnsi="Times New Roman"/>
          <w:i/>
          <w:color w:val="auto"/>
          <w:sz w:val="24"/>
          <w:szCs w:val="24"/>
        </w:rPr>
        <w:t>ag</w:t>
      </w:r>
      <w:r w:rsidR="00F52F7F" w:rsidRPr="006B309F">
        <w:rPr>
          <w:rStyle w:val="Titre3Car"/>
          <w:rFonts w:ascii="Times New Roman" w:eastAsia="Calibri" w:hAnsi="Times New Roman"/>
          <w:i/>
          <w:color w:val="auto"/>
          <w:sz w:val="24"/>
          <w:szCs w:val="24"/>
        </w:rPr>
        <w:t>ence</w:t>
      </w:r>
      <w:r w:rsidR="00F52F7F" w:rsidRPr="006B309F">
        <w:rPr>
          <w:rFonts w:ascii="Times New Roman" w:hAnsi="Times New Roman"/>
          <w:b/>
          <w:i/>
          <w:sz w:val="24"/>
          <w:szCs w:val="24"/>
        </w:rPr>
        <w:t>s</w:t>
      </w:r>
      <w:r w:rsidR="00F52F7F" w:rsidRPr="006B309F">
        <w:rPr>
          <w:rFonts w:ascii="Times New Roman" w:hAnsi="Times New Roman"/>
          <w:sz w:val="24"/>
          <w:szCs w:val="24"/>
        </w:rPr>
        <w:t xml:space="preserve"> : L’efficience du programme est améliorée par les </w:t>
      </w:r>
      <w:r w:rsidR="0042520E" w:rsidRPr="006B309F">
        <w:rPr>
          <w:rFonts w:ascii="Times New Roman" w:hAnsi="Times New Roman"/>
          <w:sz w:val="24"/>
          <w:szCs w:val="24"/>
        </w:rPr>
        <w:t>c</w:t>
      </w:r>
      <w:r w:rsidR="00F52F7F" w:rsidRPr="006B309F">
        <w:rPr>
          <w:rFonts w:ascii="Times New Roman" w:hAnsi="Times New Roman"/>
          <w:sz w:val="24"/>
          <w:szCs w:val="24"/>
        </w:rPr>
        <w:t>ontributions que le Bureau mobilise dans le réseau</w:t>
      </w:r>
      <w:r w:rsidR="00866FBC" w:rsidRPr="006B309F">
        <w:rPr>
          <w:rFonts w:ascii="Times New Roman" w:hAnsi="Times New Roman"/>
          <w:sz w:val="24"/>
          <w:szCs w:val="24"/>
        </w:rPr>
        <w:t xml:space="preserve"> corporate du PNUD. Elle</w:t>
      </w:r>
      <w:r w:rsidR="00ED1395">
        <w:rPr>
          <w:rFonts w:ascii="Times New Roman" w:hAnsi="Times New Roman"/>
          <w:sz w:val="24"/>
          <w:szCs w:val="24"/>
        </w:rPr>
        <w:t>s</w:t>
      </w:r>
      <w:r w:rsidR="00866FBC" w:rsidRPr="006B309F">
        <w:rPr>
          <w:rFonts w:ascii="Times New Roman" w:hAnsi="Times New Roman"/>
          <w:sz w:val="24"/>
          <w:szCs w:val="24"/>
        </w:rPr>
        <w:t xml:space="preserve"> </w:t>
      </w:r>
      <w:r w:rsidR="00ED1395" w:rsidRPr="006B309F">
        <w:rPr>
          <w:rFonts w:ascii="Times New Roman" w:hAnsi="Times New Roman"/>
          <w:sz w:val="24"/>
          <w:szCs w:val="24"/>
        </w:rPr>
        <w:t>pren</w:t>
      </w:r>
      <w:r w:rsidR="00ED1395">
        <w:rPr>
          <w:rFonts w:ascii="Times New Roman" w:hAnsi="Times New Roman"/>
          <w:sz w:val="24"/>
          <w:szCs w:val="24"/>
        </w:rPr>
        <w:t>nent</w:t>
      </w:r>
      <w:r w:rsidR="00866FBC" w:rsidRPr="006B309F">
        <w:rPr>
          <w:rFonts w:ascii="Times New Roman" w:hAnsi="Times New Roman"/>
          <w:sz w:val="24"/>
          <w:szCs w:val="24"/>
        </w:rPr>
        <w:t xml:space="preserve"> </w:t>
      </w:r>
      <w:r w:rsidR="00F52F7F" w:rsidRPr="006B309F">
        <w:rPr>
          <w:rFonts w:ascii="Times New Roman" w:hAnsi="Times New Roman"/>
          <w:sz w:val="24"/>
          <w:szCs w:val="24"/>
        </w:rPr>
        <w:t>l</w:t>
      </w:r>
      <w:r w:rsidR="00866FBC" w:rsidRPr="006B309F">
        <w:rPr>
          <w:rFonts w:ascii="Times New Roman" w:hAnsi="Times New Roman"/>
          <w:sz w:val="24"/>
          <w:szCs w:val="24"/>
        </w:rPr>
        <w:t>a</w:t>
      </w:r>
      <w:r w:rsidR="00F52F7F" w:rsidRPr="006B309F">
        <w:rPr>
          <w:rFonts w:ascii="Times New Roman" w:hAnsi="Times New Roman"/>
          <w:sz w:val="24"/>
          <w:szCs w:val="24"/>
        </w:rPr>
        <w:t xml:space="preserve"> for</w:t>
      </w:r>
      <w:r w:rsidR="00866FBC" w:rsidRPr="006B309F">
        <w:rPr>
          <w:rFonts w:ascii="Times New Roman" w:hAnsi="Times New Roman"/>
          <w:sz w:val="24"/>
          <w:szCs w:val="24"/>
        </w:rPr>
        <w:t>m</w:t>
      </w:r>
      <w:r w:rsidR="00F52F7F" w:rsidRPr="006B309F">
        <w:rPr>
          <w:rFonts w:ascii="Times New Roman" w:hAnsi="Times New Roman"/>
          <w:sz w:val="24"/>
          <w:szCs w:val="24"/>
        </w:rPr>
        <w:t xml:space="preserve">e d’une assistance technique distante ou </w:t>
      </w:r>
      <w:r w:rsidR="0038039C" w:rsidRPr="006B309F">
        <w:rPr>
          <w:rFonts w:ascii="Times New Roman" w:hAnsi="Times New Roman"/>
          <w:sz w:val="24"/>
          <w:szCs w:val="24"/>
        </w:rPr>
        <w:t xml:space="preserve">de l’envoi </w:t>
      </w:r>
      <w:r w:rsidR="00ED1395">
        <w:rPr>
          <w:rFonts w:ascii="Times New Roman" w:hAnsi="Times New Roman"/>
          <w:sz w:val="24"/>
          <w:szCs w:val="24"/>
        </w:rPr>
        <w:t>au Mali</w:t>
      </w:r>
      <w:r w:rsidR="0038039C" w:rsidRPr="006B309F">
        <w:rPr>
          <w:rFonts w:ascii="Times New Roman" w:hAnsi="Times New Roman"/>
          <w:sz w:val="24"/>
          <w:szCs w:val="24"/>
        </w:rPr>
        <w:t xml:space="preserve"> de</w:t>
      </w:r>
      <w:r w:rsidR="0042520E" w:rsidRPr="006B309F">
        <w:rPr>
          <w:rFonts w:ascii="Times New Roman" w:hAnsi="Times New Roman"/>
          <w:sz w:val="24"/>
          <w:szCs w:val="24"/>
        </w:rPr>
        <w:t xml:space="preserve"> ressources humaines en provenance d’autres entités du PNUD. Ces apports </w:t>
      </w:r>
      <w:r w:rsidR="00866FBC" w:rsidRPr="006B309F">
        <w:rPr>
          <w:rFonts w:ascii="Times New Roman" w:hAnsi="Times New Roman"/>
          <w:sz w:val="24"/>
          <w:szCs w:val="24"/>
        </w:rPr>
        <w:t>s</w:t>
      </w:r>
      <w:r w:rsidR="0042520E" w:rsidRPr="006B309F">
        <w:rPr>
          <w:rFonts w:ascii="Times New Roman" w:hAnsi="Times New Roman"/>
          <w:sz w:val="24"/>
          <w:szCs w:val="24"/>
        </w:rPr>
        <w:t>ont par définition plus coût-avantageuses parce que le programme ne les finance que partiellement, voire pas du tout lorsqu’il s’agit d’une consultation à distance.</w:t>
      </w:r>
      <w:r w:rsidR="00ED1395">
        <w:rPr>
          <w:rFonts w:ascii="Times New Roman" w:hAnsi="Times New Roman"/>
          <w:sz w:val="24"/>
          <w:szCs w:val="24"/>
        </w:rPr>
        <w:t xml:space="preserve"> Mar exemple, le </w:t>
      </w:r>
      <w:r w:rsidR="009B4BB2" w:rsidRPr="006B309F">
        <w:rPr>
          <w:rFonts w:ascii="Times New Roman" w:hAnsi="Times New Roman"/>
          <w:sz w:val="24"/>
          <w:szCs w:val="24"/>
        </w:rPr>
        <w:t>Centre régional d’Addis appuie régulièrement le programme dans son exécution substanti</w:t>
      </w:r>
      <w:r w:rsidR="00444643" w:rsidRPr="006B309F">
        <w:rPr>
          <w:rFonts w:ascii="Times New Roman" w:hAnsi="Times New Roman"/>
          <w:sz w:val="24"/>
          <w:szCs w:val="24"/>
        </w:rPr>
        <w:t xml:space="preserve">elle comme dans la fonction </w:t>
      </w:r>
      <w:r w:rsidR="00444643" w:rsidRPr="006B309F">
        <w:rPr>
          <w:rFonts w:ascii="Times New Roman" w:hAnsi="Times New Roman"/>
          <w:sz w:val="24"/>
          <w:szCs w:val="24"/>
        </w:rPr>
        <w:lastRenderedPageBreak/>
        <w:t>suiv</w:t>
      </w:r>
      <w:r w:rsidR="009B4BB2" w:rsidRPr="006B309F">
        <w:rPr>
          <w:rFonts w:ascii="Times New Roman" w:hAnsi="Times New Roman"/>
          <w:sz w:val="24"/>
          <w:szCs w:val="24"/>
        </w:rPr>
        <w:t>i-évaluation.</w:t>
      </w:r>
      <w:r w:rsidR="00ED1395">
        <w:rPr>
          <w:rFonts w:ascii="Times New Roman" w:hAnsi="Times New Roman"/>
          <w:sz w:val="24"/>
          <w:szCs w:val="24"/>
        </w:rPr>
        <w:t xml:space="preserve"> Au cours de la mission, deux experts régionaux sont venus en appui au processus de contextualisation des Objectifs de Développement Durable.</w:t>
      </w:r>
    </w:p>
    <w:p w14:paraId="64CBC6FA" w14:textId="77777777" w:rsidR="009B4BB2" w:rsidRPr="006B309F" w:rsidRDefault="009B4BB2" w:rsidP="002B5FE6">
      <w:pPr>
        <w:spacing w:after="0" w:line="240" w:lineRule="auto"/>
        <w:jc w:val="both"/>
        <w:rPr>
          <w:rFonts w:ascii="Times New Roman" w:hAnsi="Times New Roman"/>
          <w:sz w:val="24"/>
          <w:szCs w:val="24"/>
        </w:rPr>
      </w:pPr>
    </w:p>
    <w:p w14:paraId="789D427A" w14:textId="77777777" w:rsidR="00A60EE2" w:rsidRDefault="00454255" w:rsidP="002B5FE6">
      <w:pPr>
        <w:spacing w:after="0" w:line="240" w:lineRule="auto"/>
        <w:jc w:val="both"/>
        <w:rPr>
          <w:rFonts w:ascii="Times New Roman" w:hAnsi="Times New Roman"/>
          <w:sz w:val="24"/>
          <w:szCs w:val="24"/>
        </w:rPr>
      </w:pPr>
      <w:r>
        <w:rPr>
          <w:rFonts w:ascii="Times New Roman" w:hAnsi="Times New Roman"/>
          <w:sz w:val="24"/>
          <w:szCs w:val="24"/>
        </w:rPr>
        <w:t>9</w:t>
      </w:r>
      <w:r w:rsidR="000B5082">
        <w:rPr>
          <w:rFonts w:ascii="Times New Roman" w:hAnsi="Times New Roman"/>
          <w:sz w:val="24"/>
          <w:szCs w:val="24"/>
        </w:rPr>
        <w:t>2</w:t>
      </w:r>
      <w:r w:rsidR="002710D2" w:rsidRPr="006B309F">
        <w:rPr>
          <w:rFonts w:ascii="Times New Roman" w:hAnsi="Times New Roman"/>
          <w:sz w:val="24"/>
          <w:szCs w:val="24"/>
        </w:rPr>
        <w:t>.</w:t>
      </w:r>
      <w:r w:rsidR="009B4BB2" w:rsidRPr="006B309F">
        <w:rPr>
          <w:rFonts w:ascii="Times New Roman" w:hAnsi="Times New Roman"/>
          <w:sz w:val="24"/>
          <w:szCs w:val="24"/>
        </w:rPr>
        <w:tab/>
      </w:r>
      <w:r w:rsidR="009B4BB2" w:rsidRPr="006B309F">
        <w:rPr>
          <w:rFonts w:ascii="Times New Roman" w:hAnsi="Times New Roman"/>
          <w:b/>
          <w:i/>
          <w:sz w:val="24"/>
          <w:szCs w:val="24"/>
        </w:rPr>
        <w:t>Avec les synergies inter agence</w:t>
      </w:r>
      <w:r w:rsidR="00157AB3" w:rsidRPr="006B309F">
        <w:rPr>
          <w:rFonts w:ascii="Times New Roman" w:hAnsi="Times New Roman"/>
          <w:b/>
          <w:i/>
          <w:sz w:val="24"/>
          <w:szCs w:val="24"/>
        </w:rPr>
        <w:t xml:space="preserve"> qui améliorent par </w:t>
      </w:r>
      <w:r w:rsidR="002710D2" w:rsidRPr="006B309F">
        <w:rPr>
          <w:rFonts w:ascii="Times New Roman" w:hAnsi="Times New Roman"/>
          <w:b/>
          <w:i/>
          <w:sz w:val="24"/>
          <w:szCs w:val="24"/>
        </w:rPr>
        <w:t>définition l’efficience des pro</w:t>
      </w:r>
      <w:r w:rsidR="00157AB3" w:rsidRPr="006B309F">
        <w:rPr>
          <w:rFonts w:ascii="Times New Roman" w:hAnsi="Times New Roman"/>
          <w:b/>
          <w:i/>
          <w:sz w:val="24"/>
          <w:szCs w:val="24"/>
        </w:rPr>
        <w:t>g</w:t>
      </w:r>
      <w:r w:rsidR="002710D2" w:rsidRPr="006B309F">
        <w:rPr>
          <w:rFonts w:ascii="Times New Roman" w:hAnsi="Times New Roman"/>
          <w:b/>
          <w:i/>
          <w:sz w:val="24"/>
          <w:szCs w:val="24"/>
        </w:rPr>
        <w:t>r</w:t>
      </w:r>
      <w:r w:rsidR="00157AB3" w:rsidRPr="006B309F">
        <w:rPr>
          <w:rFonts w:ascii="Times New Roman" w:hAnsi="Times New Roman"/>
          <w:b/>
          <w:i/>
          <w:sz w:val="24"/>
          <w:szCs w:val="24"/>
        </w:rPr>
        <w:t>ammes</w:t>
      </w:r>
      <w:r w:rsidR="009B4BB2" w:rsidRPr="006B309F">
        <w:rPr>
          <w:rFonts w:ascii="Times New Roman" w:hAnsi="Times New Roman"/>
          <w:sz w:val="24"/>
          <w:szCs w:val="24"/>
        </w:rPr>
        <w:t xml:space="preserve">, il y a des gisements importants, mais dans la pratique le bon et le moins bon se </w:t>
      </w:r>
      <w:r w:rsidR="00ED1395">
        <w:rPr>
          <w:rFonts w:ascii="Times New Roman" w:hAnsi="Times New Roman"/>
          <w:sz w:val="24"/>
          <w:szCs w:val="24"/>
        </w:rPr>
        <w:t>côtoient au Mali</w:t>
      </w:r>
      <w:r w:rsidR="009B4BB2" w:rsidRPr="006B309F">
        <w:rPr>
          <w:rFonts w:ascii="Times New Roman" w:hAnsi="Times New Roman"/>
          <w:sz w:val="24"/>
          <w:szCs w:val="24"/>
        </w:rPr>
        <w:t xml:space="preserve">. La mission a observé de très près les opportunités entre </w:t>
      </w:r>
      <w:r w:rsidR="00ED1395">
        <w:rPr>
          <w:rFonts w:ascii="Times New Roman" w:hAnsi="Times New Roman"/>
          <w:sz w:val="24"/>
          <w:szCs w:val="24"/>
        </w:rPr>
        <w:t xml:space="preserve">une Agence de développement stratégique comme </w:t>
      </w:r>
      <w:r w:rsidR="00866FBC" w:rsidRPr="006B309F">
        <w:rPr>
          <w:rFonts w:ascii="Times New Roman" w:hAnsi="Times New Roman"/>
          <w:sz w:val="24"/>
          <w:szCs w:val="24"/>
        </w:rPr>
        <w:t xml:space="preserve">le </w:t>
      </w:r>
      <w:r w:rsidR="009B4BB2" w:rsidRPr="006B309F">
        <w:rPr>
          <w:rFonts w:ascii="Times New Roman" w:hAnsi="Times New Roman"/>
          <w:sz w:val="24"/>
          <w:szCs w:val="24"/>
        </w:rPr>
        <w:t>PNUD et l</w:t>
      </w:r>
      <w:r w:rsidR="00ED1395">
        <w:rPr>
          <w:rFonts w:ascii="Times New Roman" w:hAnsi="Times New Roman"/>
          <w:sz w:val="24"/>
          <w:szCs w:val="24"/>
        </w:rPr>
        <w:t>es autres agences plus spécialisées : elles ont un p</w:t>
      </w:r>
      <w:r w:rsidR="009B4BB2" w:rsidRPr="006B309F">
        <w:rPr>
          <w:rFonts w:ascii="Times New Roman" w:hAnsi="Times New Roman"/>
          <w:sz w:val="24"/>
          <w:szCs w:val="24"/>
        </w:rPr>
        <w:t xml:space="preserve">ositionnement différencié mais </w:t>
      </w:r>
      <w:r w:rsidR="00ED1395">
        <w:rPr>
          <w:rFonts w:ascii="Times New Roman" w:hAnsi="Times New Roman"/>
          <w:sz w:val="24"/>
          <w:szCs w:val="24"/>
        </w:rPr>
        <w:t>potentiellement</w:t>
      </w:r>
      <w:r w:rsidR="009B4BB2" w:rsidRPr="006B309F">
        <w:rPr>
          <w:rFonts w:ascii="Times New Roman" w:hAnsi="Times New Roman"/>
          <w:sz w:val="24"/>
          <w:szCs w:val="24"/>
        </w:rPr>
        <w:t xml:space="preserve"> mutuellement fécond</w:t>
      </w:r>
      <w:r w:rsidR="00866FBC" w:rsidRPr="006B309F">
        <w:rPr>
          <w:rFonts w:ascii="Times New Roman" w:hAnsi="Times New Roman"/>
          <w:sz w:val="24"/>
          <w:szCs w:val="24"/>
        </w:rPr>
        <w:t>ant</w:t>
      </w:r>
      <w:r w:rsidR="009B4BB2" w:rsidRPr="006B309F">
        <w:rPr>
          <w:rFonts w:ascii="Times New Roman" w:hAnsi="Times New Roman"/>
          <w:sz w:val="24"/>
          <w:szCs w:val="24"/>
        </w:rPr>
        <w:t xml:space="preserve">. </w:t>
      </w:r>
      <w:r w:rsidR="003A19A2" w:rsidRPr="006B309F">
        <w:rPr>
          <w:rFonts w:ascii="Times New Roman" w:hAnsi="Times New Roman"/>
          <w:sz w:val="24"/>
          <w:szCs w:val="24"/>
        </w:rPr>
        <w:t xml:space="preserve">L’ancrage stratégique </w:t>
      </w:r>
      <w:r w:rsidR="00ED1395">
        <w:rPr>
          <w:rFonts w:ascii="Times New Roman" w:hAnsi="Times New Roman"/>
          <w:sz w:val="24"/>
          <w:szCs w:val="24"/>
        </w:rPr>
        <w:t>du PNUD</w:t>
      </w:r>
      <w:r w:rsidR="003A19A2" w:rsidRPr="006B309F">
        <w:rPr>
          <w:rFonts w:ascii="Times New Roman" w:hAnsi="Times New Roman"/>
          <w:sz w:val="24"/>
          <w:szCs w:val="24"/>
        </w:rPr>
        <w:t xml:space="preserve"> pourrait et devrait aider le</w:t>
      </w:r>
      <w:r w:rsidR="00ED1395">
        <w:rPr>
          <w:rFonts w:ascii="Times New Roman" w:hAnsi="Times New Roman"/>
          <w:sz w:val="24"/>
          <w:szCs w:val="24"/>
        </w:rPr>
        <w:t>s</w:t>
      </w:r>
      <w:r w:rsidR="003A19A2" w:rsidRPr="006B309F">
        <w:rPr>
          <w:rFonts w:ascii="Times New Roman" w:hAnsi="Times New Roman"/>
          <w:sz w:val="24"/>
          <w:szCs w:val="24"/>
        </w:rPr>
        <w:t xml:space="preserve"> </w:t>
      </w:r>
      <w:r w:rsidR="00ED1395">
        <w:rPr>
          <w:rFonts w:ascii="Times New Roman" w:hAnsi="Times New Roman"/>
          <w:sz w:val="24"/>
          <w:szCs w:val="24"/>
        </w:rPr>
        <w:t xml:space="preserve">autres </w:t>
      </w:r>
      <w:r w:rsidR="003A19A2" w:rsidRPr="006B309F">
        <w:rPr>
          <w:rFonts w:ascii="Times New Roman" w:hAnsi="Times New Roman"/>
          <w:sz w:val="24"/>
          <w:szCs w:val="24"/>
        </w:rPr>
        <w:t xml:space="preserve">à mieux internaliser </w:t>
      </w:r>
      <w:r w:rsidR="00A60EE2">
        <w:rPr>
          <w:rFonts w:ascii="Times New Roman" w:hAnsi="Times New Roman"/>
          <w:sz w:val="24"/>
          <w:szCs w:val="24"/>
        </w:rPr>
        <w:t xml:space="preserve">leurs </w:t>
      </w:r>
      <w:r w:rsidR="003A19A2" w:rsidRPr="006B309F">
        <w:rPr>
          <w:rFonts w:ascii="Times New Roman" w:hAnsi="Times New Roman"/>
          <w:sz w:val="24"/>
          <w:szCs w:val="24"/>
        </w:rPr>
        <w:t>cibles</w:t>
      </w:r>
      <w:r w:rsidR="00866FBC" w:rsidRPr="006B309F">
        <w:rPr>
          <w:rFonts w:ascii="Times New Roman" w:hAnsi="Times New Roman"/>
          <w:sz w:val="24"/>
          <w:szCs w:val="24"/>
        </w:rPr>
        <w:t xml:space="preserve"> et thématiques</w:t>
      </w:r>
      <w:r w:rsidR="00A60EE2">
        <w:rPr>
          <w:rFonts w:ascii="Times New Roman" w:hAnsi="Times New Roman"/>
          <w:sz w:val="24"/>
          <w:szCs w:val="24"/>
        </w:rPr>
        <w:t xml:space="preserve"> </w:t>
      </w:r>
      <w:r w:rsidR="003A19A2" w:rsidRPr="006B309F">
        <w:rPr>
          <w:rFonts w:ascii="Times New Roman" w:hAnsi="Times New Roman"/>
          <w:sz w:val="24"/>
          <w:szCs w:val="24"/>
        </w:rPr>
        <w:t xml:space="preserve">dans les cadres de programmation </w:t>
      </w:r>
      <w:r w:rsidR="003A19A2" w:rsidRPr="004F261E">
        <w:rPr>
          <w:rFonts w:ascii="Times New Roman" w:hAnsi="Times New Roman"/>
          <w:color w:val="000000" w:themeColor="text1"/>
          <w:sz w:val="24"/>
          <w:szCs w:val="24"/>
        </w:rPr>
        <w:t>stratégique</w:t>
      </w:r>
      <w:r w:rsidR="00A60EE2" w:rsidRPr="004F261E">
        <w:rPr>
          <w:rFonts w:ascii="Times New Roman" w:hAnsi="Times New Roman"/>
          <w:color w:val="000000" w:themeColor="text1"/>
          <w:sz w:val="24"/>
          <w:szCs w:val="24"/>
        </w:rPr>
        <w:t xml:space="preserve"> du pays</w:t>
      </w:r>
      <w:r w:rsidR="003A19A2" w:rsidRPr="004F261E">
        <w:rPr>
          <w:rFonts w:ascii="Times New Roman" w:hAnsi="Times New Roman"/>
          <w:color w:val="000000" w:themeColor="text1"/>
          <w:sz w:val="24"/>
          <w:szCs w:val="24"/>
        </w:rPr>
        <w:t>. Inversement, le</w:t>
      </w:r>
      <w:r w:rsidR="00A60EE2" w:rsidRPr="004F261E">
        <w:rPr>
          <w:rFonts w:ascii="Times New Roman" w:hAnsi="Times New Roman"/>
          <w:color w:val="000000" w:themeColor="text1"/>
          <w:sz w:val="24"/>
          <w:szCs w:val="24"/>
        </w:rPr>
        <w:t>s</w:t>
      </w:r>
      <w:r w:rsidR="003A19A2" w:rsidRPr="004F261E">
        <w:rPr>
          <w:rFonts w:ascii="Times New Roman" w:hAnsi="Times New Roman"/>
          <w:color w:val="000000" w:themeColor="text1"/>
          <w:sz w:val="24"/>
          <w:szCs w:val="24"/>
        </w:rPr>
        <w:t xml:space="preserve"> réseau</w:t>
      </w:r>
      <w:r w:rsidR="00A60EE2" w:rsidRPr="004F261E">
        <w:rPr>
          <w:rFonts w:ascii="Times New Roman" w:hAnsi="Times New Roman"/>
          <w:color w:val="000000" w:themeColor="text1"/>
          <w:sz w:val="24"/>
          <w:szCs w:val="24"/>
        </w:rPr>
        <w:t>x</w:t>
      </w:r>
      <w:r w:rsidR="003A19A2" w:rsidRPr="004F261E">
        <w:rPr>
          <w:rFonts w:ascii="Times New Roman" w:hAnsi="Times New Roman"/>
          <w:color w:val="000000" w:themeColor="text1"/>
          <w:sz w:val="24"/>
          <w:szCs w:val="24"/>
        </w:rPr>
        <w:t xml:space="preserve"> </w:t>
      </w:r>
      <w:r w:rsidR="00A60EE2" w:rsidRPr="004F261E">
        <w:rPr>
          <w:rFonts w:ascii="Times New Roman" w:hAnsi="Times New Roman"/>
          <w:color w:val="000000" w:themeColor="text1"/>
          <w:sz w:val="24"/>
          <w:szCs w:val="24"/>
        </w:rPr>
        <w:t xml:space="preserve">de terrain plus denses </w:t>
      </w:r>
      <w:r w:rsidR="003A19A2" w:rsidRPr="004F261E">
        <w:rPr>
          <w:rFonts w:ascii="Times New Roman" w:hAnsi="Times New Roman"/>
          <w:color w:val="000000" w:themeColor="text1"/>
          <w:sz w:val="24"/>
          <w:szCs w:val="24"/>
        </w:rPr>
        <w:t>d</w:t>
      </w:r>
      <w:r w:rsidR="00A60EE2" w:rsidRPr="004F261E">
        <w:rPr>
          <w:rFonts w:ascii="Times New Roman" w:hAnsi="Times New Roman"/>
          <w:color w:val="000000" w:themeColor="text1"/>
          <w:sz w:val="24"/>
          <w:szCs w:val="24"/>
        </w:rPr>
        <w:t>’acteurs opérationnels comme l’UNICEF, par exemple,</w:t>
      </w:r>
      <w:r w:rsidR="003A19A2" w:rsidRPr="004F261E">
        <w:rPr>
          <w:rFonts w:ascii="Times New Roman" w:hAnsi="Times New Roman"/>
          <w:color w:val="000000" w:themeColor="text1"/>
          <w:sz w:val="24"/>
          <w:szCs w:val="24"/>
        </w:rPr>
        <w:t xml:space="preserve"> pourrai</w:t>
      </w:r>
      <w:r w:rsidR="00A60EE2" w:rsidRPr="004F261E">
        <w:rPr>
          <w:rFonts w:ascii="Times New Roman" w:hAnsi="Times New Roman"/>
          <w:color w:val="000000" w:themeColor="text1"/>
          <w:sz w:val="24"/>
          <w:szCs w:val="24"/>
        </w:rPr>
        <w:t>en</w:t>
      </w:r>
      <w:r w:rsidR="003A19A2" w:rsidRPr="004F261E">
        <w:rPr>
          <w:rFonts w:ascii="Times New Roman" w:hAnsi="Times New Roman"/>
          <w:color w:val="000000" w:themeColor="text1"/>
          <w:sz w:val="24"/>
          <w:szCs w:val="24"/>
        </w:rPr>
        <w:t>t et devrai</w:t>
      </w:r>
      <w:r w:rsidR="00A60EE2" w:rsidRPr="004F261E">
        <w:rPr>
          <w:rFonts w:ascii="Times New Roman" w:hAnsi="Times New Roman"/>
          <w:color w:val="000000" w:themeColor="text1"/>
          <w:sz w:val="24"/>
          <w:szCs w:val="24"/>
        </w:rPr>
        <w:t>en</w:t>
      </w:r>
      <w:r w:rsidR="003A19A2" w:rsidRPr="004F261E">
        <w:rPr>
          <w:rFonts w:ascii="Times New Roman" w:hAnsi="Times New Roman"/>
          <w:color w:val="000000" w:themeColor="text1"/>
          <w:sz w:val="24"/>
          <w:szCs w:val="24"/>
        </w:rPr>
        <w:t xml:space="preserve">t être </w:t>
      </w:r>
      <w:r w:rsidR="00A60EE2" w:rsidRPr="004F261E">
        <w:rPr>
          <w:rFonts w:ascii="Times New Roman" w:hAnsi="Times New Roman"/>
          <w:color w:val="000000" w:themeColor="text1"/>
          <w:sz w:val="24"/>
          <w:szCs w:val="24"/>
        </w:rPr>
        <w:t xml:space="preserve">mieux valorisé par le programme </w:t>
      </w:r>
      <w:r w:rsidR="003A19A2" w:rsidRPr="004F261E">
        <w:rPr>
          <w:rFonts w:ascii="Times New Roman" w:hAnsi="Times New Roman"/>
          <w:color w:val="000000" w:themeColor="text1"/>
          <w:sz w:val="24"/>
          <w:szCs w:val="24"/>
        </w:rPr>
        <w:t>pour sécuriser une</w:t>
      </w:r>
      <w:r w:rsidR="00A60EE2" w:rsidRPr="004F261E">
        <w:rPr>
          <w:rFonts w:ascii="Times New Roman" w:hAnsi="Times New Roman"/>
          <w:color w:val="000000" w:themeColor="text1"/>
          <w:sz w:val="24"/>
          <w:szCs w:val="24"/>
        </w:rPr>
        <w:t xml:space="preserve"> meilleure continuité. Malheureusement la programmation conjointe qui devait sceller ces logiques existe à peine, si l’on excepte les cadres plutôt convergents comme le programme</w:t>
      </w:r>
      <w:r w:rsidR="00A60EE2">
        <w:rPr>
          <w:rFonts w:ascii="Times New Roman" w:hAnsi="Times New Roman"/>
          <w:sz w:val="24"/>
          <w:szCs w:val="24"/>
        </w:rPr>
        <w:t xml:space="preserve"> de sécurité humaine, où les agences mettent des interventions côte-à-côte sans que toutes les exigences d’une véritable conjonction programmatique soient satisfaites.</w:t>
      </w:r>
    </w:p>
    <w:p w14:paraId="440C4479" w14:textId="77777777" w:rsidR="00A60EE2" w:rsidRDefault="00A60EE2" w:rsidP="002B5FE6">
      <w:pPr>
        <w:spacing w:after="0" w:line="240" w:lineRule="auto"/>
        <w:jc w:val="both"/>
        <w:rPr>
          <w:rFonts w:ascii="Times New Roman" w:hAnsi="Times New Roman"/>
          <w:sz w:val="24"/>
          <w:szCs w:val="24"/>
        </w:rPr>
      </w:pPr>
    </w:p>
    <w:p w14:paraId="25AB9D11" w14:textId="77777777" w:rsidR="009B4BB2" w:rsidRPr="006B309F" w:rsidRDefault="00454255" w:rsidP="002B5FE6">
      <w:pPr>
        <w:spacing w:after="0" w:line="240" w:lineRule="auto"/>
        <w:jc w:val="both"/>
        <w:rPr>
          <w:rFonts w:ascii="Times New Roman" w:hAnsi="Times New Roman"/>
          <w:sz w:val="24"/>
          <w:szCs w:val="24"/>
        </w:rPr>
      </w:pPr>
      <w:r>
        <w:rPr>
          <w:rFonts w:ascii="Times New Roman" w:hAnsi="Times New Roman"/>
          <w:sz w:val="24"/>
          <w:szCs w:val="24"/>
        </w:rPr>
        <w:t>9</w:t>
      </w:r>
      <w:r w:rsidR="000B5082">
        <w:rPr>
          <w:rFonts w:ascii="Times New Roman" w:hAnsi="Times New Roman"/>
          <w:sz w:val="24"/>
          <w:szCs w:val="24"/>
        </w:rPr>
        <w:t>3</w:t>
      </w:r>
      <w:r>
        <w:rPr>
          <w:rFonts w:ascii="Times New Roman" w:hAnsi="Times New Roman"/>
          <w:sz w:val="24"/>
          <w:szCs w:val="24"/>
        </w:rPr>
        <w:t>.</w:t>
      </w:r>
      <w:r w:rsidR="00A60EE2">
        <w:rPr>
          <w:rFonts w:ascii="Times New Roman" w:hAnsi="Times New Roman"/>
          <w:sz w:val="24"/>
          <w:szCs w:val="24"/>
        </w:rPr>
        <w:tab/>
      </w:r>
      <w:r w:rsidR="00DC60D8">
        <w:rPr>
          <w:rFonts w:ascii="Times New Roman" w:hAnsi="Times New Roman"/>
          <w:sz w:val="24"/>
          <w:szCs w:val="24"/>
        </w:rPr>
        <w:t xml:space="preserve">Au Mali comme dans beaucoup de contextes de coopération, malgré l’existence de l’UNDAF qui reste un cadre formel, les agences </w:t>
      </w:r>
      <w:r w:rsidR="00324255">
        <w:rPr>
          <w:rFonts w:ascii="Times New Roman" w:hAnsi="Times New Roman"/>
          <w:sz w:val="24"/>
          <w:szCs w:val="24"/>
        </w:rPr>
        <w:t xml:space="preserve">classiques </w:t>
      </w:r>
      <w:r w:rsidR="00DC60D8">
        <w:rPr>
          <w:rFonts w:ascii="Times New Roman" w:hAnsi="Times New Roman"/>
          <w:sz w:val="24"/>
          <w:szCs w:val="24"/>
        </w:rPr>
        <w:t xml:space="preserve">sont en retard en matière de programmation conjointe. Ici comme ailleurs, les obstacles sont structurelles et peu liées au contexte. </w:t>
      </w:r>
      <w:r w:rsidR="00BD0629">
        <w:rPr>
          <w:rFonts w:ascii="Times New Roman" w:hAnsi="Times New Roman"/>
          <w:sz w:val="24"/>
          <w:szCs w:val="24"/>
        </w:rPr>
        <w:t>L</w:t>
      </w:r>
      <w:r w:rsidR="00DC60D8">
        <w:rPr>
          <w:rFonts w:ascii="Times New Roman" w:hAnsi="Times New Roman"/>
          <w:sz w:val="24"/>
          <w:szCs w:val="24"/>
        </w:rPr>
        <w:t>es logiques de redevabilité font que les agences reportent naturellement à leur siège, plutôt qu’à la coordination inter-agence dans le pays. Dans certaines agences, il a même été indiqué à la mission que les projets conjoints équivalaient à de la pression additionnelle sur les staffs internes sans qu’ils puissent nécessairement les c</w:t>
      </w:r>
      <w:r w:rsidR="00BD0629">
        <w:rPr>
          <w:rFonts w:ascii="Times New Roman" w:hAnsi="Times New Roman"/>
          <w:sz w:val="24"/>
          <w:szCs w:val="24"/>
        </w:rPr>
        <w:t>omptabiliser dans leur productivité personnelle.</w:t>
      </w:r>
      <w:r w:rsidR="00324255">
        <w:rPr>
          <w:rFonts w:ascii="Times New Roman" w:hAnsi="Times New Roman"/>
          <w:sz w:val="24"/>
          <w:szCs w:val="24"/>
        </w:rPr>
        <w:t xml:space="preserve"> La question se pose différemment s’agissant de la Mission Multidimensionnelle Intégrée des Nations Unies au Mali</w:t>
      </w:r>
      <w:r w:rsidR="000D34A2">
        <w:rPr>
          <w:rFonts w:ascii="Times New Roman" w:hAnsi="Times New Roman"/>
          <w:sz w:val="24"/>
          <w:szCs w:val="24"/>
        </w:rPr>
        <w:t>. Elle</w:t>
      </w:r>
      <w:r w:rsidR="00324255">
        <w:rPr>
          <w:rFonts w:ascii="Times New Roman" w:hAnsi="Times New Roman"/>
          <w:sz w:val="24"/>
          <w:szCs w:val="24"/>
        </w:rPr>
        <w:t xml:space="preserve"> offre au programme des opportunités d’accès à un volant de ressources additionnelles comme les fonds de développement qu’elle détient en marge de s</w:t>
      </w:r>
      <w:r w:rsidR="000D34A2">
        <w:rPr>
          <w:rFonts w:ascii="Times New Roman" w:hAnsi="Times New Roman"/>
          <w:sz w:val="24"/>
          <w:szCs w:val="24"/>
        </w:rPr>
        <w:t>a</w:t>
      </w:r>
      <w:r w:rsidR="00324255">
        <w:rPr>
          <w:rFonts w:ascii="Times New Roman" w:hAnsi="Times New Roman"/>
          <w:sz w:val="24"/>
          <w:szCs w:val="24"/>
        </w:rPr>
        <w:t xml:space="preserve"> </w:t>
      </w:r>
      <w:r w:rsidR="000D34A2">
        <w:rPr>
          <w:rFonts w:ascii="Times New Roman" w:hAnsi="Times New Roman"/>
          <w:sz w:val="24"/>
          <w:szCs w:val="24"/>
        </w:rPr>
        <w:t>mission militaire centrale. Surtout elle influence l’efficience du programme en lui permettant d’accroître de se reposer sur elle sur la gestion des conditions sécuritaires de son déploiement qui pourraient être extrêmement coûteuses si le programme devait les assumer lui-même. Cet aspect entre même en ligne de compte dans l’évaluation de l’attractivité du programme auprès de certains de ses bailleurs de fonds traditionnels qui misent sur le PNUD parce que son Bureau au Mali pour s’appuyer sur la Mission pour couvrir des zones de l’intérieur où ils ne peuvent accéder directement.</w:t>
      </w:r>
    </w:p>
    <w:p w14:paraId="43B5571D" w14:textId="77777777" w:rsidR="00BA3DC6" w:rsidRPr="006B309F" w:rsidRDefault="00BA3DC6" w:rsidP="002B5FE6">
      <w:pPr>
        <w:spacing w:after="0" w:line="240" w:lineRule="auto"/>
        <w:jc w:val="both"/>
        <w:rPr>
          <w:rFonts w:ascii="Times New Roman" w:hAnsi="Times New Roman"/>
          <w:sz w:val="24"/>
          <w:szCs w:val="24"/>
        </w:rPr>
      </w:pPr>
    </w:p>
    <w:p w14:paraId="1EDBC762" w14:textId="77777777" w:rsidR="00BA3DC6" w:rsidRPr="006B309F" w:rsidRDefault="00454255" w:rsidP="002B5FE6">
      <w:pPr>
        <w:spacing w:after="0" w:line="240" w:lineRule="auto"/>
        <w:jc w:val="both"/>
        <w:rPr>
          <w:rFonts w:ascii="Times New Roman" w:hAnsi="Times New Roman"/>
          <w:sz w:val="24"/>
          <w:szCs w:val="24"/>
        </w:rPr>
      </w:pPr>
      <w:r>
        <w:rPr>
          <w:rFonts w:ascii="Times New Roman" w:hAnsi="Times New Roman"/>
          <w:sz w:val="24"/>
          <w:szCs w:val="24"/>
        </w:rPr>
        <w:t>9</w:t>
      </w:r>
      <w:r w:rsidR="000B5082">
        <w:rPr>
          <w:rFonts w:ascii="Times New Roman" w:hAnsi="Times New Roman"/>
          <w:sz w:val="24"/>
          <w:szCs w:val="24"/>
        </w:rPr>
        <w:t>4</w:t>
      </w:r>
      <w:r w:rsidR="0024772E" w:rsidRPr="006B309F">
        <w:rPr>
          <w:rFonts w:ascii="Times New Roman" w:hAnsi="Times New Roman"/>
          <w:sz w:val="24"/>
          <w:szCs w:val="24"/>
        </w:rPr>
        <w:t>.</w:t>
      </w:r>
      <w:r w:rsidR="00BA3DC6" w:rsidRPr="006B309F">
        <w:rPr>
          <w:rFonts w:ascii="Times New Roman" w:hAnsi="Times New Roman"/>
          <w:sz w:val="24"/>
          <w:szCs w:val="24"/>
        </w:rPr>
        <w:tab/>
      </w:r>
      <w:r w:rsidR="00BA3DC6" w:rsidRPr="006B309F">
        <w:rPr>
          <w:rStyle w:val="Titre3Car"/>
          <w:rFonts w:ascii="Times New Roman" w:eastAsia="Calibri" w:hAnsi="Times New Roman"/>
          <w:i/>
          <w:color w:val="auto"/>
          <w:sz w:val="24"/>
          <w:szCs w:val="24"/>
        </w:rPr>
        <w:t>Efficience temp</w:t>
      </w:r>
      <w:r w:rsidR="009B4BB2" w:rsidRPr="006B309F">
        <w:rPr>
          <w:rStyle w:val="Titre3Car"/>
          <w:rFonts w:ascii="Times New Roman" w:eastAsia="Calibri" w:hAnsi="Times New Roman"/>
          <w:i/>
          <w:color w:val="auto"/>
          <w:sz w:val="24"/>
          <w:szCs w:val="24"/>
        </w:rPr>
        <w:t>s</w:t>
      </w:r>
      <w:r w:rsidR="00BA3DC6" w:rsidRPr="006B309F">
        <w:rPr>
          <w:rFonts w:ascii="Times New Roman" w:hAnsi="Times New Roman"/>
          <w:sz w:val="24"/>
          <w:szCs w:val="24"/>
        </w:rPr>
        <w:t> : La problématique de l’efficience interpelle enfin la gestion du temps et ses incidences sur la productivité du programme. L</w:t>
      </w:r>
      <w:r w:rsidR="00C16B8B">
        <w:rPr>
          <w:rFonts w:ascii="Times New Roman" w:hAnsi="Times New Roman"/>
          <w:sz w:val="24"/>
          <w:szCs w:val="24"/>
        </w:rPr>
        <w:t>e temps connaît souvent des débordements dans divers segments du programme. Un bailleur de fonds rencontré par la mission a même fait cette observation que pratiquement toutes les intervention</w:t>
      </w:r>
      <w:r w:rsidR="0058575F">
        <w:rPr>
          <w:rFonts w:ascii="Times New Roman" w:hAnsi="Times New Roman"/>
          <w:sz w:val="24"/>
          <w:szCs w:val="24"/>
        </w:rPr>
        <w:t>s</w:t>
      </w:r>
      <w:r w:rsidR="00C16B8B">
        <w:rPr>
          <w:rFonts w:ascii="Times New Roman" w:hAnsi="Times New Roman"/>
          <w:sz w:val="24"/>
          <w:szCs w:val="24"/>
        </w:rPr>
        <w:t xml:space="preserve"> qu’il finance sur le programme fait l’objet d’une demande d’extension de la part du PNUD. Naturellement cette situation s’explique par les contraintes d’un environnement de crise</w:t>
      </w:r>
      <w:r w:rsidR="0058575F">
        <w:rPr>
          <w:rFonts w:ascii="Times New Roman" w:hAnsi="Times New Roman"/>
          <w:sz w:val="24"/>
          <w:szCs w:val="24"/>
        </w:rPr>
        <w:t>, avec des éruptions de violence qui rendent régulièrement difficiles d’accès de grandes parties du territoire national. En dehors des contraintes sécuritaires liées à la crise, l’enclavement maritime du pays ne sert pas non plus les délais de livraisons pour les acquisitions faites à l’international, encore que les délais supplémentaire</w:t>
      </w:r>
      <w:r w:rsidR="0099145C">
        <w:rPr>
          <w:rFonts w:ascii="Times New Roman" w:hAnsi="Times New Roman"/>
          <w:sz w:val="24"/>
          <w:szCs w:val="24"/>
        </w:rPr>
        <w:t>s</w:t>
      </w:r>
      <w:r w:rsidR="0058575F">
        <w:rPr>
          <w:rFonts w:ascii="Times New Roman" w:hAnsi="Times New Roman"/>
          <w:sz w:val="24"/>
          <w:szCs w:val="24"/>
        </w:rPr>
        <w:t xml:space="preserve"> générés par cette caractéristique nationale puissent être anticipés dans les procédures courantes d’acquisition.</w:t>
      </w:r>
    </w:p>
    <w:p w14:paraId="707CB7E4" w14:textId="77777777" w:rsidR="00BA3DC6" w:rsidRPr="006B309F" w:rsidRDefault="00BA3DC6" w:rsidP="002B5FE6">
      <w:pPr>
        <w:spacing w:after="0" w:line="240" w:lineRule="auto"/>
        <w:jc w:val="both"/>
        <w:rPr>
          <w:rFonts w:ascii="Times New Roman" w:hAnsi="Times New Roman"/>
          <w:sz w:val="24"/>
          <w:szCs w:val="24"/>
        </w:rPr>
      </w:pPr>
    </w:p>
    <w:p w14:paraId="7BA795FE" w14:textId="77777777" w:rsidR="00BA3DC6" w:rsidRPr="006B309F" w:rsidRDefault="00454255" w:rsidP="002B5FE6">
      <w:pPr>
        <w:spacing w:after="0" w:line="240" w:lineRule="auto"/>
        <w:jc w:val="both"/>
        <w:rPr>
          <w:rFonts w:ascii="Times New Roman" w:hAnsi="Times New Roman"/>
          <w:sz w:val="24"/>
          <w:szCs w:val="24"/>
        </w:rPr>
      </w:pPr>
      <w:r>
        <w:rPr>
          <w:rFonts w:ascii="Times New Roman" w:hAnsi="Times New Roman"/>
          <w:sz w:val="24"/>
          <w:szCs w:val="24"/>
        </w:rPr>
        <w:t>9</w:t>
      </w:r>
      <w:r w:rsidR="000B5082">
        <w:rPr>
          <w:rFonts w:ascii="Times New Roman" w:hAnsi="Times New Roman"/>
          <w:sz w:val="24"/>
          <w:szCs w:val="24"/>
        </w:rPr>
        <w:t>5</w:t>
      </w:r>
      <w:r w:rsidR="0024772E" w:rsidRPr="006B309F">
        <w:rPr>
          <w:rFonts w:ascii="Times New Roman" w:hAnsi="Times New Roman"/>
          <w:sz w:val="24"/>
          <w:szCs w:val="24"/>
        </w:rPr>
        <w:t>.</w:t>
      </w:r>
      <w:r w:rsidR="00BA3DC6" w:rsidRPr="006B309F">
        <w:rPr>
          <w:rFonts w:ascii="Times New Roman" w:hAnsi="Times New Roman"/>
          <w:b/>
          <w:sz w:val="24"/>
          <w:szCs w:val="24"/>
        </w:rPr>
        <w:tab/>
      </w:r>
      <w:r w:rsidR="00BA3DC6" w:rsidRPr="006B309F">
        <w:rPr>
          <w:rStyle w:val="Titre3Car"/>
          <w:rFonts w:ascii="Times New Roman" w:eastAsia="Calibri" w:hAnsi="Times New Roman"/>
          <w:i/>
          <w:color w:val="auto"/>
          <w:sz w:val="24"/>
          <w:szCs w:val="24"/>
        </w:rPr>
        <w:t>Valeurs ajoutées en provenance du système de programmation et de suivi-évaluation et du dispositif de communication</w:t>
      </w:r>
      <w:r w:rsidR="00BA3DC6" w:rsidRPr="006B309F">
        <w:rPr>
          <w:rFonts w:ascii="Times New Roman" w:hAnsi="Times New Roman"/>
          <w:b/>
          <w:sz w:val="24"/>
          <w:szCs w:val="24"/>
        </w:rPr>
        <w:t xml:space="preserve"> : </w:t>
      </w:r>
      <w:r w:rsidR="00BA3DC6" w:rsidRPr="006B309F">
        <w:rPr>
          <w:rFonts w:ascii="Times New Roman" w:hAnsi="Times New Roman"/>
          <w:sz w:val="24"/>
          <w:szCs w:val="24"/>
        </w:rPr>
        <w:t xml:space="preserve">Ces sous-fonctions sont aussi des déterminants importants de l’efficience, dans la mesure où </w:t>
      </w:r>
      <w:r w:rsidR="00CE64DE" w:rsidRPr="006B309F">
        <w:rPr>
          <w:rFonts w:ascii="Times New Roman" w:hAnsi="Times New Roman"/>
          <w:sz w:val="24"/>
          <w:szCs w:val="24"/>
        </w:rPr>
        <w:t>leur fonctionnalité apporte au p</w:t>
      </w:r>
      <w:r w:rsidR="00BA3DC6" w:rsidRPr="006B309F">
        <w:rPr>
          <w:rFonts w:ascii="Times New Roman" w:hAnsi="Times New Roman"/>
          <w:sz w:val="24"/>
          <w:szCs w:val="24"/>
        </w:rPr>
        <w:t xml:space="preserve">rogramme une efficacité </w:t>
      </w:r>
      <w:r w:rsidR="00BA3DC6" w:rsidRPr="006B309F">
        <w:rPr>
          <w:rFonts w:ascii="Times New Roman" w:hAnsi="Times New Roman"/>
          <w:sz w:val="24"/>
          <w:szCs w:val="24"/>
        </w:rPr>
        <w:lastRenderedPageBreak/>
        <w:t>marginale, c’est-à-dire une productivité accrue à consommation constante de ressources. La programm</w:t>
      </w:r>
      <w:r w:rsidR="00670DB1" w:rsidRPr="006B309F">
        <w:rPr>
          <w:rFonts w:ascii="Times New Roman" w:hAnsi="Times New Roman"/>
          <w:sz w:val="24"/>
          <w:szCs w:val="24"/>
        </w:rPr>
        <w:t>ation</w:t>
      </w:r>
      <w:r w:rsidR="00BA3DC6" w:rsidRPr="006B309F">
        <w:rPr>
          <w:rFonts w:ascii="Times New Roman" w:hAnsi="Times New Roman"/>
          <w:sz w:val="24"/>
          <w:szCs w:val="24"/>
        </w:rPr>
        <w:t xml:space="preserve"> permet au portefeuille de se donner un cap clair et réaliste, le suivi-évaluation de s’auto diagnostiquer régulièrement et </w:t>
      </w:r>
      <w:r w:rsidR="00670DB1" w:rsidRPr="006B309F">
        <w:rPr>
          <w:rFonts w:ascii="Times New Roman" w:hAnsi="Times New Roman"/>
          <w:sz w:val="24"/>
          <w:szCs w:val="24"/>
        </w:rPr>
        <w:t xml:space="preserve">de </w:t>
      </w:r>
      <w:r w:rsidR="00BA3DC6" w:rsidRPr="006B309F">
        <w:rPr>
          <w:rFonts w:ascii="Times New Roman" w:hAnsi="Times New Roman"/>
          <w:sz w:val="24"/>
          <w:szCs w:val="24"/>
        </w:rPr>
        <w:t>susciter à temps ses propres remédiations pour rester performant ou améliorer ses performances, tandis que la communication crée aussi de  la productivité en lissant les processus de mise en œuvre grâce aux meilleures réglages d’interface entre acteurs internes d’abord, avec les partenaires externes comme les bailleurs de fonds, ensuite.</w:t>
      </w:r>
    </w:p>
    <w:p w14:paraId="67322E54" w14:textId="77777777" w:rsidR="00BA3DC6" w:rsidRPr="006B309F" w:rsidRDefault="00BA3DC6" w:rsidP="002B5FE6">
      <w:pPr>
        <w:spacing w:after="0" w:line="240" w:lineRule="auto"/>
        <w:jc w:val="both"/>
        <w:rPr>
          <w:rFonts w:ascii="Times New Roman" w:hAnsi="Times New Roman"/>
          <w:sz w:val="24"/>
          <w:szCs w:val="24"/>
        </w:rPr>
      </w:pPr>
    </w:p>
    <w:p w14:paraId="0B282C81" w14:textId="77777777" w:rsidR="00BA3DC6" w:rsidRPr="006B309F" w:rsidRDefault="00454255" w:rsidP="002B5FE6">
      <w:pPr>
        <w:spacing w:after="0" w:line="240" w:lineRule="auto"/>
        <w:jc w:val="both"/>
        <w:rPr>
          <w:rFonts w:ascii="Times New Roman" w:hAnsi="Times New Roman"/>
          <w:sz w:val="24"/>
          <w:szCs w:val="24"/>
        </w:rPr>
      </w:pPr>
      <w:r>
        <w:rPr>
          <w:rFonts w:ascii="Times New Roman" w:hAnsi="Times New Roman"/>
          <w:sz w:val="24"/>
          <w:szCs w:val="24"/>
        </w:rPr>
        <w:t>9</w:t>
      </w:r>
      <w:r w:rsidR="000B5082">
        <w:rPr>
          <w:rFonts w:ascii="Times New Roman" w:hAnsi="Times New Roman"/>
          <w:sz w:val="24"/>
          <w:szCs w:val="24"/>
        </w:rPr>
        <w:t>6</w:t>
      </w:r>
      <w:r w:rsidR="0024772E" w:rsidRPr="006B309F">
        <w:rPr>
          <w:rFonts w:ascii="Times New Roman" w:hAnsi="Times New Roman"/>
          <w:sz w:val="24"/>
          <w:szCs w:val="24"/>
        </w:rPr>
        <w:t>.</w:t>
      </w:r>
      <w:r w:rsidR="00BA3DC6" w:rsidRPr="006B309F">
        <w:rPr>
          <w:rFonts w:ascii="Times New Roman" w:hAnsi="Times New Roman"/>
          <w:sz w:val="24"/>
          <w:szCs w:val="24"/>
        </w:rPr>
        <w:tab/>
        <w:t xml:space="preserve">Dans le cas d’espèce, </w:t>
      </w:r>
      <w:r w:rsidR="005506D2">
        <w:rPr>
          <w:rFonts w:ascii="Times New Roman" w:hAnsi="Times New Roman"/>
          <w:sz w:val="24"/>
          <w:szCs w:val="24"/>
        </w:rPr>
        <w:t>comme évoqué supra, les extensions sans coûts additionnelles mont</w:t>
      </w:r>
      <w:r w:rsidR="00BA3DC6" w:rsidRPr="006B309F">
        <w:rPr>
          <w:rFonts w:ascii="Times New Roman" w:hAnsi="Times New Roman"/>
          <w:sz w:val="24"/>
          <w:szCs w:val="24"/>
        </w:rPr>
        <w:t xml:space="preserve">rent </w:t>
      </w:r>
      <w:r w:rsidR="005506D2">
        <w:rPr>
          <w:rFonts w:ascii="Times New Roman" w:hAnsi="Times New Roman"/>
          <w:sz w:val="24"/>
          <w:szCs w:val="24"/>
        </w:rPr>
        <w:t xml:space="preserve">plutôt </w:t>
      </w:r>
      <w:r w:rsidR="00BA3DC6" w:rsidRPr="006B309F">
        <w:rPr>
          <w:rFonts w:ascii="Times New Roman" w:hAnsi="Times New Roman"/>
          <w:sz w:val="24"/>
          <w:szCs w:val="24"/>
        </w:rPr>
        <w:t xml:space="preserve">que la programmation est </w:t>
      </w:r>
      <w:r w:rsidR="005506D2">
        <w:rPr>
          <w:rFonts w:ascii="Times New Roman" w:hAnsi="Times New Roman"/>
          <w:sz w:val="24"/>
          <w:szCs w:val="24"/>
        </w:rPr>
        <w:t>assez difficile à maîtriser dans un environnement de crise où les terrains d’opération du programme sont souvent instables dès lors qu’on s’éloigne des grandes villes</w:t>
      </w:r>
      <w:r w:rsidR="00BA3DC6" w:rsidRPr="006B309F">
        <w:rPr>
          <w:rFonts w:ascii="Times New Roman" w:hAnsi="Times New Roman"/>
          <w:sz w:val="24"/>
          <w:szCs w:val="24"/>
        </w:rPr>
        <w:t>.</w:t>
      </w:r>
      <w:r w:rsidR="005506D2">
        <w:rPr>
          <w:rFonts w:ascii="Times New Roman" w:hAnsi="Times New Roman"/>
          <w:sz w:val="24"/>
          <w:szCs w:val="24"/>
        </w:rPr>
        <w:t xml:space="preserve"> </w:t>
      </w:r>
      <w:r w:rsidR="00BA3DC6" w:rsidRPr="006B309F">
        <w:rPr>
          <w:rFonts w:ascii="Times New Roman" w:hAnsi="Times New Roman"/>
          <w:sz w:val="24"/>
          <w:szCs w:val="24"/>
        </w:rPr>
        <w:t>Dans un registre</w:t>
      </w:r>
      <w:r w:rsidR="0004399B" w:rsidRPr="006B309F">
        <w:rPr>
          <w:rFonts w:ascii="Times New Roman" w:hAnsi="Times New Roman"/>
          <w:sz w:val="24"/>
          <w:szCs w:val="24"/>
        </w:rPr>
        <w:t xml:space="preserve"> </w:t>
      </w:r>
      <w:r w:rsidR="005506D2">
        <w:rPr>
          <w:rFonts w:ascii="Times New Roman" w:hAnsi="Times New Roman"/>
          <w:sz w:val="24"/>
          <w:szCs w:val="24"/>
        </w:rPr>
        <w:t xml:space="preserve">plus interne au programme, </w:t>
      </w:r>
      <w:r w:rsidR="00BA3DC6" w:rsidRPr="006B309F">
        <w:rPr>
          <w:rFonts w:ascii="Times New Roman" w:hAnsi="Times New Roman"/>
          <w:sz w:val="24"/>
          <w:szCs w:val="24"/>
        </w:rPr>
        <w:t>mais à un titre non moins critique, l’émiettement du portefeuille</w:t>
      </w:r>
      <w:r w:rsidR="009B19A1" w:rsidRPr="006B309F">
        <w:rPr>
          <w:rFonts w:ascii="Times New Roman" w:hAnsi="Times New Roman"/>
          <w:sz w:val="24"/>
          <w:szCs w:val="24"/>
        </w:rPr>
        <w:t>,</w:t>
      </w:r>
      <w:r w:rsidR="00BA3DC6" w:rsidRPr="006B309F">
        <w:rPr>
          <w:rFonts w:ascii="Times New Roman" w:hAnsi="Times New Roman"/>
          <w:sz w:val="24"/>
          <w:szCs w:val="24"/>
        </w:rPr>
        <w:t xml:space="preserve"> </w:t>
      </w:r>
      <w:r w:rsidR="00453322" w:rsidRPr="006B309F">
        <w:rPr>
          <w:rFonts w:ascii="Times New Roman" w:hAnsi="Times New Roman"/>
          <w:sz w:val="24"/>
          <w:szCs w:val="24"/>
        </w:rPr>
        <w:t xml:space="preserve">dont </w:t>
      </w:r>
      <w:r w:rsidR="009B19A1" w:rsidRPr="006B309F">
        <w:rPr>
          <w:rFonts w:ascii="Times New Roman" w:hAnsi="Times New Roman"/>
          <w:sz w:val="24"/>
          <w:szCs w:val="24"/>
        </w:rPr>
        <w:t xml:space="preserve">nombre de projets </w:t>
      </w:r>
      <w:r w:rsidR="00453322" w:rsidRPr="006B309F">
        <w:rPr>
          <w:rFonts w:ascii="Times New Roman" w:hAnsi="Times New Roman"/>
          <w:sz w:val="24"/>
          <w:szCs w:val="24"/>
        </w:rPr>
        <w:t xml:space="preserve">se </w:t>
      </w:r>
      <w:r w:rsidR="00BA3DC6" w:rsidRPr="006B309F">
        <w:rPr>
          <w:rFonts w:ascii="Times New Roman" w:hAnsi="Times New Roman"/>
          <w:sz w:val="24"/>
          <w:szCs w:val="24"/>
        </w:rPr>
        <w:t>distinguent non pas par leur</w:t>
      </w:r>
      <w:r w:rsidR="00453322" w:rsidRPr="006B309F">
        <w:rPr>
          <w:rFonts w:ascii="Times New Roman" w:hAnsi="Times New Roman"/>
          <w:sz w:val="24"/>
          <w:szCs w:val="24"/>
        </w:rPr>
        <w:t xml:space="preserve"> contenu intrinsèque </w:t>
      </w:r>
      <w:r w:rsidR="00BA3DC6" w:rsidRPr="006B309F">
        <w:rPr>
          <w:rFonts w:ascii="Times New Roman" w:hAnsi="Times New Roman"/>
          <w:sz w:val="24"/>
          <w:szCs w:val="24"/>
        </w:rPr>
        <w:t>mais par leur source de financement, montre que la programmation</w:t>
      </w:r>
      <w:r w:rsidR="005506D2">
        <w:rPr>
          <w:rFonts w:ascii="Times New Roman" w:hAnsi="Times New Roman"/>
          <w:sz w:val="24"/>
          <w:szCs w:val="24"/>
        </w:rPr>
        <w:t xml:space="preserve"> ressort parfois diluée </w:t>
      </w:r>
      <w:r w:rsidR="00BA3DC6" w:rsidRPr="006B309F">
        <w:rPr>
          <w:rFonts w:ascii="Times New Roman" w:hAnsi="Times New Roman"/>
          <w:sz w:val="24"/>
          <w:szCs w:val="24"/>
        </w:rPr>
        <w:t>par les logiques centri</w:t>
      </w:r>
      <w:r w:rsidR="00F76C58" w:rsidRPr="006B309F">
        <w:rPr>
          <w:rFonts w:ascii="Times New Roman" w:hAnsi="Times New Roman"/>
          <w:sz w:val="24"/>
          <w:szCs w:val="24"/>
        </w:rPr>
        <w:t>fuges</w:t>
      </w:r>
      <w:r w:rsidR="00BA3DC6" w:rsidRPr="006B309F">
        <w:rPr>
          <w:rFonts w:ascii="Times New Roman" w:hAnsi="Times New Roman"/>
          <w:sz w:val="24"/>
          <w:szCs w:val="24"/>
        </w:rPr>
        <w:t xml:space="preserve"> des bailleurs de fonds</w:t>
      </w:r>
      <w:r w:rsidR="005506D2">
        <w:rPr>
          <w:rFonts w:ascii="Times New Roman" w:hAnsi="Times New Roman"/>
          <w:sz w:val="24"/>
          <w:szCs w:val="24"/>
        </w:rPr>
        <w:t>.</w:t>
      </w:r>
    </w:p>
    <w:p w14:paraId="1F3FF821" w14:textId="77777777" w:rsidR="00BA3DC6" w:rsidRPr="006B309F" w:rsidRDefault="00BA3DC6" w:rsidP="002B5FE6">
      <w:pPr>
        <w:spacing w:after="0" w:line="240" w:lineRule="auto"/>
        <w:jc w:val="both"/>
        <w:rPr>
          <w:rFonts w:ascii="Times New Roman" w:hAnsi="Times New Roman"/>
          <w:sz w:val="24"/>
          <w:szCs w:val="24"/>
        </w:rPr>
      </w:pPr>
    </w:p>
    <w:p w14:paraId="741EC45B" w14:textId="77777777" w:rsidR="00381668" w:rsidRPr="006B309F" w:rsidRDefault="009A48F8" w:rsidP="002B5FE6">
      <w:pPr>
        <w:spacing w:after="0" w:line="240" w:lineRule="auto"/>
        <w:jc w:val="both"/>
        <w:rPr>
          <w:rFonts w:ascii="Times New Roman" w:hAnsi="Times New Roman"/>
          <w:sz w:val="24"/>
          <w:szCs w:val="24"/>
        </w:rPr>
      </w:pPr>
      <w:r>
        <w:rPr>
          <w:rFonts w:ascii="Times New Roman" w:hAnsi="Times New Roman"/>
          <w:sz w:val="24"/>
          <w:szCs w:val="24"/>
        </w:rPr>
        <w:t>9</w:t>
      </w:r>
      <w:r w:rsidR="000B5082">
        <w:rPr>
          <w:rFonts w:ascii="Times New Roman" w:hAnsi="Times New Roman"/>
          <w:sz w:val="24"/>
          <w:szCs w:val="24"/>
        </w:rPr>
        <w:t>7</w:t>
      </w:r>
      <w:r w:rsidR="0024772E" w:rsidRPr="006B309F">
        <w:rPr>
          <w:rFonts w:ascii="Times New Roman" w:hAnsi="Times New Roman"/>
          <w:sz w:val="24"/>
          <w:szCs w:val="24"/>
        </w:rPr>
        <w:t>.</w:t>
      </w:r>
      <w:r w:rsidR="00BA3DC6" w:rsidRPr="006B309F">
        <w:rPr>
          <w:rFonts w:ascii="Times New Roman" w:hAnsi="Times New Roman"/>
          <w:sz w:val="24"/>
          <w:szCs w:val="24"/>
        </w:rPr>
        <w:tab/>
        <w:t>A l’actif du suivi-évaluation, le</w:t>
      </w:r>
      <w:r w:rsidR="005506D2">
        <w:rPr>
          <w:rFonts w:ascii="Times New Roman" w:hAnsi="Times New Roman"/>
          <w:sz w:val="24"/>
          <w:szCs w:val="24"/>
        </w:rPr>
        <w:t xml:space="preserve"> plan d’évaluation est globalement bien honoré</w:t>
      </w:r>
      <w:r w:rsidR="00D3655E">
        <w:rPr>
          <w:rFonts w:ascii="Times New Roman" w:hAnsi="Times New Roman"/>
          <w:sz w:val="24"/>
          <w:szCs w:val="24"/>
        </w:rPr>
        <w:t xml:space="preserve">. </w:t>
      </w:r>
      <w:r w:rsidR="00381668" w:rsidRPr="006B309F">
        <w:rPr>
          <w:rFonts w:ascii="Times New Roman" w:hAnsi="Times New Roman"/>
          <w:sz w:val="24"/>
          <w:szCs w:val="24"/>
        </w:rPr>
        <w:t xml:space="preserve">Le processus d’élaboration et de mise en place des outils de collecte et d’analyse des données a été renouvelé et amélioré avec la mise en place de l’Unité </w:t>
      </w:r>
      <w:r w:rsidR="00D3655E">
        <w:rPr>
          <w:rFonts w:ascii="Times New Roman" w:hAnsi="Times New Roman"/>
          <w:sz w:val="24"/>
          <w:szCs w:val="24"/>
        </w:rPr>
        <w:t xml:space="preserve">d’Appui au Programme, qui suit, soutient et alerte les opérationnels sur éléments de redevabilité internes et externes qui améliorent la fluidité de la mise en œuvre ou au contraire l’entravent, selon qu’ils sont satisfaits à temps ou ne le sont pas. </w:t>
      </w:r>
      <w:r w:rsidR="00381668" w:rsidRPr="006B309F">
        <w:rPr>
          <w:rFonts w:ascii="Times New Roman" w:hAnsi="Times New Roman"/>
          <w:sz w:val="24"/>
          <w:szCs w:val="24"/>
        </w:rPr>
        <w:t xml:space="preserve">Malgré tous ces efforts, </w:t>
      </w:r>
      <w:r w:rsidR="00BA3DC6" w:rsidRPr="006B309F">
        <w:rPr>
          <w:rFonts w:ascii="Times New Roman" w:hAnsi="Times New Roman"/>
          <w:sz w:val="24"/>
          <w:szCs w:val="24"/>
        </w:rPr>
        <w:t xml:space="preserve">le </w:t>
      </w:r>
      <w:r w:rsidR="00381668" w:rsidRPr="006B309F">
        <w:rPr>
          <w:rFonts w:ascii="Times New Roman" w:hAnsi="Times New Roman"/>
          <w:sz w:val="24"/>
          <w:szCs w:val="24"/>
        </w:rPr>
        <w:t xml:space="preserve">cadre de résultats et de ressources du programme ne </w:t>
      </w:r>
      <w:r w:rsidR="00BA3DC6" w:rsidRPr="006B309F">
        <w:rPr>
          <w:rFonts w:ascii="Times New Roman" w:hAnsi="Times New Roman"/>
          <w:sz w:val="24"/>
          <w:szCs w:val="24"/>
        </w:rPr>
        <w:t>permet pas une détermination systématique de l’influence du portefeuille sur les différents résultats qu’il s’est donné</w:t>
      </w:r>
      <w:r w:rsidR="009B19A1" w:rsidRPr="006B309F">
        <w:rPr>
          <w:rFonts w:ascii="Times New Roman" w:hAnsi="Times New Roman"/>
          <w:sz w:val="24"/>
          <w:szCs w:val="24"/>
        </w:rPr>
        <w:t>s</w:t>
      </w:r>
      <w:r w:rsidR="00BA3DC6" w:rsidRPr="006B309F">
        <w:rPr>
          <w:rFonts w:ascii="Times New Roman" w:hAnsi="Times New Roman"/>
          <w:sz w:val="24"/>
          <w:szCs w:val="24"/>
        </w:rPr>
        <w:t>. Cette lacune vient du décalage noté plus haut entre les libellés du cadre logique et les vér</w:t>
      </w:r>
      <w:r w:rsidR="00D3655E">
        <w:rPr>
          <w:rFonts w:ascii="Times New Roman" w:hAnsi="Times New Roman"/>
          <w:sz w:val="24"/>
          <w:szCs w:val="24"/>
        </w:rPr>
        <w:t>itables livraisons des projets.</w:t>
      </w:r>
    </w:p>
    <w:p w14:paraId="5B5FC401" w14:textId="77777777" w:rsidR="00BA3DC6" w:rsidRPr="006B309F" w:rsidRDefault="00BA3DC6" w:rsidP="002B5FE6">
      <w:pPr>
        <w:spacing w:after="0" w:line="240" w:lineRule="auto"/>
        <w:jc w:val="both"/>
        <w:rPr>
          <w:rFonts w:ascii="Times New Roman" w:hAnsi="Times New Roman"/>
          <w:sz w:val="24"/>
          <w:szCs w:val="24"/>
        </w:rPr>
      </w:pPr>
    </w:p>
    <w:p w14:paraId="03EF3867" w14:textId="77777777" w:rsidR="006A0917" w:rsidRDefault="00D007BD" w:rsidP="002B5FE6">
      <w:pPr>
        <w:spacing w:after="0" w:line="240" w:lineRule="auto"/>
        <w:jc w:val="both"/>
        <w:rPr>
          <w:rFonts w:ascii="Times New Roman" w:hAnsi="Times New Roman"/>
          <w:sz w:val="24"/>
          <w:szCs w:val="24"/>
        </w:rPr>
      </w:pPr>
      <w:r>
        <w:rPr>
          <w:rFonts w:ascii="Times New Roman" w:hAnsi="Times New Roman"/>
          <w:sz w:val="24"/>
          <w:szCs w:val="24"/>
        </w:rPr>
        <w:t>9</w:t>
      </w:r>
      <w:r w:rsidR="000B5082">
        <w:rPr>
          <w:rFonts w:ascii="Times New Roman" w:hAnsi="Times New Roman"/>
          <w:sz w:val="24"/>
          <w:szCs w:val="24"/>
        </w:rPr>
        <w:t>8</w:t>
      </w:r>
      <w:r w:rsidR="0024772E" w:rsidRPr="006B309F">
        <w:rPr>
          <w:rFonts w:ascii="Times New Roman" w:hAnsi="Times New Roman"/>
          <w:sz w:val="24"/>
          <w:szCs w:val="24"/>
        </w:rPr>
        <w:t>.</w:t>
      </w:r>
      <w:r w:rsidR="00BA3DC6" w:rsidRPr="006B309F">
        <w:rPr>
          <w:rFonts w:ascii="Times New Roman" w:hAnsi="Times New Roman"/>
          <w:sz w:val="24"/>
          <w:szCs w:val="24"/>
        </w:rPr>
        <w:tab/>
        <w:t xml:space="preserve">Dans le suivi-évaluation, le reporting vers les bailleurs de fonds </w:t>
      </w:r>
      <w:r w:rsidR="00453322" w:rsidRPr="006B309F">
        <w:rPr>
          <w:rFonts w:ascii="Times New Roman" w:hAnsi="Times New Roman"/>
          <w:sz w:val="24"/>
          <w:szCs w:val="24"/>
        </w:rPr>
        <w:t>fait débat entre ces derniers et les gestionnaires du programme</w:t>
      </w:r>
      <w:r w:rsidR="00BA3DC6" w:rsidRPr="006B309F">
        <w:rPr>
          <w:rFonts w:ascii="Times New Roman" w:hAnsi="Times New Roman"/>
          <w:sz w:val="24"/>
          <w:szCs w:val="24"/>
        </w:rPr>
        <w:t xml:space="preserve">. </w:t>
      </w:r>
      <w:r w:rsidR="00E66A11" w:rsidRPr="006B309F">
        <w:rPr>
          <w:rFonts w:ascii="Times New Roman" w:hAnsi="Times New Roman"/>
          <w:sz w:val="24"/>
          <w:szCs w:val="24"/>
        </w:rPr>
        <w:t>La triangulation des opinions des acteurs et l’examen des supports amène la mission à retenir que l’information vers les partenaires s’améliore</w:t>
      </w:r>
      <w:r w:rsidR="00666465" w:rsidRPr="006B309F">
        <w:rPr>
          <w:rFonts w:ascii="Times New Roman" w:hAnsi="Times New Roman"/>
          <w:sz w:val="24"/>
          <w:szCs w:val="24"/>
        </w:rPr>
        <w:t xml:space="preserve">, à l’image d’une fonction de suivi-évaluation confortée par le renforcement de son staff. </w:t>
      </w:r>
      <w:r w:rsidR="00A61092">
        <w:rPr>
          <w:rFonts w:ascii="Times New Roman" w:hAnsi="Times New Roman"/>
          <w:sz w:val="24"/>
          <w:szCs w:val="24"/>
        </w:rPr>
        <w:t xml:space="preserve">Toutefois </w:t>
      </w:r>
      <w:r w:rsidR="007D3410">
        <w:rPr>
          <w:rFonts w:ascii="Times New Roman" w:hAnsi="Times New Roman"/>
          <w:sz w:val="24"/>
          <w:szCs w:val="24"/>
        </w:rPr>
        <w:t xml:space="preserve">des </w:t>
      </w:r>
      <w:r w:rsidR="00A61092">
        <w:rPr>
          <w:rFonts w:ascii="Times New Roman" w:hAnsi="Times New Roman"/>
          <w:sz w:val="24"/>
          <w:szCs w:val="24"/>
        </w:rPr>
        <w:t>bailleur</w:t>
      </w:r>
      <w:r w:rsidR="007D3410">
        <w:rPr>
          <w:rFonts w:ascii="Times New Roman" w:hAnsi="Times New Roman"/>
          <w:sz w:val="24"/>
          <w:szCs w:val="24"/>
        </w:rPr>
        <w:t>s</w:t>
      </w:r>
      <w:r w:rsidR="00A61092">
        <w:rPr>
          <w:rFonts w:ascii="Times New Roman" w:hAnsi="Times New Roman"/>
          <w:sz w:val="24"/>
          <w:szCs w:val="24"/>
        </w:rPr>
        <w:t xml:space="preserve"> de fonds important</w:t>
      </w:r>
      <w:r w:rsidR="007D3410">
        <w:rPr>
          <w:rFonts w:ascii="Times New Roman" w:hAnsi="Times New Roman"/>
          <w:sz w:val="24"/>
          <w:szCs w:val="24"/>
        </w:rPr>
        <w:t>s</w:t>
      </w:r>
      <w:r w:rsidR="00A61092">
        <w:rPr>
          <w:rFonts w:ascii="Times New Roman" w:hAnsi="Times New Roman"/>
          <w:sz w:val="24"/>
          <w:szCs w:val="24"/>
        </w:rPr>
        <w:t xml:space="preserve"> continue</w:t>
      </w:r>
      <w:r w:rsidR="007D3410">
        <w:rPr>
          <w:rFonts w:ascii="Times New Roman" w:hAnsi="Times New Roman"/>
          <w:sz w:val="24"/>
          <w:szCs w:val="24"/>
        </w:rPr>
        <w:t>nt</w:t>
      </w:r>
      <w:r w:rsidR="00A61092">
        <w:rPr>
          <w:rFonts w:ascii="Times New Roman" w:hAnsi="Times New Roman"/>
          <w:sz w:val="24"/>
          <w:szCs w:val="24"/>
        </w:rPr>
        <w:t xml:space="preserve"> de demander de meilleures interfaces de reporting, y compris </w:t>
      </w:r>
      <w:r w:rsidR="007D3410">
        <w:rPr>
          <w:rFonts w:ascii="Times New Roman" w:hAnsi="Times New Roman"/>
          <w:sz w:val="24"/>
          <w:szCs w:val="24"/>
        </w:rPr>
        <w:t xml:space="preserve">un suivi opérationnel sur les projets financés, une plus grande qualité de reporting et </w:t>
      </w:r>
      <w:r w:rsidR="00A61092">
        <w:rPr>
          <w:rFonts w:ascii="Times New Roman" w:hAnsi="Times New Roman"/>
          <w:sz w:val="24"/>
          <w:szCs w:val="24"/>
        </w:rPr>
        <w:t>un raccourcissement des délais de livraison des rapports</w:t>
      </w:r>
      <w:r w:rsidR="007D3410">
        <w:rPr>
          <w:rFonts w:ascii="Times New Roman" w:hAnsi="Times New Roman"/>
          <w:sz w:val="24"/>
          <w:szCs w:val="24"/>
        </w:rPr>
        <w:t>.</w:t>
      </w:r>
    </w:p>
    <w:p w14:paraId="0B537953" w14:textId="77777777" w:rsidR="006A0917" w:rsidRDefault="006A0917" w:rsidP="002B5FE6">
      <w:pPr>
        <w:spacing w:after="0" w:line="240" w:lineRule="auto"/>
        <w:jc w:val="both"/>
        <w:rPr>
          <w:rFonts w:ascii="Times New Roman" w:hAnsi="Times New Roman"/>
          <w:sz w:val="24"/>
          <w:szCs w:val="24"/>
        </w:rPr>
      </w:pPr>
    </w:p>
    <w:p w14:paraId="1C621795" w14:textId="77777777" w:rsidR="00BA3DC6" w:rsidRPr="006B309F" w:rsidRDefault="000B5082" w:rsidP="00B96F0F">
      <w:pPr>
        <w:spacing w:after="0" w:line="240" w:lineRule="auto"/>
        <w:jc w:val="both"/>
        <w:rPr>
          <w:rFonts w:ascii="Times New Roman" w:hAnsi="Times New Roman"/>
          <w:sz w:val="24"/>
          <w:szCs w:val="24"/>
        </w:rPr>
      </w:pPr>
      <w:r>
        <w:rPr>
          <w:rFonts w:ascii="Times New Roman" w:hAnsi="Times New Roman"/>
          <w:sz w:val="24"/>
          <w:szCs w:val="24"/>
        </w:rPr>
        <w:t>99</w:t>
      </w:r>
      <w:r w:rsidR="00D007BD">
        <w:rPr>
          <w:rFonts w:ascii="Times New Roman" w:hAnsi="Times New Roman"/>
          <w:sz w:val="24"/>
          <w:szCs w:val="24"/>
        </w:rPr>
        <w:t>.</w:t>
      </w:r>
      <w:r w:rsidR="00A61092">
        <w:rPr>
          <w:rFonts w:ascii="Times New Roman" w:hAnsi="Times New Roman"/>
          <w:sz w:val="24"/>
          <w:szCs w:val="24"/>
        </w:rPr>
        <w:tab/>
        <w:t>En ce qui concerne la communication, le Bureau dispose d’une stratégie de communication et d’une chargée de la communication. Malgré tout l’état quelques faiblesses restent établies dont ce domaine. L’unité de communication ne dispose de moyens appripriés pour mettre en œuvre la stratégie, tandis que les projets qui disposent de moyens ne perçoivent pas forcément les enjeux profonds que recouvre la communication.</w:t>
      </w:r>
      <w:r w:rsidR="002B5FE6">
        <w:rPr>
          <w:rFonts w:ascii="Times New Roman" w:hAnsi="Times New Roman"/>
          <w:sz w:val="24"/>
          <w:szCs w:val="24"/>
        </w:rPr>
        <w:t xml:space="preserve"> Il résulte de ces deux insuffisances, un profil de communication </w:t>
      </w:r>
      <w:r w:rsidR="00AD2A78">
        <w:rPr>
          <w:rFonts w:ascii="Times New Roman" w:hAnsi="Times New Roman"/>
          <w:sz w:val="24"/>
          <w:szCs w:val="24"/>
        </w:rPr>
        <w:t>hélas</w:t>
      </w:r>
      <w:r w:rsidR="002B5FE6">
        <w:rPr>
          <w:rFonts w:ascii="Times New Roman" w:hAnsi="Times New Roman"/>
          <w:sz w:val="24"/>
          <w:szCs w:val="24"/>
        </w:rPr>
        <w:t xml:space="preserve"> plus orienté vers la diffusion des événements de vie du Bureau, que centrée sur la substance du programme et les résultats qu’il atteint.</w:t>
      </w:r>
    </w:p>
    <w:p w14:paraId="7A2F6BF8" w14:textId="77777777" w:rsidR="00F52F7F" w:rsidRPr="006B309F" w:rsidRDefault="00F52F7F" w:rsidP="00B96F0F">
      <w:pPr>
        <w:spacing w:after="0" w:line="240" w:lineRule="auto"/>
        <w:jc w:val="both"/>
        <w:rPr>
          <w:rFonts w:ascii="Times New Roman" w:hAnsi="Times New Roman"/>
          <w:sz w:val="24"/>
          <w:szCs w:val="24"/>
        </w:rPr>
      </w:pPr>
    </w:p>
    <w:p w14:paraId="084DF5D2" w14:textId="77777777" w:rsidR="00BA3DC6" w:rsidRPr="006B309F" w:rsidRDefault="00BA3DC6" w:rsidP="00B026AE">
      <w:pPr>
        <w:pStyle w:val="Titre2"/>
        <w:numPr>
          <w:ilvl w:val="1"/>
          <w:numId w:val="5"/>
        </w:numPr>
        <w:spacing w:before="0"/>
        <w:rPr>
          <w:color w:val="auto"/>
        </w:rPr>
      </w:pPr>
      <w:bookmarkStart w:id="149" w:name="_Toc499211628"/>
      <w:bookmarkStart w:id="150" w:name="_Toc499213901"/>
      <w:r w:rsidRPr="006B309F">
        <w:rPr>
          <w:color w:val="auto"/>
        </w:rPr>
        <w:t>Durabilité</w:t>
      </w:r>
      <w:bookmarkEnd w:id="149"/>
      <w:bookmarkEnd w:id="150"/>
    </w:p>
    <w:p w14:paraId="31DC1BFB" w14:textId="77777777" w:rsidR="00BA3DC6" w:rsidRPr="006B309F" w:rsidRDefault="00BA3DC6" w:rsidP="00AD2A78">
      <w:pPr>
        <w:pStyle w:val="Textebrut"/>
        <w:jc w:val="both"/>
        <w:rPr>
          <w:rFonts w:ascii="Times New Roman" w:hAnsi="Times New Roman"/>
          <w:sz w:val="24"/>
          <w:szCs w:val="24"/>
        </w:rPr>
      </w:pPr>
    </w:p>
    <w:p w14:paraId="642A49D8" w14:textId="77777777" w:rsidR="00BA3DC6" w:rsidRPr="006B309F" w:rsidRDefault="0024772E" w:rsidP="00AD2A78">
      <w:pPr>
        <w:pStyle w:val="Textebrut"/>
        <w:jc w:val="both"/>
        <w:rPr>
          <w:rFonts w:ascii="Times New Roman" w:hAnsi="Times New Roman"/>
          <w:sz w:val="24"/>
          <w:szCs w:val="24"/>
        </w:rPr>
      </w:pPr>
      <w:r w:rsidRPr="006B309F">
        <w:rPr>
          <w:rFonts w:ascii="Times New Roman" w:hAnsi="Times New Roman"/>
          <w:sz w:val="24"/>
          <w:szCs w:val="24"/>
        </w:rPr>
        <w:t>1</w:t>
      </w:r>
      <w:r w:rsidR="00D007BD">
        <w:rPr>
          <w:rFonts w:ascii="Times New Roman" w:hAnsi="Times New Roman"/>
          <w:sz w:val="24"/>
          <w:szCs w:val="24"/>
        </w:rPr>
        <w:t>0</w:t>
      </w:r>
      <w:r w:rsidR="000B5082">
        <w:rPr>
          <w:rFonts w:ascii="Times New Roman" w:hAnsi="Times New Roman"/>
          <w:sz w:val="24"/>
          <w:szCs w:val="24"/>
        </w:rPr>
        <w:t>0</w:t>
      </w:r>
      <w:r w:rsidR="00BA3DC6" w:rsidRPr="006B309F">
        <w:rPr>
          <w:rFonts w:ascii="Times New Roman" w:hAnsi="Times New Roman"/>
          <w:sz w:val="24"/>
          <w:szCs w:val="24"/>
        </w:rPr>
        <w:t>.</w:t>
      </w:r>
      <w:r w:rsidR="00D63D90" w:rsidRPr="006B309F">
        <w:rPr>
          <w:rFonts w:ascii="Times New Roman" w:hAnsi="Times New Roman"/>
          <w:sz w:val="24"/>
          <w:szCs w:val="24"/>
        </w:rPr>
        <w:tab/>
        <w:t>La durabilité des acquis d’un p</w:t>
      </w:r>
      <w:r w:rsidR="00BA3DC6" w:rsidRPr="006B309F">
        <w:rPr>
          <w:rFonts w:ascii="Times New Roman" w:hAnsi="Times New Roman"/>
          <w:sz w:val="24"/>
          <w:szCs w:val="24"/>
        </w:rPr>
        <w:t>rogramme est fonction de déterminants clés, d’amont et d’aval. En amont, il y a la qualité des produits livrés</w:t>
      </w:r>
      <w:r w:rsidR="00D63D90" w:rsidRPr="006B309F">
        <w:rPr>
          <w:rFonts w:ascii="Times New Roman" w:hAnsi="Times New Roman"/>
          <w:sz w:val="24"/>
          <w:szCs w:val="24"/>
        </w:rPr>
        <w:t xml:space="preserve"> qui servent de supports tangibles aux effets éventuellement obtenus</w:t>
      </w:r>
      <w:r w:rsidR="00BA3DC6" w:rsidRPr="006B309F">
        <w:rPr>
          <w:rFonts w:ascii="Times New Roman" w:hAnsi="Times New Roman"/>
          <w:sz w:val="24"/>
          <w:szCs w:val="24"/>
        </w:rPr>
        <w:t>, et en aval la qualité de l’appropriation des bénéficiaires et leur capacité à prendre le relai et à tenir un résultat</w:t>
      </w:r>
      <w:r w:rsidR="00D63D90" w:rsidRPr="006B309F">
        <w:rPr>
          <w:rFonts w:ascii="Times New Roman" w:hAnsi="Times New Roman"/>
          <w:sz w:val="24"/>
          <w:szCs w:val="24"/>
        </w:rPr>
        <w:t xml:space="preserve"> dans la suite des interventions du programme forcément limitées dans le temps</w:t>
      </w:r>
      <w:r w:rsidR="00BA3DC6" w:rsidRPr="006B309F">
        <w:rPr>
          <w:rFonts w:ascii="Times New Roman" w:hAnsi="Times New Roman"/>
          <w:sz w:val="24"/>
          <w:szCs w:val="24"/>
        </w:rPr>
        <w:t xml:space="preserve">. Sans produits de qualité, l’on ne peut envisager de réelle pérennité. Aussi bien, si de bons produits ont été livrés mais ne sont pas tenus comme ils devraient l’être </w:t>
      </w:r>
      <w:r w:rsidR="00BA3DC6" w:rsidRPr="006B309F">
        <w:rPr>
          <w:rFonts w:ascii="Times New Roman" w:hAnsi="Times New Roman"/>
          <w:sz w:val="24"/>
          <w:szCs w:val="24"/>
        </w:rPr>
        <w:lastRenderedPageBreak/>
        <w:t xml:space="preserve">et que la partie nationale n’est pas réellement prête à les porter comme ils l’étaient dans le cycle de programmation révolu, l’on ne peut pas davantage parler de durabilité. </w:t>
      </w:r>
    </w:p>
    <w:p w14:paraId="455FBF42" w14:textId="77777777" w:rsidR="00BA3DC6" w:rsidRPr="006B309F" w:rsidRDefault="00BA3DC6" w:rsidP="00AD2A78">
      <w:pPr>
        <w:pStyle w:val="Textebrut"/>
        <w:ind w:left="720"/>
        <w:jc w:val="both"/>
        <w:rPr>
          <w:rFonts w:ascii="Times New Roman" w:hAnsi="Times New Roman"/>
          <w:sz w:val="24"/>
          <w:szCs w:val="24"/>
        </w:rPr>
      </w:pPr>
    </w:p>
    <w:p w14:paraId="05390E03" w14:textId="77777777" w:rsidR="00BA3DC6" w:rsidRPr="006B309F" w:rsidRDefault="0024772E" w:rsidP="00AD2A78">
      <w:pPr>
        <w:pStyle w:val="Textebrut"/>
        <w:jc w:val="both"/>
        <w:rPr>
          <w:rFonts w:ascii="Times New Roman" w:hAnsi="Times New Roman"/>
          <w:sz w:val="24"/>
          <w:szCs w:val="24"/>
        </w:rPr>
      </w:pPr>
      <w:r w:rsidRPr="006B309F">
        <w:rPr>
          <w:rFonts w:ascii="Times New Roman" w:hAnsi="Times New Roman"/>
          <w:sz w:val="24"/>
          <w:szCs w:val="24"/>
        </w:rPr>
        <w:t>1</w:t>
      </w:r>
      <w:r w:rsidR="00D007BD">
        <w:rPr>
          <w:rFonts w:ascii="Times New Roman" w:hAnsi="Times New Roman"/>
          <w:sz w:val="24"/>
          <w:szCs w:val="24"/>
        </w:rPr>
        <w:t>0</w:t>
      </w:r>
      <w:r w:rsidR="000B5082">
        <w:rPr>
          <w:rFonts w:ascii="Times New Roman" w:hAnsi="Times New Roman"/>
          <w:sz w:val="24"/>
          <w:szCs w:val="24"/>
        </w:rPr>
        <w:t>1</w:t>
      </w:r>
      <w:r w:rsidR="00BA3DC6" w:rsidRPr="006B309F">
        <w:rPr>
          <w:rFonts w:ascii="Times New Roman" w:hAnsi="Times New Roman"/>
          <w:sz w:val="24"/>
          <w:szCs w:val="24"/>
        </w:rPr>
        <w:t>.</w:t>
      </w:r>
      <w:r w:rsidR="00BA3DC6" w:rsidRPr="006B309F">
        <w:rPr>
          <w:rFonts w:ascii="Times New Roman" w:hAnsi="Times New Roman"/>
          <w:sz w:val="24"/>
          <w:szCs w:val="24"/>
        </w:rPr>
        <w:tab/>
        <w:t xml:space="preserve">La qualité des livraisons faites par le portefeuille comme inputs supports de </w:t>
      </w:r>
      <w:r w:rsidR="0048442F" w:rsidRPr="006B309F">
        <w:rPr>
          <w:rFonts w:ascii="Times New Roman" w:hAnsi="Times New Roman"/>
          <w:sz w:val="24"/>
          <w:szCs w:val="24"/>
        </w:rPr>
        <w:t>l’</w:t>
      </w:r>
      <w:r w:rsidR="00BA3DC6" w:rsidRPr="006B309F">
        <w:rPr>
          <w:rFonts w:ascii="Times New Roman" w:hAnsi="Times New Roman"/>
          <w:sz w:val="24"/>
          <w:szCs w:val="24"/>
        </w:rPr>
        <w:t xml:space="preserve">influence </w:t>
      </w:r>
      <w:r w:rsidR="0048442F" w:rsidRPr="006B309F">
        <w:rPr>
          <w:rFonts w:ascii="Times New Roman" w:hAnsi="Times New Roman"/>
          <w:sz w:val="24"/>
          <w:szCs w:val="24"/>
        </w:rPr>
        <w:t>du programme dans son environnement</w:t>
      </w:r>
      <w:r w:rsidR="00BA3DC6" w:rsidRPr="006B309F">
        <w:rPr>
          <w:rFonts w:ascii="Times New Roman" w:hAnsi="Times New Roman"/>
          <w:sz w:val="24"/>
          <w:szCs w:val="24"/>
        </w:rPr>
        <w:t xml:space="preserve"> est à considérer au cas par cas, en fonction des produits concernés et de la manière dont ils touchent à l’environnement. Les investissements durs, infrastructures et équipements, ont une robustesse intrinsèque garantie par toutes les sûretés prises par le programme dans le cadre </w:t>
      </w:r>
      <w:r w:rsidR="0048442F" w:rsidRPr="006B309F">
        <w:rPr>
          <w:rFonts w:ascii="Times New Roman" w:hAnsi="Times New Roman"/>
          <w:sz w:val="24"/>
          <w:szCs w:val="24"/>
        </w:rPr>
        <w:t>de</w:t>
      </w:r>
      <w:r w:rsidR="00BA3DC6" w:rsidRPr="006B309F">
        <w:rPr>
          <w:rFonts w:ascii="Times New Roman" w:hAnsi="Times New Roman"/>
          <w:sz w:val="24"/>
          <w:szCs w:val="24"/>
        </w:rPr>
        <w:t xml:space="preserve"> procédures d’acquisition et de contrôle du PNUD, qui sont par définition de rang international. </w:t>
      </w:r>
      <w:r w:rsidR="0048442F" w:rsidRPr="006B309F">
        <w:rPr>
          <w:rFonts w:ascii="Times New Roman" w:hAnsi="Times New Roman"/>
          <w:sz w:val="24"/>
          <w:szCs w:val="24"/>
        </w:rPr>
        <w:t>L</w:t>
      </w:r>
      <w:r w:rsidR="00CB7F9F">
        <w:rPr>
          <w:rFonts w:ascii="Times New Roman" w:hAnsi="Times New Roman"/>
          <w:sz w:val="24"/>
          <w:szCs w:val="24"/>
        </w:rPr>
        <w:t>a mission a pu, par exemple, observer directement les importantes ré</w:t>
      </w:r>
      <w:r w:rsidR="00477C5F">
        <w:rPr>
          <w:rFonts w:ascii="Times New Roman" w:hAnsi="Times New Roman"/>
          <w:sz w:val="24"/>
          <w:szCs w:val="24"/>
        </w:rPr>
        <w:t>alisations de génie civil et autres équipements de travail livrés à l’Ecole de police. Les acteurs rencontrés sont unanimes à faire valoir la qualité des Autres infra</w:t>
      </w:r>
      <w:r w:rsidR="0048442F" w:rsidRPr="006B309F">
        <w:rPr>
          <w:rFonts w:ascii="Times New Roman" w:hAnsi="Times New Roman"/>
          <w:sz w:val="24"/>
          <w:szCs w:val="24"/>
        </w:rPr>
        <w:t xml:space="preserve">structures </w:t>
      </w:r>
      <w:r w:rsidR="00477C5F">
        <w:rPr>
          <w:rFonts w:ascii="Times New Roman" w:hAnsi="Times New Roman"/>
          <w:sz w:val="24"/>
          <w:szCs w:val="24"/>
        </w:rPr>
        <w:t xml:space="preserve">publiques ou </w:t>
      </w:r>
      <w:r w:rsidR="0048442F" w:rsidRPr="006B309F">
        <w:rPr>
          <w:rFonts w:ascii="Times New Roman" w:hAnsi="Times New Roman"/>
          <w:sz w:val="24"/>
          <w:szCs w:val="24"/>
        </w:rPr>
        <w:t>communautaires</w:t>
      </w:r>
      <w:r w:rsidR="00477C5F">
        <w:rPr>
          <w:rFonts w:ascii="Times New Roman" w:hAnsi="Times New Roman"/>
          <w:sz w:val="24"/>
          <w:szCs w:val="24"/>
        </w:rPr>
        <w:t>,</w:t>
      </w:r>
      <w:r w:rsidR="0048442F" w:rsidRPr="006B309F">
        <w:rPr>
          <w:rFonts w:ascii="Times New Roman" w:hAnsi="Times New Roman"/>
          <w:sz w:val="24"/>
          <w:szCs w:val="24"/>
        </w:rPr>
        <w:t xml:space="preserve"> </w:t>
      </w:r>
      <w:r w:rsidR="00BA3DC6" w:rsidRPr="006B309F">
        <w:rPr>
          <w:rFonts w:ascii="Times New Roman" w:hAnsi="Times New Roman"/>
          <w:sz w:val="24"/>
          <w:szCs w:val="24"/>
        </w:rPr>
        <w:t>construit</w:t>
      </w:r>
      <w:r w:rsidR="0048442F" w:rsidRPr="006B309F">
        <w:rPr>
          <w:rFonts w:ascii="Times New Roman" w:hAnsi="Times New Roman"/>
          <w:sz w:val="24"/>
          <w:szCs w:val="24"/>
        </w:rPr>
        <w:t>e</w:t>
      </w:r>
      <w:r w:rsidR="00BA3DC6" w:rsidRPr="006B309F">
        <w:rPr>
          <w:rFonts w:ascii="Times New Roman" w:hAnsi="Times New Roman"/>
          <w:sz w:val="24"/>
          <w:szCs w:val="24"/>
        </w:rPr>
        <w:t>s, réhabilité</w:t>
      </w:r>
      <w:r w:rsidR="0048442F" w:rsidRPr="006B309F">
        <w:rPr>
          <w:rFonts w:ascii="Times New Roman" w:hAnsi="Times New Roman"/>
          <w:sz w:val="24"/>
          <w:szCs w:val="24"/>
        </w:rPr>
        <w:t>e</w:t>
      </w:r>
      <w:r w:rsidR="00BA3DC6" w:rsidRPr="006B309F">
        <w:rPr>
          <w:rFonts w:ascii="Times New Roman" w:hAnsi="Times New Roman"/>
          <w:sz w:val="24"/>
          <w:szCs w:val="24"/>
        </w:rPr>
        <w:t>s ou équipé</w:t>
      </w:r>
      <w:r w:rsidR="0048442F" w:rsidRPr="006B309F">
        <w:rPr>
          <w:rFonts w:ascii="Times New Roman" w:hAnsi="Times New Roman"/>
          <w:sz w:val="24"/>
          <w:szCs w:val="24"/>
        </w:rPr>
        <w:t>e</w:t>
      </w:r>
      <w:r w:rsidR="00477C5F">
        <w:rPr>
          <w:rFonts w:ascii="Times New Roman" w:hAnsi="Times New Roman"/>
          <w:sz w:val="24"/>
          <w:szCs w:val="24"/>
        </w:rPr>
        <w:t xml:space="preserve">s à l’intérieur du pays, </w:t>
      </w:r>
      <w:r w:rsidR="00BA3DC6" w:rsidRPr="006B309F">
        <w:rPr>
          <w:rFonts w:ascii="Times New Roman" w:hAnsi="Times New Roman"/>
          <w:sz w:val="24"/>
          <w:szCs w:val="24"/>
        </w:rPr>
        <w:t xml:space="preserve">surtout </w:t>
      </w:r>
      <w:r w:rsidR="00477C5F">
        <w:rPr>
          <w:rFonts w:ascii="Times New Roman" w:hAnsi="Times New Roman"/>
          <w:sz w:val="24"/>
          <w:szCs w:val="24"/>
        </w:rPr>
        <w:t>dans les régions du Nord et du Centre</w:t>
      </w:r>
      <w:r w:rsidR="00BA3DC6" w:rsidRPr="006B309F">
        <w:rPr>
          <w:rFonts w:ascii="Times New Roman" w:hAnsi="Times New Roman"/>
          <w:sz w:val="24"/>
          <w:szCs w:val="24"/>
        </w:rPr>
        <w:t>.</w:t>
      </w:r>
    </w:p>
    <w:p w14:paraId="78DB440E" w14:textId="77777777" w:rsidR="00BA3DC6" w:rsidRPr="006B309F" w:rsidRDefault="00BA3DC6" w:rsidP="00AD2A78">
      <w:pPr>
        <w:pStyle w:val="Textebrut"/>
        <w:jc w:val="both"/>
        <w:rPr>
          <w:rFonts w:ascii="Times New Roman" w:hAnsi="Times New Roman"/>
          <w:sz w:val="24"/>
          <w:szCs w:val="24"/>
        </w:rPr>
      </w:pPr>
    </w:p>
    <w:p w14:paraId="0ECECB6B" w14:textId="77777777" w:rsidR="00BA3DC6" w:rsidRPr="006B309F" w:rsidRDefault="002710D2" w:rsidP="00AD2A78">
      <w:pPr>
        <w:pStyle w:val="Textebrut"/>
        <w:jc w:val="both"/>
        <w:rPr>
          <w:rFonts w:ascii="Times New Roman" w:hAnsi="Times New Roman"/>
          <w:sz w:val="24"/>
          <w:szCs w:val="24"/>
        </w:rPr>
      </w:pPr>
      <w:r w:rsidRPr="006B309F">
        <w:rPr>
          <w:rFonts w:ascii="Times New Roman" w:hAnsi="Times New Roman"/>
          <w:sz w:val="24"/>
          <w:szCs w:val="24"/>
        </w:rPr>
        <w:t>1</w:t>
      </w:r>
      <w:r w:rsidR="00D007BD">
        <w:rPr>
          <w:rFonts w:ascii="Times New Roman" w:hAnsi="Times New Roman"/>
          <w:sz w:val="24"/>
          <w:szCs w:val="24"/>
        </w:rPr>
        <w:t>0</w:t>
      </w:r>
      <w:r w:rsidR="000B5082">
        <w:rPr>
          <w:rFonts w:ascii="Times New Roman" w:hAnsi="Times New Roman"/>
          <w:sz w:val="24"/>
          <w:szCs w:val="24"/>
        </w:rPr>
        <w:t>2</w:t>
      </w:r>
      <w:r w:rsidR="0024772E" w:rsidRPr="006B309F">
        <w:rPr>
          <w:rFonts w:ascii="Times New Roman" w:hAnsi="Times New Roman"/>
          <w:sz w:val="24"/>
          <w:szCs w:val="24"/>
        </w:rPr>
        <w:t>.</w:t>
      </w:r>
      <w:r w:rsidR="00BA3DC6" w:rsidRPr="006B309F">
        <w:rPr>
          <w:rFonts w:ascii="Times New Roman" w:hAnsi="Times New Roman"/>
          <w:sz w:val="24"/>
          <w:szCs w:val="24"/>
        </w:rPr>
        <w:tab/>
        <w:t xml:space="preserve">Ce profil de qualité est </w:t>
      </w:r>
      <w:r w:rsidR="00477C5F">
        <w:rPr>
          <w:rFonts w:ascii="Times New Roman" w:hAnsi="Times New Roman"/>
          <w:sz w:val="24"/>
          <w:szCs w:val="24"/>
        </w:rPr>
        <w:t xml:space="preserve">toutefois </w:t>
      </w:r>
      <w:r w:rsidR="00BA3DC6" w:rsidRPr="006B309F">
        <w:rPr>
          <w:rFonts w:ascii="Times New Roman" w:hAnsi="Times New Roman"/>
          <w:sz w:val="24"/>
          <w:szCs w:val="24"/>
        </w:rPr>
        <w:t>un préalable nécessaire mais non suffisant à l</w:t>
      </w:r>
      <w:r w:rsidR="00477C5F">
        <w:rPr>
          <w:rFonts w:ascii="Times New Roman" w:hAnsi="Times New Roman"/>
          <w:sz w:val="24"/>
          <w:szCs w:val="24"/>
        </w:rPr>
        <w:t xml:space="preserve">a </w:t>
      </w:r>
      <w:r w:rsidR="00BA3DC6" w:rsidRPr="006B309F">
        <w:rPr>
          <w:rFonts w:ascii="Times New Roman" w:hAnsi="Times New Roman"/>
          <w:sz w:val="24"/>
          <w:szCs w:val="24"/>
        </w:rPr>
        <w:t>durabilité</w:t>
      </w:r>
      <w:r w:rsidR="00477C5F">
        <w:rPr>
          <w:rFonts w:ascii="Times New Roman" w:hAnsi="Times New Roman"/>
          <w:sz w:val="24"/>
          <w:szCs w:val="24"/>
        </w:rPr>
        <w:t xml:space="preserve"> de ces rendus du programme</w:t>
      </w:r>
      <w:r w:rsidR="00BA3DC6" w:rsidRPr="006B309F">
        <w:rPr>
          <w:rFonts w:ascii="Times New Roman" w:hAnsi="Times New Roman"/>
          <w:sz w:val="24"/>
          <w:szCs w:val="24"/>
        </w:rPr>
        <w:t xml:space="preserve">, qui dépendra aussi et surtout de ce que l’environnement d’accueil et les bénéficiaires </w:t>
      </w:r>
      <w:r w:rsidR="00477C5F">
        <w:rPr>
          <w:rFonts w:ascii="Times New Roman" w:hAnsi="Times New Roman"/>
          <w:sz w:val="24"/>
          <w:szCs w:val="24"/>
        </w:rPr>
        <w:t xml:space="preserve">en </w:t>
      </w:r>
      <w:r w:rsidR="00BA3DC6" w:rsidRPr="006B309F">
        <w:rPr>
          <w:rFonts w:ascii="Times New Roman" w:hAnsi="Times New Roman"/>
          <w:sz w:val="24"/>
          <w:szCs w:val="24"/>
        </w:rPr>
        <w:t>font les moyen et long terme, notamment après le cycle de vie des projets d’appui. A cet égard</w:t>
      </w:r>
      <w:r w:rsidR="0048442F" w:rsidRPr="006B309F">
        <w:rPr>
          <w:rFonts w:ascii="Times New Roman" w:hAnsi="Times New Roman"/>
          <w:sz w:val="24"/>
          <w:szCs w:val="24"/>
        </w:rPr>
        <w:t xml:space="preserve">, si les bénéficiaires directs </w:t>
      </w:r>
      <w:r w:rsidR="00BA3DC6" w:rsidRPr="006B309F">
        <w:rPr>
          <w:rFonts w:ascii="Times New Roman" w:hAnsi="Times New Roman"/>
          <w:sz w:val="24"/>
          <w:szCs w:val="24"/>
        </w:rPr>
        <w:t>apprécient à leur juste valeur</w:t>
      </w:r>
      <w:r w:rsidR="0048442F" w:rsidRPr="006B309F">
        <w:rPr>
          <w:rFonts w:ascii="Times New Roman" w:hAnsi="Times New Roman"/>
          <w:sz w:val="24"/>
          <w:szCs w:val="24"/>
        </w:rPr>
        <w:t xml:space="preserve"> ces </w:t>
      </w:r>
      <w:r w:rsidR="009B19A1" w:rsidRPr="006B309F">
        <w:rPr>
          <w:rFonts w:ascii="Times New Roman" w:hAnsi="Times New Roman"/>
          <w:sz w:val="24"/>
          <w:szCs w:val="24"/>
        </w:rPr>
        <w:t>réalisations</w:t>
      </w:r>
      <w:r w:rsidR="00BA3DC6" w:rsidRPr="006B309F">
        <w:rPr>
          <w:rFonts w:ascii="Times New Roman" w:hAnsi="Times New Roman"/>
          <w:sz w:val="24"/>
          <w:szCs w:val="24"/>
        </w:rPr>
        <w:t>, ils n</w:t>
      </w:r>
      <w:r w:rsidR="0048442F" w:rsidRPr="006B309F">
        <w:rPr>
          <w:rFonts w:ascii="Times New Roman" w:hAnsi="Times New Roman"/>
          <w:sz w:val="24"/>
          <w:szCs w:val="24"/>
        </w:rPr>
        <w:t xml:space="preserve">’ont pas toujours la culture et ou les </w:t>
      </w:r>
      <w:r w:rsidR="00BA3DC6" w:rsidRPr="006B309F">
        <w:rPr>
          <w:rFonts w:ascii="Times New Roman" w:hAnsi="Times New Roman"/>
          <w:sz w:val="24"/>
          <w:szCs w:val="24"/>
        </w:rPr>
        <w:t>moyens de les maintenir</w:t>
      </w:r>
      <w:r w:rsidR="0048442F" w:rsidRPr="006B309F">
        <w:rPr>
          <w:rFonts w:ascii="Times New Roman" w:hAnsi="Times New Roman"/>
          <w:sz w:val="24"/>
          <w:szCs w:val="24"/>
        </w:rPr>
        <w:t xml:space="preserve"> et de les préserver dans la durée</w:t>
      </w:r>
      <w:r w:rsidR="00BA3DC6" w:rsidRPr="006B309F">
        <w:rPr>
          <w:rFonts w:ascii="Times New Roman" w:hAnsi="Times New Roman"/>
          <w:sz w:val="24"/>
          <w:szCs w:val="24"/>
        </w:rPr>
        <w:t xml:space="preserve">. </w:t>
      </w:r>
      <w:r w:rsidR="008B58A9" w:rsidRPr="006B309F">
        <w:rPr>
          <w:rFonts w:ascii="Times New Roman" w:hAnsi="Times New Roman"/>
          <w:sz w:val="24"/>
          <w:szCs w:val="24"/>
        </w:rPr>
        <w:t xml:space="preserve">Au niveau institutionnel national et local, les contreparties </w:t>
      </w:r>
      <w:r w:rsidR="009B19A1" w:rsidRPr="006B309F">
        <w:rPr>
          <w:rFonts w:ascii="Times New Roman" w:hAnsi="Times New Roman"/>
          <w:sz w:val="24"/>
          <w:szCs w:val="24"/>
        </w:rPr>
        <w:t>budgétaires</w:t>
      </w:r>
      <w:r w:rsidR="008B58A9" w:rsidRPr="006B309F">
        <w:rPr>
          <w:rFonts w:ascii="Times New Roman" w:hAnsi="Times New Roman"/>
          <w:sz w:val="24"/>
          <w:szCs w:val="24"/>
        </w:rPr>
        <w:t xml:space="preserve"> nécessaires à la pérennisation ne viennent pas souvent</w:t>
      </w:r>
      <w:r w:rsidR="00477C5F">
        <w:rPr>
          <w:rFonts w:ascii="Times New Roman" w:hAnsi="Times New Roman"/>
          <w:sz w:val="24"/>
          <w:szCs w:val="24"/>
        </w:rPr>
        <w:t>.</w:t>
      </w:r>
    </w:p>
    <w:p w14:paraId="2E5E84F0" w14:textId="77777777" w:rsidR="00BA3DC6" w:rsidRPr="006B309F" w:rsidRDefault="00BA3DC6" w:rsidP="00AD2A78">
      <w:pPr>
        <w:pStyle w:val="Textebrut"/>
        <w:jc w:val="both"/>
        <w:rPr>
          <w:rFonts w:ascii="Times New Roman" w:hAnsi="Times New Roman"/>
          <w:sz w:val="24"/>
          <w:szCs w:val="24"/>
        </w:rPr>
      </w:pPr>
    </w:p>
    <w:p w14:paraId="7B1EC672" w14:textId="77777777" w:rsidR="00C86844" w:rsidRDefault="002710D2" w:rsidP="00AD2A78">
      <w:pPr>
        <w:pStyle w:val="Textebrut"/>
        <w:jc w:val="both"/>
        <w:rPr>
          <w:rFonts w:ascii="Times New Roman" w:hAnsi="Times New Roman"/>
          <w:sz w:val="24"/>
          <w:szCs w:val="24"/>
        </w:rPr>
      </w:pPr>
      <w:r w:rsidRPr="006B309F">
        <w:rPr>
          <w:rFonts w:ascii="Times New Roman" w:hAnsi="Times New Roman"/>
          <w:sz w:val="24"/>
          <w:szCs w:val="24"/>
        </w:rPr>
        <w:t>1</w:t>
      </w:r>
      <w:r w:rsidR="00D007BD">
        <w:rPr>
          <w:rFonts w:ascii="Times New Roman" w:hAnsi="Times New Roman"/>
          <w:sz w:val="24"/>
          <w:szCs w:val="24"/>
        </w:rPr>
        <w:t>0</w:t>
      </w:r>
      <w:r w:rsidR="000B5082">
        <w:rPr>
          <w:rFonts w:ascii="Times New Roman" w:hAnsi="Times New Roman"/>
          <w:sz w:val="24"/>
          <w:szCs w:val="24"/>
        </w:rPr>
        <w:t>3</w:t>
      </w:r>
      <w:r w:rsidR="0024772E" w:rsidRPr="006B309F">
        <w:rPr>
          <w:rFonts w:ascii="Times New Roman" w:hAnsi="Times New Roman"/>
          <w:sz w:val="24"/>
          <w:szCs w:val="24"/>
        </w:rPr>
        <w:t>.</w:t>
      </w:r>
      <w:r w:rsidR="00BA3DC6" w:rsidRPr="006B309F">
        <w:rPr>
          <w:rFonts w:ascii="Times New Roman" w:hAnsi="Times New Roman"/>
          <w:sz w:val="24"/>
          <w:szCs w:val="24"/>
        </w:rPr>
        <w:tab/>
      </w:r>
      <w:r w:rsidR="00C86844">
        <w:rPr>
          <w:rFonts w:ascii="Times New Roman" w:hAnsi="Times New Roman"/>
          <w:sz w:val="24"/>
          <w:szCs w:val="24"/>
        </w:rPr>
        <w:t xml:space="preserve">L’assistance au </w:t>
      </w:r>
      <w:r w:rsidR="00C86844" w:rsidRPr="00C9351C">
        <w:rPr>
          <w:rFonts w:ascii="Times New Roman" w:hAnsi="Times New Roman"/>
          <w:b/>
          <w:i/>
          <w:sz w:val="24"/>
          <w:szCs w:val="24"/>
        </w:rPr>
        <w:t>développement de capacités stratégiques de programmation et de suivi du développement</w:t>
      </w:r>
      <w:r w:rsidR="00C86844">
        <w:rPr>
          <w:rFonts w:ascii="Times New Roman" w:hAnsi="Times New Roman"/>
          <w:sz w:val="24"/>
          <w:szCs w:val="24"/>
        </w:rPr>
        <w:t xml:space="preserve"> dispose d’un bon ancrage qui augure globalement d’un </w:t>
      </w:r>
      <w:r w:rsidR="00E4793D">
        <w:rPr>
          <w:rFonts w:ascii="Times New Roman" w:hAnsi="Times New Roman"/>
          <w:sz w:val="24"/>
          <w:szCs w:val="24"/>
        </w:rPr>
        <w:t xml:space="preserve">bon profil de pérennité. Les services techniques concernés au sein des Ministères en charge de la planification, de l’économie et des finances, </w:t>
      </w:r>
      <w:r w:rsidR="009117B4">
        <w:rPr>
          <w:rFonts w:ascii="Times New Roman" w:hAnsi="Times New Roman"/>
          <w:sz w:val="24"/>
          <w:szCs w:val="24"/>
        </w:rPr>
        <w:t xml:space="preserve">de l’Investissement, du développement humain, </w:t>
      </w:r>
      <w:r w:rsidR="007B481E">
        <w:rPr>
          <w:rFonts w:ascii="Times New Roman" w:hAnsi="Times New Roman"/>
          <w:sz w:val="24"/>
          <w:szCs w:val="24"/>
        </w:rPr>
        <w:t xml:space="preserve">de l’environnement et de la gestion durable des ressources, ainsi que </w:t>
      </w:r>
      <w:r w:rsidR="00E4793D">
        <w:rPr>
          <w:rFonts w:ascii="Times New Roman" w:hAnsi="Times New Roman"/>
          <w:sz w:val="24"/>
          <w:szCs w:val="24"/>
        </w:rPr>
        <w:t>de la coop</w:t>
      </w:r>
      <w:r w:rsidR="009117B4">
        <w:rPr>
          <w:rFonts w:ascii="Times New Roman" w:hAnsi="Times New Roman"/>
          <w:sz w:val="24"/>
          <w:szCs w:val="24"/>
        </w:rPr>
        <w:t>é</w:t>
      </w:r>
      <w:r w:rsidR="00E4793D">
        <w:rPr>
          <w:rFonts w:ascii="Times New Roman" w:hAnsi="Times New Roman"/>
          <w:sz w:val="24"/>
          <w:szCs w:val="24"/>
        </w:rPr>
        <w:t>ration internation</w:t>
      </w:r>
      <w:r w:rsidR="009117B4">
        <w:rPr>
          <w:rFonts w:ascii="Times New Roman" w:hAnsi="Times New Roman"/>
          <w:sz w:val="24"/>
          <w:szCs w:val="24"/>
        </w:rPr>
        <w:t>ale, ressortent globalement dotés d’expertises capables de fructifier dans la durée tous ce que leurs structures absorbent du programme et des autres partenariats en termes de capacités stratégiques. La Cellule de suivi du CSRP ou encore l’Observatoire du Développement Humain Durable, sont emblématique à cet égard, assurant u</w:t>
      </w:r>
      <w:r w:rsidR="009A6E22">
        <w:rPr>
          <w:rFonts w:ascii="Times New Roman" w:hAnsi="Times New Roman"/>
          <w:sz w:val="24"/>
          <w:szCs w:val="24"/>
        </w:rPr>
        <w:t>ne bonne tenue du</w:t>
      </w:r>
      <w:r w:rsidR="009117B4">
        <w:rPr>
          <w:rFonts w:ascii="Times New Roman" w:hAnsi="Times New Roman"/>
          <w:sz w:val="24"/>
          <w:szCs w:val="24"/>
        </w:rPr>
        <w:t xml:space="preserve"> calendrier </w:t>
      </w:r>
      <w:r w:rsidR="009A6E22">
        <w:rPr>
          <w:rFonts w:ascii="Times New Roman" w:hAnsi="Times New Roman"/>
          <w:sz w:val="24"/>
          <w:szCs w:val="24"/>
        </w:rPr>
        <w:t xml:space="preserve">national de planification, de suivi de la mise en œuvre des stratégies de développement, y compris la production d’extrants analytiques et de monitoring de qualité sur l’ensemble des questions de développement. Les produits de la dernière revue du CREDD, tenue en Juin 2017, ont d’ailleurs été utilisés par la mission d’évaluation pour renseigner les indicateurs nationaux d’effet retenus dans la matrice de performance du programme. </w:t>
      </w:r>
    </w:p>
    <w:p w14:paraId="66B00CC1" w14:textId="77777777" w:rsidR="00C86844" w:rsidRDefault="00C86844" w:rsidP="00B96F0F">
      <w:pPr>
        <w:pStyle w:val="Textebrut"/>
        <w:jc w:val="both"/>
        <w:rPr>
          <w:rFonts w:ascii="Times New Roman" w:hAnsi="Times New Roman"/>
          <w:sz w:val="24"/>
          <w:szCs w:val="24"/>
        </w:rPr>
      </w:pPr>
    </w:p>
    <w:p w14:paraId="0AE6465F" w14:textId="77777777" w:rsidR="00BA3DC6" w:rsidRPr="006B309F" w:rsidRDefault="00D007BD" w:rsidP="00B96F0F">
      <w:pPr>
        <w:pStyle w:val="Textebrut"/>
        <w:jc w:val="both"/>
        <w:rPr>
          <w:rFonts w:ascii="Times New Roman" w:hAnsi="Times New Roman"/>
          <w:sz w:val="24"/>
          <w:szCs w:val="24"/>
        </w:rPr>
      </w:pPr>
      <w:r>
        <w:rPr>
          <w:rFonts w:ascii="Times New Roman" w:hAnsi="Times New Roman"/>
          <w:sz w:val="24"/>
          <w:szCs w:val="24"/>
        </w:rPr>
        <w:t>10</w:t>
      </w:r>
      <w:r w:rsidR="000B5082">
        <w:rPr>
          <w:rFonts w:ascii="Times New Roman" w:hAnsi="Times New Roman"/>
          <w:sz w:val="24"/>
          <w:szCs w:val="24"/>
        </w:rPr>
        <w:t>4</w:t>
      </w:r>
      <w:r>
        <w:rPr>
          <w:rFonts w:ascii="Times New Roman" w:hAnsi="Times New Roman"/>
          <w:sz w:val="24"/>
          <w:szCs w:val="24"/>
        </w:rPr>
        <w:t>.</w:t>
      </w:r>
      <w:r w:rsidR="00C86844">
        <w:rPr>
          <w:rFonts w:ascii="Times New Roman" w:hAnsi="Times New Roman"/>
          <w:sz w:val="24"/>
          <w:szCs w:val="24"/>
        </w:rPr>
        <w:tab/>
      </w:r>
      <w:r w:rsidR="008B58A9" w:rsidRPr="006B309F">
        <w:rPr>
          <w:rFonts w:ascii="Times New Roman" w:hAnsi="Times New Roman"/>
          <w:sz w:val="24"/>
          <w:szCs w:val="24"/>
        </w:rPr>
        <w:t>L</w:t>
      </w:r>
      <w:r w:rsidR="00BA3DC6" w:rsidRPr="006B309F">
        <w:rPr>
          <w:rFonts w:ascii="Times New Roman" w:hAnsi="Times New Roman"/>
          <w:sz w:val="24"/>
          <w:szCs w:val="24"/>
        </w:rPr>
        <w:t xml:space="preserve">es </w:t>
      </w:r>
      <w:r w:rsidR="00BA3DC6" w:rsidRPr="00C9351C">
        <w:rPr>
          <w:rFonts w:ascii="Times New Roman" w:hAnsi="Times New Roman"/>
          <w:b/>
          <w:i/>
          <w:sz w:val="24"/>
          <w:szCs w:val="24"/>
        </w:rPr>
        <w:t xml:space="preserve">appuis institutionnels </w:t>
      </w:r>
      <w:r w:rsidR="008B58A9" w:rsidRPr="00C9351C">
        <w:rPr>
          <w:rFonts w:ascii="Times New Roman" w:hAnsi="Times New Roman"/>
          <w:b/>
          <w:i/>
          <w:sz w:val="24"/>
          <w:szCs w:val="24"/>
        </w:rPr>
        <w:t>en direction du parlement</w:t>
      </w:r>
      <w:r w:rsidR="008B58A9" w:rsidRPr="006B309F">
        <w:rPr>
          <w:rFonts w:ascii="Times New Roman" w:hAnsi="Times New Roman"/>
          <w:sz w:val="24"/>
          <w:szCs w:val="24"/>
        </w:rPr>
        <w:t xml:space="preserve"> sont </w:t>
      </w:r>
      <w:r w:rsidR="00586A90">
        <w:rPr>
          <w:rFonts w:ascii="Times New Roman" w:hAnsi="Times New Roman"/>
          <w:sz w:val="24"/>
          <w:szCs w:val="24"/>
        </w:rPr>
        <w:t>articulés sur les com</w:t>
      </w:r>
      <w:r w:rsidR="00C86844">
        <w:rPr>
          <w:rFonts w:ascii="Times New Roman" w:hAnsi="Times New Roman"/>
          <w:sz w:val="24"/>
          <w:szCs w:val="24"/>
        </w:rPr>
        <w:t>m</w:t>
      </w:r>
      <w:r w:rsidR="00586A90">
        <w:rPr>
          <w:rFonts w:ascii="Times New Roman" w:hAnsi="Times New Roman"/>
          <w:sz w:val="24"/>
          <w:szCs w:val="24"/>
        </w:rPr>
        <w:t xml:space="preserve">issions techniques et les groupes parlementaires régulièrement constitués, guère ou peu sur l’administration de la chambre elle-même. Leur viabilité au long cours est donc, dans cette mesure, contrariée par le fait démocratique du renouvellement en très grande partie de la chambre d’une législature à une autre. Cette menace est à peine atténuée par le fait que des assistants techniques non élus sont attachés à ces commissions, et que leurs acquis à travers les formations du programme peuvent être capitalisés dans la durée, et régulièrement réinvestis au profit de nouveaux élus dans le cadre d’un dispositif interne de mise </w:t>
      </w:r>
      <w:r w:rsidR="00AD2EA4" w:rsidRPr="006B309F">
        <w:rPr>
          <w:rFonts w:ascii="Times New Roman" w:hAnsi="Times New Roman"/>
          <w:sz w:val="24"/>
          <w:szCs w:val="24"/>
        </w:rPr>
        <w:t xml:space="preserve">à niveau des </w:t>
      </w:r>
      <w:r w:rsidR="00586A90">
        <w:rPr>
          <w:rFonts w:ascii="Times New Roman" w:hAnsi="Times New Roman"/>
          <w:sz w:val="24"/>
          <w:szCs w:val="24"/>
        </w:rPr>
        <w:t>députés en début comme en cours de mandature</w:t>
      </w:r>
      <w:r w:rsidR="00BA3DC6" w:rsidRPr="006B309F">
        <w:rPr>
          <w:rFonts w:ascii="Times New Roman" w:hAnsi="Times New Roman"/>
          <w:sz w:val="24"/>
          <w:szCs w:val="24"/>
        </w:rPr>
        <w:t>.</w:t>
      </w:r>
    </w:p>
    <w:p w14:paraId="3F266076" w14:textId="77777777" w:rsidR="00BA3DC6" w:rsidRPr="006B309F" w:rsidRDefault="00BA3DC6" w:rsidP="00B96F0F">
      <w:pPr>
        <w:pStyle w:val="Textebrut"/>
        <w:jc w:val="both"/>
        <w:rPr>
          <w:rFonts w:ascii="Times New Roman" w:hAnsi="Times New Roman"/>
          <w:sz w:val="24"/>
          <w:szCs w:val="24"/>
        </w:rPr>
      </w:pPr>
    </w:p>
    <w:p w14:paraId="3E4F6051" w14:textId="77777777" w:rsidR="00BA3DC6" w:rsidRDefault="002710D2" w:rsidP="00B96F0F">
      <w:pPr>
        <w:pStyle w:val="Textebrut"/>
        <w:jc w:val="both"/>
        <w:rPr>
          <w:rFonts w:ascii="Times New Roman" w:hAnsi="Times New Roman"/>
          <w:sz w:val="24"/>
          <w:szCs w:val="24"/>
        </w:rPr>
      </w:pPr>
      <w:r w:rsidRPr="006B309F">
        <w:rPr>
          <w:rFonts w:ascii="Times New Roman" w:hAnsi="Times New Roman"/>
          <w:sz w:val="24"/>
          <w:szCs w:val="24"/>
        </w:rPr>
        <w:t>1</w:t>
      </w:r>
      <w:r w:rsidR="00D007BD">
        <w:rPr>
          <w:rFonts w:ascii="Times New Roman" w:hAnsi="Times New Roman"/>
          <w:sz w:val="24"/>
          <w:szCs w:val="24"/>
        </w:rPr>
        <w:t>0</w:t>
      </w:r>
      <w:r w:rsidR="000B5082">
        <w:rPr>
          <w:rFonts w:ascii="Times New Roman" w:hAnsi="Times New Roman"/>
          <w:sz w:val="24"/>
          <w:szCs w:val="24"/>
        </w:rPr>
        <w:t>5</w:t>
      </w:r>
      <w:r w:rsidR="0024772E" w:rsidRPr="006B309F">
        <w:rPr>
          <w:rFonts w:ascii="Times New Roman" w:hAnsi="Times New Roman"/>
          <w:sz w:val="24"/>
          <w:szCs w:val="24"/>
        </w:rPr>
        <w:t>.</w:t>
      </w:r>
      <w:r w:rsidR="00BA3DC6" w:rsidRPr="006B309F">
        <w:rPr>
          <w:rFonts w:ascii="Times New Roman" w:hAnsi="Times New Roman"/>
          <w:sz w:val="24"/>
          <w:szCs w:val="24"/>
        </w:rPr>
        <w:tab/>
        <w:t>L</w:t>
      </w:r>
      <w:r w:rsidR="00586A90">
        <w:rPr>
          <w:rFonts w:ascii="Times New Roman" w:hAnsi="Times New Roman"/>
          <w:sz w:val="24"/>
          <w:szCs w:val="24"/>
        </w:rPr>
        <w:t xml:space="preserve">’appui au secteur de la </w:t>
      </w:r>
      <w:r w:rsidR="00586A90" w:rsidRPr="00C9351C">
        <w:rPr>
          <w:rFonts w:ascii="Times New Roman" w:hAnsi="Times New Roman"/>
          <w:b/>
          <w:i/>
          <w:sz w:val="24"/>
          <w:szCs w:val="24"/>
        </w:rPr>
        <w:t>sécurité et du maintien de la paix</w:t>
      </w:r>
      <w:r w:rsidR="00586A90">
        <w:rPr>
          <w:rFonts w:ascii="Times New Roman" w:hAnsi="Times New Roman"/>
          <w:sz w:val="24"/>
          <w:szCs w:val="24"/>
        </w:rPr>
        <w:t xml:space="preserve"> montre un bon ancrage et des perspectives de durabilité importa</w:t>
      </w:r>
      <w:r w:rsidR="00C86844">
        <w:rPr>
          <w:rFonts w:ascii="Times New Roman" w:hAnsi="Times New Roman"/>
          <w:sz w:val="24"/>
          <w:szCs w:val="24"/>
        </w:rPr>
        <w:t xml:space="preserve">ntes. Le cadre institutionnel de l’école régionale de maintien de la paix est ressorti suffisamment robuste pour pérenniser les acquis à la construction </w:t>
      </w:r>
      <w:r w:rsidR="00C86844">
        <w:rPr>
          <w:rFonts w:ascii="Times New Roman" w:hAnsi="Times New Roman"/>
          <w:sz w:val="24"/>
          <w:szCs w:val="24"/>
        </w:rPr>
        <w:lastRenderedPageBreak/>
        <w:t xml:space="preserve">desquels le programme contribue depuis un certain nombre d’années déjà. L’institution est solide du point de vue de son pilotage et de ses procédures internes. Elle dispose aussi d’un plan de développement pédagogique à même de la faire progresser dans la voie de son autonomie budgétaire, avec des concepts de formations de type Master tout à fait attrayants. L’école nationale de police est plus dépendante de l’Etat et des contraintes budgétaires, mais dispose d’un encadrement de qualité qui est en train de solidifier et crédibiliser l’institution, y compris avec des perspectives crédibles d’ouvrir les </w:t>
      </w:r>
      <w:r w:rsidR="007B481E">
        <w:rPr>
          <w:rFonts w:ascii="Times New Roman" w:hAnsi="Times New Roman"/>
          <w:sz w:val="24"/>
          <w:szCs w:val="24"/>
        </w:rPr>
        <w:t>recrutements</w:t>
      </w:r>
      <w:r w:rsidR="00C86844">
        <w:rPr>
          <w:rFonts w:ascii="Times New Roman" w:hAnsi="Times New Roman"/>
          <w:sz w:val="24"/>
          <w:szCs w:val="24"/>
        </w:rPr>
        <w:t xml:space="preserve"> à la sous-région.</w:t>
      </w:r>
    </w:p>
    <w:p w14:paraId="062EC7EA" w14:textId="77777777" w:rsidR="007B481E" w:rsidRDefault="007B481E" w:rsidP="00B96F0F">
      <w:pPr>
        <w:pStyle w:val="Textebrut"/>
        <w:jc w:val="both"/>
        <w:rPr>
          <w:rFonts w:ascii="Times New Roman" w:hAnsi="Times New Roman"/>
          <w:sz w:val="24"/>
          <w:szCs w:val="24"/>
        </w:rPr>
      </w:pPr>
    </w:p>
    <w:p w14:paraId="4BB8103C" w14:textId="77777777" w:rsidR="007B481E" w:rsidRDefault="000B5082" w:rsidP="00B96F0F">
      <w:pPr>
        <w:pStyle w:val="Textebrut"/>
        <w:jc w:val="both"/>
        <w:rPr>
          <w:rFonts w:ascii="Times New Roman" w:hAnsi="Times New Roman"/>
          <w:sz w:val="24"/>
          <w:szCs w:val="24"/>
        </w:rPr>
      </w:pPr>
      <w:r>
        <w:rPr>
          <w:rFonts w:ascii="Times New Roman" w:hAnsi="Times New Roman"/>
          <w:sz w:val="24"/>
          <w:szCs w:val="24"/>
        </w:rPr>
        <w:t>106</w:t>
      </w:r>
      <w:r w:rsidR="00D007BD">
        <w:rPr>
          <w:rFonts w:ascii="Times New Roman" w:hAnsi="Times New Roman"/>
          <w:sz w:val="24"/>
          <w:szCs w:val="24"/>
        </w:rPr>
        <w:t>.</w:t>
      </w:r>
      <w:r w:rsidR="007B481E">
        <w:rPr>
          <w:rFonts w:ascii="Times New Roman" w:hAnsi="Times New Roman"/>
          <w:sz w:val="24"/>
          <w:szCs w:val="24"/>
        </w:rPr>
        <w:tab/>
        <w:t xml:space="preserve">Les acquis en matière de </w:t>
      </w:r>
      <w:r w:rsidR="007B481E" w:rsidRPr="00F0250A">
        <w:rPr>
          <w:rFonts w:ascii="Times New Roman" w:hAnsi="Times New Roman"/>
          <w:b/>
          <w:i/>
          <w:sz w:val="24"/>
          <w:szCs w:val="24"/>
        </w:rPr>
        <w:t>restauration de l’Etat</w:t>
      </w:r>
      <w:r w:rsidR="007B481E">
        <w:rPr>
          <w:rFonts w:ascii="Times New Roman" w:hAnsi="Times New Roman"/>
          <w:sz w:val="24"/>
          <w:szCs w:val="24"/>
        </w:rPr>
        <w:t xml:space="preserve"> ont une dimension stratégique, et opérationnelle, et se profilent plutôt différemment en regard de leur durabilité potentielle, dans l’un ou l’autre cas. Au niveau stratégique, les capacités s’ancrent de mieux en mieux en matière de justice et de droits humains, d’une part, d’outils technique de consolidation de la décentralisation d’autre part. Au niveau opérationnel, le redéploiement des services administratifs, s’agissant notamment des entités juridictionnels et de commandement territorial, a enregistré des acquis impressionnants avec le retour de l’Etat dans les régions du Nord et du</w:t>
      </w:r>
      <w:r w:rsidR="004873BD">
        <w:rPr>
          <w:rFonts w:ascii="Times New Roman" w:hAnsi="Times New Roman"/>
          <w:sz w:val="24"/>
          <w:szCs w:val="24"/>
        </w:rPr>
        <w:t xml:space="preserve"> Centre, mais vite érodés par la recrudescence des épisodes de violence dans ces parties du territoire national. La pérennité des résultats dans ce domaine dépend l’évolution du contexte sécuritaire sur lequel, hélas, le programme n’a pas beaucoup d’emprise.</w:t>
      </w:r>
    </w:p>
    <w:p w14:paraId="6F53986C" w14:textId="77777777" w:rsidR="004873BD" w:rsidRDefault="004873BD" w:rsidP="00B96F0F">
      <w:pPr>
        <w:pStyle w:val="Textebrut"/>
        <w:jc w:val="both"/>
        <w:rPr>
          <w:rFonts w:ascii="Times New Roman" w:hAnsi="Times New Roman"/>
          <w:sz w:val="24"/>
          <w:szCs w:val="24"/>
        </w:rPr>
      </w:pPr>
    </w:p>
    <w:p w14:paraId="750B6423" w14:textId="77777777" w:rsidR="004873BD" w:rsidRDefault="00D007BD" w:rsidP="00B96F0F">
      <w:pPr>
        <w:pStyle w:val="Textebrut"/>
        <w:jc w:val="both"/>
        <w:rPr>
          <w:rFonts w:ascii="Times New Roman" w:hAnsi="Times New Roman"/>
          <w:sz w:val="24"/>
          <w:szCs w:val="24"/>
        </w:rPr>
      </w:pPr>
      <w:r>
        <w:rPr>
          <w:rFonts w:ascii="Times New Roman" w:hAnsi="Times New Roman"/>
          <w:sz w:val="24"/>
          <w:szCs w:val="24"/>
        </w:rPr>
        <w:t>10</w:t>
      </w:r>
      <w:r w:rsidR="000B5082">
        <w:rPr>
          <w:rFonts w:ascii="Times New Roman" w:hAnsi="Times New Roman"/>
          <w:sz w:val="24"/>
          <w:szCs w:val="24"/>
        </w:rPr>
        <w:t>7</w:t>
      </w:r>
      <w:r>
        <w:rPr>
          <w:rFonts w:ascii="Times New Roman" w:hAnsi="Times New Roman"/>
          <w:sz w:val="24"/>
          <w:szCs w:val="24"/>
        </w:rPr>
        <w:t>.</w:t>
      </w:r>
      <w:r w:rsidR="004873BD">
        <w:rPr>
          <w:rFonts w:ascii="Times New Roman" w:hAnsi="Times New Roman"/>
          <w:sz w:val="24"/>
          <w:szCs w:val="24"/>
        </w:rPr>
        <w:tab/>
        <w:t xml:space="preserve">Les mêmes incertitudes pèsent sur tout ce que le programme a fait pour promouvoir la </w:t>
      </w:r>
      <w:r w:rsidR="004873BD" w:rsidRPr="00F0250A">
        <w:rPr>
          <w:rFonts w:ascii="Times New Roman" w:hAnsi="Times New Roman"/>
          <w:b/>
          <w:i/>
          <w:sz w:val="24"/>
          <w:szCs w:val="24"/>
        </w:rPr>
        <w:t>réconciliation nationale et améliorer la résilience des populations</w:t>
      </w:r>
      <w:r w:rsidR="004873BD">
        <w:rPr>
          <w:rFonts w:ascii="Times New Roman" w:hAnsi="Times New Roman"/>
          <w:sz w:val="24"/>
          <w:szCs w:val="24"/>
        </w:rPr>
        <w:t xml:space="preserve"> en les dotant d’infrastructures communautaire de base et d’intrants de relèvement économique et social dans l’esprit de la gestion durable des ressources. Un atout des ces approches du programme est qu’elles sollicitent les ressorts privés et ou communautaires très motivants pour les personnes concernées. Malheureusement, là aussi, la dégradation de la situation sécuritaire fait courir le risque que ces moyens de résilience et de pré relèvement ne soient en mesure de prospérer dans la durée pour produire de véritables effets de levier économique.</w:t>
      </w:r>
    </w:p>
    <w:p w14:paraId="510D8B20" w14:textId="77777777" w:rsidR="009A6E22" w:rsidRDefault="009A6E22" w:rsidP="00B96F0F">
      <w:pPr>
        <w:pStyle w:val="Textebrut"/>
        <w:jc w:val="both"/>
        <w:rPr>
          <w:rFonts w:ascii="Times New Roman" w:hAnsi="Times New Roman"/>
          <w:sz w:val="24"/>
          <w:szCs w:val="24"/>
        </w:rPr>
      </w:pPr>
    </w:p>
    <w:p w14:paraId="0F9F2092" w14:textId="77777777" w:rsidR="009A6E22" w:rsidRPr="006B309F" w:rsidRDefault="00D007BD" w:rsidP="00B96F0F">
      <w:pPr>
        <w:pStyle w:val="Textebrut"/>
        <w:jc w:val="both"/>
        <w:rPr>
          <w:rFonts w:ascii="Times New Roman" w:hAnsi="Times New Roman"/>
          <w:sz w:val="24"/>
          <w:szCs w:val="24"/>
        </w:rPr>
      </w:pPr>
      <w:r>
        <w:rPr>
          <w:rFonts w:ascii="Times New Roman" w:hAnsi="Times New Roman"/>
          <w:sz w:val="24"/>
          <w:szCs w:val="24"/>
        </w:rPr>
        <w:t>10</w:t>
      </w:r>
      <w:r w:rsidR="000B5082">
        <w:rPr>
          <w:rFonts w:ascii="Times New Roman" w:hAnsi="Times New Roman"/>
          <w:sz w:val="24"/>
          <w:szCs w:val="24"/>
        </w:rPr>
        <w:t>8</w:t>
      </w:r>
      <w:r>
        <w:rPr>
          <w:rFonts w:ascii="Times New Roman" w:hAnsi="Times New Roman"/>
          <w:sz w:val="24"/>
          <w:szCs w:val="24"/>
        </w:rPr>
        <w:t>.</w:t>
      </w:r>
      <w:r w:rsidR="009A6E22">
        <w:rPr>
          <w:rFonts w:ascii="Times New Roman" w:hAnsi="Times New Roman"/>
          <w:sz w:val="24"/>
          <w:szCs w:val="24"/>
        </w:rPr>
        <w:tab/>
      </w:r>
      <w:r w:rsidR="002D66B5">
        <w:rPr>
          <w:rFonts w:ascii="Times New Roman" w:hAnsi="Times New Roman"/>
          <w:sz w:val="24"/>
          <w:szCs w:val="24"/>
        </w:rPr>
        <w:t xml:space="preserve">Enfin </w:t>
      </w:r>
      <w:r w:rsidR="002D66B5" w:rsidRPr="00F0250A">
        <w:rPr>
          <w:rFonts w:ascii="Times New Roman" w:hAnsi="Times New Roman"/>
          <w:b/>
          <w:i/>
          <w:sz w:val="24"/>
          <w:szCs w:val="24"/>
        </w:rPr>
        <w:t xml:space="preserve">dans </w:t>
      </w:r>
      <w:r w:rsidR="009A6E22" w:rsidRPr="00F0250A">
        <w:rPr>
          <w:rFonts w:ascii="Times New Roman" w:hAnsi="Times New Roman"/>
          <w:b/>
          <w:i/>
          <w:sz w:val="24"/>
          <w:szCs w:val="24"/>
        </w:rPr>
        <w:t>le domaine de la santé</w:t>
      </w:r>
      <w:r w:rsidR="00F0250A">
        <w:rPr>
          <w:rFonts w:ascii="Times New Roman" w:hAnsi="Times New Roman"/>
          <w:sz w:val="24"/>
          <w:szCs w:val="24"/>
        </w:rPr>
        <w:t>, la question de la pérennité des acquis acquiert un surcroît d’acuité en rapport avec les mutations en voie d’être opérées dans la gouvernance des ressources du Fonds Mondial de lutte contre la Paludisme, la Tuberculose et le VIH/SIDA. Le pays devrait en effet reprendre au PNUD tout ou partie de son statut de récipiendaire principal auprès du Fonds. Le Mali ayant déjà pratiqué ce statut et donc géré lui-même ces ressources, l’expérience n’a pas été sans être émaillés d’errements de gouvernance qui, s’ils devaient se reproduire pourraient handicaper la consolidation et l’expansion des acquis actuels générés avec l’appui du programme. Le pays lui-même est conscient de cet enjeu, et n’exclurait pas de commencer par un régime transitoire dans lequel il s’appuierait encore significativement sur les capacités du PNUD.</w:t>
      </w:r>
    </w:p>
    <w:p w14:paraId="66B141A0" w14:textId="77777777" w:rsidR="00BA3DC6" w:rsidRDefault="00BA3DC6" w:rsidP="00B96F0F">
      <w:pPr>
        <w:pStyle w:val="Textebrut"/>
        <w:jc w:val="both"/>
        <w:rPr>
          <w:rFonts w:ascii="Times New Roman" w:hAnsi="Times New Roman"/>
          <w:sz w:val="24"/>
          <w:szCs w:val="24"/>
        </w:rPr>
      </w:pPr>
    </w:p>
    <w:p w14:paraId="392F86FE" w14:textId="77777777" w:rsidR="00641ACB" w:rsidRPr="0045466A" w:rsidRDefault="0045466A" w:rsidP="0045466A">
      <w:pPr>
        <w:pStyle w:val="Textebrut"/>
        <w:numPr>
          <w:ilvl w:val="1"/>
          <w:numId w:val="5"/>
        </w:numPr>
        <w:jc w:val="both"/>
        <w:rPr>
          <w:rFonts w:ascii="Times New Roman" w:hAnsi="Times New Roman"/>
          <w:b/>
          <w:sz w:val="28"/>
          <w:szCs w:val="28"/>
        </w:rPr>
      </w:pPr>
      <w:r w:rsidRPr="0045466A">
        <w:rPr>
          <w:rFonts w:ascii="Times New Roman" w:hAnsi="Times New Roman"/>
          <w:b/>
          <w:sz w:val="28"/>
          <w:szCs w:val="28"/>
        </w:rPr>
        <w:t>Positionnement du PNUD</w:t>
      </w:r>
      <w:r w:rsidR="00434F71">
        <w:rPr>
          <w:rFonts w:ascii="Times New Roman" w:hAnsi="Times New Roman"/>
          <w:b/>
          <w:sz w:val="28"/>
          <w:szCs w:val="28"/>
        </w:rPr>
        <w:t xml:space="preserve"> et interfaces avec les partenaires</w:t>
      </w:r>
    </w:p>
    <w:p w14:paraId="6F5A9F61" w14:textId="77777777" w:rsidR="00641ACB" w:rsidRDefault="00641ACB" w:rsidP="00B96F0F">
      <w:pPr>
        <w:pStyle w:val="Textebrut"/>
        <w:jc w:val="both"/>
        <w:rPr>
          <w:rFonts w:ascii="Times New Roman" w:hAnsi="Times New Roman"/>
          <w:sz w:val="24"/>
          <w:szCs w:val="24"/>
        </w:rPr>
      </w:pPr>
    </w:p>
    <w:p w14:paraId="02A135AB" w14:textId="77777777" w:rsidR="0014380B" w:rsidRPr="00F74A48" w:rsidRDefault="0014380B" w:rsidP="0014380B">
      <w:pPr>
        <w:pStyle w:val="Titre4"/>
        <w:numPr>
          <w:ilvl w:val="2"/>
          <w:numId w:val="5"/>
        </w:numPr>
        <w:spacing w:before="0" w:line="240" w:lineRule="auto"/>
        <w:rPr>
          <w:rFonts w:ascii="Times New Roman" w:hAnsi="Times New Roman"/>
          <w:i w:val="0"/>
          <w:color w:val="auto"/>
          <w:sz w:val="24"/>
          <w:szCs w:val="24"/>
        </w:rPr>
      </w:pPr>
      <w:r>
        <w:rPr>
          <w:rFonts w:ascii="Times New Roman" w:hAnsi="Times New Roman"/>
          <w:i w:val="0"/>
          <w:color w:val="auto"/>
          <w:sz w:val="24"/>
          <w:szCs w:val="24"/>
        </w:rPr>
        <w:t>Positionnement thématique</w:t>
      </w:r>
    </w:p>
    <w:p w14:paraId="7D94841C" w14:textId="77777777" w:rsidR="00A118C7" w:rsidRDefault="00A118C7" w:rsidP="00B96F0F">
      <w:pPr>
        <w:pStyle w:val="Textebrut"/>
        <w:jc w:val="both"/>
        <w:rPr>
          <w:rFonts w:ascii="Times New Roman" w:hAnsi="Times New Roman"/>
          <w:sz w:val="24"/>
          <w:szCs w:val="24"/>
        </w:rPr>
      </w:pPr>
    </w:p>
    <w:p w14:paraId="459D1FB5" w14:textId="77777777" w:rsidR="0045466A" w:rsidRDefault="000B5082" w:rsidP="00B96F0F">
      <w:pPr>
        <w:pStyle w:val="Textebrut"/>
        <w:jc w:val="both"/>
        <w:rPr>
          <w:rFonts w:ascii="Times New Roman" w:hAnsi="Times New Roman"/>
          <w:sz w:val="24"/>
          <w:szCs w:val="24"/>
        </w:rPr>
      </w:pPr>
      <w:r>
        <w:rPr>
          <w:rFonts w:ascii="Times New Roman" w:hAnsi="Times New Roman"/>
          <w:sz w:val="24"/>
          <w:szCs w:val="24"/>
        </w:rPr>
        <w:t>1</w:t>
      </w:r>
      <w:r w:rsidR="00D007BD">
        <w:rPr>
          <w:rFonts w:ascii="Times New Roman" w:hAnsi="Times New Roman"/>
          <w:sz w:val="24"/>
          <w:szCs w:val="24"/>
        </w:rPr>
        <w:t>0</w:t>
      </w:r>
      <w:r>
        <w:rPr>
          <w:rFonts w:ascii="Times New Roman" w:hAnsi="Times New Roman"/>
          <w:sz w:val="24"/>
          <w:szCs w:val="24"/>
        </w:rPr>
        <w:t>9</w:t>
      </w:r>
      <w:r w:rsidR="00D007BD">
        <w:rPr>
          <w:rFonts w:ascii="Times New Roman" w:hAnsi="Times New Roman"/>
          <w:sz w:val="24"/>
          <w:szCs w:val="24"/>
        </w:rPr>
        <w:t>.</w:t>
      </w:r>
      <w:r w:rsidR="0045466A">
        <w:rPr>
          <w:rFonts w:ascii="Times New Roman" w:hAnsi="Times New Roman"/>
          <w:sz w:val="24"/>
          <w:szCs w:val="24"/>
        </w:rPr>
        <w:tab/>
        <w:t>Le cycle 2015-2019 est articulé sur des thématiques qui rentrent dans les métiers traditionnell</w:t>
      </w:r>
      <w:r w:rsidR="001C6770">
        <w:rPr>
          <w:rFonts w:ascii="Times New Roman" w:hAnsi="Times New Roman"/>
          <w:sz w:val="24"/>
          <w:szCs w:val="24"/>
        </w:rPr>
        <w:t xml:space="preserve">ement couverts par les interventions du PNUD, en particulier dans la région Afrique : le développement de capacités stratégiques, la gouvernance démocratique, </w:t>
      </w:r>
      <w:r w:rsidR="00A118C7">
        <w:rPr>
          <w:rFonts w:ascii="Times New Roman" w:hAnsi="Times New Roman"/>
          <w:sz w:val="24"/>
          <w:szCs w:val="24"/>
        </w:rPr>
        <w:t xml:space="preserve">la justice et les droits humains, </w:t>
      </w:r>
      <w:r w:rsidR="001C6770">
        <w:rPr>
          <w:rFonts w:ascii="Times New Roman" w:hAnsi="Times New Roman"/>
          <w:sz w:val="24"/>
          <w:szCs w:val="24"/>
        </w:rPr>
        <w:t xml:space="preserve">la décentralisation, la croissance inclusive et les moyens d’existence durables, </w:t>
      </w:r>
      <w:r w:rsidR="00A118C7">
        <w:rPr>
          <w:rFonts w:ascii="Times New Roman" w:hAnsi="Times New Roman"/>
          <w:sz w:val="24"/>
          <w:szCs w:val="24"/>
        </w:rPr>
        <w:t xml:space="preserve">les services sociaux de base : santé, hydraulique, etc., </w:t>
      </w:r>
      <w:r w:rsidR="001C6770">
        <w:rPr>
          <w:rFonts w:ascii="Times New Roman" w:hAnsi="Times New Roman"/>
          <w:sz w:val="24"/>
          <w:szCs w:val="24"/>
        </w:rPr>
        <w:t>notamment. Le Mali étant un pays en crise</w:t>
      </w:r>
      <w:r w:rsidR="00A118C7">
        <w:rPr>
          <w:rFonts w:ascii="Times New Roman" w:hAnsi="Times New Roman"/>
          <w:sz w:val="24"/>
          <w:szCs w:val="24"/>
        </w:rPr>
        <w:t>, ou sortant d’une crise</w:t>
      </w:r>
      <w:r w:rsidR="001C6770">
        <w:rPr>
          <w:rFonts w:ascii="Times New Roman" w:hAnsi="Times New Roman"/>
          <w:sz w:val="24"/>
          <w:szCs w:val="24"/>
        </w:rPr>
        <w:t xml:space="preserve"> où l’Etat central a été fortement éprouvé, le programme s’est enrichi d’une dimension importante de restauration et de redéploiement de </w:t>
      </w:r>
      <w:r w:rsidR="001C6770">
        <w:rPr>
          <w:rFonts w:ascii="Times New Roman" w:hAnsi="Times New Roman"/>
          <w:sz w:val="24"/>
          <w:szCs w:val="24"/>
        </w:rPr>
        <w:lastRenderedPageBreak/>
        <w:t>l’</w:t>
      </w:r>
      <w:r w:rsidR="00A118C7">
        <w:rPr>
          <w:rFonts w:ascii="Times New Roman" w:hAnsi="Times New Roman"/>
          <w:sz w:val="24"/>
          <w:szCs w:val="24"/>
        </w:rPr>
        <w:t>administration publique. Dans tous ces segments du programme, le PNUD est comme dans son cœur de métier, au regard des orientations de son Plan Stratégique corporate et en comparaison avec ce que l’Agence fait dans les différents contextes similaires.</w:t>
      </w:r>
    </w:p>
    <w:p w14:paraId="37D64523" w14:textId="77777777" w:rsidR="00A118C7" w:rsidRDefault="00A118C7" w:rsidP="00B96F0F">
      <w:pPr>
        <w:pStyle w:val="Textebrut"/>
        <w:jc w:val="both"/>
        <w:rPr>
          <w:rFonts w:ascii="Times New Roman" w:hAnsi="Times New Roman"/>
          <w:sz w:val="24"/>
          <w:szCs w:val="24"/>
        </w:rPr>
      </w:pPr>
    </w:p>
    <w:p w14:paraId="32271626" w14:textId="77777777" w:rsidR="00864756" w:rsidRDefault="00D007BD" w:rsidP="00B96F0F">
      <w:pPr>
        <w:pStyle w:val="Textebrut"/>
        <w:jc w:val="both"/>
        <w:rPr>
          <w:rFonts w:ascii="Times New Roman" w:hAnsi="Times New Roman"/>
          <w:sz w:val="24"/>
          <w:szCs w:val="24"/>
        </w:rPr>
      </w:pPr>
      <w:r>
        <w:rPr>
          <w:rFonts w:ascii="Times New Roman" w:hAnsi="Times New Roman"/>
          <w:sz w:val="24"/>
          <w:szCs w:val="24"/>
        </w:rPr>
        <w:t>11</w:t>
      </w:r>
      <w:r w:rsidR="000B5082">
        <w:rPr>
          <w:rFonts w:ascii="Times New Roman" w:hAnsi="Times New Roman"/>
          <w:sz w:val="24"/>
          <w:szCs w:val="24"/>
        </w:rPr>
        <w:t>0</w:t>
      </w:r>
      <w:r>
        <w:rPr>
          <w:rFonts w:ascii="Times New Roman" w:hAnsi="Times New Roman"/>
          <w:sz w:val="24"/>
          <w:szCs w:val="24"/>
        </w:rPr>
        <w:t>.</w:t>
      </w:r>
      <w:r w:rsidR="00A118C7">
        <w:rPr>
          <w:rFonts w:ascii="Times New Roman" w:hAnsi="Times New Roman"/>
          <w:sz w:val="24"/>
          <w:szCs w:val="24"/>
        </w:rPr>
        <w:tab/>
        <w:t xml:space="preserve">Ce positionnement est à l’avantage du programme, au sens où ses différents domaines d’intervention sont des domaines où le PNUD </w:t>
      </w:r>
      <w:r w:rsidR="00A118C7" w:rsidRPr="0082359A">
        <w:rPr>
          <w:rFonts w:ascii="Times New Roman" w:hAnsi="Times New Roman"/>
          <w:sz w:val="24"/>
          <w:szCs w:val="24"/>
        </w:rPr>
        <w:t>a du savoir faire</w:t>
      </w:r>
      <w:r w:rsidR="00A118C7">
        <w:rPr>
          <w:rFonts w:ascii="Times New Roman" w:hAnsi="Times New Roman"/>
          <w:sz w:val="24"/>
          <w:szCs w:val="24"/>
        </w:rPr>
        <w:t xml:space="preserve"> reconnu, une expérience diversifiée dans plusieurs pays de la région qui peut être convoquée à tout moment pour éclairer la pratique au Mali, et un réseau mondialisé d’expertise permettant </w:t>
      </w:r>
      <w:r w:rsidR="00864756">
        <w:rPr>
          <w:rFonts w:ascii="Times New Roman" w:hAnsi="Times New Roman"/>
          <w:sz w:val="24"/>
          <w:szCs w:val="24"/>
        </w:rPr>
        <w:t>de mobiliser cet type de ressources à des coûts modérés tout en en garantissant la qualité.</w:t>
      </w:r>
    </w:p>
    <w:p w14:paraId="20897FC1" w14:textId="77777777" w:rsidR="00864756" w:rsidRDefault="00864756" w:rsidP="00B96F0F">
      <w:pPr>
        <w:pStyle w:val="Textebrut"/>
        <w:jc w:val="both"/>
        <w:rPr>
          <w:rFonts w:ascii="Times New Roman" w:hAnsi="Times New Roman"/>
          <w:sz w:val="24"/>
          <w:szCs w:val="24"/>
        </w:rPr>
      </w:pPr>
    </w:p>
    <w:p w14:paraId="55F6E1AF" w14:textId="77777777" w:rsidR="00A118C7" w:rsidRDefault="00D007BD" w:rsidP="00B96F0F">
      <w:pPr>
        <w:pStyle w:val="Textebrut"/>
        <w:jc w:val="both"/>
        <w:rPr>
          <w:rFonts w:ascii="Times New Roman" w:hAnsi="Times New Roman"/>
          <w:sz w:val="24"/>
          <w:szCs w:val="24"/>
        </w:rPr>
      </w:pPr>
      <w:r>
        <w:rPr>
          <w:rFonts w:ascii="Times New Roman" w:hAnsi="Times New Roman"/>
          <w:sz w:val="24"/>
          <w:szCs w:val="24"/>
        </w:rPr>
        <w:t>11</w:t>
      </w:r>
      <w:r w:rsidR="000B5082">
        <w:rPr>
          <w:rFonts w:ascii="Times New Roman" w:hAnsi="Times New Roman"/>
          <w:sz w:val="24"/>
          <w:szCs w:val="24"/>
        </w:rPr>
        <w:t>1</w:t>
      </w:r>
      <w:r>
        <w:rPr>
          <w:rFonts w:ascii="Times New Roman" w:hAnsi="Times New Roman"/>
          <w:sz w:val="24"/>
          <w:szCs w:val="24"/>
        </w:rPr>
        <w:t>.</w:t>
      </w:r>
      <w:r w:rsidR="00864756">
        <w:rPr>
          <w:rFonts w:ascii="Times New Roman" w:hAnsi="Times New Roman"/>
          <w:sz w:val="24"/>
          <w:szCs w:val="24"/>
        </w:rPr>
        <w:tab/>
        <w:t>Quelques défis de contenus se profilent toutefois, en termes d’ajustements destinés à mieux adapter le programme à son environnement et à son époque. Les adaptations à l’époque tiennent essentiellement à l’exigence de réaligner les contenus sur les nouveaux Objectifs de Développement du Millénaire, postérieurs à la formulation du programme.</w:t>
      </w:r>
      <w:r w:rsidR="00307E26">
        <w:rPr>
          <w:rFonts w:ascii="Times New Roman" w:hAnsi="Times New Roman"/>
          <w:sz w:val="24"/>
          <w:szCs w:val="24"/>
        </w:rPr>
        <w:t xml:space="preserve"> La finalisation du processus de priorisation des ODD sur lequel le programme accompagne le pays au demeurant, est un préalable à ce réalignement, qui devrait aussi à l’occasion revisiter le nouveau Plan Stratégique 2018-2021 du PNUD.</w:t>
      </w:r>
      <w:r w:rsidR="00407487">
        <w:rPr>
          <w:rFonts w:ascii="Times New Roman" w:hAnsi="Times New Roman"/>
          <w:sz w:val="24"/>
          <w:szCs w:val="24"/>
        </w:rPr>
        <w:t xml:space="preserve"> Les adaptations à l’environnement permettront au programme de mettre davantage le curseur sur les défis nouveaux ou accentués que le pays a connus depuis 2015. A cet égard, parmi d’autres questions à identifier, l’appui à la mise en œuvre de l’Accord de paix ressort déjà une priorité ayant acquis un surcroit d’épaisseur. En amont de 2015, les perspective de paix et de réconciliation nationale étaient mieux épanouies, fondées sur la croyance qu’un accord de paix garantirait l’apaisement. Cet important instrument de pacification peinant à se mettre en œuvre, le programme en reçoit un surcroit d’interpellation.</w:t>
      </w:r>
    </w:p>
    <w:p w14:paraId="7B3CD6DB" w14:textId="77777777" w:rsidR="00407487" w:rsidRDefault="00407487" w:rsidP="00B96F0F">
      <w:pPr>
        <w:pStyle w:val="Textebrut"/>
        <w:jc w:val="both"/>
        <w:rPr>
          <w:rFonts w:ascii="Times New Roman" w:hAnsi="Times New Roman"/>
          <w:sz w:val="24"/>
          <w:szCs w:val="24"/>
        </w:rPr>
      </w:pPr>
    </w:p>
    <w:p w14:paraId="680B790E" w14:textId="77777777" w:rsidR="00407487" w:rsidRDefault="00D007BD" w:rsidP="00B96F0F">
      <w:pPr>
        <w:pStyle w:val="Textebrut"/>
        <w:jc w:val="both"/>
        <w:rPr>
          <w:rFonts w:ascii="Times New Roman" w:hAnsi="Times New Roman"/>
          <w:sz w:val="24"/>
          <w:szCs w:val="24"/>
        </w:rPr>
      </w:pPr>
      <w:r>
        <w:rPr>
          <w:rFonts w:ascii="Times New Roman" w:hAnsi="Times New Roman"/>
          <w:sz w:val="24"/>
          <w:szCs w:val="24"/>
        </w:rPr>
        <w:t>11</w:t>
      </w:r>
      <w:r w:rsidR="000B5082">
        <w:rPr>
          <w:rFonts w:ascii="Times New Roman" w:hAnsi="Times New Roman"/>
          <w:sz w:val="24"/>
          <w:szCs w:val="24"/>
        </w:rPr>
        <w:t>2</w:t>
      </w:r>
      <w:r>
        <w:rPr>
          <w:rFonts w:ascii="Times New Roman" w:hAnsi="Times New Roman"/>
          <w:sz w:val="24"/>
          <w:szCs w:val="24"/>
        </w:rPr>
        <w:t>.</w:t>
      </w:r>
      <w:r w:rsidR="00407487">
        <w:rPr>
          <w:rFonts w:ascii="Times New Roman" w:hAnsi="Times New Roman"/>
          <w:sz w:val="24"/>
          <w:szCs w:val="24"/>
        </w:rPr>
        <w:tab/>
        <w:t xml:space="preserve">Enfin les adaptations de contenus devraient aussi bien permettre au programme de mieux se préoccuper des thématiques transversales, comme le genre, mais aussi le développement de capacités. La disponibilité dans le bureau d’une expertise genre dédiée devrait contribuer à résorber le gap dans ce domaine. Aujourd’hui ce qui est obtenu en matière de genre est le fait naturel de la représentation des femmes dans </w:t>
      </w:r>
      <w:r w:rsidR="00990E01">
        <w:rPr>
          <w:rFonts w:ascii="Times New Roman" w:hAnsi="Times New Roman"/>
          <w:sz w:val="24"/>
          <w:szCs w:val="24"/>
        </w:rPr>
        <w:t>la population des cibles du programme, et guère ou peu le résultat de stratégies formelles dédiées. Le développement de capacités dans un environnement de crise est une gageure permanente. Les capacités du pays ayant pris un coup avec une crise qui dure depuis 5 ans, le réflexe est faire davantage à la place des nationaux, y compris lorsque l’exécution nationale demeure la règle générale en matière de mise en œuvre. Il est même parvenue à la mission que souvent c’est la partie nationale qui demande au PNUD d’exécuter directement, pour gagner du délai procédural, parfois pour sécuriser des ressources en provenance du budget national soustraites de la sorte aux risques de rabots en cours d’exercice. Malgré tout, le programme devra toujours avoir le souci d’honorer autant que possible les exigences du développement de capacités qui commande de rester derrière le partenaire national pour l’aider à faire lui-même.</w:t>
      </w:r>
    </w:p>
    <w:p w14:paraId="1B3004B3" w14:textId="77777777" w:rsidR="00990E01" w:rsidRDefault="00990E01" w:rsidP="00B96F0F">
      <w:pPr>
        <w:pStyle w:val="Textebrut"/>
        <w:jc w:val="both"/>
        <w:rPr>
          <w:rFonts w:ascii="Times New Roman" w:hAnsi="Times New Roman"/>
          <w:sz w:val="24"/>
          <w:szCs w:val="24"/>
        </w:rPr>
      </w:pPr>
    </w:p>
    <w:p w14:paraId="1C310F1C" w14:textId="77777777" w:rsidR="0014380B" w:rsidRPr="00F74A48" w:rsidRDefault="0014380B" w:rsidP="0014380B">
      <w:pPr>
        <w:pStyle w:val="Titre4"/>
        <w:numPr>
          <w:ilvl w:val="2"/>
          <w:numId w:val="5"/>
        </w:numPr>
        <w:spacing w:before="0" w:line="240" w:lineRule="auto"/>
        <w:rPr>
          <w:rFonts w:ascii="Times New Roman" w:hAnsi="Times New Roman"/>
          <w:i w:val="0"/>
          <w:color w:val="auto"/>
          <w:sz w:val="24"/>
          <w:szCs w:val="24"/>
        </w:rPr>
      </w:pPr>
      <w:r>
        <w:rPr>
          <w:rFonts w:ascii="Times New Roman" w:hAnsi="Times New Roman"/>
          <w:i w:val="0"/>
          <w:color w:val="auto"/>
          <w:sz w:val="24"/>
          <w:szCs w:val="24"/>
        </w:rPr>
        <w:t>Interfaces avec les partenaires</w:t>
      </w:r>
    </w:p>
    <w:p w14:paraId="211D74F9" w14:textId="77777777" w:rsidR="00990E01" w:rsidRDefault="00990E01" w:rsidP="00B96F0F">
      <w:pPr>
        <w:pStyle w:val="Textebrut"/>
        <w:jc w:val="both"/>
        <w:rPr>
          <w:rFonts w:ascii="Times New Roman" w:hAnsi="Times New Roman"/>
          <w:sz w:val="24"/>
          <w:szCs w:val="24"/>
        </w:rPr>
      </w:pPr>
    </w:p>
    <w:p w14:paraId="021D3918" w14:textId="77777777" w:rsidR="0045466A" w:rsidRDefault="00D007BD" w:rsidP="00B96F0F">
      <w:pPr>
        <w:pStyle w:val="Textebrut"/>
        <w:jc w:val="both"/>
        <w:rPr>
          <w:rFonts w:ascii="Times New Roman" w:hAnsi="Times New Roman"/>
          <w:sz w:val="24"/>
          <w:szCs w:val="24"/>
        </w:rPr>
      </w:pPr>
      <w:r>
        <w:rPr>
          <w:rFonts w:ascii="Times New Roman" w:hAnsi="Times New Roman"/>
          <w:sz w:val="24"/>
          <w:szCs w:val="24"/>
        </w:rPr>
        <w:t>11</w:t>
      </w:r>
      <w:r w:rsidR="000B5082">
        <w:rPr>
          <w:rFonts w:ascii="Times New Roman" w:hAnsi="Times New Roman"/>
          <w:sz w:val="24"/>
          <w:szCs w:val="24"/>
        </w:rPr>
        <w:t>3</w:t>
      </w:r>
      <w:r>
        <w:rPr>
          <w:rFonts w:ascii="Times New Roman" w:hAnsi="Times New Roman"/>
          <w:sz w:val="24"/>
          <w:szCs w:val="24"/>
        </w:rPr>
        <w:t>.</w:t>
      </w:r>
      <w:r w:rsidR="00990E01">
        <w:rPr>
          <w:rFonts w:ascii="Times New Roman" w:hAnsi="Times New Roman"/>
          <w:sz w:val="24"/>
          <w:szCs w:val="24"/>
        </w:rPr>
        <w:tab/>
      </w:r>
      <w:r w:rsidR="0045466A" w:rsidRPr="008A1FE9">
        <w:rPr>
          <w:rFonts w:ascii="Times New Roman" w:hAnsi="Times New Roman"/>
          <w:b/>
          <w:i/>
          <w:sz w:val="24"/>
          <w:szCs w:val="24"/>
        </w:rPr>
        <w:t>A</w:t>
      </w:r>
      <w:r w:rsidR="00990E01" w:rsidRPr="008A1FE9">
        <w:rPr>
          <w:rFonts w:ascii="Times New Roman" w:hAnsi="Times New Roman"/>
          <w:b/>
          <w:i/>
          <w:sz w:val="24"/>
          <w:szCs w:val="24"/>
        </w:rPr>
        <w:t xml:space="preserve">vec le </w:t>
      </w:r>
      <w:r w:rsidR="0045466A" w:rsidRPr="008A1FE9">
        <w:rPr>
          <w:rFonts w:ascii="Times New Roman" w:hAnsi="Times New Roman"/>
          <w:b/>
          <w:i/>
          <w:sz w:val="24"/>
          <w:szCs w:val="24"/>
        </w:rPr>
        <w:t>Gouvernement</w:t>
      </w:r>
      <w:r w:rsidR="009C6D9D">
        <w:rPr>
          <w:rFonts w:ascii="Times New Roman" w:hAnsi="Times New Roman"/>
          <w:sz w:val="24"/>
          <w:szCs w:val="24"/>
        </w:rPr>
        <w:t xml:space="preserve">, le positionnement du PNUD est jugé précieux et de grande valeur. Les savoir faire de l’Agence sont appréciées, ce qui justifie que le Gouvernement lui confie de plus en plus de ressources propres à exécuter. Les modalités PNUD permettent de gagner du temps et des sûretés fiduciaires dans l’absorption des ressources. Du point de vue des entités publiques, certaines voient dans le PNUD un cadre approprié pour sécuriser leurs ressources en les gardant hors de portée des coupes pouvant intervenir à la faveur des collectifs budgétaires. Le PNUD de son côté, tout en restant ce partenaire d’exécution, doit aussi veiller à sauvegarder ses vocations pédagogiques d’appui au développement de ces capacités qui font </w:t>
      </w:r>
      <w:r w:rsidR="009C6D9D">
        <w:rPr>
          <w:rFonts w:ascii="Times New Roman" w:hAnsi="Times New Roman"/>
          <w:sz w:val="24"/>
          <w:szCs w:val="24"/>
        </w:rPr>
        <w:lastRenderedPageBreak/>
        <w:t>défaut à ses partenaires et pour lesquelles ils le sollicitent.</w:t>
      </w:r>
      <w:r w:rsidR="008A1FE9">
        <w:rPr>
          <w:rFonts w:ascii="Times New Roman" w:hAnsi="Times New Roman"/>
          <w:sz w:val="24"/>
          <w:szCs w:val="24"/>
        </w:rPr>
        <w:t xml:space="preserve"> Il doit aussi mieux mettre en avant le Gouvernement dans ses approches de mobilisations de ressources.</w:t>
      </w:r>
      <w:r w:rsidR="00D54A87">
        <w:rPr>
          <w:rFonts w:ascii="Times New Roman" w:hAnsi="Times New Roman"/>
          <w:sz w:val="24"/>
          <w:szCs w:val="24"/>
        </w:rPr>
        <w:t xml:space="preserve"> Enfin, les porosités entre le PNUD et ses partenaires nationaux, avec des staffs qui circulent dans un sens et de l’autre, tout en favorisant les intelligences entre les deux parties, lèvent des questionnements d’indépendance.</w:t>
      </w:r>
    </w:p>
    <w:p w14:paraId="36240FE2" w14:textId="77777777" w:rsidR="00D54A87" w:rsidRDefault="00D54A87" w:rsidP="00B96F0F">
      <w:pPr>
        <w:pStyle w:val="Textebrut"/>
        <w:jc w:val="both"/>
        <w:rPr>
          <w:rFonts w:ascii="Times New Roman" w:hAnsi="Times New Roman"/>
          <w:sz w:val="24"/>
          <w:szCs w:val="24"/>
        </w:rPr>
      </w:pPr>
    </w:p>
    <w:p w14:paraId="2082137E" w14:textId="77777777" w:rsidR="0045466A" w:rsidRDefault="00D007BD" w:rsidP="00B96F0F">
      <w:pPr>
        <w:pStyle w:val="Textebrut"/>
        <w:jc w:val="both"/>
        <w:rPr>
          <w:rFonts w:ascii="Times New Roman" w:hAnsi="Times New Roman"/>
          <w:sz w:val="24"/>
          <w:szCs w:val="24"/>
        </w:rPr>
      </w:pPr>
      <w:r>
        <w:rPr>
          <w:rFonts w:ascii="Times New Roman" w:hAnsi="Times New Roman"/>
          <w:sz w:val="24"/>
          <w:szCs w:val="24"/>
        </w:rPr>
        <w:t>11</w:t>
      </w:r>
      <w:r w:rsidR="000B5082">
        <w:rPr>
          <w:rFonts w:ascii="Times New Roman" w:hAnsi="Times New Roman"/>
          <w:sz w:val="24"/>
          <w:szCs w:val="24"/>
        </w:rPr>
        <w:t>4</w:t>
      </w:r>
      <w:r>
        <w:rPr>
          <w:rFonts w:ascii="Times New Roman" w:hAnsi="Times New Roman"/>
          <w:sz w:val="24"/>
          <w:szCs w:val="24"/>
        </w:rPr>
        <w:t>.</w:t>
      </w:r>
      <w:r w:rsidR="00D54A87">
        <w:rPr>
          <w:rFonts w:ascii="Times New Roman" w:hAnsi="Times New Roman"/>
          <w:sz w:val="24"/>
          <w:szCs w:val="24"/>
        </w:rPr>
        <w:tab/>
      </w:r>
      <w:r w:rsidR="0045466A" w:rsidRPr="00ED222F">
        <w:rPr>
          <w:rFonts w:ascii="Times New Roman" w:hAnsi="Times New Roman"/>
          <w:b/>
          <w:i/>
          <w:sz w:val="24"/>
          <w:szCs w:val="24"/>
        </w:rPr>
        <w:t>Avec les agences sœurs</w:t>
      </w:r>
      <w:r w:rsidR="00012718" w:rsidRPr="00ED222F">
        <w:rPr>
          <w:rFonts w:ascii="Times New Roman" w:hAnsi="Times New Roman"/>
          <w:b/>
          <w:i/>
          <w:sz w:val="24"/>
          <w:szCs w:val="24"/>
        </w:rPr>
        <w:t xml:space="preserve"> au sein du SNU</w:t>
      </w:r>
      <w:r w:rsidR="00012718">
        <w:rPr>
          <w:rFonts w:ascii="Times New Roman" w:hAnsi="Times New Roman"/>
          <w:sz w:val="24"/>
          <w:szCs w:val="24"/>
        </w:rPr>
        <w:t>, les interfaces passent en grande partie à travers la coordination inter agence et l’animation des relations partagées avec la partie nationale à travers les groupes thématique de coopération. Le Bureau est bien présent à ces deux niveaux. Certaines agences indiquent même que l’existence au Mali d’une Direction Pays autonome favorise la coordination, la Coordonnatrice Résidente étant de fait dans une forme d’équidistance par rapport aux agences, le PNUD compris.</w:t>
      </w:r>
    </w:p>
    <w:p w14:paraId="393290B5" w14:textId="77777777" w:rsidR="00012718" w:rsidRDefault="00012718" w:rsidP="00B96F0F">
      <w:pPr>
        <w:pStyle w:val="Textebrut"/>
        <w:jc w:val="both"/>
        <w:rPr>
          <w:rFonts w:ascii="Times New Roman" w:hAnsi="Times New Roman"/>
          <w:sz w:val="24"/>
          <w:szCs w:val="24"/>
        </w:rPr>
      </w:pPr>
    </w:p>
    <w:p w14:paraId="63E6319D" w14:textId="77777777" w:rsidR="00BC3D4D" w:rsidRDefault="00D007BD" w:rsidP="00B96F0F">
      <w:pPr>
        <w:pStyle w:val="Textebrut"/>
        <w:jc w:val="both"/>
        <w:rPr>
          <w:rFonts w:ascii="Times New Roman" w:hAnsi="Times New Roman"/>
          <w:sz w:val="24"/>
          <w:szCs w:val="24"/>
        </w:rPr>
      </w:pPr>
      <w:r>
        <w:rPr>
          <w:rFonts w:ascii="Times New Roman" w:hAnsi="Times New Roman"/>
          <w:sz w:val="24"/>
          <w:szCs w:val="24"/>
        </w:rPr>
        <w:t>11</w:t>
      </w:r>
      <w:r w:rsidR="000B5082">
        <w:rPr>
          <w:rFonts w:ascii="Times New Roman" w:hAnsi="Times New Roman"/>
          <w:sz w:val="24"/>
          <w:szCs w:val="24"/>
        </w:rPr>
        <w:t>5</w:t>
      </w:r>
      <w:r>
        <w:rPr>
          <w:rFonts w:ascii="Times New Roman" w:hAnsi="Times New Roman"/>
          <w:sz w:val="24"/>
          <w:szCs w:val="24"/>
        </w:rPr>
        <w:t>.</w:t>
      </w:r>
      <w:r w:rsidR="00012718">
        <w:rPr>
          <w:rFonts w:ascii="Times New Roman" w:hAnsi="Times New Roman"/>
          <w:sz w:val="24"/>
          <w:szCs w:val="24"/>
        </w:rPr>
        <w:tab/>
        <w:t xml:space="preserve">En revanche bien que l’UNDAF existe pour donner corps à cette vie institutionnelle partagée, son incarnation programmatique reste toujours un lieu de préoccupation. Les programmes conjoints sont rares et inaboutis : les cinq recensés ne satisfont pas aux exigences désormais fixées </w:t>
      </w:r>
      <w:r w:rsidR="00ED222F">
        <w:rPr>
          <w:rFonts w:ascii="Times New Roman" w:hAnsi="Times New Roman"/>
          <w:sz w:val="24"/>
          <w:szCs w:val="24"/>
        </w:rPr>
        <w:t>pour ce genre de programmes ; ce sont plutôt des interventions d’agences qui tentent de les exécuter de manière convergente. Les efforts des uns et des autres à cet égard se heurtent aux logiques verticales de redevabilité qui font que les agences sont comptables de leurs obligations de résultats vis-à-vis de leurs sièges, davantage que des demandes de synergies intra UN au niveau local.</w:t>
      </w:r>
      <w:r w:rsidR="00BC3D4D">
        <w:rPr>
          <w:rFonts w:ascii="Times New Roman" w:hAnsi="Times New Roman"/>
          <w:sz w:val="24"/>
          <w:szCs w:val="24"/>
        </w:rPr>
        <w:t xml:space="preserve"> </w:t>
      </w:r>
      <w:r w:rsidR="00BC3D4D">
        <w:rPr>
          <w:rFonts w:ascii="Times New Roman" w:hAnsi="Times New Roman"/>
          <w:sz w:val="24"/>
          <w:szCs w:val="24"/>
        </w:rPr>
        <w:tab/>
      </w:r>
      <w:r w:rsidR="00ED222F">
        <w:rPr>
          <w:rFonts w:ascii="Times New Roman" w:hAnsi="Times New Roman"/>
          <w:sz w:val="24"/>
          <w:szCs w:val="24"/>
        </w:rPr>
        <w:t>La mobilisation de ressources étant le bras armé de cette redevabilité centrale, elle aussi se fait encore en ordre dispersé, malgré l’opinion exprimée par tous que les agences gagneraient à la réaliser en commun, dans le respect naturellement des spécialisations de chacun.</w:t>
      </w:r>
    </w:p>
    <w:p w14:paraId="110A4747" w14:textId="77777777" w:rsidR="00BC3D4D" w:rsidRDefault="00BC3D4D" w:rsidP="00B96F0F">
      <w:pPr>
        <w:pStyle w:val="Textebrut"/>
        <w:jc w:val="both"/>
        <w:rPr>
          <w:rFonts w:ascii="Times New Roman" w:hAnsi="Times New Roman"/>
          <w:sz w:val="24"/>
          <w:szCs w:val="24"/>
        </w:rPr>
      </w:pPr>
    </w:p>
    <w:p w14:paraId="525D3034" w14:textId="77777777" w:rsidR="00012718" w:rsidRDefault="000B5082" w:rsidP="00B96F0F">
      <w:pPr>
        <w:pStyle w:val="Textebrut"/>
        <w:jc w:val="both"/>
        <w:rPr>
          <w:rFonts w:ascii="Times New Roman" w:hAnsi="Times New Roman"/>
          <w:sz w:val="24"/>
          <w:szCs w:val="24"/>
        </w:rPr>
      </w:pPr>
      <w:r>
        <w:rPr>
          <w:rFonts w:ascii="Times New Roman" w:hAnsi="Times New Roman"/>
          <w:sz w:val="24"/>
          <w:szCs w:val="24"/>
        </w:rPr>
        <w:t>116</w:t>
      </w:r>
      <w:r w:rsidR="00D007BD">
        <w:rPr>
          <w:rFonts w:ascii="Times New Roman" w:hAnsi="Times New Roman"/>
          <w:sz w:val="24"/>
          <w:szCs w:val="24"/>
        </w:rPr>
        <w:t>.</w:t>
      </w:r>
      <w:r w:rsidR="00BC3D4D">
        <w:rPr>
          <w:rFonts w:ascii="Times New Roman" w:hAnsi="Times New Roman"/>
          <w:sz w:val="24"/>
          <w:szCs w:val="24"/>
        </w:rPr>
        <w:tab/>
      </w:r>
      <w:r w:rsidR="00BC3D4D" w:rsidRPr="00BC3D4D">
        <w:rPr>
          <w:rFonts w:ascii="Times New Roman" w:hAnsi="Times New Roman"/>
          <w:b/>
          <w:i/>
          <w:sz w:val="24"/>
          <w:szCs w:val="24"/>
        </w:rPr>
        <w:t>La relation avec la Mission</w:t>
      </w:r>
      <w:r w:rsidR="00BC3D4D">
        <w:rPr>
          <w:rFonts w:ascii="Times New Roman" w:hAnsi="Times New Roman"/>
          <w:sz w:val="24"/>
          <w:szCs w:val="24"/>
        </w:rPr>
        <w:t xml:space="preserve"> reste spécifique dans ce concert : du fait de son sous-bassement militaire, le réflexe des agences est de s’en distancier pour éviter tout brouillage d’image, mais sur le terrain opérationnel ses capacités logistiques et sécuritaires restent indispensables au programme pour se déployer dans nombre de localités du Nord et du Centre. La Mission, qui gère aussi des fonds de consolidation de la paix et de relèvement,  est naturellement, par ailleurs, pour le programme, une opportunité d’accès à des ressources co</w:t>
      </w:r>
      <w:r w:rsidR="004B5B1E">
        <w:rPr>
          <w:rFonts w:ascii="Times New Roman" w:hAnsi="Times New Roman"/>
          <w:sz w:val="24"/>
          <w:szCs w:val="24"/>
        </w:rPr>
        <w:t>mplémentaires de développement.</w:t>
      </w:r>
    </w:p>
    <w:p w14:paraId="5C0F2AAF" w14:textId="77777777" w:rsidR="004B5B1E" w:rsidRDefault="004B5B1E" w:rsidP="00B96F0F">
      <w:pPr>
        <w:pStyle w:val="Textebrut"/>
        <w:jc w:val="both"/>
        <w:rPr>
          <w:rFonts w:ascii="Times New Roman" w:hAnsi="Times New Roman"/>
          <w:sz w:val="24"/>
          <w:szCs w:val="24"/>
        </w:rPr>
      </w:pPr>
    </w:p>
    <w:p w14:paraId="4CE555B6" w14:textId="77777777" w:rsidR="004B5B1E" w:rsidRDefault="00D007BD" w:rsidP="00B96F0F">
      <w:pPr>
        <w:pStyle w:val="Textebrut"/>
        <w:jc w:val="both"/>
        <w:rPr>
          <w:rFonts w:ascii="Times New Roman" w:hAnsi="Times New Roman"/>
          <w:sz w:val="24"/>
          <w:szCs w:val="24"/>
        </w:rPr>
      </w:pPr>
      <w:r>
        <w:rPr>
          <w:rFonts w:ascii="Times New Roman" w:hAnsi="Times New Roman"/>
          <w:sz w:val="24"/>
          <w:szCs w:val="24"/>
        </w:rPr>
        <w:t>11</w:t>
      </w:r>
      <w:r w:rsidR="000B5082">
        <w:rPr>
          <w:rFonts w:ascii="Times New Roman" w:hAnsi="Times New Roman"/>
          <w:sz w:val="24"/>
          <w:szCs w:val="24"/>
        </w:rPr>
        <w:t>7</w:t>
      </w:r>
      <w:r>
        <w:rPr>
          <w:rFonts w:ascii="Times New Roman" w:hAnsi="Times New Roman"/>
          <w:sz w:val="24"/>
          <w:szCs w:val="24"/>
        </w:rPr>
        <w:t>.</w:t>
      </w:r>
      <w:r w:rsidR="004B5B1E">
        <w:rPr>
          <w:rFonts w:ascii="Times New Roman" w:hAnsi="Times New Roman"/>
          <w:sz w:val="24"/>
          <w:szCs w:val="24"/>
        </w:rPr>
        <w:tab/>
      </w:r>
      <w:r w:rsidR="004B5B1E" w:rsidRPr="00434F71">
        <w:rPr>
          <w:rFonts w:ascii="Times New Roman" w:hAnsi="Times New Roman"/>
          <w:b/>
          <w:i/>
          <w:sz w:val="24"/>
          <w:szCs w:val="24"/>
        </w:rPr>
        <w:t>Les Fonds thématiques</w:t>
      </w:r>
      <w:r w:rsidR="004B5B1E">
        <w:rPr>
          <w:rFonts w:ascii="Times New Roman" w:hAnsi="Times New Roman"/>
          <w:sz w:val="24"/>
          <w:szCs w:val="24"/>
        </w:rPr>
        <w:t xml:space="preserve"> financent aujourd’hui plus de la moitié du portefeuille : 44% pour le Fonds Mondial de lutte contre le Paludisme, la Tuberculose et le VIH/SIDA, et 1</w:t>
      </w:r>
      <w:r w:rsidR="00434F71">
        <w:rPr>
          <w:rFonts w:ascii="Times New Roman" w:hAnsi="Times New Roman"/>
          <w:sz w:val="24"/>
          <w:szCs w:val="24"/>
        </w:rPr>
        <w:t>5</w:t>
      </w:r>
      <w:r w:rsidR="004B5B1E">
        <w:rPr>
          <w:rFonts w:ascii="Times New Roman" w:hAnsi="Times New Roman"/>
          <w:sz w:val="24"/>
          <w:szCs w:val="24"/>
        </w:rPr>
        <w:t xml:space="preserve">% pour le Fonds pour l’Environnement Mondial. Ces deux instruments internationaux pratiquent une forme de rigidité qui soulève tout des questionnements légitimes : le premier développe en ce moment un protocole de transfert de gouvernance de ses ressources du PNUD vers le Gouvernement du </w:t>
      </w:r>
      <w:r w:rsidR="004B5B1E" w:rsidRPr="0082359A">
        <w:rPr>
          <w:rFonts w:ascii="Times New Roman" w:hAnsi="Times New Roman"/>
          <w:sz w:val="24"/>
          <w:szCs w:val="24"/>
        </w:rPr>
        <w:t>Mali, avec un niveau de dialogue assez pauvre avec le PNUD,</w:t>
      </w:r>
      <w:r w:rsidR="004B5B1E">
        <w:rPr>
          <w:rFonts w:ascii="Times New Roman" w:hAnsi="Times New Roman"/>
          <w:sz w:val="24"/>
          <w:szCs w:val="24"/>
        </w:rPr>
        <w:t xml:space="preserve"> alors que les capacités de l’agence sont encore nécessaires pour accompagner le pays dans cette responsabilité qu’il reprend après l’avoir déjà assumée et perdue pour des problèmes de capacités </w:t>
      </w:r>
      <w:r w:rsidR="008427F8">
        <w:rPr>
          <w:rFonts w:ascii="Times New Roman" w:hAnsi="Times New Roman"/>
          <w:sz w:val="24"/>
          <w:szCs w:val="24"/>
        </w:rPr>
        <w:t>justement</w:t>
      </w:r>
      <w:r w:rsidR="004B5B1E">
        <w:rPr>
          <w:rFonts w:ascii="Times New Roman" w:hAnsi="Times New Roman"/>
          <w:sz w:val="24"/>
          <w:szCs w:val="24"/>
        </w:rPr>
        <w:t xml:space="preserve">. Le FEM, pour sa part, s’illustre </w:t>
      </w:r>
      <w:r w:rsidR="00434F71">
        <w:rPr>
          <w:rFonts w:ascii="Times New Roman" w:hAnsi="Times New Roman"/>
          <w:sz w:val="24"/>
          <w:szCs w:val="24"/>
        </w:rPr>
        <w:t>en ne permettant pas au programme de fondre dans un cadre programmatique unifié les nombreux petits projets qu’il finance dans le secteur de l’environnement.</w:t>
      </w:r>
    </w:p>
    <w:p w14:paraId="151614AA" w14:textId="77777777" w:rsidR="0014380B" w:rsidRDefault="0014380B" w:rsidP="00B96F0F">
      <w:pPr>
        <w:pStyle w:val="Textebrut"/>
        <w:jc w:val="both"/>
        <w:rPr>
          <w:rFonts w:ascii="Times New Roman" w:hAnsi="Times New Roman"/>
          <w:sz w:val="24"/>
          <w:szCs w:val="24"/>
        </w:rPr>
      </w:pPr>
    </w:p>
    <w:p w14:paraId="0B2386AB" w14:textId="77777777" w:rsidR="0014380B" w:rsidRDefault="00D007BD" w:rsidP="00B96F0F">
      <w:pPr>
        <w:pStyle w:val="Textebrut"/>
        <w:jc w:val="both"/>
        <w:rPr>
          <w:rFonts w:ascii="Times New Roman" w:hAnsi="Times New Roman"/>
          <w:sz w:val="24"/>
          <w:szCs w:val="24"/>
        </w:rPr>
      </w:pPr>
      <w:r>
        <w:rPr>
          <w:rFonts w:ascii="Times New Roman" w:hAnsi="Times New Roman"/>
          <w:sz w:val="24"/>
          <w:szCs w:val="24"/>
        </w:rPr>
        <w:t>11</w:t>
      </w:r>
      <w:r w:rsidR="000B5082">
        <w:rPr>
          <w:rFonts w:ascii="Times New Roman" w:hAnsi="Times New Roman"/>
          <w:sz w:val="24"/>
          <w:szCs w:val="24"/>
        </w:rPr>
        <w:t>8</w:t>
      </w:r>
      <w:r>
        <w:rPr>
          <w:rFonts w:ascii="Times New Roman" w:hAnsi="Times New Roman"/>
          <w:sz w:val="24"/>
          <w:szCs w:val="24"/>
        </w:rPr>
        <w:t>.</w:t>
      </w:r>
      <w:r w:rsidR="0014380B">
        <w:rPr>
          <w:rFonts w:ascii="Times New Roman" w:hAnsi="Times New Roman"/>
          <w:sz w:val="24"/>
          <w:szCs w:val="24"/>
        </w:rPr>
        <w:tab/>
      </w:r>
      <w:r w:rsidR="0014380B" w:rsidRPr="00BE4402">
        <w:rPr>
          <w:rFonts w:ascii="Times New Roman" w:hAnsi="Times New Roman"/>
          <w:b/>
          <w:i/>
          <w:sz w:val="24"/>
          <w:szCs w:val="24"/>
        </w:rPr>
        <w:t>Les programmes thématiques abrités par le PNUD</w:t>
      </w:r>
      <w:r w:rsidR="0014380B">
        <w:rPr>
          <w:rFonts w:ascii="Times New Roman" w:hAnsi="Times New Roman"/>
          <w:sz w:val="24"/>
          <w:szCs w:val="24"/>
        </w:rPr>
        <w:t>, le Fonds d’Equipement, les Volontaires, des Nations Unies, pour leur part ne sont pas très visibles dans le programme, du moins formellement. Pour UNCDF, l’absence est réelle, et fait écho au fait qu</w:t>
      </w:r>
      <w:r w:rsidR="00445CDE">
        <w:rPr>
          <w:rFonts w:ascii="Times New Roman" w:hAnsi="Times New Roman"/>
          <w:sz w:val="24"/>
          <w:szCs w:val="24"/>
        </w:rPr>
        <w:t xml:space="preserve">e le Fonds </w:t>
      </w:r>
      <w:r w:rsidR="0014380B">
        <w:rPr>
          <w:rFonts w:ascii="Times New Roman" w:hAnsi="Times New Roman"/>
          <w:sz w:val="24"/>
          <w:szCs w:val="24"/>
        </w:rPr>
        <w:t xml:space="preserve">n’avait plus de </w:t>
      </w:r>
      <w:r w:rsidR="006E1B2C">
        <w:rPr>
          <w:rFonts w:ascii="Times New Roman" w:hAnsi="Times New Roman"/>
          <w:sz w:val="24"/>
          <w:szCs w:val="24"/>
        </w:rPr>
        <w:t xml:space="preserve">véritable </w:t>
      </w:r>
      <w:r w:rsidR="0014380B">
        <w:rPr>
          <w:rFonts w:ascii="Times New Roman" w:hAnsi="Times New Roman"/>
          <w:sz w:val="24"/>
          <w:szCs w:val="24"/>
        </w:rPr>
        <w:t>s</w:t>
      </w:r>
      <w:r w:rsidR="00445CDE">
        <w:rPr>
          <w:rFonts w:ascii="Times New Roman" w:hAnsi="Times New Roman"/>
          <w:sz w:val="24"/>
          <w:szCs w:val="24"/>
        </w:rPr>
        <w:t xml:space="preserve">taff </w:t>
      </w:r>
      <w:r w:rsidR="0014380B">
        <w:rPr>
          <w:rFonts w:ascii="Times New Roman" w:hAnsi="Times New Roman"/>
          <w:sz w:val="24"/>
          <w:szCs w:val="24"/>
        </w:rPr>
        <w:t xml:space="preserve">au Mali durant la phase de formulation du programme. </w:t>
      </w:r>
      <w:r w:rsidR="006E1B2C">
        <w:rPr>
          <w:rFonts w:ascii="Times New Roman" w:hAnsi="Times New Roman"/>
          <w:sz w:val="24"/>
          <w:szCs w:val="24"/>
        </w:rPr>
        <w:t>Du fait de ce vide, il</w:t>
      </w:r>
      <w:r w:rsidR="00445CDE">
        <w:rPr>
          <w:rFonts w:ascii="Times New Roman" w:hAnsi="Times New Roman"/>
          <w:sz w:val="24"/>
          <w:szCs w:val="24"/>
        </w:rPr>
        <w:t xml:space="preserve"> est</w:t>
      </w:r>
      <w:r w:rsidR="006E1B2C">
        <w:rPr>
          <w:rFonts w:ascii="Times New Roman" w:hAnsi="Times New Roman"/>
          <w:sz w:val="24"/>
          <w:szCs w:val="24"/>
        </w:rPr>
        <w:t xml:space="preserve"> même </w:t>
      </w:r>
      <w:r w:rsidR="00445CDE">
        <w:rPr>
          <w:rFonts w:ascii="Times New Roman" w:hAnsi="Times New Roman"/>
          <w:sz w:val="24"/>
          <w:szCs w:val="24"/>
        </w:rPr>
        <w:t>absent, finalement,</w:t>
      </w:r>
      <w:r w:rsidR="006E1B2C">
        <w:rPr>
          <w:rFonts w:ascii="Times New Roman" w:hAnsi="Times New Roman"/>
          <w:sz w:val="24"/>
          <w:szCs w:val="24"/>
        </w:rPr>
        <w:t xml:space="preserve"> d</w:t>
      </w:r>
      <w:r w:rsidR="00445CDE">
        <w:rPr>
          <w:rFonts w:ascii="Times New Roman" w:hAnsi="Times New Roman"/>
          <w:sz w:val="24"/>
          <w:szCs w:val="24"/>
        </w:rPr>
        <w:t xml:space="preserve">u </w:t>
      </w:r>
      <w:r w:rsidR="00445CDE" w:rsidRPr="00445CDE">
        <w:rPr>
          <w:rFonts w:ascii="Times New Roman" w:hAnsi="Times New Roman"/>
          <w:i/>
          <w:sz w:val="24"/>
          <w:szCs w:val="24"/>
        </w:rPr>
        <w:t xml:space="preserve">Programme d'adaptation aux changements climatiques dans </w:t>
      </w:r>
      <w:r w:rsidR="00445CDE" w:rsidRPr="00445CDE">
        <w:rPr>
          <w:rFonts w:ascii="Times New Roman" w:hAnsi="Times New Roman"/>
          <w:i/>
          <w:sz w:val="24"/>
          <w:szCs w:val="24"/>
        </w:rPr>
        <w:lastRenderedPageBreak/>
        <w:t>les communes vulnérables des régions de Mopti et Tombouctou</w:t>
      </w:r>
      <w:r w:rsidR="00445CDE">
        <w:rPr>
          <w:rFonts w:ascii="Times New Roman" w:hAnsi="Times New Roman"/>
          <w:sz w:val="24"/>
          <w:szCs w:val="24"/>
        </w:rPr>
        <w:t xml:space="preserve">, </w:t>
      </w:r>
      <w:r w:rsidR="006E1B2C">
        <w:rPr>
          <w:rFonts w:ascii="Times New Roman" w:hAnsi="Times New Roman"/>
          <w:sz w:val="24"/>
          <w:szCs w:val="24"/>
        </w:rPr>
        <w:t>à la formulation duquel il s’était pourtant beaucoup investi. Pour le Programme Volontaire</w:t>
      </w:r>
      <w:r w:rsidR="005F6B71">
        <w:rPr>
          <w:rFonts w:ascii="Times New Roman" w:hAnsi="Times New Roman"/>
          <w:sz w:val="24"/>
          <w:szCs w:val="24"/>
        </w:rPr>
        <w:t>s</w:t>
      </w:r>
      <w:r w:rsidR="006E1B2C">
        <w:rPr>
          <w:rFonts w:ascii="Times New Roman" w:hAnsi="Times New Roman"/>
          <w:sz w:val="24"/>
          <w:szCs w:val="24"/>
        </w:rPr>
        <w:t xml:space="preserve"> des Nations Unies, il s’agit d’une absence indue visibilité : il n’a pas mention des Volontaires dans la matrice du programme alors que pas moins de 23 volontaires participent aujourd’hui à sa mise en œuvre.</w:t>
      </w:r>
      <w:r w:rsidR="0014380B">
        <w:rPr>
          <w:rFonts w:ascii="Times New Roman" w:hAnsi="Times New Roman"/>
          <w:sz w:val="24"/>
          <w:szCs w:val="24"/>
        </w:rPr>
        <w:t xml:space="preserve"> </w:t>
      </w:r>
    </w:p>
    <w:p w14:paraId="6CF1F77B" w14:textId="77777777" w:rsidR="0045466A" w:rsidRDefault="0045466A" w:rsidP="00B96F0F">
      <w:pPr>
        <w:pStyle w:val="Textebrut"/>
        <w:jc w:val="both"/>
        <w:rPr>
          <w:rFonts w:ascii="Times New Roman" w:hAnsi="Times New Roman"/>
          <w:sz w:val="24"/>
          <w:szCs w:val="24"/>
        </w:rPr>
      </w:pPr>
    </w:p>
    <w:p w14:paraId="19B00DB7" w14:textId="77777777" w:rsidR="00A148BB" w:rsidRDefault="000B5082" w:rsidP="00B96F0F">
      <w:pPr>
        <w:pStyle w:val="Textebrut"/>
        <w:jc w:val="both"/>
        <w:rPr>
          <w:rFonts w:ascii="Times New Roman" w:hAnsi="Times New Roman"/>
          <w:sz w:val="24"/>
          <w:szCs w:val="24"/>
        </w:rPr>
      </w:pPr>
      <w:r>
        <w:rPr>
          <w:rFonts w:ascii="Times New Roman" w:hAnsi="Times New Roman"/>
          <w:sz w:val="24"/>
          <w:szCs w:val="24"/>
        </w:rPr>
        <w:t>119</w:t>
      </w:r>
      <w:r w:rsidR="00D007BD">
        <w:rPr>
          <w:rFonts w:ascii="Times New Roman" w:hAnsi="Times New Roman"/>
          <w:sz w:val="24"/>
          <w:szCs w:val="24"/>
        </w:rPr>
        <w:t>.</w:t>
      </w:r>
      <w:r w:rsidR="00BC3D4D">
        <w:rPr>
          <w:rFonts w:ascii="Times New Roman" w:hAnsi="Times New Roman"/>
          <w:sz w:val="24"/>
          <w:szCs w:val="24"/>
        </w:rPr>
        <w:tab/>
      </w:r>
      <w:r w:rsidR="00434F71" w:rsidRPr="00A148BB">
        <w:rPr>
          <w:rFonts w:ascii="Times New Roman" w:hAnsi="Times New Roman"/>
          <w:b/>
          <w:i/>
          <w:sz w:val="24"/>
          <w:szCs w:val="24"/>
        </w:rPr>
        <w:t>L</w:t>
      </w:r>
      <w:r w:rsidR="0045466A" w:rsidRPr="00A148BB">
        <w:rPr>
          <w:rFonts w:ascii="Times New Roman" w:hAnsi="Times New Roman"/>
          <w:b/>
          <w:i/>
          <w:sz w:val="24"/>
          <w:szCs w:val="24"/>
        </w:rPr>
        <w:t>es autres partenaires</w:t>
      </w:r>
      <w:r w:rsidR="00434F71">
        <w:rPr>
          <w:rFonts w:ascii="Times New Roman" w:hAnsi="Times New Roman"/>
          <w:sz w:val="24"/>
          <w:szCs w:val="24"/>
        </w:rPr>
        <w:t xml:space="preserve"> abondent le financement du programme à partir d’une lecture des capacités intrinsèques du Bureau et de son positionnement auprès de la partie nationale. Ils font généralement valoir que la présence continue du PNUD dans le pays et aux côtés des autorités nationales lui donnent une connaissance intime de l’environnement qui est précieuse.</w:t>
      </w:r>
      <w:r w:rsidR="00A148BB">
        <w:rPr>
          <w:rFonts w:ascii="Times New Roman" w:hAnsi="Times New Roman"/>
          <w:sz w:val="24"/>
          <w:szCs w:val="24"/>
        </w:rPr>
        <w:t xml:space="preserve"> Ils perçoivent aussi bien toute la confiance que l’Etat place dans le PNUD. Certains, au demeurant, interprètent l’entre deux comme un lieu de complicités qui peut être opposé à la réputation d’indépendance de l’Agence : le Bureau recrute beaucoup dans les structures nationales, et ses staffs retournent parfois reprendre des responsabilités au cœur ou au sommet de l’Etat.</w:t>
      </w:r>
      <w:r w:rsidR="00355A5D">
        <w:rPr>
          <w:rFonts w:ascii="Times New Roman" w:hAnsi="Times New Roman"/>
          <w:sz w:val="24"/>
          <w:szCs w:val="24"/>
        </w:rPr>
        <w:t xml:space="preserve"> D’autres encore relaient certaines insatisfactions sur la qualité du suivi opérationnel des projets qu’ils financent, et des outils de reporting pour les informer.</w:t>
      </w:r>
    </w:p>
    <w:p w14:paraId="120AEBD7" w14:textId="77777777" w:rsidR="0014380B" w:rsidRDefault="0014380B" w:rsidP="00B96F0F">
      <w:pPr>
        <w:pStyle w:val="Textebrut"/>
        <w:jc w:val="both"/>
        <w:rPr>
          <w:rFonts w:ascii="Times New Roman" w:hAnsi="Times New Roman"/>
          <w:sz w:val="24"/>
          <w:szCs w:val="24"/>
        </w:rPr>
      </w:pPr>
    </w:p>
    <w:p w14:paraId="48066016" w14:textId="77777777" w:rsidR="0045466A" w:rsidRDefault="00D007BD" w:rsidP="00B96F0F">
      <w:pPr>
        <w:pStyle w:val="Textebrut"/>
        <w:jc w:val="both"/>
        <w:rPr>
          <w:rFonts w:ascii="Times New Roman" w:hAnsi="Times New Roman"/>
          <w:sz w:val="24"/>
          <w:szCs w:val="24"/>
        </w:rPr>
      </w:pPr>
      <w:r>
        <w:rPr>
          <w:rFonts w:ascii="Times New Roman" w:hAnsi="Times New Roman"/>
          <w:sz w:val="24"/>
          <w:szCs w:val="24"/>
        </w:rPr>
        <w:t>12</w:t>
      </w:r>
      <w:r w:rsidR="000B5082">
        <w:rPr>
          <w:rFonts w:ascii="Times New Roman" w:hAnsi="Times New Roman"/>
          <w:sz w:val="24"/>
          <w:szCs w:val="24"/>
        </w:rPr>
        <w:t>0</w:t>
      </w:r>
      <w:r>
        <w:rPr>
          <w:rFonts w:ascii="Times New Roman" w:hAnsi="Times New Roman"/>
          <w:sz w:val="24"/>
          <w:szCs w:val="24"/>
        </w:rPr>
        <w:t>.</w:t>
      </w:r>
      <w:r w:rsidR="00A148BB">
        <w:rPr>
          <w:rFonts w:ascii="Times New Roman" w:hAnsi="Times New Roman"/>
          <w:sz w:val="24"/>
          <w:szCs w:val="24"/>
        </w:rPr>
        <w:tab/>
      </w:r>
      <w:r w:rsidR="000C5BEE">
        <w:rPr>
          <w:rFonts w:ascii="Times New Roman" w:hAnsi="Times New Roman"/>
          <w:sz w:val="24"/>
          <w:szCs w:val="24"/>
        </w:rPr>
        <w:t xml:space="preserve">La possibilité pour le PNUD de s’appuyer sur les moyens logistiques de la Mission pour se déployer dans pratiquement tout le territoire national, contribue aussi rendre son partenariat précieux pour les bailleurs. </w:t>
      </w:r>
      <w:r w:rsidR="00A148BB">
        <w:rPr>
          <w:rFonts w:ascii="Times New Roman" w:hAnsi="Times New Roman"/>
          <w:sz w:val="24"/>
          <w:szCs w:val="24"/>
        </w:rPr>
        <w:t xml:space="preserve">De manière intrinsèque, les partenaires indiquent aussi qu’ils recourent au PNUD parce qu’il a des compétences avérés dans ses cœurs de métiers, comme le développement de capacités stratégiques, la gouvernance en générale, la lutte contre la pauvreté, notamment. Certains déplorent toutefois une forme de tropisme qui le pousse </w:t>
      </w:r>
      <w:r w:rsidR="00C25E22">
        <w:rPr>
          <w:rFonts w:ascii="Times New Roman" w:hAnsi="Times New Roman"/>
          <w:sz w:val="24"/>
          <w:szCs w:val="24"/>
        </w:rPr>
        <w:t>à</w:t>
      </w:r>
      <w:r w:rsidR="00A148BB">
        <w:rPr>
          <w:rFonts w:ascii="Times New Roman" w:hAnsi="Times New Roman"/>
          <w:sz w:val="24"/>
          <w:szCs w:val="24"/>
        </w:rPr>
        <w:t xml:space="preserve"> exécuter les ressources qui lui sont confi</w:t>
      </w:r>
      <w:r w:rsidR="00C25E22">
        <w:rPr>
          <w:rFonts w:ascii="Times New Roman" w:hAnsi="Times New Roman"/>
          <w:sz w:val="24"/>
          <w:szCs w:val="24"/>
        </w:rPr>
        <w:t>ées</w:t>
      </w:r>
      <w:r w:rsidR="00A148BB">
        <w:rPr>
          <w:rFonts w:ascii="Times New Roman" w:hAnsi="Times New Roman"/>
          <w:sz w:val="24"/>
          <w:szCs w:val="24"/>
        </w:rPr>
        <w:t xml:space="preserve"> sans </w:t>
      </w:r>
      <w:r w:rsidR="00730311">
        <w:rPr>
          <w:rFonts w:ascii="Times New Roman" w:hAnsi="Times New Roman"/>
          <w:sz w:val="24"/>
          <w:szCs w:val="24"/>
        </w:rPr>
        <w:t>une forme acceptable d’implication du bailleur.</w:t>
      </w:r>
      <w:r w:rsidR="00A148BB">
        <w:rPr>
          <w:rFonts w:ascii="Times New Roman" w:hAnsi="Times New Roman"/>
          <w:sz w:val="24"/>
          <w:szCs w:val="24"/>
        </w:rPr>
        <w:t xml:space="preserve"> </w:t>
      </w:r>
      <w:r w:rsidR="000C5BEE">
        <w:rPr>
          <w:rFonts w:ascii="Times New Roman" w:hAnsi="Times New Roman"/>
          <w:sz w:val="24"/>
          <w:szCs w:val="24"/>
        </w:rPr>
        <w:t>D’autres encore attirent l’attention sur ce qui lui leur apparaît comme un niveau de coût plutôt élevé. Le PNUD ne serait-il pas un partenaire cher ? Sont mentionnés ici non pas vraiment le taux de prélèvement au titre des frais de gestion fixé au niveau corporate, mais les standards d’</w:t>
      </w:r>
      <w:r w:rsidR="0014380B">
        <w:rPr>
          <w:rFonts w:ascii="Times New Roman" w:hAnsi="Times New Roman"/>
          <w:sz w:val="24"/>
          <w:szCs w:val="24"/>
        </w:rPr>
        <w:t>acquisition</w:t>
      </w:r>
      <w:r w:rsidR="000C5BEE">
        <w:rPr>
          <w:rFonts w:ascii="Times New Roman" w:hAnsi="Times New Roman"/>
          <w:sz w:val="24"/>
          <w:szCs w:val="24"/>
        </w:rPr>
        <w:t xml:space="preserve"> pratiqués : un partenaire fait observer pour il</w:t>
      </w:r>
      <w:r w:rsidR="0014380B">
        <w:rPr>
          <w:rFonts w:ascii="Times New Roman" w:hAnsi="Times New Roman"/>
          <w:sz w:val="24"/>
          <w:szCs w:val="24"/>
        </w:rPr>
        <w:t>l</w:t>
      </w:r>
      <w:r w:rsidR="000C5BEE">
        <w:rPr>
          <w:rFonts w:ascii="Times New Roman" w:hAnsi="Times New Roman"/>
          <w:sz w:val="24"/>
          <w:szCs w:val="24"/>
        </w:rPr>
        <w:t xml:space="preserve">ustrer cette opinion que même pour des </w:t>
      </w:r>
      <w:r w:rsidR="0014380B">
        <w:rPr>
          <w:rFonts w:ascii="Times New Roman" w:hAnsi="Times New Roman"/>
          <w:sz w:val="24"/>
          <w:szCs w:val="24"/>
        </w:rPr>
        <w:t>interventions</w:t>
      </w:r>
      <w:r w:rsidR="000C5BEE">
        <w:rPr>
          <w:rFonts w:ascii="Times New Roman" w:hAnsi="Times New Roman"/>
          <w:sz w:val="24"/>
          <w:szCs w:val="24"/>
        </w:rPr>
        <w:t xml:space="preserve"> en ville</w:t>
      </w:r>
      <w:r w:rsidR="0014380B">
        <w:rPr>
          <w:rFonts w:ascii="Times New Roman" w:hAnsi="Times New Roman"/>
          <w:sz w:val="24"/>
          <w:szCs w:val="24"/>
        </w:rPr>
        <w:t xml:space="preserve"> et alentour</w:t>
      </w:r>
      <w:r w:rsidR="000C5BEE">
        <w:rPr>
          <w:rFonts w:ascii="Times New Roman" w:hAnsi="Times New Roman"/>
          <w:sz w:val="24"/>
          <w:szCs w:val="24"/>
        </w:rPr>
        <w:t>, le programme préfère acheter des véhicule</w:t>
      </w:r>
      <w:r w:rsidR="0014380B">
        <w:rPr>
          <w:rFonts w:ascii="Times New Roman" w:hAnsi="Times New Roman"/>
          <w:sz w:val="24"/>
          <w:szCs w:val="24"/>
        </w:rPr>
        <w:t>s tout terrain en lieu et place de berlines moins onéreuses.</w:t>
      </w:r>
    </w:p>
    <w:p w14:paraId="37A102AF" w14:textId="77777777" w:rsidR="0045466A" w:rsidRDefault="0045466A" w:rsidP="00B96F0F">
      <w:pPr>
        <w:pStyle w:val="Textebrut"/>
        <w:jc w:val="both"/>
        <w:rPr>
          <w:rFonts w:ascii="Times New Roman" w:hAnsi="Times New Roman"/>
          <w:sz w:val="24"/>
          <w:szCs w:val="24"/>
        </w:rPr>
      </w:pPr>
    </w:p>
    <w:p w14:paraId="36F0D37C" w14:textId="77777777" w:rsidR="00BA3DC6" w:rsidRPr="006B309F" w:rsidRDefault="00BA3DC6" w:rsidP="00B96F0F">
      <w:pPr>
        <w:pStyle w:val="Titre1"/>
        <w:spacing w:before="0" w:line="240" w:lineRule="auto"/>
        <w:rPr>
          <w:color w:val="auto"/>
        </w:rPr>
      </w:pPr>
      <w:bookmarkStart w:id="151" w:name="_Toc499211629"/>
      <w:bookmarkStart w:id="152" w:name="_Toc499213902"/>
      <w:r w:rsidRPr="006B309F">
        <w:rPr>
          <w:color w:val="auto"/>
        </w:rPr>
        <w:t>Conclusion</w:t>
      </w:r>
      <w:bookmarkEnd w:id="151"/>
      <w:bookmarkEnd w:id="152"/>
    </w:p>
    <w:p w14:paraId="4FEE02B4" w14:textId="77777777" w:rsidR="00BA3DC6" w:rsidRPr="006B309F" w:rsidRDefault="00BA3DC6" w:rsidP="00B96F0F">
      <w:pPr>
        <w:spacing w:after="0" w:line="240" w:lineRule="auto"/>
      </w:pPr>
    </w:p>
    <w:p w14:paraId="78EA983E" w14:textId="77777777" w:rsidR="00BA3DC6" w:rsidRPr="006B309F" w:rsidRDefault="00BA3DC6" w:rsidP="00B026AE">
      <w:pPr>
        <w:pStyle w:val="Titre2"/>
        <w:numPr>
          <w:ilvl w:val="0"/>
          <w:numId w:val="7"/>
        </w:numPr>
        <w:spacing w:before="0"/>
        <w:rPr>
          <w:color w:val="auto"/>
        </w:rPr>
      </w:pPr>
      <w:bookmarkStart w:id="153" w:name="_Toc499211630"/>
      <w:bookmarkStart w:id="154" w:name="_Toc499213903"/>
      <w:r w:rsidRPr="006B309F">
        <w:rPr>
          <w:color w:val="auto"/>
        </w:rPr>
        <w:t>Principales constations sur le Programme</w:t>
      </w:r>
      <w:bookmarkEnd w:id="153"/>
      <w:bookmarkEnd w:id="154"/>
    </w:p>
    <w:p w14:paraId="5ADF6F18" w14:textId="77777777" w:rsidR="00BA3DC6" w:rsidRPr="006B309F" w:rsidRDefault="00BA3DC6" w:rsidP="00B96F0F">
      <w:pPr>
        <w:autoSpaceDE w:val="0"/>
        <w:autoSpaceDN w:val="0"/>
        <w:adjustRightInd w:val="0"/>
        <w:spacing w:after="0" w:line="240" w:lineRule="auto"/>
        <w:rPr>
          <w:rFonts w:ascii="Times New Roman" w:hAnsi="Times New Roman"/>
          <w:bCs/>
          <w:sz w:val="24"/>
          <w:szCs w:val="24"/>
        </w:rPr>
      </w:pPr>
    </w:p>
    <w:p w14:paraId="48B5CD33" w14:textId="77777777" w:rsidR="00025197" w:rsidRPr="00025197" w:rsidRDefault="002710D2" w:rsidP="00025197">
      <w:pPr>
        <w:spacing w:after="0" w:line="240" w:lineRule="auto"/>
        <w:jc w:val="both"/>
        <w:rPr>
          <w:rFonts w:ascii="Times New Roman" w:hAnsi="Times New Roman"/>
          <w:sz w:val="24"/>
          <w:szCs w:val="24"/>
        </w:rPr>
      </w:pPr>
      <w:r w:rsidRPr="006B309F">
        <w:rPr>
          <w:rFonts w:ascii="Times New Roman" w:hAnsi="Times New Roman"/>
          <w:sz w:val="24"/>
          <w:szCs w:val="24"/>
        </w:rPr>
        <w:t>1</w:t>
      </w:r>
      <w:r w:rsidR="000B5082">
        <w:rPr>
          <w:rFonts w:ascii="Times New Roman" w:hAnsi="Times New Roman"/>
          <w:sz w:val="24"/>
          <w:szCs w:val="24"/>
        </w:rPr>
        <w:t>21</w:t>
      </w:r>
      <w:r w:rsidR="00BA3DC6" w:rsidRPr="006B309F">
        <w:rPr>
          <w:rFonts w:ascii="Times New Roman" w:hAnsi="Times New Roman"/>
          <w:sz w:val="24"/>
          <w:szCs w:val="24"/>
        </w:rPr>
        <w:t>.</w:t>
      </w:r>
      <w:r w:rsidR="00BA3DC6" w:rsidRPr="006B309F">
        <w:rPr>
          <w:rFonts w:ascii="Times New Roman" w:hAnsi="Times New Roman"/>
          <w:sz w:val="24"/>
          <w:szCs w:val="24"/>
        </w:rPr>
        <w:tab/>
      </w:r>
      <w:r w:rsidR="004B5399">
        <w:rPr>
          <w:rFonts w:ascii="Times New Roman" w:hAnsi="Times New Roman"/>
          <w:sz w:val="24"/>
          <w:szCs w:val="24"/>
        </w:rPr>
        <w:t>Articulé sur l’U</w:t>
      </w:r>
      <w:r w:rsidR="007D4BA9" w:rsidRPr="006B309F">
        <w:rPr>
          <w:rFonts w:ascii="Times New Roman" w:hAnsi="Times New Roman"/>
          <w:sz w:val="24"/>
          <w:szCs w:val="24"/>
        </w:rPr>
        <w:t>N</w:t>
      </w:r>
      <w:r w:rsidR="004B5399">
        <w:rPr>
          <w:rFonts w:ascii="Times New Roman" w:hAnsi="Times New Roman"/>
          <w:sz w:val="24"/>
          <w:szCs w:val="24"/>
        </w:rPr>
        <w:t>DAF</w:t>
      </w:r>
      <w:r w:rsidR="007D4BA9" w:rsidRPr="006B309F">
        <w:rPr>
          <w:rFonts w:ascii="Times New Roman" w:hAnsi="Times New Roman"/>
          <w:sz w:val="24"/>
          <w:szCs w:val="24"/>
        </w:rPr>
        <w:t xml:space="preserve"> </w:t>
      </w:r>
      <w:r w:rsidR="00157383" w:rsidRPr="006B309F">
        <w:rPr>
          <w:rFonts w:ascii="Times New Roman" w:hAnsi="Times New Roman"/>
          <w:sz w:val="24"/>
          <w:szCs w:val="24"/>
        </w:rPr>
        <w:t>de même cycle</w:t>
      </w:r>
      <w:r w:rsidR="004B5399">
        <w:rPr>
          <w:rFonts w:ascii="Times New Roman" w:hAnsi="Times New Roman"/>
          <w:sz w:val="24"/>
          <w:szCs w:val="24"/>
        </w:rPr>
        <w:t xml:space="preserve">, devenu UNDAF+ pour tenir compte de la présence de la Mission Multidimensionnelle Intégrée des Nation Unies au Mali, </w:t>
      </w:r>
      <w:r w:rsidR="00157383" w:rsidRPr="006B309F">
        <w:rPr>
          <w:rFonts w:ascii="Times New Roman" w:hAnsi="Times New Roman"/>
          <w:sz w:val="24"/>
          <w:szCs w:val="24"/>
        </w:rPr>
        <w:t xml:space="preserve"> dont il est un cadre de contribution aux effets, </w:t>
      </w:r>
      <w:r w:rsidR="000355A5" w:rsidRPr="006B309F">
        <w:rPr>
          <w:rFonts w:ascii="Times New Roman" w:hAnsi="Times New Roman"/>
          <w:sz w:val="24"/>
          <w:szCs w:val="24"/>
        </w:rPr>
        <w:t xml:space="preserve">le programme </w:t>
      </w:r>
      <w:r w:rsidR="00157383" w:rsidRPr="006B309F">
        <w:rPr>
          <w:rFonts w:ascii="Times New Roman" w:hAnsi="Times New Roman"/>
          <w:sz w:val="24"/>
          <w:szCs w:val="24"/>
        </w:rPr>
        <w:t>devait liv</w:t>
      </w:r>
      <w:r w:rsidR="000355A5" w:rsidRPr="006B309F">
        <w:rPr>
          <w:rFonts w:ascii="Times New Roman" w:hAnsi="Times New Roman"/>
          <w:sz w:val="24"/>
          <w:szCs w:val="24"/>
        </w:rPr>
        <w:t>rer 1</w:t>
      </w:r>
      <w:r w:rsidR="004B5399">
        <w:rPr>
          <w:rFonts w:ascii="Times New Roman" w:hAnsi="Times New Roman"/>
          <w:sz w:val="24"/>
          <w:szCs w:val="24"/>
        </w:rPr>
        <w:t>1</w:t>
      </w:r>
      <w:r w:rsidR="000355A5" w:rsidRPr="006B309F">
        <w:rPr>
          <w:rFonts w:ascii="Times New Roman" w:hAnsi="Times New Roman"/>
          <w:sz w:val="24"/>
          <w:szCs w:val="24"/>
        </w:rPr>
        <w:t xml:space="preserve"> produits distincts, à cet égard, </w:t>
      </w:r>
      <w:r w:rsidR="00157383" w:rsidRPr="006B309F">
        <w:rPr>
          <w:rFonts w:ascii="Times New Roman" w:hAnsi="Times New Roman"/>
          <w:sz w:val="24"/>
          <w:szCs w:val="24"/>
        </w:rPr>
        <w:t xml:space="preserve">et répartis entre </w:t>
      </w:r>
      <w:r w:rsidR="004B5399">
        <w:rPr>
          <w:rFonts w:ascii="Times New Roman" w:hAnsi="Times New Roman"/>
          <w:sz w:val="24"/>
          <w:szCs w:val="24"/>
        </w:rPr>
        <w:t xml:space="preserve">quatre Résultats </w:t>
      </w:r>
      <w:r w:rsidR="00157383" w:rsidRPr="006B309F">
        <w:rPr>
          <w:rFonts w:ascii="Times New Roman" w:hAnsi="Times New Roman"/>
          <w:sz w:val="24"/>
          <w:szCs w:val="24"/>
        </w:rPr>
        <w:t>stratégiques </w:t>
      </w:r>
      <w:r w:rsidR="004B5399">
        <w:rPr>
          <w:rFonts w:ascii="Times New Roman" w:hAnsi="Times New Roman"/>
          <w:sz w:val="24"/>
          <w:szCs w:val="24"/>
        </w:rPr>
        <w:t xml:space="preserve">couvrant </w:t>
      </w:r>
      <w:r w:rsidR="00025197">
        <w:rPr>
          <w:rFonts w:ascii="Times New Roman" w:hAnsi="Times New Roman"/>
          <w:sz w:val="24"/>
          <w:szCs w:val="24"/>
        </w:rPr>
        <w:t xml:space="preserve">la </w:t>
      </w:r>
      <w:r w:rsidR="00025197" w:rsidRPr="00025197">
        <w:rPr>
          <w:rFonts w:ascii="Times New Roman" w:hAnsi="Times New Roman"/>
          <w:sz w:val="24"/>
          <w:szCs w:val="24"/>
        </w:rPr>
        <w:t>Cohésion sociale et paix</w:t>
      </w:r>
      <w:r w:rsidR="00025197">
        <w:rPr>
          <w:rFonts w:ascii="Times New Roman" w:hAnsi="Times New Roman"/>
          <w:sz w:val="24"/>
          <w:szCs w:val="24"/>
        </w:rPr>
        <w:t xml:space="preserve"> ; la </w:t>
      </w:r>
      <w:r w:rsidR="00025197" w:rsidRPr="00025197">
        <w:rPr>
          <w:rFonts w:ascii="Times New Roman" w:hAnsi="Times New Roman"/>
          <w:sz w:val="24"/>
          <w:szCs w:val="24"/>
        </w:rPr>
        <w:t>Réduction de la pauvreté et développement durable</w:t>
      </w:r>
      <w:r w:rsidR="00025197">
        <w:rPr>
          <w:rFonts w:ascii="Times New Roman" w:hAnsi="Times New Roman"/>
          <w:sz w:val="24"/>
          <w:szCs w:val="24"/>
        </w:rPr>
        <w:t xml:space="preserve"> ; la </w:t>
      </w:r>
      <w:r w:rsidR="00025197" w:rsidRPr="00025197">
        <w:rPr>
          <w:rFonts w:ascii="Times New Roman" w:hAnsi="Times New Roman"/>
          <w:sz w:val="24"/>
          <w:szCs w:val="24"/>
        </w:rPr>
        <w:t xml:space="preserve">Gouvernance et </w:t>
      </w:r>
      <w:r w:rsidR="00025197">
        <w:rPr>
          <w:rFonts w:ascii="Times New Roman" w:hAnsi="Times New Roman"/>
          <w:sz w:val="24"/>
          <w:szCs w:val="24"/>
        </w:rPr>
        <w:t>l’</w:t>
      </w:r>
      <w:r w:rsidR="00025197" w:rsidRPr="00025197">
        <w:rPr>
          <w:rFonts w:ascii="Times New Roman" w:hAnsi="Times New Roman"/>
          <w:sz w:val="24"/>
          <w:szCs w:val="24"/>
        </w:rPr>
        <w:t>Etat de droit</w:t>
      </w:r>
      <w:r w:rsidR="00025197">
        <w:rPr>
          <w:rFonts w:ascii="Times New Roman" w:hAnsi="Times New Roman"/>
          <w:sz w:val="24"/>
          <w:szCs w:val="24"/>
        </w:rPr>
        <w:t> ; et l’</w:t>
      </w:r>
    </w:p>
    <w:p w14:paraId="018E036F" w14:textId="77777777" w:rsidR="00BA3DC6" w:rsidRPr="006B309F" w:rsidRDefault="00025197" w:rsidP="00B96F0F">
      <w:pPr>
        <w:spacing w:after="0" w:line="240" w:lineRule="auto"/>
        <w:jc w:val="both"/>
        <w:rPr>
          <w:rFonts w:ascii="Times New Roman" w:hAnsi="Times New Roman"/>
          <w:sz w:val="24"/>
          <w:szCs w:val="24"/>
        </w:rPr>
      </w:pPr>
      <w:r w:rsidRPr="00025197">
        <w:rPr>
          <w:rFonts w:ascii="Times New Roman" w:hAnsi="Times New Roman"/>
          <w:sz w:val="24"/>
          <w:szCs w:val="24"/>
        </w:rPr>
        <w:t>Accès à la santé</w:t>
      </w:r>
      <w:r>
        <w:rPr>
          <w:rFonts w:ascii="Times New Roman" w:hAnsi="Times New Roman"/>
          <w:sz w:val="24"/>
          <w:szCs w:val="24"/>
        </w:rPr>
        <w:t xml:space="preserve">. </w:t>
      </w:r>
      <w:r w:rsidR="00BA3DC6" w:rsidRPr="006B309F">
        <w:rPr>
          <w:rFonts w:ascii="Times New Roman" w:hAnsi="Times New Roman"/>
          <w:bCs/>
          <w:sz w:val="24"/>
          <w:szCs w:val="24"/>
        </w:rPr>
        <w:t>Alors que le cadre logique</w:t>
      </w:r>
      <w:r w:rsidR="00A74DCB" w:rsidRPr="006B309F">
        <w:rPr>
          <w:rFonts w:ascii="Times New Roman" w:hAnsi="Times New Roman"/>
          <w:bCs/>
          <w:sz w:val="24"/>
          <w:szCs w:val="24"/>
        </w:rPr>
        <w:t xml:space="preserve"> </w:t>
      </w:r>
      <w:r w:rsidR="00BA3DC6" w:rsidRPr="006B309F">
        <w:rPr>
          <w:rFonts w:ascii="Times New Roman" w:hAnsi="Times New Roman"/>
          <w:bCs/>
          <w:sz w:val="24"/>
          <w:szCs w:val="24"/>
        </w:rPr>
        <w:t xml:space="preserve">anticipe </w:t>
      </w:r>
      <w:r w:rsidR="00A74DCB" w:rsidRPr="006B309F">
        <w:rPr>
          <w:rFonts w:ascii="Times New Roman" w:hAnsi="Times New Roman"/>
          <w:bCs/>
          <w:sz w:val="24"/>
          <w:szCs w:val="24"/>
        </w:rPr>
        <w:t>pour l</w:t>
      </w:r>
      <w:r w:rsidR="004E7045" w:rsidRPr="006B309F">
        <w:rPr>
          <w:rFonts w:ascii="Times New Roman" w:hAnsi="Times New Roman"/>
          <w:bCs/>
          <w:sz w:val="24"/>
          <w:szCs w:val="24"/>
        </w:rPr>
        <w:t>e programme</w:t>
      </w:r>
      <w:r w:rsidR="00A74DCB" w:rsidRPr="006B309F">
        <w:rPr>
          <w:rFonts w:ascii="Times New Roman" w:hAnsi="Times New Roman"/>
          <w:bCs/>
          <w:sz w:val="24"/>
          <w:szCs w:val="24"/>
        </w:rPr>
        <w:t xml:space="preserve"> </w:t>
      </w:r>
      <w:r w:rsidR="00BA3DC6" w:rsidRPr="006B309F">
        <w:rPr>
          <w:rFonts w:ascii="Times New Roman" w:hAnsi="Times New Roman"/>
          <w:bCs/>
          <w:sz w:val="24"/>
          <w:szCs w:val="24"/>
        </w:rPr>
        <w:t xml:space="preserve">un volant de ressources </w:t>
      </w:r>
      <w:r w:rsidR="00BA3DC6" w:rsidRPr="006B309F">
        <w:rPr>
          <w:rFonts w:ascii="Times New Roman" w:hAnsi="Times New Roman"/>
          <w:sz w:val="24"/>
          <w:szCs w:val="24"/>
        </w:rPr>
        <w:t xml:space="preserve">de </w:t>
      </w:r>
      <w:r>
        <w:rPr>
          <w:bCs/>
          <w:iCs/>
          <w:sz w:val="24"/>
          <w:szCs w:val="24"/>
        </w:rPr>
        <w:t>187,</w:t>
      </w:r>
      <w:r w:rsidRPr="00087C34">
        <w:rPr>
          <w:bCs/>
          <w:iCs/>
          <w:sz w:val="24"/>
          <w:szCs w:val="24"/>
        </w:rPr>
        <w:t>4</w:t>
      </w:r>
      <w:r>
        <w:rPr>
          <w:bCs/>
          <w:iCs/>
          <w:sz w:val="24"/>
          <w:szCs w:val="24"/>
        </w:rPr>
        <w:t>43 millions</w:t>
      </w:r>
      <w:r w:rsidR="00BA3DC6" w:rsidRPr="006B309F">
        <w:rPr>
          <w:rFonts w:ascii="Times New Roman" w:hAnsi="Times New Roman"/>
          <w:sz w:val="24"/>
          <w:szCs w:val="24"/>
        </w:rPr>
        <w:t xml:space="preserve"> dollar américain sur 5 ans, </w:t>
      </w:r>
      <w:r>
        <w:rPr>
          <w:rFonts w:ascii="Times New Roman" w:hAnsi="Times New Roman"/>
          <w:sz w:val="24"/>
          <w:szCs w:val="24"/>
        </w:rPr>
        <w:t xml:space="preserve">la mobilisation de ressources externes couvre déjà 77% de ce montant. </w:t>
      </w:r>
      <w:r w:rsidR="00BA3DC6" w:rsidRPr="006B309F">
        <w:rPr>
          <w:rFonts w:ascii="Times New Roman" w:hAnsi="Times New Roman"/>
          <w:sz w:val="24"/>
          <w:szCs w:val="24"/>
        </w:rPr>
        <w:t>En termes de résultats</w:t>
      </w:r>
      <w:r w:rsidR="00294D37" w:rsidRPr="006B309F">
        <w:rPr>
          <w:rFonts w:ascii="Times New Roman" w:hAnsi="Times New Roman"/>
          <w:sz w:val="24"/>
          <w:szCs w:val="24"/>
        </w:rPr>
        <w:t xml:space="preserve"> substantiels, </w:t>
      </w:r>
      <w:r w:rsidR="00BA3DC6" w:rsidRPr="006B309F">
        <w:rPr>
          <w:rFonts w:ascii="Times New Roman" w:hAnsi="Times New Roman"/>
          <w:sz w:val="24"/>
          <w:szCs w:val="24"/>
        </w:rPr>
        <w:t>et au regard des critères d’évaluation du Comité d’Aide au Développement, de l’OCDE, la situation du programme est</w:t>
      </w:r>
      <w:r w:rsidR="0024772E" w:rsidRPr="006B309F">
        <w:rPr>
          <w:rFonts w:ascii="Times New Roman" w:hAnsi="Times New Roman"/>
          <w:sz w:val="24"/>
          <w:szCs w:val="24"/>
        </w:rPr>
        <w:t xml:space="preserve"> comme suit.</w:t>
      </w:r>
    </w:p>
    <w:p w14:paraId="40266E00" w14:textId="77777777" w:rsidR="0024772E" w:rsidRPr="006B309F" w:rsidRDefault="0024772E" w:rsidP="00B96F0F">
      <w:pPr>
        <w:spacing w:after="0" w:line="240" w:lineRule="auto"/>
        <w:jc w:val="both"/>
        <w:rPr>
          <w:rFonts w:ascii="Times New Roman" w:hAnsi="Times New Roman"/>
          <w:sz w:val="24"/>
          <w:szCs w:val="24"/>
        </w:rPr>
      </w:pPr>
    </w:p>
    <w:p w14:paraId="1D56C414" w14:textId="77777777" w:rsidR="00BA3DC6" w:rsidRPr="006B309F" w:rsidRDefault="002710D2" w:rsidP="00B96F0F">
      <w:pPr>
        <w:spacing w:after="0" w:line="240" w:lineRule="auto"/>
        <w:jc w:val="both"/>
        <w:rPr>
          <w:rFonts w:ascii="Times New Roman" w:hAnsi="Times New Roman"/>
          <w:sz w:val="24"/>
          <w:szCs w:val="24"/>
        </w:rPr>
      </w:pPr>
      <w:r w:rsidRPr="006B309F">
        <w:rPr>
          <w:rFonts w:ascii="Times New Roman" w:hAnsi="Times New Roman"/>
          <w:sz w:val="24"/>
          <w:szCs w:val="24"/>
        </w:rPr>
        <w:t>1</w:t>
      </w:r>
      <w:r w:rsidR="000B5082">
        <w:rPr>
          <w:rFonts w:ascii="Times New Roman" w:hAnsi="Times New Roman"/>
          <w:sz w:val="24"/>
          <w:szCs w:val="24"/>
        </w:rPr>
        <w:t>22</w:t>
      </w:r>
      <w:r w:rsidR="0024772E" w:rsidRPr="006B309F">
        <w:rPr>
          <w:rFonts w:ascii="Times New Roman" w:hAnsi="Times New Roman"/>
          <w:sz w:val="24"/>
          <w:szCs w:val="24"/>
        </w:rPr>
        <w:t>.</w:t>
      </w:r>
      <w:r w:rsidR="00BA3DC6" w:rsidRPr="006B309F">
        <w:rPr>
          <w:rFonts w:ascii="Times New Roman" w:hAnsi="Times New Roman"/>
          <w:b/>
          <w:i/>
          <w:sz w:val="24"/>
          <w:szCs w:val="24"/>
        </w:rPr>
        <w:tab/>
        <w:t>Pertinence</w:t>
      </w:r>
      <w:r w:rsidR="00BA3DC6" w:rsidRPr="006B309F">
        <w:rPr>
          <w:rFonts w:ascii="Times New Roman" w:hAnsi="Times New Roman"/>
          <w:sz w:val="24"/>
          <w:szCs w:val="24"/>
        </w:rPr>
        <w:t xml:space="preserve"> : La pertinence </w:t>
      </w:r>
      <w:r w:rsidR="000355A5" w:rsidRPr="006B309F">
        <w:rPr>
          <w:rFonts w:ascii="Times New Roman" w:hAnsi="Times New Roman"/>
          <w:sz w:val="24"/>
          <w:szCs w:val="24"/>
        </w:rPr>
        <w:t xml:space="preserve">stratégique </w:t>
      </w:r>
      <w:r w:rsidR="00BA3DC6" w:rsidRPr="006B309F">
        <w:rPr>
          <w:rFonts w:ascii="Times New Roman" w:hAnsi="Times New Roman"/>
          <w:sz w:val="24"/>
          <w:szCs w:val="24"/>
        </w:rPr>
        <w:t>d</w:t>
      </w:r>
      <w:r w:rsidR="00627362" w:rsidRPr="006B309F">
        <w:rPr>
          <w:rFonts w:ascii="Times New Roman" w:hAnsi="Times New Roman"/>
          <w:sz w:val="24"/>
          <w:szCs w:val="24"/>
        </w:rPr>
        <w:t xml:space="preserve">u </w:t>
      </w:r>
      <w:r w:rsidR="00BA3DC6" w:rsidRPr="006B309F">
        <w:rPr>
          <w:rFonts w:ascii="Times New Roman" w:hAnsi="Times New Roman"/>
          <w:sz w:val="24"/>
          <w:szCs w:val="24"/>
        </w:rPr>
        <w:t>programme</w:t>
      </w:r>
      <w:r w:rsidR="00627362" w:rsidRPr="006B309F">
        <w:rPr>
          <w:rFonts w:ascii="Times New Roman" w:hAnsi="Times New Roman"/>
          <w:sz w:val="24"/>
          <w:szCs w:val="24"/>
        </w:rPr>
        <w:t xml:space="preserve"> </w:t>
      </w:r>
      <w:r w:rsidR="00BA3DC6" w:rsidRPr="006B309F">
        <w:rPr>
          <w:rFonts w:ascii="Times New Roman" w:hAnsi="Times New Roman"/>
          <w:sz w:val="24"/>
          <w:szCs w:val="24"/>
        </w:rPr>
        <w:t>est ressortie très robuste, du fait notamment de l’alignement de ses thématiques sur les priorités de développement du pays</w:t>
      </w:r>
      <w:r w:rsidR="00294D37" w:rsidRPr="006B309F">
        <w:rPr>
          <w:rFonts w:ascii="Times New Roman" w:hAnsi="Times New Roman"/>
          <w:sz w:val="24"/>
          <w:szCs w:val="24"/>
        </w:rPr>
        <w:t>, et sur les cadres de planification stratégique du PNUD (PS) et du SNU (</w:t>
      </w:r>
      <w:r w:rsidR="00025197">
        <w:rPr>
          <w:rFonts w:ascii="Times New Roman" w:hAnsi="Times New Roman"/>
          <w:sz w:val="24"/>
          <w:szCs w:val="24"/>
        </w:rPr>
        <w:t>U</w:t>
      </w:r>
      <w:r w:rsidR="00294D37" w:rsidRPr="006B309F">
        <w:rPr>
          <w:rFonts w:ascii="Times New Roman" w:hAnsi="Times New Roman"/>
          <w:sz w:val="24"/>
          <w:szCs w:val="24"/>
        </w:rPr>
        <w:t>ND</w:t>
      </w:r>
      <w:r w:rsidR="00025197">
        <w:rPr>
          <w:rFonts w:ascii="Times New Roman" w:hAnsi="Times New Roman"/>
          <w:sz w:val="24"/>
          <w:szCs w:val="24"/>
        </w:rPr>
        <w:t>AF</w:t>
      </w:r>
      <w:r w:rsidR="00294D37" w:rsidRPr="006B309F">
        <w:rPr>
          <w:rFonts w:ascii="Times New Roman" w:hAnsi="Times New Roman"/>
          <w:sz w:val="24"/>
          <w:szCs w:val="24"/>
        </w:rPr>
        <w:t>)</w:t>
      </w:r>
      <w:r w:rsidR="00BA3DC6" w:rsidRPr="006B309F">
        <w:rPr>
          <w:rFonts w:ascii="Times New Roman" w:hAnsi="Times New Roman"/>
          <w:sz w:val="24"/>
          <w:szCs w:val="24"/>
        </w:rPr>
        <w:t xml:space="preserve">. D’un point de vue opérationnel, cette pertinence est toutefois relativisée par des approches projets, voire micro-projets, qui ne permettent pas d’optimiser l’influence du programme. Enfin, la pertinence </w:t>
      </w:r>
      <w:r w:rsidR="00BA3DC6" w:rsidRPr="006B309F">
        <w:rPr>
          <w:rFonts w:ascii="Times New Roman" w:hAnsi="Times New Roman"/>
          <w:sz w:val="24"/>
          <w:szCs w:val="24"/>
        </w:rPr>
        <w:lastRenderedPageBreak/>
        <w:t xml:space="preserve">du cadre logique est également </w:t>
      </w:r>
      <w:r w:rsidR="00627362" w:rsidRPr="006B309F">
        <w:rPr>
          <w:rFonts w:ascii="Times New Roman" w:hAnsi="Times New Roman"/>
          <w:sz w:val="24"/>
          <w:szCs w:val="24"/>
        </w:rPr>
        <w:t>insuffisante</w:t>
      </w:r>
      <w:r w:rsidR="00BA3DC6" w:rsidRPr="006B309F">
        <w:rPr>
          <w:rFonts w:ascii="Times New Roman" w:hAnsi="Times New Roman"/>
          <w:sz w:val="24"/>
          <w:szCs w:val="24"/>
        </w:rPr>
        <w:t xml:space="preserve">, avec </w:t>
      </w:r>
      <w:r w:rsidR="00627362" w:rsidRPr="006B309F">
        <w:rPr>
          <w:rFonts w:ascii="Times New Roman" w:hAnsi="Times New Roman"/>
          <w:sz w:val="24"/>
          <w:szCs w:val="24"/>
        </w:rPr>
        <w:t>d</w:t>
      </w:r>
      <w:r w:rsidR="00BA3DC6" w:rsidRPr="006B309F">
        <w:rPr>
          <w:rFonts w:ascii="Times New Roman" w:hAnsi="Times New Roman"/>
          <w:sz w:val="24"/>
          <w:szCs w:val="24"/>
        </w:rPr>
        <w:t xml:space="preserve">es </w:t>
      </w:r>
      <w:r w:rsidR="00025197">
        <w:rPr>
          <w:rFonts w:ascii="Times New Roman" w:hAnsi="Times New Roman"/>
          <w:sz w:val="24"/>
          <w:szCs w:val="24"/>
        </w:rPr>
        <w:t xml:space="preserve">résultats, des </w:t>
      </w:r>
      <w:r w:rsidR="00BA3DC6" w:rsidRPr="006B309F">
        <w:rPr>
          <w:rFonts w:ascii="Times New Roman" w:hAnsi="Times New Roman"/>
          <w:sz w:val="24"/>
          <w:szCs w:val="24"/>
        </w:rPr>
        <w:t>produits</w:t>
      </w:r>
      <w:r w:rsidR="00025197">
        <w:rPr>
          <w:rFonts w:ascii="Times New Roman" w:hAnsi="Times New Roman"/>
          <w:sz w:val="24"/>
          <w:szCs w:val="24"/>
        </w:rPr>
        <w:t xml:space="preserve"> et leurs indicateurs souvent </w:t>
      </w:r>
      <w:r w:rsidR="00627362" w:rsidRPr="006B309F">
        <w:rPr>
          <w:rFonts w:ascii="Times New Roman" w:hAnsi="Times New Roman"/>
          <w:sz w:val="24"/>
          <w:szCs w:val="24"/>
        </w:rPr>
        <w:t xml:space="preserve">libellés </w:t>
      </w:r>
      <w:r w:rsidR="00025197">
        <w:rPr>
          <w:rFonts w:ascii="Times New Roman" w:hAnsi="Times New Roman"/>
          <w:sz w:val="24"/>
          <w:szCs w:val="24"/>
        </w:rPr>
        <w:t>de manière inappropriés</w:t>
      </w:r>
      <w:r w:rsidR="00BA3DC6" w:rsidRPr="006B309F">
        <w:rPr>
          <w:rFonts w:ascii="Times New Roman" w:hAnsi="Times New Roman"/>
          <w:sz w:val="24"/>
          <w:szCs w:val="24"/>
        </w:rPr>
        <w:t>.</w:t>
      </w:r>
    </w:p>
    <w:p w14:paraId="24ACFC8C" w14:textId="77777777" w:rsidR="00BA3DC6" w:rsidRPr="006B309F" w:rsidRDefault="00BA3DC6" w:rsidP="00B96F0F">
      <w:pPr>
        <w:spacing w:after="0" w:line="240" w:lineRule="auto"/>
        <w:jc w:val="both"/>
        <w:rPr>
          <w:rFonts w:ascii="Times New Roman" w:hAnsi="Times New Roman"/>
          <w:b/>
          <w:i/>
          <w:sz w:val="24"/>
          <w:szCs w:val="24"/>
        </w:rPr>
      </w:pPr>
    </w:p>
    <w:p w14:paraId="1B615310" w14:textId="77777777" w:rsidR="005E7FF5" w:rsidRPr="006B309F" w:rsidRDefault="00703603" w:rsidP="00B96F0F">
      <w:pPr>
        <w:spacing w:after="0" w:line="240" w:lineRule="auto"/>
        <w:jc w:val="both"/>
        <w:rPr>
          <w:rFonts w:ascii="Times New Roman" w:hAnsi="Times New Roman"/>
          <w:sz w:val="24"/>
          <w:szCs w:val="24"/>
        </w:rPr>
      </w:pPr>
      <w:r w:rsidRPr="006B309F">
        <w:rPr>
          <w:rFonts w:ascii="Times New Roman" w:hAnsi="Times New Roman"/>
          <w:sz w:val="24"/>
          <w:szCs w:val="24"/>
        </w:rPr>
        <w:t>1</w:t>
      </w:r>
      <w:r w:rsidR="000B5082">
        <w:rPr>
          <w:rFonts w:ascii="Times New Roman" w:hAnsi="Times New Roman"/>
          <w:sz w:val="24"/>
          <w:szCs w:val="24"/>
        </w:rPr>
        <w:t>23</w:t>
      </w:r>
      <w:r w:rsidR="0024772E" w:rsidRPr="006B309F">
        <w:rPr>
          <w:rFonts w:ascii="Times New Roman" w:hAnsi="Times New Roman"/>
          <w:sz w:val="24"/>
          <w:szCs w:val="24"/>
        </w:rPr>
        <w:t>.</w:t>
      </w:r>
      <w:r w:rsidR="00BA3DC6" w:rsidRPr="006B309F">
        <w:rPr>
          <w:rFonts w:ascii="Times New Roman" w:hAnsi="Times New Roman"/>
          <w:b/>
          <w:i/>
          <w:sz w:val="24"/>
          <w:szCs w:val="24"/>
        </w:rPr>
        <w:tab/>
        <w:t>Efficacité</w:t>
      </w:r>
      <w:r w:rsidR="00BA3DC6" w:rsidRPr="006B309F">
        <w:rPr>
          <w:rFonts w:ascii="Times New Roman" w:hAnsi="Times New Roman"/>
          <w:sz w:val="24"/>
          <w:szCs w:val="24"/>
        </w:rPr>
        <w:t xml:space="preserve"> : Les effets recensés à </w:t>
      </w:r>
      <w:r w:rsidR="00025197">
        <w:rPr>
          <w:rFonts w:ascii="Times New Roman" w:hAnsi="Times New Roman"/>
          <w:sz w:val="24"/>
          <w:szCs w:val="24"/>
        </w:rPr>
        <w:t xml:space="preserve">mi-parcours </w:t>
      </w:r>
      <w:r w:rsidR="00627362" w:rsidRPr="006B309F">
        <w:rPr>
          <w:rFonts w:ascii="Times New Roman" w:hAnsi="Times New Roman"/>
          <w:sz w:val="24"/>
          <w:szCs w:val="24"/>
        </w:rPr>
        <w:t>du cycle</w:t>
      </w:r>
      <w:r w:rsidR="00BA3DC6" w:rsidRPr="006B309F">
        <w:rPr>
          <w:rFonts w:ascii="Times New Roman" w:hAnsi="Times New Roman"/>
          <w:sz w:val="24"/>
          <w:szCs w:val="24"/>
        </w:rPr>
        <w:t xml:space="preserve"> sont </w:t>
      </w:r>
      <w:r w:rsidR="00627362" w:rsidRPr="006B309F">
        <w:rPr>
          <w:rFonts w:ascii="Times New Roman" w:hAnsi="Times New Roman"/>
          <w:sz w:val="24"/>
          <w:szCs w:val="24"/>
        </w:rPr>
        <w:t>robustes au niveau stratégique</w:t>
      </w:r>
      <w:r w:rsidR="00025197">
        <w:rPr>
          <w:rFonts w:ascii="Times New Roman" w:hAnsi="Times New Roman"/>
          <w:sz w:val="24"/>
          <w:szCs w:val="24"/>
        </w:rPr>
        <w:t xml:space="preserve"> : le pays a été substantiellement appuyé dans la formulation d’outils stratégiques de politique globale (macroéconomie, planification, gestion de l’aide, climat des affaires, notamment) et sectorielle (environnement, agriculture, santé, </w:t>
      </w:r>
      <w:r w:rsidR="00627362" w:rsidRPr="006B309F">
        <w:rPr>
          <w:rFonts w:ascii="Times New Roman" w:hAnsi="Times New Roman"/>
          <w:sz w:val="24"/>
          <w:szCs w:val="24"/>
        </w:rPr>
        <w:t>et</w:t>
      </w:r>
      <w:r w:rsidR="00025197">
        <w:rPr>
          <w:rFonts w:ascii="Times New Roman" w:hAnsi="Times New Roman"/>
          <w:sz w:val="24"/>
          <w:szCs w:val="24"/>
        </w:rPr>
        <w:t>c.) ; l’existence d</w:t>
      </w:r>
      <w:r w:rsidR="00160368">
        <w:rPr>
          <w:rFonts w:ascii="Times New Roman" w:hAnsi="Times New Roman"/>
          <w:sz w:val="24"/>
          <w:szCs w:val="24"/>
        </w:rPr>
        <w:t xml:space="preserve">’outils </w:t>
      </w:r>
      <w:r w:rsidR="00025197">
        <w:rPr>
          <w:rFonts w:ascii="Times New Roman" w:hAnsi="Times New Roman"/>
          <w:sz w:val="24"/>
          <w:szCs w:val="24"/>
        </w:rPr>
        <w:t>stratégiques comme le CREDD et d’autres instruments de pilot</w:t>
      </w:r>
      <w:r w:rsidR="00160368">
        <w:rPr>
          <w:rFonts w:ascii="Times New Roman" w:hAnsi="Times New Roman"/>
          <w:sz w:val="24"/>
          <w:szCs w:val="24"/>
        </w:rPr>
        <w:t>age sont un cadre d’appel pour les autres partenaires du pays. S</w:t>
      </w:r>
      <w:r w:rsidR="00627362" w:rsidRPr="006B309F">
        <w:rPr>
          <w:rFonts w:ascii="Times New Roman" w:hAnsi="Times New Roman"/>
          <w:sz w:val="24"/>
          <w:szCs w:val="24"/>
        </w:rPr>
        <w:t>ur le plan opérationnel</w:t>
      </w:r>
      <w:r w:rsidR="00160368">
        <w:rPr>
          <w:rFonts w:ascii="Times New Roman" w:hAnsi="Times New Roman"/>
          <w:sz w:val="24"/>
          <w:szCs w:val="24"/>
        </w:rPr>
        <w:t>, aussi les contributions du programme sont réelles : des dizaines de milliers de personnes, avec une focalisation sur les cibles jeunes et femmes, ont été insérés dans des dynamiques communautaires de renforcement de résilience économique et sociale : créations d’emplois dans le cadre de travaux HIMO ou d’AGR en phase avec la promotion d’une gestion durable des ressources. La présence de l’Etat a été améliorée sur le terrain à travers un redéploiement de services publics clés comme la justice, le commandement territorial, les collectivités locales. La cohésion nationale à la base a été favorisée à travers des infrastructures communautaires de</w:t>
      </w:r>
      <w:r w:rsidR="00EA4AA2">
        <w:rPr>
          <w:rFonts w:ascii="Times New Roman" w:hAnsi="Times New Roman"/>
          <w:sz w:val="24"/>
          <w:szCs w:val="24"/>
        </w:rPr>
        <w:t xml:space="preserve"> proximité et des activités génératrices de revenus</w:t>
      </w:r>
      <w:r w:rsidR="005E7FF5" w:rsidRPr="006B309F">
        <w:rPr>
          <w:rFonts w:ascii="Times New Roman" w:hAnsi="Times New Roman"/>
          <w:sz w:val="24"/>
          <w:szCs w:val="24"/>
        </w:rPr>
        <w:t>.</w:t>
      </w:r>
    </w:p>
    <w:p w14:paraId="7FBC5C3C" w14:textId="77777777" w:rsidR="005E7FF5" w:rsidRPr="006B309F" w:rsidRDefault="005E7FF5" w:rsidP="00B96F0F">
      <w:pPr>
        <w:spacing w:after="0" w:line="240" w:lineRule="auto"/>
        <w:jc w:val="both"/>
        <w:rPr>
          <w:rFonts w:ascii="Times New Roman" w:hAnsi="Times New Roman"/>
          <w:sz w:val="24"/>
          <w:szCs w:val="24"/>
        </w:rPr>
      </w:pPr>
    </w:p>
    <w:p w14:paraId="782B5850" w14:textId="77777777" w:rsidR="00BA3DC6" w:rsidRPr="006B309F" w:rsidRDefault="00703603" w:rsidP="00B96F0F">
      <w:pPr>
        <w:spacing w:after="0" w:line="240" w:lineRule="auto"/>
        <w:jc w:val="both"/>
        <w:rPr>
          <w:rFonts w:ascii="Times New Roman" w:hAnsi="Times New Roman"/>
          <w:sz w:val="24"/>
          <w:szCs w:val="24"/>
        </w:rPr>
      </w:pPr>
      <w:r w:rsidRPr="006B309F">
        <w:rPr>
          <w:rFonts w:ascii="Times New Roman" w:hAnsi="Times New Roman"/>
          <w:sz w:val="24"/>
          <w:szCs w:val="24"/>
        </w:rPr>
        <w:t>1</w:t>
      </w:r>
      <w:r w:rsidR="000B5082">
        <w:rPr>
          <w:rFonts w:ascii="Times New Roman" w:hAnsi="Times New Roman"/>
          <w:sz w:val="24"/>
          <w:szCs w:val="24"/>
        </w:rPr>
        <w:t>24</w:t>
      </w:r>
      <w:r w:rsidR="0024772E" w:rsidRPr="006B309F">
        <w:rPr>
          <w:rFonts w:ascii="Times New Roman" w:hAnsi="Times New Roman"/>
          <w:sz w:val="24"/>
          <w:szCs w:val="24"/>
        </w:rPr>
        <w:t>.</w:t>
      </w:r>
      <w:r w:rsidR="00BA3DC6" w:rsidRPr="006B309F">
        <w:rPr>
          <w:rFonts w:ascii="Times New Roman" w:hAnsi="Times New Roman"/>
          <w:sz w:val="24"/>
          <w:szCs w:val="24"/>
        </w:rPr>
        <w:tab/>
      </w:r>
      <w:r w:rsidR="00BA3DC6" w:rsidRPr="006B309F">
        <w:rPr>
          <w:rFonts w:ascii="Times New Roman" w:hAnsi="Times New Roman"/>
          <w:b/>
          <w:i/>
          <w:sz w:val="24"/>
          <w:szCs w:val="24"/>
        </w:rPr>
        <w:t>Efficience</w:t>
      </w:r>
      <w:r w:rsidR="00BA3DC6" w:rsidRPr="006B309F">
        <w:rPr>
          <w:rFonts w:ascii="Times New Roman" w:hAnsi="Times New Roman"/>
          <w:sz w:val="24"/>
          <w:szCs w:val="24"/>
        </w:rPr>
        <w:t xml:space="preserve"> : </w:t>
      </w:r>
      <w:r w:rsidR="00BE522C" w:rsidRPr="00D14941">
        <w:rPr>
          <w:rFonts w:ascii="Times New Roman" w:hAnsi="Times New Roman"/>
          <w:sz w:val="24"/>
          <w:szCs w:val="24"/>
        </w:rPr>
        <w:t>Les standards de gestion de rang international du PNUD ont favorisé l’efficience à travers une optimisation des coûts de livraison. Ce profil est encore amélioré par le fait que le Bureau puise parfois dans l’expertise corporate du PNUD (Bureaux et Centres régionaux) à des coûts inférieurs à ceux du marché, d’une part, par le recours à la logistique de la Mission sans laquelle la couverture des risques sécuritaires aurait pu être très onéreuse pour le programme, d’autre part. La mutualisation de certains services avec d’autres agences du système, au niveau central et des bureaux de terrain, permet aussi une optimisation des coûts y relatifs. L’efficience est toutefois contrariée par le morcellement du programme et l’existence d’unités parallèles de gestion de projet en marge de l’exécution nationale, de surcroît avec des pratiques de staffing insuffisamment harmonisées. Les difficultés d’un monitoring rapproché et systématique, résultant notamment du contexte sécuritaire délicat, sont également un facteur de dégradation de l’ef</w:t>
      </w:r>
      <w:r w:rsidR="00BE522C">
        <w:rPr>
          <w:rFonts w:ascii="Times New Roman" w:hAnsi="Times New Roman"/>
          <w:sz w:val="24"/>
          <w:szCs w:val="24"/>
        </w:rPr>
        <w:t>ficacité marginale du programme</w:t>
      </w:r>
      <w:r w:rsidR="00EA4AA2">
        <w:rPr>
          <w:rFonts w:ascii="Times New Roman" w:hAnsi="Times New Roman"/>
          <w:sz w:val="24"/>
          <w:szCs w:val="24"/>
        </w:rPr>
        <w:t>.</w:t>
      </w:r>
    </w:p>
    <w:p w14:paraId="31E7F245" w14:textId="77777777" w:rsidR="00BA3DC6" w:rsidRPr="006B309F" w:rsidRDefault="00BA3DC6" w:rsidP="00B96F0F">
      <w:pPr>
        <w:spacing w:after="0" w:line="240" w:lineRule="auto"/>
        <w:jc w:val="both"/>
        <w:rPr>
          <w:rFonts w:ascii="Times New Roman" w:hAnsi="Times New Roman"/>
          <w:sz w:val="24"/>
          <w:szCs w:val="24"/>
        </w:rPr>
      </w:pPr>
    </w:p>
    <w:p w14:paraId="2A4608A0" w14:textId="77777777" w:rsidR="00D007BD" w:rsidRDefault="00703603" w:rsidP="00B96F0F">
      <w:pPr>
        <w:spacing w:after="0" w:line="240" w:lineRule="auto"/>
        <w:jc w:val="both"/>
        <w:rPr>
          <w:rFonts w:ascii="Times New Roman" w:hAnsi="Times New Roman"/>
          <w:sz w:val="24"/>
          <w:szCs w:val="24"/>
        </w:rPr>
      </w:pPr>
      <w:r w:rsidRPr="006B309F">
        <w:rPr>
          <w:rFonts w:ascii="Times New Roman" w:hAnsi="Times New Roman"/>
          <w:sz w:val="24"/>
          <w:szCs w:val="24"/>
        </w:rPr>
        <w:t>1</w:t>
      </w:r>
      <w:r w:rsidR="0053405F" w:rsidRPr="006B309F">
        <w:rPr>
          <w:rFonts w:ascii="Times New Roman" w:hAnsi="Times New Roman"/>
          <w:sz w:val="24"/>
          <w:szCs w:val="24"/>
        </w:rPr>
        <w:t>2</w:t>
      </w:r>
      <w:r w:rsidR="000B5082">
        <w:rPr>
          <w:rFonts w:ascii="Times New Roman" w:hAnsi="Times New Roman"/>
          <w:sz w:val="24"/>
          <w:szCs w:val="24"/>
        </w:rPr>
        <w:t>5</w:t>
      </w:r>
      <w:r w:rsidR="0024772E" w:rsidRPr="006B309F">
        <w:rPr>
          <w:rFonts w:ascii="Times New Roman" w:hAnsi="Times New Roman"/>
          <w:sz w:val="24"/>
          <w:szCs w:val="24"/>
        </w:rPr>
        <w:t>.</w:t>
      </w:r>
      <w:r w:rsidR="00BA3DC6" w:rsidRPr="006B309F">
        <w:rPr>
          <w:rFonts w:ascii="Times New Roman" w:hAnsi="Times New Roman"/>
          <w:sz w:val="24"/>
          <w:szCs w:val="24"/>
        </w:rPr>
        <w:tab/>
      </w:r>
      <w:r w:rsidR="00BA3DC6" w:rsidRPr="006B309F">
        <w:rPr>
          <w:rFonts w:ascii="Times New Roman" w:hAnsi="Times New Roman"/>
          <w:b/>
          <w:i/>
          <w:sz w:val="24"/>
          <w:szCs w:val="24"/>
        </w:rPr>
        <w:t>Durabilité</w:t>
      </w:r>
      <w:r w:rsidR="00BA3DC6" w:rsidRPr="006B309F">
        <w:rPr>
          <w:rFonts w:ascii="Times New Roman" w:hAnsi="Times New Roman"/>
          <w:sz w:val="24"/>
          <w:szCs w:val="24"/>
        </w:rPr>
        <w:t xml:space="preserve"> : </w:t>
      </w:r>
      <w:r w:rsidR="00BE522C" w:rsidRPr="00D14941">
        <w:rPr>
          <w:rFonts w:ascii="Times New Roman" w:hAnsi="Times New Roman"/>
          <w:sz w:val="24"/>
          <w:szCs w:val="24"/>
        </w:rPr>
        <w:t xml:space="preserve">Les effets dans le domaine des capacités de pilotage stratégiques sont ancrés dans des structures nationales robustes et offrent un profil de pérennité favorable. De même, l’accompagnement prodigué à l’école de maintien de la paix ressort très bien valorisé par une structure qui s’efforce du reste de bâtir une certaine autonomie budgétaire en développant des masters attractifs. L’école de formation de la police aussi capitalise bien sur l’assistance reçue du programme et envisage même de s’ouvrir sur la sous-région pour conforter ses bases et entrevoir une certaine autonomie garante de viabilité. Le redéploiement de l’Etat de droit à l’intérieur du pays, en revanche, est sous la menace des aléas sécuritaires encore hélas importants : par exemple, les magistrats, dont le redéploiement avait commencé à améliorer les statistiques nationales d’accès à la justice, recommencent encore à se replier dans la capitale du fait de la recrudescence des violences, dans les zones du Nord et du Centre notamment. </w:t>
      </w:r>
    </w:p>
    <w:p w14:paraId="5BC5A782" w14:textId="77777777" w:rsidR="00D007BD" w:rsidRDefault="00D007BD" w:rsidP="00B96F0F">
      <w:pPr>
        <w:spacing w:after="0" w:line="240" w:lineRule="auto"/>
        <w:jc w:val="both"/>
        <w:rPr>
          <w:rFonts w:ascii="Times New Roman" w:hAnsi="Times New Roman"/>
          <w:sz w:val="24"/>
          <w:szCs w:val="24"/>
        </w:rPr>
      </w:pPr>
    </w:p>
    <w:p w14:paraId="48B807B5" w14:textId="77777777" w:rsidR="00841E28" w:rsidRDefault="000B5082" w:rsidP="00B96F0F">
      <w:pPr>
        <w:spacing w:after="0" w:line="240" w:lineRule="auto"/>
        <w:jc w:val="both"/>
        <w:rPr>
          <w:rFonts w:ascii="Times New Roman" w:hAnsi="Times New Roman"/>
          <w:sz w:val="24"/>
          <w:szCs w:val="24"/>
        </w:rPr>
      </w:pPr>
      <w:r>
        <w:rPr>
          <w:rFonts w:ascii="Times New Roman" w:hAnsi="Times New Roman"/>
          <w:sz w:val="24"/>
          <w:szCs w:val="24"/>
        </w:rPr>
        <w:t>126</w:t>
      </w:r>
      <w:r w:rsidR="00D007BD">
        <w:rPr>
          <w:rFonts w:ascii="Times New Roman" w:hAnsi="Times New Roman"/>
          <w:sz w:val="24"/>
          <w:szCs w:val="24"/>
        </w:rPr>
        <w:t>.</w:t>
      </w:r>
      <w:r w:rsidR="00D007BD">
        <w:rPr>
          <w:rFonts w:ascii="Times New Roman" w:hAnsi="Times New Roman"/>
          <w:sz w:val="24"/>
          <w:szCs w:val="24"/>
        </w:rPr>
        <w:tab/>
      </w:r>
      <w:r w:rsidR="00BE522C" w:rsidRPr="00D14941">
        <w:rPr>
          <w:rFonts w:ascii="Times New Roman" w:hAnsi="Times New Roman"/>
          <w:sz w:val="24"/>
          <w:szCs w:val="24"/>
        </w:rPr>
        <w:t xml:space="preserve">Les acquis en matière de travail parlementaire devront être consolidés d’une législature à l’autre pour tenir compte du taux de renouvellement de la chambre, à moins de mettre davantage l’accent sur le renforcement des capacités des services techniques de l’assemblée qui à leur tour prendraient mieux en charge les nouveaux élus. Les résultats en matière de cohésion et de résilience socioéconomique à la base sont tout aussi sensibles à l’évolution de la situation sécuritaire du pays. Enfin, l’avenir des acquis en matière de prévention et de gestion de la </w:t>
      </w:r>
      <w:r w:rsidR="00BE522C" w:rsidRPr="00D14941">
        <w:rPr>
          <w:rFonts w:ascii="Times New Roman" w:hAnsi="Times New Roman"/>
          <w:sz w:val="24"/>
          <w:szCs w:val="24"/>
        </w:rPr>
        <w:lastRenderedPageBreak/>
        <w:t>pandémie du Sida est fonction du niveau de réussite que pourrait connaître le transfert au pays de la gestion des ress</w:t>
      </w:r>
      <w:r w:rsidR="00BE522C">
        <w:rPr>
          <w:rFonts w:ascii="Times New Roman" w:hAnsi="Times New Roman"/>
          <w:sz w:val="24"/>
          <w:szCs w:val="24"/>
        </w:rPr>
        <w:t>ources du Fonds Mondial Santé.</w:t>
      </w:r>
      <w:r w:rsidR="00FD7127">
        <w:rPr>
          <w:rFonts w:ascii="Times New Roman" w:hAnsi="Times New Roman"/>
          <w:sz w:val="24"/>
          <w:szCs w:val="24"/>
        </w:rPr>
        <w:t xml:space="preserve"> </w:t>
      </w:r>
      <w:r w:rsidR="00841E28">
        <w:rPr>
          <w:rFonts w:ascii="Times New Roman" w:hAnsi="Times New Roman"/>
          <w:sz w:val="24"/>
          <w:szCs w:val="24"/>
        </w:rPr>
        <w:t xml:space="preserve"> </w:t>
      </w:r>
    </w:p>
    <w:p w14:paraId="570C90A8" w14:textId="77777777" w:rsidR="00841E28" w:rsidRDefault="00841E28" w:rsidP="00B96F0F">
      <w:pPr>
        <w:spacing w:after="0" w:line="240" w:lineRule="auto"/>
        <w:jc w:val="both"/>
        <w:rPr>
          <w:rFonts w:ascii="Times New Roman" w:hAnsi="Times New Roman"/>
          <w:sz w:val="24"/>
          <w:szCs w:val="24"/>
        </w:rPr>
      </w:pPr>
    </w:p>
    <w:p w14:paraId="18165812" w14:textId="77777777" w:rsidR="00BA3DC6" w:rsidRPr="006D47EF" w:rsidRDefault="00BA3DC6" w:rsidP="00B026AE">
      <w:pPr>
        <w:pStyle w:val="Titre2"/>
        <w:numPr>
          <w:ilvl w:val="0"/>
          <w:numId w:val="7"/>
        </w:numPr>
        <w:spacing w:before="0"/>
        <w:rPr>
          <w:color w:val="auto"/>
        </w:rPr>
      </w:pPr>
      <w:bookmarkStart w:id="155" w:name="_Toc499211631"/>
      <w:bookmarkStart w:id="156" w:name="_Toc499213904"/>
      <w:r w:rsidRPr="006D47EF">
        <w:rPr>
          <w:color w:val="auto"/>
        </w:rPr>
        <w:t>Leçons apprises</w:t>
      </w:r>
      <w:bookmarkEnd w:id="155"/>
      <w:bookmarkEnd w:id="156"/>
    </w:p>
    <w:p w14:paraId="2C3D789E" w14:textId="77777777" w:rsidR="00BA3DC6" w:rsidRPr="006B309F" w:rsidRDefault="00BA3DC6" w:rsidP="00B96F0F">
      <w:pPr>
        <w:spacing w:after="0" w:line="240" w:lineRule="auto"/>
        <w:rPr>
          <w:rFonts w:ascii="Times New Roman" w:hAnsi="Times New Roman"/>
          <w:sz w:val="24"/>
          <w:szCs w:val="24"/>
        </w:rPr>
      </w:pPr>
    </w:p>
    <w:p w14:paraId="4D490337" w14:textId="77777777" w:rsidR="005857C5" w:rsidRPr="006B309F" w:rsidRDefault="005857C5" w:rsidP="00D76EFA">
      <w:pPr>
        <w:pStyle w:val="Paragraphedeliste"/>
        <w:numPr>
          <w:ilvl w:val="0"/>
          <w:numId w:val="138"/>
        </w:numPr>
        <w:spacing w:after="0" w:line="240" w:lineRule="auto"/>
        <w:rPr>
          <w:rFonts w:ascii="Times New Roman" w:hAnsi="Times New Roman"/>
          <w:b/>
          <w:sz w:val="24"/>
          <w:szCs w:val="24"/>
        </w:rPr>
      </w:pPr>
      <w:r w:rsidRPr="006B309F">
        <w:rPr>
          <w:rFonts w:ascii="Times New Roman" w:hAnsi="Times New Roman"/>
          <w:b/>
          <w:i/>
          <w:sz w:val="24"/>
          <w:szCs w:val="24"/>
        </w:rPr>
        <w:t>Le</w:t>
      </w:r>
      <w:r w:rsidR="00F2306D">
        <w:rPr>
          <w:rFonts w:ascii="Times New Roman" w:hAnsi="Times New Roman"/>
          <w:b/>
          <w:i/>
          <w:sz w:val="24"/>
          <w:szCs w:val="24"/>
        </w:rPr>
        <w:t xml:space="preserve"> programme marque une présence de qualité au côté de l’Etat dans des domaines critiques et contribue à y contrer des valeurs ajoutées décisives</w:t>
      </w:r>
      <w:r w:rsidRPr="006B309F">
        <w:rPr>
          <w:rFonts w:ascii="Times New Roman" w:hAnsi="Times New Roman"/>
          <w:b/>
          <w:sz w:val="24"/>
          <w:szCs w:val="24"/>
        </w:rPr>
        <w:t>.</w:t>
      </w:r>
    </w:p>
    <w:p w14:paraId="050D2934" w14:textId="77777777" w:rsidR="005857C5" w:rsidRPr="006B309F" w:rsidRDefault="005857C5" w:rsidP="005857C5">
      <w:pPr>
        <w:spacing w:after="0" w:line="240" w:lineRule="auto"/>
        <w:rPr>
          <w:rFonts w:ascii="Times New Roman" w:hAnsi="Times New Roman"/>
          <w:sz w:val="24"/>
          <w:szCs w:val="24"/>
        </w:rPr>
      </w:pPr>
    </w:p>
    <w:p w14:paraId="64F269A9" w14:textId="77777777" w:rsidR="005857C5" w:rsidRPr="006B309F" w:rsidRDefault="000B5082" w:rsidP="005857C5">
      <w:pPr>
        <w:spacing w:after="0" w:line="240" w:lineRule="auto"/>
        <w:jc w:val="both"/>
        <w:rPr>
          <w:rFonts w:ascii="Times New Roman" w:hAnsi="Times New Roman"/>
          <w:sz w:val="24"/>
          <w:szCs w:val="24"/>
        </w:rPr>
      </w:pPr>
      <w:r>
        <w:rPr>
          <w:rFonts w:ascii="Times New Roman" w:hAnsi="Times New Roman"/>
          <w:sz w:val="24"/>
          <w:szCs w:val="24"/>
        </w:rPr>
        <w:t>127</w:t>
      </w:r>
      <w:r w:rsidR="0053405F" w:rsidRPr="006B309F">
        <w:rPr>
          <w:rFonts w:ascii="Times New Roman" w:hAnsi="Times New Roman"/>
          <w:sz w:val="24"/>
          <w:szCs w:val="24"/>
        </w:rPr>
        <w:t>.</w:t>
      </w:r>
      <w:r w:rsidR="005857C5" w:rsidRPr="006B309F">
        <w:rPr>
          <w:rFonts w:ascii="Times New Roman" w:hAnsi="Times New Roman"/>
          <w:sz w:val="24"/>
          <w:szCs w:val="24"/>
        </w:rPr>
        <w:tab/>
      </w:r>
      <w:r w:rsidR="00F60F9A" w:rsidRPr="00D14941">
        <w:rPr>
          <w:rFonts w:ascii="Times New Roman" w:hAnsi="Times New Roman"/>
          <w:sz w:val="24"/>
          <w:szCs w:val="24"/>
        </w:rPr>
        <w:t>Qu’il s’agisse du développement de capacités stratégiques de pilotage de l’économie, de la gestion environnementale, de la cohésion nationale, de la gouvernance et de la consolidation de l’Etat de droit, ou encore de la formation de potentiels de résilience au bénéfice des populations à la base, le programme déroule une présence continue et robuste dans le pays. Elle est d’autant plus appréciée et crée du résultat, qu’elle conserve une flexibilité de mise en œuvre qui fait que le PNUD est souvent décrit par les nationaux comme le recours de confiance.</w:t>
      </w:r>
    </w:p>
    <w:p w14:paraId="42CC53F5" w14:textId="77777777" w:rsidR="005857C5" w:rsidRPr="006B309F" w:rsidRDefault="005857C5" w:rsidP="005857C5">
      <w:pPr>
        <w:spacing w:after="0" w:line="240" w:lineRule="auto"/>
        <w:rPr>
          <w:rFonts w:ascii="Times New Roman" w:hAnsi="Times New Roman"/>
          <w:sz w:val="24"/>
          <w:szCs w:val="24"/>
        </w:rPr>
      </w:pPr>
    </w:p>
    <w:p w14:paraId="33BDB67F" w14:textId="77777777" w:rsidR="005857C5" w:rsidRPr="006B309F" w:rsidRDefault="007A2CFA" w:rsidP="00D76EFA">
      <w:pPr>
        <w:pStyle w:val="Paragraphedeliste"/>
        <w:numPr>
          <w:ilvl w:val="0"/>
          <w:numId w:val="138"/>
        </w:numPr>
        <w:spacing w:after="0" w:line="240" w:lineRule="auto"/>
        <w:rPr>
          <w:rFonts w:ascii="Times New Roman" w:hAnsi="Times New Roman"/>
          <w:i/>
          <w:sz w:val="24"/>
          <w:szCs w:val="24"/>
        </w:rPr>
      </w:pPr>
      <w:r>
        <w:rPr>
          <w:rFonts w:ascii="Times New Roman" w:hAnsi="Times New Roman"/>
          <w:b/>
          <w:i/>
          <w:sz w:val="24"/>
          <w:szCs w:val="24"/>
        </w:rPr>
        <w:t>Les entités nationales montrent une remarquable tendance à se retourner vers le PNUD pour contourner ou relativiser une exécution nationale source d’inertie à leurs yeux : ce tropisme ne favorise hélas pas l’appropriation et le développement de capacités</w:t>
      </w:r>
      <w:r w:rsidR="005857C5" w:rsidRPr="006B309F">
        <w:rPr>
          <w:rFonts w:ascii="Times New Roman" w:hAnsi="Times New Roman"/>
          <w:i/>
          <w:sz w:val="24"/>
          <w:szCs w:val="24"/>
        </w:rPr>
        <w:t>.</w:t>
      </w:r>
    </w:p>
    <w:p w14:paraId="100EED79" w14:textId="77777777" w:rsidR="008C32A6" w:rsidRDefault="008C32A6" w:rsidP="008C32A6">
      <w:pPr>
        <w:spacing w:after="0" w:line="240" w:lineRule="auto"/>
        <w:jc w:val="both"/>
        <w:rPr>
          <w:rFonts w:ascii="Times New Roman" w:hAnsi="Times New Roman"/>
          <w:sz w:val="24"/>
          <w:szCs w:val="24"/>
        </w:rPr>
      </w:pPr>
    </w:p>
    <w:p w14:paraId="27B8EB70" w14:textId="77777777" w:rsidR="005857C5" w:rsidRPr="006B309F" w:rsidRDefault="000B5082" w:rsidP="008C32A6">
      <w:pPr>
        <w:spacing w:after="0" w:line="240" w:lineRule="auto"/>
        <w:jc w:val="both"/>
        <w:rPr>
          <w:rFonts w:ascii="Times New Roman" w:hAnsi="Times New Roman"/>
          <w:sz w:val="24"/>
          <w:szCs w:val="24"/>
        </w:rPr>
      </w:pPr>
      <w:r>
        <w:rPr>
          <w:rFonts w:ascii="Times New Roman" w:hAnsi="Times New Roman"/>
          <w:sz w:val="24"/>
          <w:szCs w:val="24"/>
        </w:rPr>
        <w:t>128</w:t>
      </w:r>
      <w:r w:rsidR="00D007BD">
        <w:rPr>
          <w:rFonts w:ascii="Times New Roman" w:hAnsi="Times New Roman"/>
          <w:sz w:val="24"/>
          <w:szCs w:val="24"/>
        </w:rPr>
        <w:t>.</w:t>
      </w:r>
      <w:r w:rsidR="008C32A6">
        <w:rPr>
          <w:rFonts w:ascii="Times New Roman" w:hAnsi="Times New Roman"/>
          <w:sz w:val="24"/>
          <w:szCs w:val="24"/>
        </w:rPr>
        <w:tab/>
      </w:r>
      <w:r w:rsidR="00D22B9D">
        <w:rPr>
          <w:rFonts w:ascii="Times New Roman" w:hAnsi="Times New Roman"/>
          <w:sz w:val="24"/>
          <w:szCs w:val="24"/>
        </w:rPr>
        <w:t xml:space="preserve">Il est tout aussi remarquable que malgré la prévalence de la modalité d’exécution nationale dans la coopération avec le pays, les agences nationales partenaires se retournent parfois, voire souvent, vers le PNUD pour demander elles-mêmes qu’il soit dérogé à cette règle. Certes cette pratique arrange tout le monde : la partie nationale s’exonère des procédures nationales réputées chronophages ; le PNUD améliore son </w:t>
      </w:r>
      <w:r w:rsidR="00F60F9A">
        <w:rPr>
          <w:rFonts w:ascii="Times New Roman" w:hAnsi="Times New Roman"/>
          <w:sz w:val="24"/>
          <w:szCs w:val="24"/>
        </w:rPr>
        <w:t>"</w:t>
      </w:r>
      <w:r w:rsidR="00D22B9D" w:rsidRPr="00D57C56">
        <w:rPr>
          <w:rFonts w:ascii="Times New Roman" w:hAnsi="Times New Roman"/>
          <w:sz w:val="24"/>
          <w:szCs w:val="24"/>
        </w:rPr>
        <w:t>delivery</w:t>
      </w:r>
      <w:r w:rsidR="00F60F9A">
        <w:rPr>
          <w:rFonts w:ascii="Times New Roman" w:hAnsi="Times New Roman"/>
          <w:sz w:val="24"/>
          <w:szCs w:val="24"/>
        </w:rPr>
        <w:t>"</w:t>
      </w:r>
      <w:r w:rsidR="00D22B9D">
        <w:rPr>
          <w:rFonts w:ascii="Times New Roman" w:hAnsi="Times New Roman"/>
          <w:sz w:val="24"/>
          <w:szCs w:val="24"/>
        </w:rPr>
        <w:t xml:space="preserve"> en g</w:t>
      </w:r>
      <w:r w:rsidR="008C32A6">
        <w:rPr>
          <w:rFonts w:ascii="Times New Roman" w:hAnsi="Times New Roman"/>
          <w:sz w:val="24"/>
          <w:szCs w:val="24"/>
        </w:rPr>
        <w:t>a</w:t>
      </w:r>
      <w:r w:rsidR="00D22B9D">
        <w:rPr>
          <w:rFonts w:ascii="Times New Roman" w:hAnsi="Times New Roman"/>
          <w:sz w:val="24"/>
          <w:szCs w:val="24"/>
        </w:rPr>
        <w:t>gnant du temps.</w:t>
      </w:r>
      <w:r w:rsidR="008C32A6">
        <w:rPr>
          <w:rFonts w:ascii="Times New Roman" w:hAnsi="Times New Roman"/>
          <w:sz w:val="24"/>
          <w:szCs w:val="24"/>
        </w:rPr>
        <w:t xml:space="preserve"> Il est toutefois à craindre que cet usage ne favorise ni l’appropriation ni un véritable développement de capacités.</w:t>
      </w:r>
    </w:p>
    <w:p w14:paraId="7C2CEF2A" w14:textId="77777777" w:rsidR="005857C5" w:rsidRPr="006B309F" w:rsidRDefault="005857C5" w:rsidP="005857C5">
      <w:pPr>
        <w:spacing w:after="0" w:line="240" w:lineRule="auto"/>
        <w:rPr>
          <w:rFonts w:ascii="Times New Roman" w:hAnsi="Times New Roman"/>
          <w:sz w:val="24"/>
          <w:szCs w:val="24"/>
        </w:rPr>
      </w:pPr>
    </w:p>
    <w:p w14:paraId="62E02966" w14:textId="77777777" w:rsidR="005857C5" w:rsidRPr="006B309F" w:rsidRDefault="003C24CD" w:rsidP="00D76EFA">
      <w:pPr>
        <w:pStyle w:val="Paragraphedeliste"/>
        <w:numPr>
          <w:ilvl w:val="0"/>
          <w:numId w:val="138"/>
        </w:numPr>
        <w:spacing w:after="0" w:line="240" w:lineRule="auto"/>
        <w:jc w:val="both"/>
        <w:rPr>
          <w:rFonts w:ascii="Times New Roman" w:hAnsi="Times New Roman"/>
          <w:sz w:val="24"/>
          <w:szCs w:val="24"/>
        </w:rPr>
      </w:pPr>
      <w:r>
        <w:rPr>
          <w:rFonts w:ascii="Times New Roman" w:hAnsi="Times New Roman"/>
          <w:b/>
          <w:i/>
          <w:sz w:val="24"/>
          <w:szCs w:val="24"/>
        </w:rPr>
        <w:t>L’émiettement de certains segments du portefeuille ne favorise pas des effets robustes et génère au contraire des surcoûts d’opération allant à l’encontre des exigences d’efficience</w:t>
      </w:r>
      <w:r w:rsidR="005857C5" w:rsidRPr="006B309F">
        <w:rPr>
          <w:rFonts w:ascii="Times New Roman" w:hAnsi="Times New Roman"/>
          <w:sz w:val="24"/>
          <w:szCs w:val="24"/>
        </w:rPr>
        <w:t>.</w:t>
      </w:r>
    </w:p>
    <w:p w14:paraId="4CA113BB" w14:textId="77777777" w:rsidR="0053405F" w:rsidRPr="006B309F" w:rsidRDefault="0053405F" w:rsidP="005857C5">
      <w:pPr>
        <w:spacing w:after="0" w:line="240" w:lineRule="auto"/>
        <w:jc w:val="both"/>
        <w:rPr>
          <w:rFonts w:ascii="Times New Roman" w:hAnsi="Times New Roman"/>
          <w:sz w:val="24"/>
          <w:szCs w:val="24"/>
        </w:rPr>
      </w:pPr>
    </w:p>
    <w:p w14:paraId="5A7ED96E" w14:textId="77777777" w:rsidR="005857C5" w:rsidRPr="006B309F" w:rsidRDefault="0053405F" w:rsidP="005857C5">
      <w:pPr>
        <w:spacing w:after="0" w:line="240" w:lineRule="auto"/>
        <w:jc w:val="both"/>
        <w:rPr>
          <w:rFonts w:ascii="Times New Roman" w:hAnsi="Times New Roman"/>
          <w:sz w:val="24"/>
          <w:szCs w:val="24"/>
        </w:rPr>
      </w:pPr>
      <w:r w:rsidRPr="006B309F">
        <w:rPr>
          <w:rFonts w:ascii="Times New Roman" w:hAnsi="Times New Roman"/>
          <w:sz w:val="24"/>
          <w:szCs w:val="24"/>
        </w:rPr>
        <w:t>1</w:t>
      </w:r>
      <w:r w:rsidR="000B5082">
        <w:rPr>
          <w:rFonts w:ascii="Times New Roman" w:hAnsi="Times New Roman"/>
          <w:sz w:val="24"/>
          <w:szCs w:val="24"/>
        </w:rPr>
        <w:t>29</w:t>
      </w:r>
      <w:r w:rsidRPr="006B309F">
        <w:rPr>
          <w:rFonts w:ascii="Times New Roman" w:hAnsi="Times New Roman"/>
          <w:sz w:val="24"/>
          <w:szCs w:val="24"/>
        </w:rPr>
        <w:t>.</w:t>
      </w:r>
      <w:r w:rsidR="005857C5" w:rsidRPr="006B309F">
        <w:rPr>
          <w:rFonts w:ascii="Times New Roman" w:hAnsi="Times New Roman"/>
          <w:sz w:val="24"/>
          <w:szCs w:val="24"/>
        </w:rPr>
        <w:tab/>
      </w:r>
      <w:r w:rsidR="008C32A6">
        <w:rPr>
          <w:rFonts w:ascii="Times New Roman" w:hAnsi="Times New Roman"/>
          <w:sz w:val="24"/>
          <w:szCs w:val="24"/>
        </w:rPr>
        <w:t xml:space="preserve">Le portefeuille se découvre fortement émietté à certains endroits. Le cluster Environnement offre une illustration achevée de cette situation, avec par exemple, pas moins de 7 petits projets ancrés à l’Agence de l’Environnement et du Développement Durable. Cet éclatement ne favorise pas une réelle densité d’effets, les interventions étant cloisonnées entre elle malgré une tutelle unique. De surcroît, </w:t>
      </w:r>
      <w:r w:rsidR="00035A0E">
        <w:rPr>
          <w:rFonts w:ascii="Times New Roman" w:hAnsi="Times New Roman"/>
          <w:sz w:val="24"/>
          <w:szCs w:val="24"/>
        </w:rPr>
        <w:t>chacune étant dotée d’une coordination technique parallèle, toutes contribuent à un renchérissement des coûts d’opération qui finit par mordre dans l’efficience du programme.</w:t>
      </w:r>
    </w:p>
    <w:p w14:paraId="4F682B66" w14:textId="77777777" w:rsidR="005857C5" w:rsidRPr="006B309F" w:rsidRDefault="005857C5" w:rsidP="005857C5">
      <w:pPr>
        <w:spacing w:after="0" w:line="240" w:lineRule="auto"/>
        <w:jc w:val="both"/>
        <w:rPr>
          <w:rFonts w:ascii="Times New Roman" w:hAnsi="Times New Roman"/>
          <w:sz w:val="24"/>
          <w:szCs w:val="24"/>
        </w:rPr>
      </w:pPr>
    </w:p>
    <w:p w14:paraId="6A55CB1C" w14:textId="77777777" w:rsidR="00350348" w:rsidRDefault="00350348">
      <w:pPr>
        <w:spacing w:after="0" w:line="240" w:lineRule="auto"/>
        <w:rPr>
          <w:rFonts w:ascii="Times New Roman" w:hAnsi="Times New Roman"/>
          <w:sz w:val="14"/>
          <w:szCs w:val="14"/>
        </w:rPr>
      </w:pPr>
      <w:r>
        <w:rPr>
          <w:rFonts w:ascii="Times New Roman" w:hAnsi="Times New Roman"/>
          <w:sz w:val="14"/>
          <w:szCs w:val="14"/>
        </w:rPr>
        <w:br w:type="page"/>
      </w:r>
    </w:p>
    <w:p w14:paraId="785DCFF4" w14:textId="77777777" w:rsidR="00BA3DC6" w:rsidRPr="006B309F" w:rsidRDefault="00BA3DC6" w:rsidP="00B96F0F">
      <w:pPr>
        <w:spacing w:after="0" w:line="240" w:lineRule="auto"/>
        <w:jc w:val="both"/>
        <w:rPr>
          <w:rFonts w:ascii="Times New Roman" w:hAnsi="Times New Roman"/>
          <w:sz w:val="14"/>
          <w:szCs w:val="14"/>
        </w:rPr>
      </w:pPr>
    </w:p>
    <w:p w14:paraId="41FFBB3A" w14:textId="77777777" w:rsidR="00BA3DC6" w:rsidRPr="006B309F" w:rsidRDefault="00BA3DC6" w:rsidP="00B026AE">
      <w:pPr>
        <w:pStyle w:val="Titre2"/>
        <w:numPr>
          <w:ilvl w:val="0"/>
          <w:numId w:val="7"/>
        </w:numPr>
        <w:spacing w:before="0"/>
        <w:rPr>
          <w:color w:val="auto"/>
        </w:rPr>
      </w:pPr>
      <w:bookmarkStart w:id="157" w:name="_Toc499211632"/>
      <w:bookmarkStart w:id="158" w:name="_Toc499213905"/>
      <w:r w:rsidRPr="006B309F">
        <w:rPr>
          <w:color w:val="auto"/>
        </w:rPr>
        <w:t>Recommandations</w:t>
      </w:r>
      <w:bookmarkEnd w:id="157"/>
      <w:bookmarkEnd w:id="158"/>
    </w:p>
    <w:p w14:paraId="0ABE7604" w14:textId="77777777" w:rsidR="003A5883" w:rsidRDefault="003A5883" w:rsidP="003A5883">
      <w:pPr>
        <w:spacing w:after="0" w:line="240" w:lineRule="auto"/>
        <w:jc w:val="both"/>
        <w:rPr>
          <w:rFonts w:ascii="Times New Roman" w:hAnsi="Times New Roman"/>
          <w:sz w:val="24"/>
          <w:szCs w:val="24"/>
        </w:rPr>
      </w:pPr>
    </w:p>
    <w:p w14:paraId="47C2380B" w14:textId="77777777" w:rsidR="003A5883" w:rsidRPr="003A5883" w:rsidRDefault="003A5883" w:rsidP="00D76EFA">
      <w:pPr>
        <w:pStyle w:val="Paragraphedeliste"/>
        <w:numPr>
          <w:ilvl w:val="0"/>
          <w:numId w:val="139"/>
        </w:numPr>
        <w:spacing w:after="0" w:line="240" w:lineRule="auto"/>
        <w:jc w:val="both"/>
        <w:rPr>
          <w:rFonts w:ascii="Times New Roman" w:hAnsi="Times New Roman"/>
          <w:b/>
          <w:i/>
          <w:sz w:val="24"/>
          <w:szCs w:val="24"/>
        </w:rPr>
      </w:pPr>
      <w:r w:rsidRPr="003A5883">
        <w:rPr>
          <w:rFonts w:ascii="Times New Roman" w:hAnsi="Times New Roman"/>
          <w:b/>
          <w:i/>
          <w:sz w:val="24"/>
          <w:szCs w:val="24"/>
        </w:rPr>
        <w:t>Améliorer l’efficience du programme par une rationalisation des unités parallèle</w:t>
      </w:r>
      <w:r w:rsidR="00D6196D">
        <w:rPr>
          <w:rFonts w:ascii="Times New Roman" w:hAnsi="Times New Roman"/>
          <w:b/>
          <w:i/>
          <w:sz w:val="24"/>
          <w:szCs w:val="24"/>
        </w:rPr>
        <w:t>s</w:t>
      </w:r>
      <w:r w:rsidRPr="003A5883">
        <w:rPr>
          <w:rFonts w:ascii="Times New Roman" w:hAnsi="Times New Roman"/>
          <w:b/>
          <w:i/>
          <w:sz w:val="24"/>
          <w:szCs w:val="24"/>
        </w:rPr>
        <w:t xml:space="preserve"> de gestion.</w:t>
      </w:r>
    </w:p>
    <w:p w14:paraId="00ECC781" w14:textId="77777777" w:rsidR="003A5883" w:rsidRDefault="003A5883" w:rsidP="003A5883">
      <w:pPr>
        <w:spacing w:after="0" w:line="240" w:lineRule="auto"/>
        <w:jc w:val="both"/>
        <w:rPr>
          <w:rFonts w:ascii="Times New Roman" w:hAnsi="Times New Roman"/>
          <w:sz w:val="24"/>
          <w:szCs w:val="24"/>
        </w:rPr>
      </w:pPr>
    </w:p>
    <w:p w14:paraId="16AE5A9C" w14:textId="77777777" w:rsidR="003A5883" w:rsidRDefault="000B5082" w:rsidP="003A5883">
      <w:pPr>
        <w:spacing w:after="0" w:line="240" w:lineRule="auto"/>
        <w:jc w:val="both"/>
        <w:rPr>
          <w:rFonts w:ascii="Times New Roman" w:hAnsi="Times New Roman"/>
          <w:sz w:val="24"/>
          <w:szCs w:val="24"/>
        </w:rPr>
      </w:pPr>
      <w:r>
        <w:rPr>
          <w:rFonts w:ascii="Times New Roman" w:hAnsi="Times New Roman"/>
          <w:sz w:val="24"/>
          <w:szCs w:val="24"/>
        </w:rPr>
        <w:t>130</w:t>
      </w:r>
      <w:r w:rsidR="00D007BD">
        <w:rPr>
          <w:rFonts w:ascii="Times New Roman" w:hAnsi="Times New Roman"/>
          <w:sz w:val="24"/>
          <w:szCs w:val="24"/>
        </w:rPr>
        <w:t>.</w:t>
      </w:r>
      <w:r w:rsidR="003A5883">
        <w:rPr>
          <w:rFonts w:ascii="Times New Roman" w:hAnsi="Times New Roman"/>
          <w:sz w:val="24"/>
          <w:szCs w:val="24"/>
        </w:rPr>
        <w:tab/>
      </w:r>
      <w:r w:rsidR="00F60F9A" w:rsidRPr="00D14941">
        <w:rPr>
          <w:rFonts w:ascii="Times New Roman" w:hAnsi="Times New Roman"/>
          <w:sz w:val="24"/>
          <w:szCs w:val="24"/>
        </w:rPr>
        <w:t>Elles doivent être limités au minimum incompressible, au lieu de la situation actuelle où une multitude de micro interventions sont dotées de coordinations techniques régulièrement installées et rémunérées aux frais du programme, sur des ressources qui n’arrivent donc pas à leurs bénéficiaires plus légitimes. Pour les rares qui seront conservées, sans doute pour aider à gérer des programmes de large emprise, il faudra harmoniser leur cadre de fonctionnement et leurs registres de coûts, d’accord partie avec non seulement la partie nationale, mais aussi, si possible, avec les autres agences UN, voire plus globalement la communauté locale des partenaires au développement.</w:t>
      </w:r>
    </w:p>
    <w:p w14:paraId="39D6D5BC" w14:textId="77777777" w:rsidR="003A5883" w:rsidRDefault="003A5883" w:rsidP="003A5883">
      <w:pPr>
        <w:spacing w:after="0" w:line="240" w:lineRule="auto"/>
        <w:jc w:val="both"/>
        <w:rPr>
          <w:rFonts w:ascii="Times New Roman" w:hAnsi="Times New Roman"/>
          <w:sz w:val="24"/>
          <w:szCs w:val="24"/>
        </w:rPr>
      </w:pPr>
    </w:p>
    <w:p w14:paraId="01D26215" w14:textId="77777777" w:rsidR="00F60F9A" w:rsidRPr="00D14941" w:rsidRDefault="00F60F9A" w:rsidP="00F60F9A">
      <w:pPr>
        <w:rPr>
          <w:rFonts w:ascii="Times New Roman" w:hAnsi="Times New Roman"/>
          <w:sz w:val="24"/>
          <w:szCs w:val="24"/>
        </w:rPr>
      </w:pPr>
    </w:p>
    <w:p w14:paraId="7F097413" w14:textId="77777777" w:rsidR="00F60F9A" w:rsidRPr="00D14941" w:rsidRDefault="00F60F9A" w:rsidP="00F60F9A">
      <w:pPr>
        <w:numPr>
          <w:ilvl w:val="0"/>
          <w:numId w:val="142"/>
        </w:numPr>
        <w:contextualSpacing/>
        <w:rPr>
          <w:rFonts w:ascii="Times New Roman" w:hAnsi="Times New Roman"/>
          <w:b/>
          <w:i/>
          <w:sz w:val="24"/>
          <w:szCs w:val="24"/>
        </w:rPr>
      </w:pPr>
      <w:r w:rsidRPr="00D14941">
        <w:rPr>
          <w:rFonts w:ascii="Times New Roman" w:hAnsi="Times New Roman"/>
          <w:b/>
          <w:i/>
          <w:sz w:val="24"/>
          <w:szCs w:val="24"/>
        </w:rPr>
        <w:t>Améliorer le suivi-évaluation et le reporting sur le programme, pour en accroire le rendement et le dialogue avec les partenaires.</w:t>
      </w:r>
    </w:p>
    <w:p w14:paraId="28B702CE" w14:textId="77777777" w:rsidR="00F60F9A" w:rsidRPr="00D14941" w:rsidRDefault="00F60F9A" w:rsidP="00F60F9A">
      <w:pPr>
        <w:rPr>
          <w:rFonts w:ascii="Times New Roman" w:hAnsi="Times New Roman"/>
          <w:sz w:val="24"/>
          <w:szCs w:val="24"/>
        </w:rPr>
      </w:pPr>
    </w:p>
    <w:p w14:paraId="0FF353A8" w14:textId="77777777" w:rsidR="00F60F9A" w:rsidRPr="00D14941" w:rsidRDefault="00920E8E" w:rsidP="00F60F9A">
      <w:pPr>
        <w:rPr>
          <w:rFonts w:ascii="Times New Roman" w:hAnsi="Times New Roman"/>
          <w:sz w:val="24"/>
          <w:szCs w:val="24"/>
        </w:rPr>
      </w:pPr>
      <w:r>
        <w:rPr>
          <w:rFonts w:ascii="Times New Roman" w:hAnsi="Times New Roman"/>
          <w:sz w:val="24"/>
          <w:szCs w:val="24"/>
        </w:rPr>
        <w:t>13</w:t>
      </w:r>
      <w:r w:rsidR="000B5082">
        <w:rPr>
          <w:rFonts w:ascii="Times New Roman" w:hAnsi="Times New Roman"/>
          <w:sz w:val="24"/>
          <w:szCs w:val="24"/>
        </w:rPr>
        <w:t>1</w:t>
      </w:r>
      <w:r w:rsidR="00F60F9A" w:rsidRPr="00D14941">
        <w:rPr>
          <w:rFonts w:ascii="Times New Roman" w:hAnsi="Times New Roman"/>
          <w:sz w:val="24"/>
          <w:szCs w:val="24"/>
        </w:rPr>
        <w:t>.</w:t>
      </w:r>
      <w:r w:rsidR="00F60F9A" w:rsidRPr="00D14941">
        <w:rPr>
          <w:rFonts w:ascii="Times New Roman" w:hAnsi="Times New Roman"/>
          <w:sz w:val="24"/>
          <w:szCs w:val="24"/>
        </w:rPr>
        <w:tab/>
        <w:t>Le suivi opérationnel du portefeuille, exécuté par les partenaires d’exécution étatiques ou venant de la société civile doit être amélioré : ces partenaires doivent sentir plus souvent la présence du PNUD sur le terrain, en tenant compte naturellement des contraintes sécuritaires. En aval ce suivi rapproché doit se traduire un reporting amélioré, tenant compte des besoins d’information des bailleurs de fonds du programme, même si l’on reste dans les principes de responsabilité et de souveraineté du PNUD en matière de gestion des ressources qui lui sont confiées.</w:t>
      </w:r>
    </w:p>
    <w:p w14:paraId="04DD1E10" w14:textId="77777777" w:rsidR="00F60F9A" w:rsidRDefault="00F60F9A" w:rsidP="003A5883">
      <w:pPr>
        <w:spacing w:after="0" w:line="240" w:lineRule="auto"/>
        <w:jc w:val="both"/>
        <w:rPr>
          <w:rFonts w:ascii="Times New Roman" w:hAnsi="Times New Roman"/>
          <w:sz w:val="24"/>
          <w:szCs w:val="24"/>
        </w:rPr>
      </w:pPr>
    </w:p>
    <w:p w14:paraId="31D710F9" w14:textId="77777777" w:rsidR="003A5883" w:rsidRDefault="003A5883" w:rsidP="003D53F5">
      <w:pPr>
        <w:spacing w:after="0" w:line="240" w:lineRule="auto"/>
        <w:jc w:val="both"/>
        <w:rPr>
          <w:rFonts w:ascii="Times New Roman" w:hAnsi="Times New Roman"/>
          <w:sz w:val="24"/>
          <w:szCs w:val="24"/>
        </w:rPr>
      </w:pPr>
    </w:p>
    <w:p w14:paraId="22B2ED09" w14:textId="77777777" w:rsidR="00035A0E" w:rsidRPr="003A5883" w:rsidRDefault="00AA1C52" w:rsidP="00F60F9A">
      <w:pPr>
        <w:pStyle w:val="Paragraphedeliste"/>
        <w:numPr>
          <w:ilvl w:val="0"/>
          <w:numId w:val="143"/>
        </w:numPr>
        <w:spacing w:after="0" w:line="240" w:lineRule="auto"/>
        <w:jc w:val="both"/>
        <w:rPr>
          <w:rFonts w:ascii="Times New Roman" w:hAnsi="Times New Roman"/>
          <w:b/>
          <w:i/>
          <w:sz w:val="24"/>
          <w:szCs w:val="24"/>
        </w:rPr>
      </w:pPr>
      <w:r w:rsidRPr="003A5883">
        <w:rPr>
          <w:rFonts w:ascii="Times New Roman" w:hAnsi="Times New Roman"/>
          <w:b/>
          <w:i/>
          <w:sz w:val="24"/>
          <w:szCs w:val="24"/>
        </w:rPr>
        <w:t>Valoriser l’expertise genre dans la formulation de nouveaux projets et l’écriture des plans de travail des projets en cours, pour y refléter la transversalité de cette dimension</w:t>
      </w:r>
    </w:p>
    <w:p w14:paraId="453C3E2C" w14:textId="77777777" w:rsidR="00AA1C52" w:rsidRPr="0042175A" w:rsidRDefault="00AA1C52" w:rsidP="003D53F5">
      <w:pPr>
        <w:spacing w:after="0" w:line="240" w:lineRule="auto"/>
        <w:jc w:val="both"/>
        <w:rPr>
          <w:rFonts w:ascii="Times New Roman" w:hAnsi="Times New Roman"/>
          <w:sz w:val="24"/>
          <w:szCs w:val="24"/>
        </w:rPr>
      </w:pPr>
    </w:p>
    <w:p w14:paraId="3329F7E6" w14:textId="77777777" w:rsidR="00AA1C52" w:rsidRPr="0042175A" w:rsidRDefault="00D007BD" w:rsidP="003D53F5">
      <w:pPr>
        <w:spacing w:after="0" w:line="240" w:lineRule="auto"/>
        <w:jc w:val="both"/>
        <w:rPr>
          <w:rFonts w:ascii="Times New Roman" w:hAnsi="Times New Roman"/>
          <w:sz w:val="24"/>
          <w:szCs w:val="24"/>
        </w:rPr>
      </w:pPr>
      <w:r>
        <w:rPr>
          <w:rFonts w:ascii="Times New Roman" w:hAnsi="Times New Roman"/>
          <w:sz w:val="24"/>
          <w:szCs w:val="24"/>
        </w:rPr>
        <w:t>13</w:t>
      </w:r>
      <w:r w:rsidR="00394FF5">
        <w:rPr>
          <w:rFonts w:ascii="Times New Roman" w:hAnsi="Times New Roman"/>
          <w:sz w:val="24"/>
          <w:szCs w:val="24"/>
        </w:rPr>
        <w:t>2</w:t>
      </w:r>
      <w:r>
        <w:rPr>
          <w:rFonts w:ascii="Times New Roman" w:hAnsi="Times New Roman"/>
          <w:sz w:val="24"/>
          <w:szCs w:val="24"/>
        </w:rPr>
        <w:t>.</w:t>
      </w:r>
      <w:r w:rsidR="00AA1C52" w:rsidRPr="0042175A">
        <w:rPr>
          <w:rFonts w:ascii="Times New Roman" w:hAnsi="Times New Roman"/>
          <w:sz w:val="24"/>
          <w:szCs w:val="24"/>
        </w:rPr>
        <w:tab/>
      </w:r>
      <w:r w:rsidR="00F60F9A" w:rsidRPr="00D14941">
        <w:rPr>
          <w:rFonts w:ascii="Times New Roman" w:hAnsi="Times New Roman"/>
          <w:sz w:val="24"/>
          <w:szCs w:val="24"/>
        </w:rPr>
        <w:t>Cette expertise doit être mieux ressentie dans le programme, en termes d’appui à l’insertion dans les stratégies des projets de contenus capables de faire bouger les lignes dans la promotion de l’équité de genre : il faut dépasser le réflexe courant de se satisfaire de constater que les femmes sont naturellement bien représentées parmi telles cibles ; cette présence massive dans certains domaines ne leur confère pas pour autant une maîtrise équivalente dans les superstructures de gestion de leur environnement de cibles. L’expertise genre doit donc être vigilante et imaginative pour inscrire systématiquement dans les plans de travail des approches hardies de la question de l’autonomisation des femmes qui ne se ramène pas au simple fait, pour elles, d’être des bénéficiaires numériquement importants.</w:t>
      </w:r>
    </w:p>
    <w:p w14:paraId="6C180B31" w14:textId="77777777" w:rsidR="00035A0E" w:rsidRPr="0042175A" w:rsidRDefault="00035A0E" w:rsidP="003D53F5">
      <w:pPr>
        <w:spacing w:after="0" w:line="240" w:lineRule="auto"/>
        <w:jc w:val="both"/>
        <w:rPr>
          <w:rFonts w:ascii="Times New Roman" w:hAnsi="Times New Roman"/>
          <w:sz w:val="24"/>
          <w:szCs w:val="24"/>
        </w:rPr>
      </w:pPr>
    </w:p>
    <w:p w14:paraId="7172526E" w14:textId="77777777" w:rsidR="005442DA" w:rsidRPr="003A5883" w:rsidRDefault="005442DA" w:rsidP="00F60F9A">
      <w:pPr>
        <w:pStyle w:val="Paragraphedeliste"/>
        <w:numPr>
          <w:ilvl w:val="0"/>
          <w:numId w:val="143"/>
        </w:numPr>
        <w:spacing w:after="0" w:line="240" w:lineRule="auto"/>
        <w:jc w:val="both"/>
        <w:rPr>
          <w:rFonts w:ascii="Times New Roman" w:hAnsi="Times New Roman"/>
          <w:b/>
          <w:i/>
          <w:sz w:val="24"/>
          <w:szCs w:val="24"/>
        </w:rPr>
      </w:pPr>
      <w:r w:rsidRPr="003A5883">
        <w:rPr>
          <w:rFonts w:ascii="Times New Roman" w:hAnsi="Times New Roman"/>
          <w:b/>
          <w:i/>
          <w:sz w:val="24"/>
          <w:szCs w:val="24"/>
        </w:rPr>
        <w:t>Donner à la c</w:t>
      </w:r>
      <w:r w:rsidR="00035A0E" w:rsidRPr="003A5883">
        <w:rPr>
          <w:rFonts w:ascii="Times New Roman" w:hAnsi="Times New Roman"/>
          <w:b/>
          <w:i/>
          <w:sz w:val="24"/>
          <w:szCs w:val="24"/>
        </w:rPr>
        <w:t>ommunication</w:t>
      </w:r>
      <w:r w:rsidRPr="003A5883">
        <w:rPr>
          <w:rFonts w:ascii="Times New Roman" w:hAnsi="Times New Roman"/>
          <w:b/>
          <w:i/>
          <w:sz w:val="24"/>
          <w:szCs w:val="24"/>
        </w:rPr>
        <w:t xml:space="preserve"> les moyens d’exister dans le fond pour migrer d’une approche événementielle à une approche de plus grande substance</w:t>
      </w:r>
    </w:p>
    <w:p w14:paraId="49D13B13" w14:textId="77777777" w:rsidR="005442DA" w:rsidRPr="0042175A" w:rsidRDefault="005442DA" w:rsidP="003D53F5">
      <w:pPr>
        <w:spacing w:after="0" w:line="240" w:lineRule="auto"/>
        <w:jc w:val="both"/>
        <w:rPr>
          <w:rFonts w:ascii="Times New Roman" w:hAnsi="Times New Roman"/>
          <w:sz w:val="24"/>
          <w:szCs w:val="24"/>
        </w:rPr>
      </w:pPr>
    </w:p>
    <w:p w14:paraId="7AD41E24" w14:textId="77777777" w:rsidR="00035A0E" w:rsidRDefault="00D007BD" w:rsidP="003D53F5">
      <w:pPr>
        <w:spacing w:after="0" w:line="240" w:lineRule="auto"/>
        <w:jc w:val="both"/>
        <w:rPr>
          <w:rFonts w:ascii="Times New Roman" w:hAnsi="Times New Roman"/>
          <w:sz w:val="24"/>
          <w:szCs w:val="24"/>
        </w:rPr>
      </w:pPr>
      <w:r>
        <w:rPr>
          <w:rFonts w:ascii="Times New Roman" w:hAnsi="Times New Roman"/>
          <w:sz w:val="24"/>
          <w:szCs w:val="24"/>
        </w:rPr>
        <w:t>13</w:t>
      </w:r>
      <w:r w:rsidR="00394FF5">
        <w:rPr>
          <w:rFonts w:ascii="Times New Roman" w:hAnsi="Times New Roman"/>
          <w:sz w:val="24"/>
          <w:szCs w:val="24"/>
        </w:rPr>
        <w:t>3</w:t>
      </w:r>
      <w:r>
        <w:rPr>
          <w:rFonts w:ascii="Times New Roman" w:hAnsi="Times New Roman"/>
          <w:sz w:val="24"/>
          <w:szCs w:val="24"/>
        </w:rPr>
        <w:t>.</w:t>
      </w:r>
      <w:r w:rsidR="005442DA" w:rsidRPr="0042175A">
        <w:rPr>
          <w:rFonts w:ascii="Times New Roman" w:hAnsi="Times New Roman"/>
          <w:sz w:val="24"/>
          <w:szCs w:val="24"/>
        </w:rPr>
        <w:tab/>
      </w:r>
      <w:r w:rsidR="00F60F9A" w:rsidRPr="00D14941">
        <w:rPr>
          <w:rFonts w:ascii="Times New Roman" w:hAnsi="Times New Roman"/>
          <w:sz w:val="24"/>
          <w:szCs w:val="24"/>
        </w:rPr>
        <w:t xml:space="preserve">Les projets qui produisent du contenu n’ont pas forcément et naturellement le réflexe d’y articuler la communication qu’ils méritent. Ils y pensent ponctuellement lorsqu’ils sont en </w:t>
      </w:r>
      <w:r w:rsidR="00F60F9A" w:rsidRPr="00D14941">
        <w:rPr>
          <w:rFonts w:ascii="Times New Roman" w:hAnsi="Times New Roman"/>
          <w:sz w:val="24"/>
          <w:szCs w:val="24"/>
        </w:rPr>
        <w:lastRenderedPageBreak/>
        <w:t>situation d’approche des partenaires dans le cadre de la mobilisation de ressources, mais à ce moment-là lesdits contenus ne sont peut-être pas assez apprêtés pour être suffisamment significatifs en mode communication. Il faut donc organiser la valorisation de l’Unité Communication dans ce cadre (en lui donnant des moyens et en l’intégrant dans la gestion des productions des projets !), pour une communication de contenu au long cours, au service d’une politique proactive de partenariat et de mobilisation de ressources</w:t>
      </w:r>
    </w:p>
    <w:p w14:paraId="36954DE7" w14:textId="77777777" w:rsidR="00F60F9A" w:rsidRDefault="00F60F9A" w:rsidP="003D53F5">
      <w:pPr>
        <w:spacing w:after="0" w:line="240" w:lineRule="auto"/>
        <w:jc w:val="both"/>
        <w:rPr>
          <w:rFonts w:ascii="Times New Roman" w:hAnsi="Times New Roman"/>
          <w:sz w:val="24"/>
          <w:szCs w:val="24"/>
        </w:rPr>
      </w:pPr>
    </w:p>
    <w:p w14:paraId="18DA7674" w14:textId="77777777" w:rsidR="00035A0E" w:rsidRPr="003A5883" w:rsidRDefault="009A1BD1" w:rsidP="00F60F9A">
      <w:pPr>
        <w:pStyle w:val="Paragraphedeliste"/>
        <w:numPr>
          <w:ilvl w:val="0"/>
          <w:numId w:val="143"/>
        </w:numPr>
        <w:spacing w:after="0" w:line="240" w:lineRule="auto"/>
        <w:jc w:val="both"/>
        <w:rPr>
          <w:rFonts w:ascii="Times New Roman" w:hAnsi="Times New Roman"/>
          <w:b/>
          <w:i/>
          <w:sz w:val="24"/>
          <w:szCs w:val="24"/>
        </w:rPr>
      </w:pPr>
      <w:r w:rsidRPr="003A5883">
        <w:rPr>
          <w:rFonts w:ascii="Times New Roman" w:hAnsi="Times New Roman"/>
          <w:b/>
          <w:i/>
          <w:sz w:val="24"/>
          <w:szCs w:val="24"/>
        </w:rPr>
        <w:t>Redonner du souffle à la mo</w:t>
      </w:r>
      <w:r w:rsidR="00035A0E" w:rsidRPr="003A5883">
        <w:rPr>
          <w:rFonts w:ascii="Times New Roman" w:hAnsi="Times New Roman"/>
          <w:b/>
          <w:i/>
          <w:sz w:val="24"/>
          <w:szCs w:val="24"/>
        </w:rPr>
        <w:t>bil</w:t>
      </w:r>
      <w:r w:rsidRPr="003A5883">
        <w:rPr>
          <w:rFonts w:ascii="Times New Roman" w:hAnsi="Times New Roman"/>
          <w:b/>
          <w:i/>
          <w:sz w:val="24"/>
          <w:szCs w:val="24"/>
        </w:rPr>
        <w:t>isa</w:t>
      </w:r>
      <w:r w:rsidR="00035A0E" w:rsidRPr="003A5883">
        <w:rPr>
          <w:rFonts w:ascii="Times New Roman" w:hAnsi="Times New Roman"/>
          <w:b/>
          <w:i/>
          <w:sz w:val="24"/>
          <w:szCs w:val="24"/>
        </w:rPr>
        <w:t>tion de ressource</w:t>
      </w:r>
      <w:r w:rsidRPr="003A5883">
        <w:rPr>
          <w:rFonts w:ascii="Times New Roman" w:hAnsi="Times New Roman"/>
          <w:b/>
          <w:i/>
          <w:sz w:val="24"/>
          <w:szCs w:val="24"/>
        </w:rPr>
        <w:t xml:space="preserve"> dans un contexte de plus en plus concurrentiel et difficile, en jouant mieux des atouts du programme et du Bureau</w:t>
      </w:r>
    </w:p>
    <w:p w14:paraId="0FFF0A53" w14:textId="77777777" w:rsidR="00035A0E" w:rsidRDefault="00035A0E" w:rsidP="003D53F5">
      <w:pPr>
        <w:spacing w:after="0" w:line="240" w:lineRule="auto"/>
        <w:jc w:val="both"/>
        <w:rPr>
          <w:rFonts w:ascii="Times New Roman" w:hAnsi="Times New Roman"/>
          <w:sz w:val="24"/>
          <w:szCs w:val="24"/>
        </w:rPr>
      </w:pPr>
    </w:p>
    <w:p w14:paraId="463BBEE2" w14:textId="77777777" w:rsidR="00D52210" w:rsidRDefault="00D007BD" w:rsidP="003D53F5">
      <w:pPr>
        <w:spacing w:after="0" w:line="240" w:lineRule="auto"/>
        <w:jc w:val="both"/>
        <w:rPr>
          <w:rFonts w:ascii="Times New Roman" w:hAnsi="Times New Roman"/>
          <w:sz w:val="24"/>
          <w:szCs w:val="24"/>
        </w:rPr>
      </w:pPr>
      <w:r>
        <w:rPr>
          <w:rFonts w:ascii="Times New Roman" w:hAnsi="Times New Roman"/>
          <w:sz w:val="24"/>
          <w:szCs w:val="24"/>
        </w:rPr>
        <w:t>13</w:t>
      </w:r>
      <w:r w:rsidR="00394FF5">
        <w:rPr>
          <w:rFonts w:ascii="Times New Roman" w:hAnsi="Times New Roman"/>
          <w:sz w:val="24"/>
          <w:szCs w:val="24"/>
        </w:rPr>
        <w:t>4</w:t>
      </w:r>
      <w:r>
        <w:rPr>
          <w:rFonts w:ascii="Times New Roman" w:hAnsi="Times New Roman"/>
          <w:sz w:val="24"/>
          <w:szCs w:val="24"/>
        </w:rPr>
        <w:t>.</w:t>
      </w:r>
      <w:r w:rsidR="009A1BD1">
        <w:rPr>
          <w:rFonts w:ascii="Times New Roman" w:hAnsi="Times New Roman"/>
          <w:sz w:val="24"/>
          <w:szCs w:val="24"/>
        </w:rPr>
        <w:tab/>
      </w:r>
      <w:r w:rsidR="00F60F9A" w:rsidRPr="00D14941">
        <w:rPr>
          <w:rFonts w:ascii="Times New Roman" w:hAnsi="Times New Roman"/>
          <w:sz w:val="24"/>
          <w:szCs w:val="24"/>
        </w:rPr>
        <w:t>Le contexte financier du programme se profile avec des difficultés à l’horizon : la perte dès 2018 d’une partie au moins des ressources du Fonds Mondial/Santé ; le risque d’un détachement progressif des partenaires par rapport à une crise qui s’installe dans la durée ; la concurrence grandissante des agences d’exécution de type société civile internationale ; notamment. Dans cette nouvelle donne, le Bureau doit consolider sa stratégie de mobilisation de ressources en s’appuyant mieux sur trois leviers au moins : (i) la communication de contenus au long cours visée dans la recommandation précédente ; (ii) une meilleure mise à contribution du partenaire national, non pas uniquement en tant que source de financement, mais aussi surtout  dans le cadre de tandems pour approcher les bailleurs de fonds ; (iii) explorer dans horizons nouveaux comme les opérateurs de téléphonie mobile et plus largement le secteur privé dans le cadre de Partenariat Public Privé.</w:t>
      </w:r>
    </w:p>
    <w:p w14:paraId="7D16CECC" w14:textId="77777777" w:rsidR="003A5883" w:rsidRPr="006B309F" w:rsidRDefault="003A5883" w:rsidP="003A5883">
      <w:pPr>
        <w:spacing w:after="0" w:line="240" w:lineRule="auto"/>
        <w:jc w:val="both"/>
        <w:rPr>
          <w:rFonts w:ascii="Times New Roman" w:hAnsi="Times New Roman"/>
          <w:b/>
          <w:sz w:val="24"/>
          <w:szCs w:val="24"/>
        </w:rPr>
      </w:pPr>
    </w:p>
    <w:p w14:paraId="6F085B1F" w14:textId="77777777" w:rsidR="003A5883" w:rsidRPr="003A5883" w:rsidRDefault="003A5883" w:rsidP="00F60F9A">
      <w:pPr>
        <w:pStyle w:val="Paragraphedeliste"/>
        <w:numPr>
          <w:ilvl w:val="0"/>
          <w:numId w:val="143"/>
        </w:numPr>
        <w:spacing w:after="0" w:line="240" w:lineRule="auto"/>
        <w:jc w:val="both"/>
        <w:rPr>
          <w:rFonts w:ascii="Times New Roman" w:hAnsi="Times New Roman"/>
          <w:sz w:val="24"/>
          <w:szCs w:val="24"/>
        </w:rPr>
      </w:pPr>
      <w:r w:rsidRPr="003A5883">
        <w:rPr>
          <w:rFonts w:ascii="Times New Roman" w:hAnsi="Times New Roman"/>
          <w:b/>
          <w:i/>
          <w:sz w:val="24"/>
          <w:szCs w:val="24"/>
        </w:rPr>
        <w:t>Nettoyer la matrice des résultats et des ressources en s’appuyant sur le résultat d’une éventuelle réécriture de la matrice de l’UNDAF dont elle procède</w:t>
      </w:r>
      <w:r w:rsidRPr="003A5883">
        <w:rPr>
          <w:rFonts w:ascii="Times New Roman" w:hAnsi="Times New Roman"/>
          <w:sz w:val="24"/>
          <w:szCs w:val="24"/>
        </w:rPr>
        <w:t>.</w:t>
      </w:r>
    </w:p>
    <w:p w14:paraId="2E9CAD92" w14:textId="77777777" w:rsidR="003A5883" w:rsidRPr="006B309F" w:rsidRDefault="003A5883" w:rsidP="003A5883">
      <w:pPr>
        <w:spacing w:after="0" w:line="240" w:lineRule="auto"/>
        <w:jc w:val="both"/>
        <w:rPr>
          <w:rFonts w:ascii="Times New Roman" w:hAnsi="Times New Roman"/>
          <w:sz w:val="24"/>
          <w:szCs w:val="24"/>
        </w:rPr>
      </w:pPr>
    </w:p>
    <w:p w14:paraId="4BBB96E0" w14:textId="77777777" w:rsidR="003A5883" w:rsidRDefault="003A5883" w:rsidP="003A5883">
      <w:pPr>
        <w:spacing w:after="0" w:line="240" w:lineRule="auto"/>
        <w:jc w:val="both"/>
        <w:rPr>
          <w:rFonts w:ascii="Times New Roman" w:hAnsi="Times New Roman"/>
          <w:sz w:val="24"/>
          <w:szCs w:val="24"/>
        </w:rPr>
      </w:pPr>
      <w:r w:rsidRPr="006B309F">
        <w:rPr>
          <w:rFonts w:ascii="Times New Roman" w:hAnsi="Times New Roman"/>
          <w:sz w:val="24"/>
          <w:szCs w:val="24"/>
        </w:rPr>
        <w:t>1</w:t>
      </w:r>
      <w:r w:rsidR="00D007BD">
        <w:rPr>
          <w:rFonts w:ascii="Times New Roman" w:hAnsi="Times New Roman"/>
          <w:sz w:val="24"/>
          <w:szCs w:val="24"/>
        </w:rPr>
        <w:t>3</w:t>
      </w:r>
      <w:r w:rsidR="00394FF5">
        <w:rPr>
          <w:rFonts w:ascii="Times New Roman" w:hAnsi="Times New Roman"/>
          <w:sz w:val="24"/>
          <w:szCs w:val="24"/>
        </w:rPr>
        <w:t>5</w:t>
      </w:r>
      <w:r w:rsidRPr="006B309F">
        <w:rPr>
          <w:rFonts w:ascii="Times New Roman" w:hAnsi="Times New Roman"/>
          <w:sz w:val="24"/>
          <w:szCs w:val="24"/>
        </w:rPr>
        <w:t>.</w:t>
      </w:r>
      <w:r w:rsidRPr="006B309F">
        <w:rPr>
          <w:rFonts w:ascii="Times New Roman" w:hAnsi="Times New Roman"/>
          <w:sz w:val="24"/>
          <w:szCs w:val="24"/>
        </w:rPr>
        <w:tab/>
      </w:r>
      <w:r w:rsidR="00F60F9A" w:rsidRPr="00D14941">
        <w:rPr>
          <w:rFonts w:ascii="Times New Roman" w:hAnsi="Times New Roman"/>
          <w:sz w:val="24"/>
          <w:szCs w:val="24"/>
        </w:rPr>
        <w:t>Si à la faveur de la revue à mi-parcours de l’UNDAF, le cadre logique en est assaini et réécrit convenablement, le programme devra automatiquement refléter cet ajustement pour améliorer son évaluabilité : une matrice correctement outillée permet de rendre mesurables et visibles les valeurs ajoutées apportées par le programme dans son environnement ; à cette occasion, profitant de la finalisation de la priorisation des ODD pour le pays, le programme devrait également consacrer son réalignement sur ces marqueurs de développement.</w:t>
      </w:r>
    </w:p>
    <w:p w14:paraId="7697EB3C" w14:textId="77777777" w:rsidR="00BA3DC6" w:rsidRPr="006B309F" w:rsidRDefault="0024772E" w:rsidP="00B96F0F">
      <w:pPr>
        <w:autoSpaceDE w:val="0"/>
        <w:autoSpaceDN w:val="0"/>
        <w:adjustRightInd w:val="0"/>
        <w:spacing w:after="0" w:line="240" w:lineRule="auto"/>
        <w:jc w:val="both"/>
        <w:rPr>
          <w:rFonts w:ascii="Times New Roman" w:hAnsi="Times New Roman"/>
          <w:sz w:val="24"/>
          <w:szCs w:val="24"/>
        </w:rPr>
      </w:pPr>
      <w:r w:rsidRPr="006B309F">
        <w:rPr>
          <w:rFonts w:ascii="Times New Roman" w:hAnsi="Times New Roman"/>
          <w:sz w:val="24"/>
          <w:szCs w:val="24"/>
        </w:rPr>
        <w:br w:type="page"/>
      </w:r>
    </w:p>
    <w:p w14:paraId="3D285129" w14:textId="77777777" w:rsidR="00BA3DC6" w:rsidRPr="006B309F" w:rsidRDefault="00BA3DC6" w:rsidP="00B96F0F">
      <w:pPr>
        <w:autoSpaceDE w:val="0"/>
        <w:autoSpaceDN w:val="0"/>
        <w:adjustRightInd w:val="0"/>
        <w:spacing w:after="0" w:line="240" w:lineRule="auto"/>
        <w:jc w:val="both"/>
        <w:rPr>
          <w:rFonts w:ascii="Times New Roman" w:hAnsi="Times New Roman"/>
          <w:sz w:val="24"/>
          <w:szCs w:val="24"/>
        </w:rPr>
      </w:pPr>
    </w:p>
    <w:p w14:paraId="4EBE6F2E" w14:textId="77777777" w:rsidR="00BA3DC6" w:rsidRPr="006B309F" w:rsidRDefault="00BA3DC6" w:rsidP="00B96F0F">
      <w:pPr>
        <w:autoSpaceDE w:val="0"/>
        <w:autoSpaceDN w:val="0"/>
        <w:adjustRightInd w:val="0"/>
        <w:spacing w:after="0" w:line="240" w:lineRule="auto"/>
        <w:jc w:val="both"/>
        <w:rPr>
          <w:rFonts w:ascii="Times New Roman" w:hAnsi="Times New Roman"/>
          <w:sz w:val="24"/>
          <w:szCs w:val="24"/>
        </w:rPr>
      </w:pPr>
    </w:p>
    <w:p w14:paraId="7ABC1704" w14:textId="77777777" w:rsidR="00BA3DC6" w:rsidRPr="006B309F" w:rsidRDefault="00BA3DC6" w:rsidP="00B96F0F">
      <w:pPr>
        <w:autoSpaceDE w:val="0"/>
        <w:autoSpaceDN w:val="0"/>
        <w:adjustRightInd w:val="0"/>
        <w:spacing w:after="0" w:line="240" w:lineRule="auto"/>
        <w:jc w:val="both"/>
        <w:rPr>
          <w:rFonts w:ascii="Times New Roman" w:hAnsi="Times New Roman"/>
          <w:sz w:val="24"/>
          <w:szCs w:val="24"/>
        </w:rPr>
      </w:pPr>
    </w:p>
    <w:p w14:paraId="1CCBF675" w14:textId="77777777" w:rsidR="00BA3DC6" w:rsidRPr="006B309F" w:rsidRDefault="00BA3DC6" w:rsidP="00B96F0F">
      <w:pPr>
        <w:autoSpaceDE w:val="0"/>
        <w:autoSpaceDN w:val="0"/>
        <w:adjustRightInd w:val="0"/>
        <w:spacing w:after="0" w:line="240" w:lineRule="auto"/>
        <w:jc w:val="both"/>
        <w:rPr>
          <w:rFonts w:ascii="Times New Roman" w:hAnsi="Times New Roman"/>
          <w:sz w:val="24"/>
          <w:szCs w:val="24"/>
        </w:rPr>
      </w:pPr>
    </w:p>
    <w:p w14:paraId="57BA9FAC" w14:textId="77777777" w:rsidR="00BA3DC6" w:rsidRPr="006B309F" w:rsidRDefault="00BA3DC6" w:rsidP="00B96F0F">
      <w:pPr>
        <w:autoSpaceDE w:val="0"/>
        <w:autoSpaceDN w:val="0"/>
        <w:adjustRightInd w:val="0"/>
        <w:spacing w:after="0" w:line="240" w:lineRule="auto"/>
        <w:jc w:val="both"/>
        <w:rPr>
          <w:rFonts w:ascii="Times New Roman" w:hAnsi="Times New Roman"/>
          <w:sz w:val="24"/>
          <w:szCs w:val="24"/>
        </w:rPr>
      </w:pPr>
    </w:p>
    <w:p w14:paraId="2D8C7A07" w14:textId="77777777" w:rsidR="00BA3DC6" w:rsidRPr="006B309F" w:rsidRDefault="00BA3DC6" w:rsidP="00B96F0F">
      <w:pPr>
        <w:autoSpaceDE w:val="0"/>
        <w:autoSpaceDN w:val="0"/>
        <w:adjustRightInd w:val="0"/>
        <w:spacing w:after="0" w:line="240" w:lineRule="auto"/>
        <w:jc w:val="both"/>
        <w:rPr>
          <w:rFonts w:ascii="Times New Roman" w:hAnsi="Times New Roman"/>
          <w:sz w:val="24"/>
          <w:szCs w:val="24"/>
        </w:rPr>
      </w:pPr>
    </w:p>
    <w:p w14:paraId="013231A5" w14:textId="77777777" w:rsidR="00BA3DC6" w:rsidRPr="006B309F" w:rsidRDefault="00BA3DC6" w:rsidP="00B96F0F">
      <w:pPr>
        <w:autoSpaceDE w:val="0"/>
        <w:autoSpaceDN w:val="0"/>
        <w:adjustRightInd w:val="0"/>
        <w:spacing w:after="0" w:line="240" w:lineRule="auto"/>
        <w:jc w:val="both"/>
        <w:rPr>
          <w:rFonts w:ascii="Times New Roman" w:hAnsi="Times New Roman"/>
          <w:sz w:val="24"/>
          <w:szCs w:val="24"/>
        </w:rPr>
      </w:pPr>
    </w:p>
    <w:p w14:paraId="7DA724E9" w14:textId="77777777" w:rsidR="00BA3DC6" w:rsidRPr="006B309F" w:rsidRDefault="00BA3DC6" w:rsidP="00B96F0F">
      <w:pPr>
        <w:autoSpaceDE w:val="0"/>
        <w:autoSpaceDN w:val="0"/>
        <w:adjustRightInd w:val="0"/>
        <w:spacing w:after="0" w:line="240" w:lineRule="auto"/>
        <w:jc w:val="both"/>
        <w:rPr>
          <w:rFonts w:ascii="Times New Roman" w:hAnsi="Times New Roman"/>
          <w:sz w:val="24"/>
          <w:szCs w:val="24"/>
        </w:rPr>
      </w:pPr>
    </w:p>
    <w:p w14:paraId="103FF1AA" w14:textId="77777777" w:rsidR="00BA3DC6" w:rsidRPr="006B309F" w:rsidRDefault="00BA3DC6" w:rsidP="00B96F0F">
      <w:pPr>
        <w:autoSpaceDE w:val="0"/>
        <w:autoSpaceDN w:val="0"/>
        <w:adjustRightInd w:val="0"/>
        <w:spacing w:after="0" w:line="240" w:lineRule="auto"/>
        <w:jc w:val="both"/>
        <w:rPr>
          <w:rFonts w:ascii="Times New Roman" w:hAnsi="Times New Roman"/>
          <w:sz w:val="24"/>
          <w:szCs w:val="24"/>
        </w:rPr>
      </w:pPr>
    </w:p>
    <w:p w14:paraId="0026BEE2" w14:textId="77777777" w:rsidR="0056148C" w:rsidRPr="006B309F" w:rsidRDefault="0056148C" w:rsidP="00B96F0F">
      <w:pPr>
        <w:autoSpaceDE w:val="0"/>
        <w:autoSpaceDN w:val="0"/>
        <w:adjustRightInd w:val="0"/>
        <w:spacing w:after="0" w:line="240" w:lineRule="auto"/>
        <w:jc w:val="both"/>
        <w:rPr>
          <w:rFonts w:ascii="Times New Roman" w:hAnsi="Times New Roman"/>
          <w:sz w:val="24"/>
          <w:szCs w:val="24"/>
        </w:rPr>
      </w:pPr>
    </w:p>
    <w:p w14:paraId="69759973" w14:textId="77777777" w:rsidR="0056148C" w:rsidRPr="006B309F" w:rsidRDefault="0056148C" w:rsidP="00B96F0F">
      <w:pPr>
        <w:autoSpaceDE w:val="0"/>
        <w:autoSpaceDN w:val="0"/>
        <w:adjustRightInd w:val="0"/>
        <w:spacing w:after="0" w:line="240" w:lineRule="auto"/>
        <w:jc w:val="both"/>
        <w:rPr>
          <w:rFonts w:ascii="Times New Roman" w:hAnsi="Times New Roman"/>
          <w:sz w:val="24"/>
          <w:szCs w:val="24"/>
        </w:rPr>
      </w:pPr>
    </w:p>
    <w:p w14:paraId="5F8CB734" w14:textId="77777777" w:rsidR="0056148C" w:rsidRPr="006B309F" w:rsidRDefault="0056148C" w:rsidP="00B96F0F">
      <w:pPr>
        <w:autoSpaceDE w:val="0"/>
        <w:autoSpaceDN w:val="0"/>
        <w:adjustRightInd w:val="0"/>
        <w:spacing w:after="0" w:line="240" w:lineRule="auto"/>
        <w:jc w:val="both"/>
        <w:rPr>
          <w:rFonts w:ascii="Times New Roman" w:hAnsi="Times New Roman"/>
          <w:sz w:val="24"/>
          <w:szCs w:val="24"/>
        </w:rPr>
      </w:pPr>
    </w:p>
    <w:p w14:paraId="345D39BB" w14:textId="77777777" w:rsidR="0056148C" w:rsidRPr="006B309F" w:rsidRDefault="0056148C" w:rsidP="00B96F0F">
      <w:pPr>
        <w:autoSpaceDE w:val="0"/>
        <w:autoSpaceDN w:val="0"/>
        <w:adjustRightInd w:val="0"/>
        <w:spacing w:after="0" w:line="240" w:lineRule="auto"/>
        <w:jc w:val="both"/>
        <w:rPr>
          <w:rFonts w:ascii="Times New Roman" w:hAnsi="Times New Roman"/>
          <w:sz w:val="24"/>
          <w:szCs w:val="24"/>
        </w:rPr>
      </w:pPr>
    </w:p>
    <w:p w14:paraId="777C8DBA" w14:textId="77777777" w:rsidR="0056148C" w:rsidRPr="006B309F" w:rsidRDefault="0056148C" w:rsidP="00B96F0F">
      <w:pPr>
        <w:autoSpaceDE w:val="0"/>
        <w:autoSpaceDN w:val="0"/>
        <w:adjustRightInd w:val="0"/>
        <w:spacing w:after="0" w:line="240" w:lineRule="auto"/>
        <w:jc w:val="both"/>
        <w:rPr>
          <w:rFonts w:ascii="Times New Roman" w:hAnsi="Times New Roman"/>
          <w:sz w:val="24"/>
          <w:szCs w:val="24"/>
        </w:rPr>
      </w:pPr>
    </w:p>
    <w:p w14:paraId="00560DC3" w14:textId="77777777" w:rsidR="0056148C" w:rsidRPr="006B309F" w:rsidRDefault="0056148C" w:rsidP="00B96F0F">
      <w:pPr>
        <w:autoSpaceDE w:val="0"/>
        <w:autoSpaceDN w:val="0"/>
        <w:adjustRightInd w:val="0"/>
        <w:spacing w:after="0" w:line="240" w:lineRule="auto"/>
        <w:jc w:val="both"/>
        <w:rPr>
          <w:rFonts w:ascii="Times New Roman" w:hAnsi="Times New Roman"/>
          <w:sz w:val="24"/>
          <w:szCs w:val="24"/>
        </w:rPr>
      </w:pPr>
    </w:p>
    <w:p w14:paraId="005AA89E" w14:textId="77777777" w:rsidR="0056148C" w:rsidRPr="006B309F" w:rsidRDefault="0056148C" w:rsidP="00B96F0F">
      <w:pPr>
        <w:autoSpaceDE w:val="0"/>
        <w:autoSpaceDN w:val="0"/>
        <w:adjustRightInd w:val="0"/>
        <w:spacing w:after="0" w:line="240" w:lineRule="auto"/>
        <w:jc w:val="both"/>
        <w:rPr>
          <w:rFonts w:ascii="Times New Roman" w:hAnsi="Times New Roman"/>
          <w:sz w:val="24"/>
          <w:szCs w:val="24"/>
        </w:rPr>
      </w:pPr>
    </w:p>
    <w:p w14:paraId="31036069" w14:textId="77777777" w:rsidR="0056148C" w:rsidRPr="006B309F" w:rsidRDefault="0056148C" w:rsidP="00B96F0F">
      <w:pPr>
        <w:autoSpaceDE w:val="0"/>
        <w:autoSpaceDN w:val="0"/>
        <w:adjustRightInd w:val="0"/>
        <w:spacing w:after="0" w:line="240" w:lineRule="auto"/>
        <w:jc w:val="both"/>
        <w:rPr>
          <w:rFonts w:ascii="Times New Roman" w:hAnsi="Times New Roman"/>
          <w:sz w:val="24"/>
          <w:szCs w:val="24"/>
        </w:rPr>
      </w:pPr>
    </w:p>
    <w:p w14:paraId="69966808" w14:textId="77777777" w:rsidR="00BA3DC6" w:rsidRPr="006B309F" w:rsidRDefault="00BA3DC6" w:rsidP="00B96F0F">
      <w:pPr>
        <w:autoSpaceDE w:val="0"/>
        <w:autoSpaceDN w:val="0"/>
        <w:adjustRightInd w:val="0"/>
        <w:spacing w:after="0" w:line="240" w:lineRule="auto"/>
        <w:jc w:val="both"/>
        <w:rPr>
          <w:rFonts w:ascii="Times New Roman" w:hAnsi="Times New Roman"/>
          <w:sz w:val="24"/>
          <w:szCs w:val="24"/>
        </w:rPr>
      </w:pPr>
    </w:p>
    <w:p w14:paraId="4A21F587" w14:textId="77777777" w:rsidR="00BA3DC6" w:rsidRPr="006B309F" w:rsidRDefault="00BA3DC6" w:rsidP="00B96F0F">
      <w:pPr>
        <w:pStyle w:val="Titre1"/>
        <w:spacing w:before="0" w:line="240" w:lineRule="auto"/>
        <w:rPr>
          <w:color w:val="auto"/>
        </w:rPr>
      </w:pPr>
    </w:p>
    <w:p w14:paraId="13D50C85" w14:textId="77777777" w:rsidR="00BA3DC6" w:rsidRPr="006B309F" w:rsidRDefault="00BA3DC6" w:rsidP="00B96F0F">
      <w:pPr>
        <w:pStyle w:val="Titre1"/>
        <w:spacing w:before="0" w:line="240" w:lineRule="auto"/>
        <w:rPr>
          <w:color w:val="auto"/>
        </w:rPr>
      </w:pPr>
    </w:p>
    <w:p w14:paraId="6F4E00F0" w14:textId="77777777" w:rsidR="00BA3DC6" w:rsidRPr="006B309F" w:rsidRDefault="00BA3DC6" w:rsidP="00B96F0F">
      <w:pPr>
        <w:pStyle w:val="Titre1"/>
        <w:spacing w:before="0" w:line="240" w:lineRule="auto"/>
        <w:rPr>
          <w:color w:val="auto"/>
        </w:rPr>
      </w:pPr>
    </w:p>
    <w:p w14:paraId="1E86E0FD" w14:textId="77777777" w:rsidR="00BA3DC6" w:rsidRPr="006B309F" w:rsidRDefault="00BA3DC6" w:rsidP="00B96F0F">
      <w:pPr>
        <w:pStyle w:val="Titre1"/>
        <w:spacing w:before="0" w:line="240" w:lineRule="auto"/>
        <w:rPr>
          <w:color w:val="auto"/>
        </w:rPr>
      </w:pPr>
    </w:p>
    <w:p w14:paraId="37720FAB" w14:textId="77777777" w:rsidR="00BA3DC6" w:rsidRPr="006B309F" w:rsidRDefault="00BA3DC6" w:rsidP="00B96F0F">
      <w:pPr>
        <w:pStyle w:val="Titre1"/>
        <w:spacing w:before="0" w:line="240" w:lineRule="auto"/>
        <w:rPr>
          <w:color w:val="auto"/>
        </w:rPr>
      </w:pPr>
    </w:p>
    <w:p w14:paraId="2DCFF115" w14:textId="77777777" w:rsidR="00BA3DC6" w:rsidRPr="006B309F" w:rsidRDefault="00BA3DC6" w:rsidP="00B96F0F">
      <w:pPr>
        <w:pStyle w:val="Titre1"/>
        <w:spacing w:before="0" w:line="240" w:lineRule="auto"/>
        <w:rPr>
          <w:color w:val="auto"/>
        </w:rPr>
      </w:pPr>
    </w:p>
    <w:p w14:paraId="1D6083EE" w14:textId="77777777" w:rsidR="00BA3DC6" w:rsidRPr="006B309F" w:rsidRDefault="00BA3DC6" w:rsidP="00B96F0F">
      <w:pPr>
        <w:pStyle w:val="Titre1"/>
        <w:spacing w:before="0" w:line="240" w:lineRule="auto"/>
        <w:rPr>
          <w:color w:val="auto"/>
        </w:rPr>
      </w:pPr>
    </w:p>
    <w:p w14:paraId="1AB1F803" w14:textId="77777777" w:rsidR="00BA3DC6" w:rsidRPr="006B309F" w:rsidRDefault="00BA3DC6" w:rsidP="00B96F0F">
      <w:pPr>
        <w:pStyle w:val="Titre1"/>
        <w:spacing w:before="0" w:line="240" w:lineRule="auto"/>
        <w:jc w:val="center"/>
        <w:rPr>
          <w:color w:val="auto"/>
        </w:rPr>
      </w:pPr>
      <w:bookmarkStart w:id="159" w:name="_Toc499211633"/>
      <w:bookmarkStart w:id="160" w:name="_Toc499213906"/>
      <w:r w:rsidRPr="006B309F">
        <w:rPr>
          <w:color w:val="auto"/>
        </w:rPr>
        <w:t>ANNEXES</w:t>
      </w:r>
      <w:bookmarkEnd w:id="159"/>
      <w:bookmarkEnd w:id="160"/>
    </w:p>
    <w:p w14:paraId="3884478F" w14:textId="77777777" w:rsidR="009F7F87" w:rsidRPr="006B309F" w:rsidRDefault="009F7F87" w:rsidP="00B96F0F">
      <w:pPr>
        <w:spacing w:after="0" w:line="240" w:lineRule="auto"/>
      </w:pPr>
    </w:p>
    <w:p w14:paraId="45BA02D4" w14:textId="77777777" w:rsidR="009F7F87" w:rsidRPr="006B309F" w:rsidRDefault="009F7F87" w:rsidP="00B96F0F">
      <w:pPr>
        <w:spacing w:after="0" w:line="240" w:lineRule="auto"/>
        <w:rPr>
          <w:rFonts w:ascii="Times New Roman" w:hAnsi="Times New Roman"/>
          <w:sz w:val="20"/>
          <w:szCs w:val="20"/>
        </w:rPr>
        <w:sectPr w:rsidR="009F7F87" w:rsidRPr="006B309F" w:rsidSect="009F7F87">
          <w:footerReference w:type="default" r:id="rId14"/>
          <w:footnotePr>
            <w:numRestart w:val="eachPage"/>
          </w:footnotePr>
          <w:pgSz w:w="11906" w:h="16838"/>
          <w:pgMar w:top="1418" w:right="1418" w:bottom="1418" w:left="1418" w:header="709" w:footer="709" w:gutter="0"/>
          <w:cols w:space="708"/>
          <w:docGrid w:linePitch="360"/>
        </w:sectPr>
      </w:pPr>
    </w:p>
    <w:p w14:paraId="0C0B5C9B" w14:textId="77777777" w:rsidR="00225015" w:rsidRPr="006B309F" w:rsidRDefault="00225015" w:rsidP="00006C7E">
      <w:pPr>
        <w:spacing w:after="0" w:line="240" w:lineRule="auto"/>
      </w:pPr>
    </w:p>
    <w:p w14:paraId="2AEC54C4" w14:textId="77777777" w:rsidR="00B04B1D" w:rsidRDefault="00B04B1D" w:rsidP="00006C7E">
      <w:pPr>
        <w:pStyle w:val="Titre2"/>
        <w:numPr>
          <w:ilvl w:val="0"/>
          <w:numId w:val="6"/>
        </w:numPr>
        <w:spacing w:before="0"/>
        <w:rPr>
          <w:rFonts w:ascii="Times New Roman" w:hAnsi="Times New Roman"/>
          <w:color w:val="auto"/>
          <w:sz w:val="24"/>
          <w:szCs w:val="24"/>
        </w:rPr>
      </w:pPr>
      <w:bookmarkStart w:id="161" w:name="_Toc499211634"/>
      <w:bookmarkStart w:id="162" w:name="_Toc499213907"/>
      <w:r>
        <w:rPr>
          <w:rFonts w:ascii="Times New Roman" w:hAnsi="Times New Roman"/>
          <w:color w:val="auto"/>
          <w:sz w:val="24"/>
          <w:szCs w:val="24"/>
        </w:rPr>
        <w:t>Audit-trail : Journal des commentaires des parties et des réponses de l’Evaluateur</w:t>
      </w:r>
      <w:bookmarkEnd w:id="161"/>
      <w:bookmarkEnd w:id="162"/>
    </w:p>
    <w:p w14:paraId="477CAE5B" w14:textId="77777777" w:rsidR="00B04B1D" w:rsidRDefault="00B04B1D" w:rsidP="00B04B1D"/>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486"/>
        <w:gridCol w:w="2486"/>
        <w:gridCol w:w="1304"/>
        <w:gridCol w:w="2098"/>
        <w:gridCol w:w="5528"/>
      </w:tblGrid>
      <w:tr w:rsidR="00B04B1D" w:rsidRPr="00B04B1D" w14:paraId="3F712FEB" w14:textId="77777777" w:rsidTr="004F261E">
        <w:tc>
          <w:tcPr>
            <w:tcW w:w="665" w:type="dxa"/>
            <w:vMerge w:val="restart"/>
            <w:shd w:val="clear" w:color="auto" w:fill="F2F2F2"/>
            <w:vAlign w:val="center"/>
          </w:tcPr>
          <w:p w14:paraId="1539BA05"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N°</w:t>
            </w:r>
          </w:p>
        </w:tc>
        <w:tc>
          <w:tcPr>
            <w:tcW w:w="6276" w:type="dxa"/>
            <w:gridSpan w:val="3"/>
            <w:shd w:val="clear" w:color="auto" w:fill="F2F2F2"/>
            <w:vAlign w:val="center"/>
          </w:tcPr>
          <w:p w14:paraId="62A206F0"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Commentaires</w:t>
            </w:r>
          </w:p>
        </w:tc>
        <w:tc>
          <w:tcPr>
            <w:tcW w:w="2098" w:type="dxa"/>
            <w:vMerge w:val="restart"/>
            <w:shd w:val="clear" w:color="auto" w:fill="F2F2F2"/>
            <w:vAlign w:val="center"/>
          </w:tcPr>
          <w:p w14:paraId="7CF11D12"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Paragraphes</w:t>
            </w:r>
          </w:p>
          <w:p w14:paraId="48F52D5B"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(dans le version initiale)</w:t>
            </w:r>
          </w:p>
        </w:tc>
        <w:tc>
          <w:tcPr>
            <w:tcW w:w="5528" w:type="dxa"/>
            <w:vMerge w:val="restart"/>
            <w:shd w:val="clear" w:color="auto" w:fill="F2F2F2"/>
            <w:vAlign w:val="center"/>
          </w:tcPr>
          <w:p w14:paraId="00D9D29B"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Réponses de l’Evaluateur</w:t>
            </w:r>
          </w:p>
        </w:tc>
      </w:tr>
      <w:tr w:rsidR="00B04B1D" w:rsidRPr="00B04B1D" w14:paraId="008C0252" w14:textId="77777777" w:rsidTr="004F261E">
        <w:tc>
          <w:tcPr>
            <w:tcW w:w="665" w:type="dxa"/>
            <w:vMerge/>
            <w:shd w:val="clear" w:color="auto" w:fill="F2F2F2"/>
            <w:vAlign w:val="center"/>
          </w:tcPr>
          <w:p w14:paraId="74481945" w14:textId="77777777" w:rsidR="00B04B1D" w:rsidRPr="00B04B1D" w:rsidRDefault="00B04B1D" w:rsidP="00B04B1D">
            <w:pPr>
              <w:spacing w:after="0" w:line="240" w:lineRule="auto"/>
              <w:jc w:val="both"/>
              <w:rPr>
                <w:rFonts w:ascii="Times New Roman" w:hAnsi="Times New Roman"/>
                <w:sz w:val="16"/>
                <w:szCs w:val="16"/>
              </w:rPr>
            </w:pPr>
          </w:p>
        </w:tc>
        <w:tc>
          <w:tcPr>
            <w:tcW w:w="4972" w:type="dxa"/>
            <w:gridSpan w:val="2"/>
            <w:shd w:val="clear" w:color="auto" w:fill="F2F2F2"/>
            <w:vAlign w:val="center"/>
          </w:tcPr>
          <w:p w14:paraId="0CFE5BA3" w14:textId="77777777" w:rsidR="00B04B1D" w:rsidRPr="00B04B1D" w:rsidRDefault="00B04B1D" w:rsidP="00B04B1D">
            <w:pPr>
              <w:spacing w:after="0" w:line="240" w:lineRule="auto"/>
              <w:rPr>
                <w:rFonts w:ascii="Times New Roman" w:hAnsi="Times New Roman"/>
                <w:sz w:val="16"/>
                <w:szCs w:val="16"/>
              </w:rPr>
            </w:pPr>
            <w:r w:rsidRPr="00B04B1D">
              <w:rPr>
                <w:rFonts w:ascii="Times New Roman" w:hAnsi="Times New Roman"/>
                <w:sz w:val="16"/>
                <w:szCs w:val="16"/>
              </w:rPr>
              <w:t>Observations</w:t>
            </w:r>
          </w:p>
        </w:tc>
        <w:tc>
          <w:tcPr>
            <w:tcW w:w="1304" w:type="dxa"/>
            <w:shd w:val="clear" w:color="auto" w:fill="F2F2F2"/>
            <w:vAlign w:val="center"/>
          </w:tcPr>
          <w:p w14:paraId="150E4187"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Auteurs</w:t>
            </w:r>
          </w:p>
        </w:tc>
        <w:tc>
          <w:tcPr>
            <w:tcW w:w="2098" w:type="dxa"/>
            <w:vMerge/>
            <w:shd w:val="clear" w:color="auto" w:fill="F2F2F2"/>
            <w:vAlign w:val="center"/>
          </w:tcPr>
          <w:p w14:paraId="5EF48C31" w14:textId="77777777" w:rsidR="00B04B1D" w:rsidRPr="00B04B1D" w:rsidRDefault="00B04B1D" w:rsidP="00B04B1D">
            <w:pPr>
              <w:spacing w:after="0" w:line="240" w:lineRule="auto"/>
              <w:jc w:val="center"/>
              <w:rPr>
                <w:rFonts w:ascii="Times New Roman" w:hAnsi="Times New Roman"/>
                <w:sz w:val="16"/>
                <w:szCs w:val="16"/>
              </w:rPr>
            </w:pPr>
          </w:p>
        </w:tc>
        <w:tc>
          <w:tcPr>
            <w:tcW w:w="5528" w:type="dxa"/>
            <w:vMerge/>
            <w:vAlign w:val="center"/>
          </w:tcPr>
          <w:p w14:paraId="66B31DD3" w14:textId="77777777" w:rsidR="00B04B1D" w:rsidRPr="00B04B1D" w:rsidRDefault="00B04B1D" w:rsidP="00B04B1D">
            <w:pPr>
              <w:spacing w:after="0" w:line="240" w:lineRule="auto"/>
              <w:jc w:val="both"/>
              <w:rPr>
                <w:rFonts w:ascii="Times New Roman" w:hAnsi="Times New Roman"/>
                <w:sz w:val="16"/>
                <w:szCs w:val="16"/>
              </w:rPr>
            </w:pPr>
          </w:p>
        </w:tc>
      </w:tr>
      <w:tr w:rsidR="00B04B1D" w:rsidRPr="00B04B1D" w14:paraId="52BB90C0" w14:textId="77777777" w:rsidTr="004F261E">
        <w:tc>
          <w:tcPr>
            <w:tcW w:w="665" w:type="dxa"/>
            <w:shd w:val="clear" w:color="auto" w:fill="F2F2F2"/>
            <w:vAlign w:val="center"/>
          </w:tcPr>
          <w:p w14:paraId="1641AF07"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1</w:t>
            </w:r>
          </w:p>
        </w:tc>
        <w:tc>
          <w:tcPr>
            <w:tcW w:w="4972" w:type="dxa"/>
            <w:gridSpan w:val="2"/>
            <w:vAlign w:val="center"/>
          </w:tcPr>
          <w:p w14:paraId="70E44B99" w14:textId="77777777" w:rsidR="00B04B1D" w:rsidRPr="00B04B1D" w:rsidRDefault="00B04B1D" w:rsidP="00B04B1D">
            <w:pPr>
              <w:spacing w:after="0" w:line="240" w:lineRule="auto"/>
              <w:rPr>
                <w:rFonts w:ascii="Times New Roman" w:hAnsi="Times New Roman"/>
                <w:sz w:val="16"/>
                <w:szCs w:val="16"/>
              </w:rPr>
            </w:pPr>
            <w:r w:rsidRPr="00B04B1D">
              <w:rPr>
                <w:rFonts w:ascii="Times New Roman" w:hAnsi="Times New Roman"/>
                <w:sz w:val="16"/>
                <w:szCs w:val="16"/>
              </w:rPr>
              <w:t>Observations sur les inattentions de rédaction</w:t>
            </w:r>
          </w:p>
        </w:tc>
        <w:tc>
          <w:tcPr>
            <w:tcW w:w="1304" w:type="dxa"/>
            <w:shd w:val="clear" w:color="auto" w:fill="auto"/>
            <w:vAlign w:val="center"/>
          </w:tcPr>
          <w:p w14:paraId="013530CC" w14:textId="77777777" w:rsidR="00B04B1D" w:rsidRPr="00B04B1D" w:rsidRDefault="00B04B1D" w:rsidP="00B04B1D">
            <w:pPr>
              <w:spacing w:after="0" w:line="240" w:lineRule="auto"/>
              <w:jc w:val="center"/>
              <w:rPr>
                <w:rFonts w:ascii="Times New Roman" w:hAnsi="Times New Roman"/>
                <w:sz w:val="16"/>
                <w:szCs w:val="16"/>
              </w:rPr>
            </w:pPr>
          </w:p>
        </w:tc>
        <w:tc>
          <w:tcPr>
            <w:tcW w:w="2098" w:type="dxa"/>
            <w:shd w:val="clear" w:color="auto" w:fill="F2F2F2"/>
            <w:vAlign w:val="center"/>
          </w:tcPr>
          <w:p w14:paraId="709DB5E2" w14:textId="77777777" w:rsidR="00B04B1D" w:rsidRPr="00B04B1D" w:rsidRDefault="00B04B1D" w:rsidP="00B04B1D">
            <w:pPr>
              <w:spacing w:after="0" w:line="240" w:lineRule="auto"/>
              <w:jc w:val="center"/>
              <w:rPr>
                <w:rFonts w:ascii="Times New Roman" w:hAnsi="Times New Roman"/>
                <w:sz w:val="16"/>
                <w:szCs w:val="16"/>
              </w:rPr>
            </w:pPr>
          </w:p>
        </w:tc>
        <w:tc>
          <w:tcPr>
            <w:tcW w:w="5528" w:type="dxa"/>
            <w:vAlign w:val="center"/>
          </w:tcPr>
          <w:p w14:paraId="6D578CA5"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Généralement acceptées !</w:t>
            </w:r>
          </w:p>
        </w:tc>
      </w:tr>
      <w:tr w:rsidR="00B04B1D" w:rsidRPr="00B04B1D" w14:paraId="5D5BA3A7" w14:textId="77777777" w:rsidTr="004F261E">
        <w:trPr>
          <w:trHeight w:val="1095"/>
        </w:trPr>
        <w:tc>
          <w:tcPr>
            <w:tcW w:w="665" w:type="dxa"/>
            <w:shd w:val="clear" w:color="auto" w:fill="F2F2F2"/>
            <w:vAlign w:val="center"/>
          </w:tcPr>
          <w:p w14:paraId="00ACE481"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2.</w:t>
            </w:r>
          </w:p>
        </w:tc>
        <w:tc>
          <w:tcPr>
            <w:tcW w:w="2486" w:type="dxa"/>
            <w:vMerge w:val="restart"/>
            <w:vAlign w:val="center"/>
          </w:tcPr>
          <w:p w14:paraId="03C6D8AC" w14:textId="77777777" w:rsidR="00B04B1D" w:rsidRPr="00B04B1D" w:rsidRDefault="00B04B1D" w:rsidP="00B04B1D">
            <w:pPr>
              <w:spacing w:after="0" w:line="240" w:lineRule="auto"/>
              <w:rPr>
                <w:rFonts w:ascii="Times New Roman" w:hAnsi="Times New Roman"/>
                <w:sz w:val="16"/>
                <w:szCs w:val="16"/>
              </w:rPr>
            </w:pPr>
            <w:r w:rsidRPr="00B04B1D">
              <w:rPr>
                <w:rFonts w:ascii="Times New Roman" w:hAnsi="Times New Roman"/>
                <w:sz w:val="16"/>
                <w:szCs w:val="16"/>
              </w:rPr>
              <w:t>De façon générale, les affirmations contenues dans le rapport ne sont pas soutenues par des preuves/evidence tangibles. Voir quelques exemples ci-dessous :</w:t>
            </w:r>
          </w:p>
          <w:p w14:paraId="7E72ED9D" w14:textId="77777777" w:rsidR="00B04B1D" w:rsidRPr="00B04B1D" w:rsidRDefault="00B04B1D" w:rsidP="00B04B1D">
            <w:pPr>
              <w:spacing w:after="160" w:line="259" w:lineRule="auto"/>
              <w:ind w:left="720"/>
              <w:contextualSpacing/>
              <w:rPr>
                <w:rFonts w:ascii="Times New Roman" w:hAnsi="Times New Roman"/>
                <w:sz w:val="16"/>
                <w:szCs w:val="16"/>
              </w:rPr>
            </w:pPr>
          </w:p>
          <w:p w14:paraId="1A128F0A" w14:textId="77777777" w:rsidR="00B04B1D" w:rsidRPr="00B04B1D" w:rsidRDefault="00B04B1D" w:rsidP="00B04B1D">
            <w:pPr>
              <w:numPr>
                <w:ilvl w:val="0"/>
                <w:numId w:val="145"/>
              </w:numPr>
              <w:suppressAutoHyphens/>
              <w:spacing w:after="0" w:line="240" w:lineRule="auto"/>
              <w:contextualSpacing/>
              <w:jc w:val="both"/>
              <w:rPr>
                <w:rFonts w:ascii="Times New Roman" w:hAnsi="Times New Roman"/>
                <w:sz w:val="16"/>
                <w:szCs w:val="16"/>
              </w:rPr>
            </w:pPr>
          </w:p>
        </w:tc>
        <w:tc>
          <w:tcPr>
            <w:tcW w:w="2486" w:type="dxa"/>
            <w:vAlign w:val="center"/>
          </w:tcPr>
          <w:p w14:paraId="5506358B" w14:textId="77777777" w:rsidR="00B04B1D" w:rsidRPr="00B04B1D" w:rsidRDefault="00B04B1D" w:rsidP="00B04B1D">
            <w:pPr>
              <w:numPr>
                <w:ilvl w:val="0"/>
                <w:numId w:val="145"/>
              </w:numPr>
              <w:suppressAutoHyphens/>
              <w:spacing w:after="0" w:line="240" w:lineRule="auto"/>
              <w:contextualSpacing/>
              <w:rPr>
                <w:rFonts w:ascii="Times New Roman" w:hAnsi="Times New Roman"/>
                <w:sz w:val="16"/>
                <w:szCs w:val="16"/>
              </w:rPr>
            </w:pPr>
          </w:p>
        </w:tc>
        <w:tc>
          <w:tcPr>
            <w:tcW w:w="1304" w:type="dxa"/>
            <w:shd w:val="clear" w:color="auto" w:fill="auto"/>
            <w:vAlign w:val="center"/>
          </w:tcPr>
          <w:p w14:paraId="6A40F733"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SG</w:t>
            </w:r>
          </w:p>
        </w:tc>
        <w:tc>
          <w:tcPr>
            <w:tcW w:w="2098" w:type="dxa"/>
            <w:shd w:val="clear" w:color="auto" w:fill="F2F2F2"/>
            <w:vAlign w:val="center"/>
          </w:tcPr>
          <w:p w14:paraId="59585A55"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Non défini</w:t>
            </w:r>
          </w:p>
        </w:tc>
        <w:tc>
          <w:tcPr>
            <w:tcW w:w="5528" w:type="dxa"/>
            <w:vAlign w:val="center"/>
          </w:tcPr>
          <w:p w14:paraId="2D8E63EB"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 De façon générale, les affirmations contenues dans le rapport ne sont pas soutenues par des preuves/évidences tangibles. Voir quelques exemples ci-dessous " : Cette synthèse ne reflète pas du tout les commentaires formulés en track dans le retour du rapport !</w:t>
            </w:r>
          </w:p>
          <w:p w14:paraId="4A9BFD92"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Les 3 situations données ci-dessous comme des illustrations ne sont pas davantage pertinentes car ce sont des propos documentés statistiques à l’appui, comme cela est rappelé dans les cages correspondantes !</w:t>
            </w:r>
          </w:p>
        </w:tc>
      </w:tr>
      <w:tr w:rsidR="00B04B1D" w:rsidRPr="00B04B1D" w14:paraId="127E71EC" w14:textId="77777777" w:rsidTr="004F261E">
        <w:trPr>
          <w:trHeight w:val="1095"/>
        </w:trPr>
        <w:tc>
          <w:tcPr>
            <w:tcW w:w="665" w:type="dxa"/>
            <w:vMerge w:val="restart"/>
            <w:shd w:val="clear" w:color="auto" w:fill="F2F2F2"/>
            <w:vAlign w:val="center"/>
          </w:tcPr>
          <w:p w14:paraId="1FA220CD"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3.</w:t>
            </w:r>
          </w:p>
        </w:tc>
        <w:tc>
          <w:tcPr>
            <w:tcW w:w="2486" w:type="dxa"/>
            <w:vMerge/>
            <w:vAlign w:val="center"/>
          </w:tcPr>
          <w:p w14:paraId="29D117DD" w14:textId="77777777" w:rsidR="00B04B1D" w:rsidRPr="00B04B1D" w:rsidRDefault="00B04B1D" w:rsidP="00B04B1D">
            <w:pPr>
              <w:numPr>
                <w:ilvl w:val="0"/>
                <w:numId w:val="145"/>
              </w:numPr>
              <w:suppressAutoHyphens/>
              <w:spacing w:after="0" w:line="240" w:lineRule="auto"/>
              <w:contextualSpacing/>
              <w:jc w:val="both"/>
              <w:rPr>
                <w:rFonts w:ascii="Times New Roman" w:hAnsi="Times New Roman"/>
                <w:sz w:val="16"/>
                <w:szCs w:val="16"/>
              </w:rPr>
            </w:pPr>
          </w:p>
        </w:tc>
        <w:tc>
          <w:tcPr>
            <w:tcW w:w="2486" w:type="dxa"/>
            <w:vAlign w:val="center"/>
          </w:tcPr>
          <w:p w14:paraId="558D4663" w14:textId="77777777" w:rsidR="00B04B1D" w:rsidRPr="00B04B1D" w:rsidRDefault="00B04B1D" w:rsidP="00B04B1D">
            <w:pPr>
              <w:numPr>
                <w:ilvl w:val="0"/>
                <w:numId w:val="145"/>
              </w:numPr>
              <w:suppressAutoHyphens/>
              <w:spacing w:after="0" w:line="240" w:lineRule="auto"/>
              <w:contextualSpacing/>
              <w:rPr>
                <w:rFonts w:ascii="Times New Roman" w:hAnsi="Times New Roman"/>
                <w:sz w:val="16"/>
                <w:szCs w:val="16"/>
              </w:rPr>
            </w:pPr>
            <w:r w:rsidRPr="00B04B1D">
              <w:rPr>
                <w:rFonts w:ascii="Times New Roman" w:hAnsi="Times New Roman"/>
                <w:sz w:val="16"/>
                <w:szCs w:val="16"/>
              </w:rPr>
              <w:t>Point 4 page 8 : « Redonner du souffle à la mobilisation de ressource dans un contexte de plus en plus concurrentiel et difficile, en jouant mieux des atouts du programme et du Bureau » ;</w:t>
            </w:r>
          </w:p>
          <w:p w14:paraId="27D21A49" w14:textId="77777777" w:rsidR="00B04B1D" w:rsidRPr="00B04B1D" w:rsidRDefault="00B04B1D" w:rsidP="00B04B1D">
            <w:pPr>
              <w:numPr>
                <w:ilvl w:val="0"/>
                <w:numId w:val="145"/>
              </w:numPr>
              <w:suppressAutoHyphens/>
              <w:spacing w:after="0" w:line="240" w:lineRule="auto"/>
              <w:contextualSpacing/>
              <w:rPr>
                <w:rFonts w:ascii="Times New Roman" w:hAnsi="Times New Roman"/>
                <w:sz w:val="16"/>
                <w:szCs w:val="16"/>
              </w:rPr>
            </w:pPr>
          </w:p>
        </w:tc>
        <w:tc>
          <w:tcPr>
            <w:tcW w:w="1304" w:type="dxa"/>
            <w:shd w:val="clear" w:color="auto" w:fill="auto"/>
            <w:vAlign w:val="center"/>
          </w:tcPr>
          <w:p w14:paraId="42471F96"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SG</w:t>
            </w:r>
          </w:p>
        </w:tc>
        <w:tc>
          <w:tcPr>
            <w:tcW w:w="2098" w:type="dxa"/>
            <w:shd w:val="clear" w:color="auto" w:fill="F2F2F2"/>
            <w:vAlign w:val="center"/>
          </w:tcPr>
          <w:p w14:paraId="3D9398C1"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Non défini</w:t>
            </w:r>
          </w:p>
        </w:tc>
        <w:tc>
          <w:tcPr>
            <w:tcW w:w="5528" w:type="dxa"/>
            <w:vAlign w:val="center"/>
          </w:tcPr>
          <w:p w14:paraId="62580717"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Il est documenté statistiquement que le programme est dépendant de trois sources : Le Fonds Maladies (44%) ; le FEM (15%); le Gouvernement (11%) : pour un total consolidé de 70% des ressources !</w:t>
            </w:r>
          </w:p>
          <w:p w14:paraId="6614FB88"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 xml:space="preserve">En termes de perspectives : le Fonds Maladies est en instance de migration vers le pays : 44% en insécurité pour tout ou partie (pour partie vraisemblablement ; mais quand même ça fait problème dans les comptes du Programme) ; le FEM est stable pour le moment, mais peut à un moment ou à un autre restituer le statut de bénéficiaire principal au pays ; </w:t>
            </w:r>
          </w:p>
          <w:p w14:paraId="4E028C1D"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le FEM a la contrainte de ne pas être souple dans ses modalités de gestion : aujourd’hui 7 micro projets ne peuvent être regroupés par le Bureau pour faire un programme robuste parce que cela ne serait pas conforme aux procédures du FEM</w:t>
            </w:r>
          </w:p>
          <w:p w14:paraId="52C60A1A"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 xml:space="preserve">Avec cette double problématique clairement argumentée dans la section Mobilisations et ressources et le tableau des contraintes, il n’y aurait toujours pas de pertinence à recommander de " </w:t>
            </w:r>
            <w:r w:rsidRPr="00B04B1D">
              <w:rPr>
                <w:rFonts w:ascii="Times New Roman" w:hAnsi="Times New Roman"/>
                <w:b/>
                <w:i/>
                <w:sz w:val="16"/>
                <w:szCs w:val="16"/>
                <w:u w:val="single"/>
              </w:rPr>
              <w:t>Redonner du souffle à la mobilisation de ressource dans un contexte de plus en plus concurrentiel et difficile, en jouant mieux des atouts du programme et du Bureau </w:t>
            </w:r>
            <w:r w:rsidRPr="00B04B1D">
              <w:rPr>
                <w:rFonts w:ascii="Times New Roman" w:hAnsi="Times New Roman"/>
                <w:sz w:val="16"/>
                <w:szCs w:val="16"/>
              </w:rPr>
              <w:t>" ???</w:t>
            </w:r>
          </w:p>
        </w:tc>
      </w:tr>
      <w:tr w:rsidR="00B04B1D" w:rsidRPr="00B04B1D" w14:paraId="7B8BD273" w14:textId="77777777" w:rsidTr="004F261E">
        <w:trPr>
          <w:trHeight w:val="1093"/>
        </w:trPr>
        <w:tc>
          <w:tcPr>
            <w:tcW w:w="665" w:type="dxa"/>
            <w:vMerge/>
            <w:shd w:val="clear" w:color="auto" w:fill="F2F2F2"/>
            <w:vAlign w:val="center"/>
          </w:tcPr>
          <w:p w14:paraId="17E5227C" w14:textId="77777777" w:rsidR="00B04B1D" w:rsidRPr="00B04B1D" w:rsidRDefault="00B04B1D" w:rsidP="00B04B1D">
            <w:pPr>
              <w:spacing w:after="0" w:line="240" w:lineRule="auto"/>
              <w:jc w:val="both"/>
              <w:rPr>
                <w:rFonts w:ascii="Times New Roman" w:hAnsi="Times New Roman"/>
                <w:sz w:val="16"/>
                <w:szCs w:val="16"/>
              </w:rPr>
            </w:pPr>
          </w:p>
        </w:tc>
        <w:tc>
          <w:tcPr>
            <w:tcW w:w="2486" w:type="dxa"/>
            <w:vMerge/>
            <w:vAlign w:val="center"/>
          </w:tcPr>
          <w:p w14:paraId="4C68A7EB" w14:textId="77777777" w:rsidR="00B04B1D" w:rsidRPr="00B04B1D" w:rsidRDefault="00B04B1D" w:rsidP="00B04B1D">
            <w:pPr>
              <w:spacing w:after="0" w:line="240" w:lineRule="auto"/>
              <w:jc w:val="both"/>
              <w:rPr>
                <w:rFonts w:ascii="Times New Roman" w:hAnsi="Times New Roman"/>
                <w:sz w:val="16"/>
                <w:szCs w:val="16"/>
              </w:rPr>
            </w:pPr>
          </w:p>
        </w:tc>
        <w:tc>
          <w:tcPr>
            <w:tcW w:w="2486" w:type="dxa"/>
            <w:vAlign w:val="center"/>
          </w:tcPr>
          <w:p w14:paraId="65FEB70A" w14:textId="77777777" w:rsidR="00B04B1D" w:rsidRPr="00B04B1D" w:rsidRDefault="00B04B1D" w:rsidP="00B04B1D">
            <w:pPr>
              <w:numPr>
                <w:ilvl w:val="0"/>
                <w:numId w:val="145"/>
              </w:numPr>
              <w:suppressAutoHyphens/>
              <w:spacing w:after="0" w:line="240" w:lineRule="auto"/>
              <w:contextualSpacing/>
              <w:rPr>
                <w:rFonts w:ascii="Times New Roman" w:hAnsi="Times New Roman"/>
                <w:sz w:val="16"/>
                <w:szCs w:val="16"/>
              </w:rPr>
            </w:pPr>
            <w:r w:rsidRPr="00B04B1D">
              <w:rPr>
                <w:rFonts w:ascii="Times New Roman" w:hAnsi="Times New Roman"/>
                <w:sz w:val="16"/>
                <w:szCs w:val="16"/>
              </w:rPr>
              <w:t>Point 2 page 8 : « Valoriser l’expertise genre dans la formulation de nouveaux projets et l’écriture des plans de travail des projets en cours, pour y refléter la transversalité de cette dimension » ;</w:t>
            </w:r>
          </w:p>
        </w:tc>
        <w:tc>
          <w:tcPr>
            <w:tcW w:w="1304" w:type="dxa"/>
            <w:shd w:val="clear" w:color="auto" w:fill="auto"/>
            <w:vAlign w:val="center"/>
          </w:tcPr>
          <w:p w14:paraId="77C0DE36"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SG</w:t>
            </w:r>
          </w:p>
        </w:tc>
        <w:tc>
          <w:tcPr>
            <w:tcW w:w="2098" w:type="dxa"/>
            <w:shd w:val="clear" w:color="auto" w:fill="F2F2F2"/>
            <w:vAlign w:val="center"/>
          </w:tcPr>
          <w:p w14:paraId="3D19A6D1"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Non défini</w:t>
            </w:r>
          </w:p>
        </w:tc>
        <w:tc>
          <w:tcPr>
            <w:tcW w:w="5528" w:type="dxa"/>
            <w:vAlign w:val="center"/>
          </w:tcPr>
          <w:p w14:paraId="1C217AAB"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13% des résultats et des 21% des indicateurs, seulement, sont sensibles au genre, peut-ont lire aux paragraphe 74 et suivants (ancienne numérotation)</w:t>
            </w:r>
          </w:p>
          <w:p w14:paraId="4B6BA453"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Puis le rapport recense tous les effets qui ont bénéfciié empiriquement aux femmes, avant de conclure que ce bénéfice respecte la dispersion statistique des femmes dans les populations bénéficiaires : ce qui n’est pas spécialement pro genre, puisque les femmes peuvent être bénéficiaires sans être maîtresses de leur destin ; l’autonomisation, c’est repositionner les femmes la maîtrise d’elles mêmes pour une meilleure contribution à la vie de la communauté ;</w:t>
            </w:r>
          </w:p>
        </w:tc>
      </w:tr>
      <w:tr w:rsidR="00B04B1D" w:rsidRPr="00B04B1D" w14:paraId="6D76347C" w14:textId="77777777" w:rsidTr="004F261E">
        <w:trPr>
          <w:trHeight w:val="1093"/>
        </w:trPr>
        <w:tc>
          <w:tcPr>
            <w:tcW w:w="665" w:type="dxa"/>
            <w:vMerge/>
            <w:shd w:val="clear" w:color="auto" w:fill="F2F2F2"/>
            <w:vAlign w:val="center"/>
          </w:tcPr>
          <w:p w14:paraId="3E157EDD" w14:textId="77777777" w:rsidR="00B04B1D" w:rsidRPr="00B04B1D" w:rsidRDefault="00B04B1D" w:rsidP="00B04B1D">
            <w:pPr>
              <w:spacing w:after="0" w:line="240" w:lineRule="auto"/>
              <w:jc w:val="both"/>
              <w:rPr>
                <w:rFonts w:ascii="Times New Roman" w:hAnsi="Times New Roman"/>
                <w:sz w:val="16"/>
                <w:szCs w:val="16"/>
              </w:rPr>
            </w:pPr>
          </w:p>
        </w:tc>
        <w:tc>
          <w:tcPr>
            <w:tcW w:w="2486" w:type="dxa"/>
            <w:vMerge/>
            <w:vAlign w:val="center"/>
          </w:tcPr>
          <w:p w14:paraId="59B0AC24" w14:textId="77777777" w:rsidR="00B04B1D" w:rsidRPr="00B04B1D" w:rsidRDefault="00B04B1D" w:rsidP="00B04B1D">
            <w:pPr>
              <w:spacing w:after="0" w:line="240" w:lineRule="auto"/>
              <w:jc w:val="both"/>
              <w:rPr>
                <w:rFonts w:ascii="Times New Roman" w:hAnsi="Times New Roman"/>
                <w:sz w:val="16"/>
                <w:szCs w:val="16"/>
              </w:rPr>
            </w:pPr>
          </w:p>
        </w:tc>
        <w:tc>
          <w:tcPr>
            <w:tcW w:w="2486" w:type="dxa"/>
            <w:vAlign w:val="center"/>
          </w:tcPr>
          <w:p w14:paraId="69C8C255" w14:textId="77777777" w:rsidR="00B04B1D" w:rsidRPr="00B04B1D" w:rsidRDefault="00B04B1D" w:rsidP="00B04B1D">
            <w:pPr>
              <w:numPr>
                <w:ilvl w:val="0"/>
                <w:numId w:val="145"/>
              </w:numPr>
              <w:suppressAutoHyphens/>
              <w:spacing w:after="0" w:line="240" w:lineRule="auto"/>
              <w:contextualSpacing/>
              <w:rPr>
                <w:rFonts w:ascii="Times New Roman" w:hAnsi="Times New Roman"/>
                <w:sz w:val="16"/>
                <w:szCs w:val="16"/>
              </w:rPr>
            </w:pPr>
            <w:r w:rsidRPr="00B04B1D">
              <w:rPr>
                <w:rFonts w:ascii="Times New Roman" w:hAnsi="Times New Roman"/>
                <w:sz w:val="16"/>
                <w:szCs w:val="16"/>
              </w:rPr>
              <w:t>Point 42 page 25 : « Les projets rentrent globalement stratégiquement dans le programme, mais leurs rendus ne sont pas toujours techniquement profilés pour satisfaire aux exigences des résultats retenus dans le CPD » ;</w:t>
            </w:r>
          </w:p>
        </w:tc>
        <w:tc>
          <w:tcPr>
            <w:tcW w:w="1304" w:type="dxa"/>
            <w:shd w:val="clear" w:color="auto" w:fill="auto"/>
            <w:vAlign w:val="center"/>
          </w:tcPr>
          <w:p w14:paraId="55D42E3D"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SG</w:t>
            </w:r>
          </w:p>
        </w:tc>
        <w:tc>
          <w:tcPr>
            <w:tcW w:w="2098" w:type="dxa"/>
            <w:shd w:val="clear" w:color="auto" w:fill="F2F2F2"/>
            <w:vAlign w:val="center"/>
          </w:tcPr>
          <w:p w14:paraId="47FEC190"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Non défini</w:t>
            </w:r>
          </w:p>
        </w:tc>
        <w:tc>
          <w:tcPr>
            <w:tcW w:w="5528" w:type="dxa"/>
            <w:vAlign w:val="center"/>
          </w:tcPr>
          <w:p w14:paraId="13547E44" w14:textId="056C733F" w:rsidR="00B04B1D" w:rsidRPr="00B04B1D" w:rsidRDefault="00EA74DA" w:rsidP="00B04B1D">
            <w:pPr>
              <w:spacing w:after="0" w:line="240" w:lineRule="auto"/>
              <w:jc w:val="both"/>
              <w:rPr>
                <w:rFonts w:ascii="Times New Roman" w:hAnsi="Times New Roman"/>
                <w:sz w:val="16"/>
                <w:szCs w:val="16"/>
              </w:rPr>
            </w:pPr>
            <w:r>
              <w:rPr>
                <w:rFonts w:ascii="Times New Roman" w:hAnsi="Times New Roman"/>
                <w:noProof/>
                <w:sz w:val="16"/>
                <w:szCs w:val="16"/>
                <w:lang w:eastAsia="fr-FR"/>
              </w:rPr>
              <mc:AlternateContent>
                <mc:Choice Requires="wps">
                  <w:drawing>
                    <wp:anchor distT="0" distB="0" distL="114300" distR="114300" simplePos="0" relativeHeight="251682304" behindDoc="0" locked="0" layoutInCell="1" allowOverlap="1" wp14:anchorId="390E3A7A" wp14:editId="35F14EE5">
                      <wp:simplePos x="0" y="0"/>
                      <wp:positionH relativeFrom="column">
                        <wp:posOffset>1485900</wp:posOffset>
                      </wp:positionH>
                      <wp:positionV relativeFrom="paragraph">
                        <wp:posOffset>610870</wp:posOffset>
                      </wp:positionV>
                      <wp:extent cx="1563370" cy="408940"/>
                      <wp:effectExtent l="10795" t="5715" r="6985" b="1397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408940"/>
                              </a:xfrm>
                              <a:prstGeom prst="rect">
                                <a:avLst/>
                              </a:prstGeom>
                              <a:solidFill>
                                <a:srgbClr val="00B0F0"/>
                              </a:solidFill>
                              <a:ln w="9525">
                                <a:solidFill>
                                  <a:srgbClr val="00B0F0"/>
                                </a:solidFill>
                                <a:miter lim="800000"/>
                                <a:headEnd/>
                                <a:tailEnd/>
                              </a:ln>
                            </wps:spPr>
                            <wps:txbx>
                              <w:txbxContent>
                                <w:p w14:paraId="5CE8EBAD" w14:textId="77777777" w:rsidR="004F261E" w:rsidRPr="00E762A8" w:rsidRDefault="004F261E" w:rsidP="00B04B1D">
                                  <w:pPr>
                                    <w:rPr>
                                      <w:rFonts w:ascii="Times New Roman" w:hAnsi="Times New Roman"/>
                                      <w:sz w:val="16"/>
                                      <w:szCs w:val="16"/>
                                    </w:rPr>
                                  </w:pPr>
                                  <w:r w:rsidRPr="00E762A8">
                                    <w:rPr>
                                      <w:rFonts w:ascii="Times New Roman" w:hAnsi="Times New Roman"/>
                                      <w:sz w:val="16"/>
                                      <w:szCs w:val="16"/>
                                    </w:rPr>
                                    <w:t>Pas d’indicateur correspondant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E3A7A" id="Text Box 38" o:spid="_x0000_s1043" type="#_x0000_t202" style="position:absolute;left:0;text-align:left;margin-left:117pt;margin-top:48.1pt;width:123.1pt;height:32.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" fillcolor="#00b0f0" strokecolor="#00b0f0">
                      <v:textbox>
                        <w:txbxContent>
                          <w:p w14:paraId="5CE8EBAD" w14:textId="77777777" w:rsidR="004F261E" w:rsidRPr="00E762A8" w:rsidRDefault="004F261E" w:rsidP="00B04B1D">
                            <w:pPr>
                              <w:rPr>
                                <w:rFonts w:ascii="Times New Roman" w:hAnsi="Times New Roman"/>
                                <w:sz w:val="16"/>
                                <w:szCs w:val="16"/>
                              </w:rPr>
                            </w:pPr>
                            <w:r w:rsidRPr="00E762A8">
                              <w:rPr>
                                <w:rFonts w:ascii="Times New Roman" w:hAnsi="Times New Roman"/>
                                <w:sz w:val="16"/>
                                <w:szCs w:val="16"/>
                              </w:rPr>
                              <w:t>Pas d’indicateur correspondant !</w:t>
                            </w:r>
                          </w:p>
                        </w:txbxContent>
                      </v:textbox>
                    </v:shape>
                  </w:pict>
                </mc:Fallback>
              </mc:AlternateContent>
            </w:r>
            <w:r w:rsidR="00B04B1D" w:rsidRPr="00B04B1D">
              <w:rPr>
                <w:rFonts w:ascii="Times New Roman" w:hAnsi="Times New Roman"/>
                <w:sz w:val="16"/>
                <w:szCs w:val="16"/>
              </w:rPr>
              <w:t>Parcourez encore les matrices de performance et vous verrez une dizaine de blocs de rendus en provenance des projets que nous reversons directement aux résultats stratégiques sans avoir pu les référer à des indicateurs précis du CPD : si vous faîtes attention, vous verrez les carrés vides en bleu dans la version initiale de votre rapport avec la mention Pas d’indicateur correspondant :</w:t>
            </w:r>
          </w:p>
          <w:p w14:paraId="2B7CBF16" w14:textId="77777777" w:rsidR="00B04B1D" w:rsidRPr="00B04B1D" w:rsidRDefault="00B04B1D" w:rsidP="00B04B1D">
            <w:pPr>
              <w:spacing w:after="0" w:line="240" w:lineRule="auto"/>
              <w:jc w:val="both"/>
              <w:rPr>
                <w:rFonts w:ascii="Times New Roman" w:hAnsi="Times New Roman"/>
                <w:sz w:val="16"/>
                <w:szCs w:val="16"/>
              </w:rPr>
            </w:pPr>
          </w:p>
          <w:p w14:paraId="6BBB744C" w14:textId="77777777" w:rsidR="00B04B1D" w:rsidRPr="00B04B1D" w:rsidRDefault="00B04B1D" w:rsidP="00B04B1D">
            <w:pPr>
              <w:spacing w:after="0" w:line="240" w:lineRule="auto"/>
              <w:jc w:val="both"/>
              <w:rPr>
                <w:rFonts w:ascii="Times New Roman" w:hAnsi="Times New Roman"/>
                <w:sz w:val="16"/>
                <w:szCs w:val="16"/>
              </w:rPr>
            </w:pPr>
          </w:p>
          <w:p w14:paraId="1169887D" w14:textId="77777777" w:rsidR="00B04B1D" w:rsidRPr="00B04B1D" w:rsidRDefault="00B04B1D" w:rsidP="00B04B1D">
            <w:pPr>
              <w:spacing w:after="0" w:line="240" w:lineRule="auto"/>
              <w:jc w:val="both"/>
              <w:rPr>
                <w:rFonts w:ascii="Times New Roman" w:hAnsi="Times New Roman"/>
                <w:sz w:val="16"/>
                <w:szCs w:val="16"/>
              </w:rPr>
            </w:pPr>
          </w:p>
          <w:p w14:paraId="18A5E713" w14:textId="77777777" w:rsidR="00B04B1D" w:rsidRPr="00B04B1D" w:rsidRDefault="00B04B1D" w:rsidP="00B04B1D">
            <w:pPr>
              <w:spacing w:after="0" w:line="240" w:lineRule="auto"/>
              <w:jc w:val="both"/>
              <w:rPr>
                <w:rFonts w:ascii="Times New Roman" w:hAnsi="Times New Roman"/>
                <w:sz w:val="16"/>
                <w:szCs w:val="16"/>
              </w:rPr>
            </w:pPr>
          </w:p>
          <w:p w14:paraId="2F9E7834"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lastRenderedPageBreak/>
              <w:t>Il y a exactement 6 blocs de résultats avec cette mention en face, qui signifie ces contributions ne rentrent pas des indicateurs : il y a donc une problème de lisibilité technique entre les projets et la matrice du Programme !</w:t>
            </w:r>
          </w:p>
        </w:tc>
      </w:tr>
      <w:tr w:rsidR="00B04B1D" w:rsidRPr="00B04B1D" w14:paraId="67C56792" w14:textId="77777777" w:rsidTr="004F261E">
        <w:tc>
          <w:tcPr>
            <w:tcW w:w="665" w:type="dxa"/>
            <w:shd w:val="clear" w:color="auto" w:fill="F2F2F2"/>
            <w:vAlign w:val="center"/>
          </w:tcPr>
          <w:p w14:paraId="6AC871D4"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lastRenderedPageBreak/>
              <w:t>4.</w:t>
            </w:r>
          </w:p>
        </w:tc>
        <w:tc>
          <w:tcPr>
            <w:tcW w:w="4972" w:type="dxa"/>
            <w:gridSpan w:val="2"/>
            <w:vAlign w:val="center"/>
          </w:tcPr>
          <w:p w14:paraId="26C3CABA"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Les informations contenues dans le rapport semblent se baser principalement sur les données de 2015 et 2016 (référence aux ROAR) ; des données quantitatives et qualitatives de 2017 mériteraient d’être intégrées dans l’analyse ;</w:t>
            </w:r>
          </w:p>
        </w:tc>
        <w:tc>
          <w:tcPr>
            <w:tcW w:w="1304" w:type="dxa"/>
            <w:shd w:val="clear" w:color="auto" w:fill="auto"/>
            <w:vAlign w:val="center"/>
          </w:tcPr>
          <w:p w14:paraId="40450D06"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SG</w:t>
            </w:r>
          </w:p>
        </w:tc>
        <w:tc>
          <w:tcPr>
            <w:tcW w:w="2098" w:type="dxa"/>
            <w:shd w:val="clear" w:color="auto" w:fill="F2F2F2"/>
            <w:vAlign w:val="center"/>
          </w:tcPr>
          <w:p w14:paraId="341175A6" w14:textId="77777777" w:rsidR="00B04B1D" w:rsidRPr="00B04B1D" w:rsidRDefault="00B04B1D" w:rsidP="00B04B1D">
            <w:pPr>
              <w:spacing w:after="0" w:line="240" w:lineRule="auto"/>
              <w:jc w:val="center"/>
              <w:rPr>
                <w:rFonts w:ascii="Times New Roman" w:hAnsi="Times New Roman"/>
                <w:sz w:val="16"/>
                <w:szCs w:val="16"/>
              </w:rPr>
            </w:pPr>
          </w:p>
        </w:tc>
        <w:tc>
          <w:tcPr>
            <w:tcW w:w="5528" w:type="dxa"/>
            <w:vAlign w:val="center"/>
          </w:tcPr>
          <w:p w14:paraId="1CDB2C4F"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A l’échelle du CPD, les informations de 2017 ne sont pas encore stabilisées pour une évaluation conduite en Septembre !</w:t>
            </w:r>
          </w:p>
          <w:p w14:paraId="1F3FA5B9"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Oui, les ROAR sont une source privilégiée, conformément aux exigences de l’UNEG en matière d’évaluation qualitative : environ 70% des données doivent être tirées de rapports validés !</w:t>
            </w:r>
          </w:p>
        </w:tc>
      </w:tr>
      <w:tr w:rsidR="00B04B1D" w:rsidRPr="00B04B1D" w14:paraId="40D572B9" w14:textId="77777777" w:rsidTr="004F261E">
        <w:tc>
          <w:tcPr>
            <w:tcW w:w="665" w:type="dxa"/>
            <w:shd w:val="clear" w:color="auto" w:fill="F2F2F2"/>
            <w:vAlign w:val="center"/>
          </w:tcPr>
          <w:p w14:paraId="1B23432D"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5.</w:t>
            </w:r>
          </w:p>
        </w:tc>
        <w:tc>
          <w:tcPr>
            <w:tcW w:w="4972" w:type="dxa"/>
            <w:gridSpan w:val="2"/>
            <w:vAlign w:val="center"/>
          </w:tcPr>
          <w:p w14:paraId="32D4E7D8"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A la page 6, mettre l’accent sur la durabilité des actions de résilience et environnementales ainsi que la gouvernance y afférente au niveau institutionnel ;</w:t>
            </w:r>
          </w:p>
        </w:tc>
        <w:tc>
          <w:tcPr>
            <w:tcW w:w="1304" w:type="dxa"/>
            <w:shd w:val="clear" w:color="auto" w:fill="auto"/>
            <w:vAlign w:val="center"/>
          </w:tcPr>
          <w:p w14:paraId="2CCF22C9"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SG</w:t>
            </w:r>
          </w:p>
        </w:tc>
        <w:tc>
          <w:tcPr>
            <w:tcW w:w="2098" w:type="dxa"/>
            <w:shd w:val="clear" w:color="auto" w:fill="F2F2F2"/>
            <w:vAlign w:val="center"/>
          </w:tcPr>
          <w:p w14:paraId="21764047"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vi</w:t>
            </w:r>
          </w:p>
        </w:tc>
        <w:tc>
          <w:tcPr>
            <w:tcW w:w="5528" w:type="dxa"/>
            <w:vAlign w:val="center"/>
          </w:tcPr>
          <w:p w14:paraId="508CB3AA"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Cf. ligne commentaire 12 et réponse apportée !</w:t>
            </w:r>
          </w:p>
        </w:tc>
      </w:tr>
      <w:tr w:rsidR="00B04B1D" w:rsidRPr="00B04B1D" w14:paraId="399D5432" w14:textId="77777777" w:rsidTr="004F261E">
        <w:tc>
          <w:tcPr>
            <w:tcW w:w="665" w:type="dxa"/>
            <w:shd w:val="clear" w:color="auto" w:fill="F2F2F2"/>
            <w:vAlign w:val="center"/>
          </w:tcPr>
          <w:p w14:paraId="579F079C"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6.</w:t>
            </w:r>
          </w:p>
        </w:tc>
        <w:tc>
          <w:tcPr>
            <w:tcW w:w="4972" w:type="dxa"/>
            <w:gridSpan w:val="2"/>
            <w:vAlign w:val="center"/>
          </w:tcPr>
          <w:p w14:paraId="0AF3D4CD"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Pas d’analyse, ni de recommandation formulée par rapport au staffing, pour son voir son adéquation ou non avec les besoins du Bureau</w:t>
            </w:r>
          </w:p>
        </w:tc>
        <w:tc>
          <w:tcPr>
            <w:tcW w:w="1304" w:type="dxa"/>
            <w:shd w:val="clear" w:color="auto" w:fill="auto"/>
            <w:vAlign w:val="center"/>
          </w:tcPr>
          <w:p w14:paraId="473769E1" w14:textId="77777777" w:rsidR="00B04B1D" w:rsidRPr="00B04B1D" w:rsidRDefault="00B04B1D" w:rsidP="00B04B1D">
            <w:pPr>
              <w:spacing w:after="0" w:line="240" w:lineRule="auto"/>
              <w:jc w:val="center"/>
              <w:rPr>
                <w:rFonts w:ascii="Times New Roman" w:hAnsi="Times New Roman"/>
                <w:sz w:val="16"/>
                <w:szCs w:val="16"/>
              </w:rPr>
            </w:pPr>
          </w:p>
        </w:tc>
        <w:tc>
          <w:tcPr>
            <w:tcW w:w="2098" w:type="dxa"/>
            <w:shd w:val="clear" w:color="auto" w:fill="F2F2F2"/>
            <w:vAlign w:val="center"/>
          </w:tcPr>
          <w:p w14:paraId="33E5B96D"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Non défini</w:t>
            </w:r>
          </w:p>
        </w:tc>
        <w:tc>
          <w:tcPr>
            <w:tcW w:w="5528" w:type="dxa"/>
            <w:vAlign w:val="center"/>
          </w:tcPr>
          <w:p w14:paraId="0F075887"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La question du staffing du bureau a été abordée avec toutes les Unités, et il est ressorti que le Bureau était dans une dynamique de résorption de ses gaps à ce niveau : on ne peut pas inventer des problèmes si l’on nous dit qu’il n’y en a pas et que nous n’en avons pas vu.</w:t>
            </w:r>
          </w:p>
          <w:p w14:paraId="27DBE2ED"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Le staffing sur le Programme est tout à fait autre chose : que nous avons analysé et sur lequel nous recommandons aussi. Vous lirez ce diagnostic au § 91 "les projets mis en œuvre en modalité d’exécution nationale sont quand même dotés d’unités de gestion spécifiques (un coordonnateur national et son staff, qui sont différents du Directeur national et de son administration). Le moins que l’on puisse dire est que ce dispositif lourd, conflictuel et frustrant pour la partie nationale, augmente peut être la rapidité d’exécution des projets concernés mais est surtout très onéreuse et empêche de faire parvenir aux bénéficiaires directs le maximum de ressources." La recommandation 1 sur la rationalisation du portefeuille découle de là !</w:t>
            </w:r>
          </w:p>
        </w:tc>
      </w:tr>
      <w:tr w:rsidR="00B04B1D" w:rsidRPr="00B04B1D" w14:paraId="77B274BF" w14:textId="77777777" w:rsidTr="004F261E">
        <w:tc>
          <w:tcPr>
            <w:tcW w:w="665" w:type="dxa"/>
            <w:shd w:val="clear" w:color="auto" w:fill="F2F2F2"/>
            <w:vAlign w:val="center"/>
          </w:tcPr>
          <w:p w14:paraId="63B3E18C"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7.</w:t>
            </w:r>
          </w:p>
        </w:tc>
        <w:tc>
          <w:tcPr>
            <w:tcW w:w="4972" w:type="dxa"/>
            <w:gridSpan w:val="2"/>
            <w:vAlign w:val="center"/>
          </w:tcPr>
          <w:p w14:paraId="06E09A78" w14:textId="77777777" w:rsidR="00B04B1D" w:rsidRPr="00B04B1D" w:rsidRDefault="00B04B1D" w:rsidP="00B04B1D">
            <w:pPr>
              <w:spacing w:after="0" w:line="240" w:lineRule="auto"/>
              <w:rPr>
                <w:rFonts w:ascii="Times New Roman" w:hAnsi="Times New Roman"/>
                <w:sz w:val="16"/>
                <w:szCs w:val="16"/>
              </w:rPr>
            </w:pPr>
            <w:r w:rsidRPr="00B04B1D">
              <w:rPr>
                <w:rFonts w:ascii="Times New Roman" w:hAnsi="Times New Roman"/>
                <w:sz w:val="16"/>
                <w:szCs w:val="16"/>
              </w:rPr>
              <w:t>Ajouter une page de remerciements</w:t>
            </w:r>
          </w:p>
        </w:tc>
        <w:tc>
          <w:tcPr>
            <w:tcW w:w="1304" w:type="dxa"/>
            <w:shd w:val="clear" w:color="auto" w:fill="auto"/>
            <w:vAlign w:val="center"/>
          </w:tcPr>
          <w:p w14:paraId="7192A291"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SG</w:t>
            </w:r>
          </w:p>
        </w:tc>
        <w:tc>
          <w:tcPr>
            <w:tcW w:w="2098" w:type="dxa"/>
            <w:shd w:val="clear" w:color="auto" w:fill="F2F2F2"/>
            <w:vAlign w:val="center"/>
          </w:tcPr>
          <w:p w14:paraId="21737EA0"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Non défini</w:t>
            </w:r>
          </w:p>
        </w:tc>
        <w:tc>
          <w:tcPr>
            <w:tcW w:w="5528" w:type="dxa"/>
            <w:vAlign w:val="center"/>
          </w:tcPr>
          <w:p w14:paraId="66CD93F8"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Demande non pertinente : les remerciements sont formulés en débriefing ; ces considérations non technique n’ont pas de place indispensable dans un document technique !</w:t>
            </w:r>
          </w:p>
        </w:tc>
      </w:tr>
      <w:tr w:rsidR="00B04B1D" w:rsidRPr="00B04B1D" w14:paraId="578BD530" w14:textId="77777777" w:rsidTr="004F261E">
        <w:tc>
          <w:tcPr>
            <w:tcW w:w="665" w:type="dxa"/>
            <w:shd w:val="clear" w:color="auto" w:fill="F2F2F2"/>
            <w:vAlign w:val="center"/>
          </w:tcPr>
          <w:p w14:paraId="1435B38F"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8.</w:t>
            </w:r>
          </w:p>
        </w:tc>
        <w:tc>
          <w:tcPr>
            <w:tcW w:w="4972" w:type="dxa"/>
            <w:gridSpan w:val="2"/>
            <w:vAlign w:val="center"/>
          </w:tcPr>
          <w:p w14:paraId="6B362547" w14:textId="77777777" w:rsidR="00B04B1D" w:rsidRPr="00B04B1D" w:rsidRDefault="00B04B1D" w:rsidP="00B04B1D">
            <w:pPr>
              <w:spacing w:after="0" w:line="240" w:lineRule="auto"/>
              <w:rPr>
                <w:rFonts w:ascii="Times New Roman" w:hAnsi="Times New Roman"/>
                <w:sz w:val="16"/>
                <w:szCs w:val="16"/>
              </w:rPr>
            </w:pPr>
            <w:r w:rsidRPr="00B04B1D">
              <w:rPr>
                <w:rFonts w:ascii="Times New Roman" w:hAnsi="Times New Roman"/>
                <w:sz w:val="16"/>
                <w:szCs w:val="16"/>
              </w:rPr>
              <w:t>Codifier tableaux et figures</w:t>
            </w:r>
          </w:p>
        </w:tc>
        <w:tc>
          <w:tcPr>
            <w:tcW w:w="1304" w:type="dxa"/>
            <w:shd w:val="clear" w:color="auto" w:fill="auto"/>
            <w:vAlign w:val="center"/>
          </w:tcPr>
          <w:p w14:paraId="1740F4B4"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SG</w:t>
            </w:r>
          </w:p>
        </w:tc>
        <w:tc>
          <w:tcPr>
            <w:tcW w:w="2098" w:type="dxa"/>
            <w:shd w:val="clear" w:color="auto" w:fill="F2F2F2"/>
            <w:vAlign w:val="center"/>
          </w:tcPr>
          <w:p w14:paraId="31F8640D" w14:textId="77777777" w:rsidR="00B04B1D" w:rsidRPr="00B04B1D" w:rsidRDefault="00B04B1D" w:rsidP="00B04B1D">
            <w:pPr>
              <w:spacing w:after="0" w:line="240" w:lineRule="auto"/>
              <w:jc w:val="center"/>
              <w:rPr>
                <w:rFonts w:ascii="Times New Roman" w:hAnsi="Times New Roman"/>
                <w:sz w:val="16"/>
                <w:szCs w:val="16"/>
              </w:rPr>
            </w:pPr>
          </w:p>
        </w:tc>
        <w:tc>
          <w:tcPr>
            <w:tcW w:w="5528" w:type="dxa"/>
            <w:vAlign w:val="center"/>
          </w:tcPr>
          <w:p w14:paraId="21230537"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Observation tenue en compte : listes de tableaux et figures insérées</w:t>
            </w:r>
          </w:p>
        </w:tc>
      </w:tr>
      <w:tr w:rsidR="00B04B1D" w:rsidRPr="00B04B1D" w14:paraId="3B84BC49" w14:textId="77777777" w:rsidTr="004F261E">
        <w:tc>
          <w:tcPr>
            <w:tcW w:w="665" w:type="dxa"/>
            <w:shd w:val="clear" w:color="auto" w:fill="F2F2F2"/>
            <w:vAlign w:val="center"/>
          </w:tcPr>
          <w:p w14:paraId="2A7E73D9"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9.</w:t>
            </w:r>
          </w:p>
        </w:tc>
        <w:tc>
          <w:tcPr>
            <w:tcW w:w="4972" w:type="dxa"/>
            <w:gridSpan w:val="2"/>
            <w:vAlign w:val="center"/>
          </w:tcPr>
          <w:p w14:paraId="502F0467" w14:textId="77777777" w:rsidR="00B04B1D" w:rsidRPr="00B04B1D" w:rsidRDefault="00B04B1D" w:rsidP="00B04B1D">
            <w:pPr>
              <w:spacing w:after="0" w:line="240" w:lineRule="auto"/>
              <w:rPr>
                <w:rFonts w:ascii="Times New Roman" w:hAnsi="Times New Roman"/>
                <w:sz w:val="16"/>
                <w:szCs w:val="16"/>
              </w:rPr>
            </w:pPr>
            <w:r w:rsidRPr="00B04B1D">
              <w:rPr>
                <w:rFonts w:ascii="Times New Roman" w:hAnsi="Times New Roman"/>
                <w:sz w:val="16"/>
                <w:szCs w:val="16"/>
              </w:rPr>
              <w:t>Sigles et Abréviations</w:t>
            </w:r>
          </w:p>
        </w:tc>
        <w:tc>
          <w:tcPr>
            <w:tcW w:w="1304" w:type="dxa"/>
            <w:shd w:val="clear" w:color="auto" w:fill="auto"/>
            <w:vAlign w:val="center"/>
          </w:tcPr>
          <w:p w14:paraId="36C8C294"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SG</w:t>
            </w:r>
          </w:p>
        </w:tc>
        <w:tc>
          <w:tcPr>
            <w:tcW w:w="2098" w:type="dxa"/>
            <w:shd w:val="clear" w:color="auto" w:fill="F2F2F2"/>
            <w:vAlign w:val="center"/>
          </w:tcPr>
          <w:p w14:paraId="4EDD7577"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P3</w:t>
            </w:r>
          </w:p>
        </w:tc>
        <w:tc>
          <w:tcPr>
            <w:tcW w:w="5528" w:type="dxa"/>
            <w:vAlign w:val="center"/>
          </w:tcPr>
          <w:p w14:paraId="20F03DEF"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Commentaire non pertinent : qu’apporte de différent l’expression "Sigles et Abréviations" par rapport au mot "Acronymes" ???</w:t>
            </w:r>
          </w:p>
        </w:tc>
      </w:tr>
      <w:tr w:rsidR="00B04B1D" w:rsidRPr="00B04B1D" w14:paraId="47605DC0" w14:textId="77777777" w:rsidTr="004F261E">
        <w:tc>
          <w:tcPr>
            <w:tcW w:w="665" w:type="dxa"/>
            <w:shd w:val="clear" w:color="auto" w:fill="F2F2F2"/>
            <w:vAlign w:val="center"/>
          </w:tcPr>
          <w:p w14:paraId="6E381AC7"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10.</w:t>
            </w:r>
          </w:p>
        </w:tc>
        <w:tc>
          <w:tcPr>
            <w:tcW w:w="4972" w:type="dxa"/>
            <w:gridSpan w:val="2"/>
            <w:vAlign w:val="center"/>
          </w:tcPr>
          <w:p w14:paraId="79683176" w14:textId="77777777" w:rsidR="00B04B1D" w:rsidRPr="00B04B1D" w:rsidRDefault="00B04B1D" w:rsidP="00B04B1D">
            <w:pPr>
              <w:spacing w:after="0" w:line="240" w:lineRule="auto"/>
              <w:rPr>
                <w:rFonts w:ascii="Times New Roman" w:hAnsi="Times New Roman"/>
                <w:sz w:val="16"/>
                <w:szCs w:val="16"/>
              </w:rPr>
            </w:pPr>
            <w:r w:rsidRPr="00B04B1D">
              <w:rPr>
                <w:rFonts w:ascii="Times New Roman" w:hAnsi="Times New Roman"/>
                <w:sz w:val="16"/>
                <w:szCs w:val="16"/>
              </w:rPr>
              <w:t>Expliciter "unités parallèles de gestion"</w:t>
            </w:r>
          </w:p>
        </w:tc>
        <w:tc>
          <w:tcPr>
            <w:tcW w:w="1304" w:type="dxa"/>
            <w:shd w:val="clear" w:color="auto" w:fill="auto"/>
            <w:vAlign w:val="center"/>
          </w:tcPr>
          <w:p w14:paraId="2D3E6EBC"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OD</w:t>
            </w:r>
          </w:p>
        </w:tc>
        <w:tc>
          <w:tcPr>
            <w:tcW w:w="2098" w:type="dxa"/>
            <w:shd w:val="clear" w:color="auto" w:fill="F2F2F2"/>
            <w:vAlign w:val="center"/>
          </w:tcPr>
          <w:p w14:paraId="4F2AE74E"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v</w:t>
            </w:r>
          </w:p>
        </w:tc>
        <w:tc>
          <w:tcPr>
            <w:tcW w:w="5528" w:type="dxa"/>
            <w:vAlign w:val="center"/>
          </w:tcPr>
          <w:p w14:paraId="3BF88057"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Explicitation donnée dans le texte : "(7 coordination de projet à côté de l’AEED !)</w:t>
            </w:r>
          </w:p>
        </w:tc>
      </w:tr>
      <w:tr w:rsidR="00B04B1D" w:rsidRPr="00B04B1D" w14:paraId="6D1A52A3" w14:textId="77777777" w:rsidTr="004F261E">
        <w:tc>
          <w:tcPr>
            <w:tcW w:w="665" w:type="dxa"/>
            <w:shd w:val="clear" w:color="auto" w:fill="F2F2F2"/>
            <w:vAlign w:val="center"/>
          </w:tcPr>
          <w:p w14:paraId="56F967EA"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11.</w:t>
            </w:r>
          </w:p>
        </w:tc>
        <w:tc>
          <w:tcPr>
            <w:tcW w:w="4972" w:type="dxa"/>
            <w:gridSpan w:val="2"/>
            <w:vAlign w:val="center"/>
          </w:tcPr>
          <w:p w14:paraId="39145BB1" w14:textId="77777777" w:rsidR="00B04B1D" w:rsidRPr="00B04B1D" w:rsidRDefault="00B04B1D" w:rsidP="00B04B1D">
            <w:pPr>
              <w:spacing w:after="0" w:line="240" w:lineRule="auto"/>
              <w:rPr>
                <w:rFonts w:ascii="Times New Roman" w:hAnsi="Times New Roman"/>
                <w:sz w:val="16"/>
                <w:szCs w:val="16"/>
              </w:rPr>
            </w:pPr>
            <w:r w:rsidRPr="00B04B1D">
              <w:rPr>
                <w:rFonts w:ascii="Times New Roman" w:hAnsi="Times New Roman"/>
                <w:sz w:val="16"/>
                <w:szCs w:val="16"/>
              </w:rPr>
              <w:t>Le staffing est adapté à la nature et au besoin du projet, par conséquent, il est difficile d’harmoniser au niveau de tous les projets. (CMT : Fatim Ossade)</w:t>
            </w:r>
          </w:p>
        </w:tc>
        <w:tc>
          <w:tcPr>
            <w:tcW w:w="1304" w:type="dxa"/>
            <w:shd w:val="clear" w:color="auto" w:fill="auto"/>
            <w:vAlign w:val="center"/>
          </w:tcPr>
          <w:p w14:paraId="5D0E6D6A"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SG/FO</w:t>
            </w:r>
          </w:p>
        </w:tc>
        <w:tc>
          <w:tcPr>
            <w:tcW w:w="2098" w:type="dxa"/>
            <w:shd w:val="clear" w:color="auto" w:fill="F2F2F2"/>
            <w:vAlign w:val="center"/>
          </w:tcPr>
          <w:p w14:paraId="0D886CBA"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v</w:t>
            </w:r>
          </w:p>
        </w:tc>
        <w:tc>
          <w:tcPr>
            <w:tcW w:w="5528" w:type="dxa"/>
            <w:vAlign w:val="center"/>
          </w:tcPr>
          <w:p w14:paraId="45BFE0A7"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Cette demande d’harmonisation vient du management du PNUD et des Partenaires nationaux rencontrés !</w:t>
            </w:r>
          </w:p>
        </w:tc>
      </w:tr>
      <w:tr w:rsidR="00B04B1D" w:rsidRPr="00B04B1D" w14:paraId="65012120" w14:textId="77777777" w:rsidTr="004F261E">
        <w:tc>
          <w:tcPr>
            <w:tcW w:w="665" w:type="dxa"/>
            <w:shd w:val="clear" w:color="auto" w:fill="F2F2F2"/>
            <w:vAlign w:val="center"/>
          </w:tcPr>
          <w:p w14:paraId="25E12D9A"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12.</w:t>
            </w:r>
          </w:p>
        </w:tc>
        <w:tc>
          <w:tcPr>
            <w:tcW w:w="4972" w:type="dxa"/>
            <w:gridSpan w:val="2"/>
            <w:vAlign w:val="center"/>
          </w:tcPr>
          <w:p w14:paraId="4A9F467C" w14:textId="77777777" w:rsidR="00B04B1D" w:rsidRPr="00B04B1D" w:rsidRDefault="00B04B1D" w:rsidP="00B04B1D">
            <w:pPr>
              <w:spacing w:after="0" w:line="240" w:lineRule="auto"/>
              <w:rPr>
                <w:rFonts w:ascii="Times New Roman" w:hAnsi="Times New Roman"/>
                <w:sz w:val="16"/>
                <w:szCs w:val="16"/>
              </w:rPr>
            </w:pPr>
            <w:r w:rsidRPr="00B04B1D">
              <w:rPr>
                <w:rFonts w:ascii="Times New Roman" w:hAnsi="Times New Roman"/>
                <w:sz w:val="16"/>
                <w:szCs w:val="16"/>
              </w:rPr>
              <w:t>Nécessité d’un avis sur la durabilité des actions de résilience et environnementales ainsi que la gouvernance y afférente au niveau institutionnel</w:t>
            </w:r>
          </w:p>
        </w:tc>
        <w:tc>
          <w:tcPr>
            <w:tcW w:w="1304" w:type="dxa"/>
            <w:shd w:val="clear" w:color="auto" w:fill="auto"/>
            <w:vAlign w:val="center"/>
          </w:tcPr>
          <w:p w14:paraId="5B5FDF35"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OT</w:t>
            </w:r>
          </w:p>
        </w:tc>
        <w:tc>
          <w:tcPr>
            <w:tcW w:w="2098" w:type="dxa"/>
            <w:shd w:val="clear" w:color="auto" w:fill="F2F2F2"/>
            <w:vAlign w:val="center"/>
          </w:tcPr>
          <w:p w14:paraId="0802DE22"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vi</w:t>
            </w:r>
          </w:p>
        </w:tc>
        <w:tc>
          <w:tcPr>
            <w:tcW w:w="5528" w:type="dxa"/>
            <w:vAlign w:val="center"/>
          </w:tcPr>
          <w:p w14:paraId="711064B6"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Résilience environnementale est visée plus bas dans l’expression "résilience socioéconomique à la base"</w:t>
            </w:r>
          </w:p>
          <w:p w14:paraId="1CF49A52"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L’environnement institutionnel est visé plus haut dans l’exprission "</w:t>
            </w:r>
            <w:r w:rsidRPr="00B04B1D">
              <w:rPr>
                <w:rFonts w:ascii="Times New Roman" w:hAnsi="Times New Roman"/>
                <w:sz w:val="16"/>
                <w:szCs w:val="16"/>
                <w:lang w:eastAsia="ar-SA"/>
              </w:rPr>
              <w:t xml:space="preserve"> </w:t>
            </w:r>
            <w:r w:rsidRPr="00B04B1D">
              <w:rPr>
                <w:rFonts w:ascii="Times New Roman" w:hAnsi="Times New Roman"/>
                <w:sz w:val="16"/>
                <w:szCs w:val="16"/>
              </w:rPr>
              <w:t>capacités de pilotage stratégique"</w:t>
            </w:r>
          </w:p>
          <w:p w14:paraId="6ED10D89"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Le commentaire ne tient pas compte du fait que nous ici dans le Résumé Exécutif qui doit synthétiser pour ne pas prendre trop de place. Le détail est donné dans le corps du rapport :</w:t>
            </w:r>
          </w:p>
        </w:tc>
      </w:tr>
      <w:tr w:rsidR="00B04B1D" w:rsidRPr="00B04B1D" w14:paraId="7D0BD522" w14:textId="77777777" w:rsidTr="004F261E">
        <w:tc>
          <w:tcPr>
            <w:tcW w:w="665" w:type="dxa"/>
            <w:shd w:val="clear" w:color="auto" w:fill="F2F2F2"/>
            <w:vAlign w:val="center"/>
          </w:tcPr>
          <w:p w14:paraId="7760B93D"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13.</w:t>
            </w:r>
          </w:p>
        </w:tc>
        <w:tc>
          <w:tcPr>
            <w:tcW w:w="4972" w:type="dxa"/>
            <w:gridSpan w:val="2"/>
            <w:vAlign w:val="center"/>
          </w:tcPr>
          <w:p w14:paraId="54AF5996"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masters attractifs et en abritant plusieurs rencontres/formation avec cost recovery (Ajout : Fatim Ossade)</w:t>
            </w:r>
          </w:p>
        </w:tc>
        <w:tc>
          <w:tcPr>
            <w:tcW w:w="1304" w:type="dxa"/>
            <w:shd w:val="clear" w:color="auto" w:fill="auto"/>
            <w:vAlign w:val="center"/>
          </w:tcPr>
          <w:p w14:paraId="660CB638"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SG/FO</w:t>
            </w:r>
          </w:p>
        </w:tc>
        <w:tc>
          <w:tcPr>
            <w:tcW w:w="2098" w:type="dxa"/>
            <w:shd w:val="clear" w:color="auto" w:fill="F2F2F2"/>
            <w:vAlign w:val="center"/>
          </w:tcPr>
          <w:p w14:paraId="10B75D4F"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vi</w:t>
            </w:r>
          </w:p>
        </w:tc>
        <w:tc>
          <w:tcPr>
            <w:tcW w:w="5528" w:type="dxa"/>
            <w:vAlign w:val="center"/>
          </w:tcPr>
          <w:p w14:paraId="658366CE"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Observation tenue en compte : information insérée !</w:t>
            </w:r>
          </w:p>
        </w:tc>
      </w:tr>
      <w:tr w:rsidR="00B04B1D" w:rsidRPr="00B04B1D" w14:paraId="2F9569A4" w14:textId="77777777" w:rsidTr="004F261E">
        <w:tc>
          <w:tcPr>
            <w:tcW w:w="665" w:type="dxa"/>
            <w:shd w:val="clear" w:color="auto" w:fill="F2F2F2"/>
            <w:vAlign w:val="center"/>
          </w:tcPr>
          <w:p w14:paraId="49FC738F"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lastRenderedPageBreak/>
              <w:t>14.</w:t>
            </w:r>
          </w:p>
        </w:tc>
        <w:tc>
          <w:tcPr>
            <w:tcW w:w="4972" w:type="dxa"/>
            <w:gridSpan w:val="2"/>
            <w:vAlign w:val="center"/>
          </w:tcPr>
          <w:p w14:paraId="74EA18AD"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je ne trouve pas cette recommandation pertinente car je pense que la dimension genre est bien prise en charge avec pr objectif ultime l'autonomisation des femmes</w:t>
            </w:r>
          </w:p>
        </w:tc>
        <w:tc>
          <w:tcPr>
            <w:tcW w:w="1304" w:type="dxa"/>
            <w:shd w:val="clear" w:color="auto" w:fill="auto"/>
            <w:vAlign w:val="center"/>
          </w:tcPr>
          <w:p w14:paraId="53C19BFC"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MD</w:t>
            </w:r>
          </w:p>
        </w:tc>
        <w:tc>
          <w:tcPr>
            <w:tcW w:w="2098" w:type="dxa"/>
            <w:shd w:val="clear" w:color="auto" w:fill="F2F2F2"/>
            <w:vAlign w:val="center"/>
          </w:tcPr>
          <w:p w14:paraId="4589E531"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R2</w:t>
            </w:r>
          </w:p>
        </w:tc>
        <w:tc>
          <w:tcPr>
            <w:tcW w:w="5528" w:type="dxa"/>
            <w:vAlign w:val="center"/>
          </w:tcPr>
          <w:p w14:paraId="562A700D"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L’évaluation documente des faits différents chiffres à l’appui et que je rappelle ci-dessous puisque ce point est cité dans la synthèse des commentaires comme illustration d’affirmations non documentées:</w:t>
            </w:r>
          </w:p>
          <w:p w14:paraId="3519881A" w14:textId="77777777" w:rsidR="00B04B1D" w:rsidRPr="00B04B1D" w:rsidRDefault="00B04B1D" w:rsidP="00B04B1D">
            <w:pPr>
              <w:numPr>
                <w:ilvl w:val="0"/>
                <w:numId w:val="146"/>
              </w:numPr>
              <w:suppressAutoHyphens/>
              <w:spacing w:after="0" w:line="240" w:lineRule="auto"/>
              <w:contextualSpacing/>
              <w:jc w:val="both"/>
              <w:rPr>
                <w:rFonts w:ascii="Times New Roman" w:hAnsi="Times New Roman"/>
                <w:sz w:val="16"/>
                <w:szCs w:val="16"/>
              </w:rPr>
            </w:pPr>
            <w:r w:rsidRPr="00B04B1D">
              <w:rPr>
                <w:rFonts w:ascii="Times New Roman" w:hAnsi="Times New Roman"/>
                <w:sz w:val="16"/>
                <w:szCs w:val="16"/>
              </w:rPr>
              <w:t>L’analyse du cadre logique reflète une prise en charge très faible du genre cf §74 ancien om on lit les statistiques suivantes : "</w:t>
            </w:r>
            <w:r w:rsidRPr="00B04B1D">
              <w:rPr>
                <w:rFonts w:ascii="Times New Roman" w:eastAsia="Times New Roman" w:hAnsi="Times New Roman"/>
                <w:sz w:val="16"/>
                <w:szCs w:val="16"/>
                <w:lang w:eastAsia="ar-SA"/>
              </w:rPr>
              <w:t xml:space="preserve"> </w:t>
            </w:r>
            <w:r w:rsidRPr="00B04B1D">
              <w:rPr>
                <w:rFonts w:ascii="Times New Roman" w:hAnsi="Times New Roman"/>
                <w:sz w:val="16"/>
                <w:szCs w:val="16"/>
              </w:rPr>
              <w:t>La mise en œuvre de la transversalité du genre commence par son insertion systématique dans le cadre logique du programme. Qu’en est-il du cycle sous revue ? Au niveau des Effets, sur les 4 que compte le programme, seul un est libellé de manière ouvertement sensible au genre, tandis que sur 11 produits un seul est également formulé de manière sexo-spécifique : sur les deux classes de résultats le ratio de sensibilité au genre est donc de 13% (voir tableau ci-dessous, en vert l’effet et le produit sensibles au genre)." Le § 75 poursuit avec les statistiques défavorables au genre dans le cadre logique ; "</w:t>
            </w:r>
            <w:r w:rsidRPr="00B04B1D">
              <w:rPr>
                <w:rFonts w:ascii="Times New Roman" w:eastAsia="Times New Roman" w:hAnsi="Times New Roman"/>
                <w:sz w:val="16"/>
                <w:szCs w:val="16"/>
                <w:lang w:eastAsia="ar-SA"/>
              </w:rPr>
              <w:t xml:space="preserve"> </w:t>
            </w:r>
            <w:r w:rsidRPr="00B04B1D">
              <w:rPr>
                <w:rFonts w:ascii="Times New Roman" w:hAnsi="Times New Roman"/>
                <w:sz w:val="16"/>
                <w:szCs w:val="16"/>
              </w:rPr>
              <w:t>L’on pouvait encore améliorer le ciblage des femmes dans l’écriture du programme en corrigeant cette lacune dans la formulation des effets et produits, par des indicateurs d’effets et de produits sexo-spécifiques. Mais cela n’est pas le cas non plus, puisque justement, des 38 indicateurs de mesure attachés aux effets aux produits de la matrice, seuls 8 mentionnent explicitement des objectifs à atteindre sur le genre, soit un ratio pro-genre de 21%, à peine meilleur que le précédent sur les résultats."</w:t>
            </w:r>
          </w:p>
          <w:p w14:paraId="2F871E12" w14:textId="77777777" w:rsidR="00B04B1D" w:rsidRPr="00B04B1D" w:rsidRDefault="00B04B1D" w:rsidP="00B04B1D">
            <w:pPr>
              <w:numPr>
                <w:ilvl w:val="0"/>
                <w:numId w:val="146"/>
              </w:numPr>
              <w:suppressAutoHyphens/>
              <w:spacing w:after="0" w:line="240" w:lineRule="auto"/>
              <w:contextualSpacing/>
              <w:jc w:val="both"/>
              <w:rPr>
                <w:rFonts w:ascii="Times New Roman" w:hAnsi="Times New Roman"/>
                <w:sz w:val="16"/>
                <w:szCs w:val="16"/>
              </w:rPr>
            </w:pPr>
            <w:r w:rsidRPr="00B04B1D">
              <w:rPr>
                <w:rFonts w:ascii="Times New Roman" w:hAnsi="Times New Roman"/>
                <w:sz w:val="16"/>
                <w:szCs w:val="16"/>
              </w:rPr>
              <w:t>Malgré ces lacunes du cadre logique, les résultats pro genre ont été recensés et résumés au § 77 ancien dans les termes ci-dessous : "La résonnance du programme sur les femmes ne reflète heureusement pas systématiquement les lacunes ci-dessus. Quelques segments du programme montrent même un tropisme pro genre très robuste. En matière de résilience et de relèvement économique et social à la base, les femmes sont souvent bénéficiaires principales des interventions. Les activités génératrices de revenus leur profitent essentiellement, au côté de la cible jeune, dont une partie importante est aussi féminine. Les renforcements de capacités articulées autour des stratégies de résilience leur profitent également de manière notable. Les infrastructures communautaires de base, comme les plateformes multifonctionnelles, l’énergie solaire, les forages, les micro aménagements hydro agricoles, leur profitent aussi bien énormément. Dans le domaine de la justice, la promotion des droits et plus spécifiquement la lutte contre les violences basées sur le genre, touchent les femmes de façon substantielle. Enfin, en matière de santé aussi, la lutte contre la pandémie du SIDA a construit des résultats notable sur la la femme en général, la femme enceinte en particulier"</w:t>
            </w:r>
          </w:p>
          <w:p w14:paraId="6D995D19" w14:textId="77777777" w:rsidR="00B04B1D" w:rsidRPr="00B04B1D" w:rsidRDefault="00B04B1D" w:rsidP="00B04B1D">
            <w:pPr>
              <w:numPr>
                <w:ilvl w:val="0"/>
                <w:numId w:val="146"/>
              </w:numPr>
              <w:suppressAutoHyphens/>
              <w:spacing w:after="0" w:line="240" w:lineRule="auto"/>
              <w:contextualSpacing/>
              <w:jc w:val="both"/>
              <w:rPr>
                <w:rFonts w:ascii="Times New Roman" w:hAnsi="Times New Roman"/>
                <w:sz w:val="16"/>
                <w:szCs w:val="16"/>
              </w:rPr>
            </w:pPr>
            <w:r w:rsidRPr="00B04B1D">
              <w:rPr>
                <w:rFonts w:ascii="Times New Roman" w:hAnsi="Times New Roman"/>
                <w:sz w:val="16"/>
                <w:szCs w:val="16"/>
              </w:rPr>
              <w:t xml:space="preserve">Conclusion à méditer et qui justifie la recommandation contstée :"Cependant tous ces impacts féminins sont moins le fait d’un ciblage intentionnel que le programme n’a pas pu faire, que la résultante du positionnement économique et sociologique des femmes dans les sociétés maliennes. Or même si les femmes sont fortement représentées parmi les bénéficiaires des outils de développement mis en place par le programme, cela ne les met pas forcément dans des positions de leadership au sein des superstructures sociales qui organisent et gèrent leur environnement de cibles. Il faut donc inscrire dans les projets l’idée </w:t>
            </w:r>
            <w:r w:rsidRPr="00B04B1D">
              <w:rPr>
                <w:rFonts w:ascii="Times New Roman" w:hAnsi="Times New Roman"/>
                <w:sz w:val="16"/>
                <w:szCs w:val="16"/>
              </w:rPr>
              <w:lastRenderedPageBreak/>
              <w:t>que même en présence de cibles massivement féminines, il y a malgré tout lieu de construire les stratégies appropriées pour identifier et prendre en charge les questions genre qui vont bien au-delà de l’inclusion formelle"</w:t>
            </w:r>
          </w:p>
        </w:tc>
      </w:tr>
      <w:tr w:rsidR="00B04B1D" w:rsidRPr="00B04B1D" w14:paraId="36BB2E04" w14:textId="77777777" w:rsidTr="004F261E">
        <w:tc>
          <w:tcPr>
            <w:tcW w:w="665" w:type="dxa"/>
            <w:shd w:val="clear" w:color="auto" w:fill="F2F2F2"/>
            <w:vAlign w:val="center"/>
          </w:tcPr>
          <w:p w14:paraId="12027F3D"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lastRenderedPageBreak/>
              <w:t>15.</w:t>
            </w:r>
          </w:p>
        </w:tc>
        <w:tc>
          <w:tcPr>
            <w:tcW w:w="4972" w:type="dxa"/>
            <w:gridSpan w:val="2"/>
            <w:vAlign w:val="center"/>
          </w:tcPr>
          <w:p w14:paraId="04D805A7" w14:textId="77777777" w:rsidR="00B04B1D" w:rsidRPr="00B04B1D" w:rsidRDefault="00B04B1D" w:rsidP="00B04B1D">
            <w:pPr>
              <w:spacing w:after="0" w:line="240" w:lineRule="auto"/>
              <w:rPr>
                <w:rFonts w:ascii="Times New Roman" w:hAnsi="Times New Roman"/>
                <w:sz w:val="16"/>
                <w:szCs w:val="16"/>
              </w:rPr>
            </w:pPr>
            <w:r w:rsidRPr="00B04B1D">
              <w:rPr>
                <w:rFonts w:ascii="Times New Roman" w:hAnsi="Times New Roman"/>
                <w:sz w:val="16"/>
                <w:szCs w:val="16"/>
              </w:rPr>
              <w:t>Société civile internationale travaillant dans l’humanitaire ; notamment.</w:t>
            </w:r>
          </w:p>
        </w:tc>
        <w:tc>
          <w:tcPr>
            <w:tcW w:w="1304" w:type="dxa"/>
            <w:shd w:val="clear" w:color="auto" w:fill="auto"/>
            <w:vAlign w:val="center"/>
          </w:tcPr>
          <w:p w14:paraId="6E5D9DE0"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SG/FO</w:t>
            </w:r>
          </w:p>
        </w:tc>
        <w:tc>
          <w:tcPr>
            <w:tcW w:w="2098" w:type="dxa"/>
            <w:shd w:val="clear" w:color="auto" w:fill="F2F2F2"/>
            <w:vAlign w:val="center"/>
          </w:tcPr>
          <w:p w14:paraId="187E7BC9"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viii</w:t>
            </w:r>
          </w:p>
        </w:tc>
        <w:tc>
          <w:tcPr>
            <w:tcW w:w="5528" w:type="dxa"/>
            <w:vAlign w:val="center"/>
          </w:tcPr>
          <w:p w14:paraId="475F8697"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Observation non pertinente : il n’y pas seulement les ONG humanitaires ; même dans le domaine électoral, des ONG internationales font de la concurrence !</w:t>
            </w:r>
          </w:p>
        </w:tc>
      </w:tr>
      <w:tr w:rsidR="00B04B1D" w:rsidRPr="00B04B1D" w14:paraId="346BAC56" w14:textId="77777777" w:rsidTr="004F261E">
        <w:tc>
          <w:tcPr>
            <w:tcW w:w="665" w:type="dxa"/>
            <w:shd w:val="clear" w:color="auto" w:fill="F2F2F2"/>
            <w:vAlign w:val="center"/>
          </w:tcPr>
          <w:p w14:paraId="45E11D27"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16.</w:t>
            </w:r>
          </w:p>
        </w:tc>
        <w:tc>
          <w:tcPr>
            <w:tcW w:w="4972" w:type="dxa"/>
            <w:gridSpan w:val="2"/>
            <w:vAlign w:val="center"/>
          </w:tcPr>
          <w:p w14:paraId="682848DE" w14:textId="77777777" w:rsidR="00B04B1D" w:rsidRPr="00B04B1D" w:rsidRDefault="00B04B1D" w:rsidP="00B04B1D">
            <w:pPr>
              <w:spacing w:after="0" w:line="240" w:lineRule="auto"/>
              <w:rPr>
                <w:rFonts w:ascii="Times New Roman" w:hAnsi="Times New Roman"/>
                <w:sz w:val="16"/>
                <w:szCs w:val="16"/>
              </w:rPr>
            </w:pPr>
            <w:r w:rsidRPr="00B04B1D">
              <w:rPr>
                <w:rFonts w:ascii="Times New Roman" w:hAnsi="Times New Roman"/>
                <w:sz w:val="16"/>
                <w:szCs w:val="16"/>
              </w:rPr>
              <w:t>Familiariser le lecteur avec la structure et le contenu du rapport</w:t>
            </w:r>
          </w:p>
        </w:tc>
        <w:tc>
          <w:tcPr>
            <w:tcW w:w="1304" w:type="dxa"/>
            <w:shd w:val="clear" w:color="auto" w:fill="auto"/>
            <w:vAlign w:val="center"/>
          </w:tcPr>
          <w:p w14:paraId="6C805579"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SG</w:t>
            </w:r>
          </w:p>
        </w:tc>
        <w:tc>
          <w:tcPr>
            <w:tcW w:w="2098" w:type="dxa"/>
            <w:shd w:val="clear" w:color="auto" w:fill="F2F2F2"/>
            <w:vAlign w:val="center"/>
          </w:tcPr>
          <w:p w14:paraId="125BE138"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15</w:t>
            </w:r>
          </w:p>
        </w:tc>
        <w:tc>
          <w:tcPr>
            <w:tcW w:w="5528" w:type="dxa"/>
            <w:vAlign w:val="center"/>
          </w:tcPr>
          <w:p w14:paraId="69DBE84C" w14:textId="77777777" w:rsidR="00B04B1D" w:rsidRPr="00B04B1D" w:rsidRDefault="00B04B1D" w:rsidP="00B04B1D">
            <w:pPr>
              <w:spacing w:after="0" w:line="240" w:lineRule="auto"/>
              <w:jc w:val="both"/>
              <w:rPr>
                <w:rFonts w:ascii="Times New Roman" w:hAnsi="Times New Roman"/>
                <w:sz w:val="16"/>
                <w:szCs w:val="16"/>
              </w:rPr>
            </w:pPr>
          </w:p>
        </w:tc>
      </w:tr>
      <w:tr w:rsidR="00B04B1D" w:rsidRPr="00B04B1D" w14:paraId="2696D062" w14:textId="77777777" w:rsidTr="004F261E">
        <w:tc>
          <w:tcPr>
            <w:tcW w:w="665" w:type="dxa"/>
            <w:shd w:val="clear" w:color="auto" w:fill="F2F2F2"/>
            <w:vAlign w:val="center"/>
          </w:tcPr>
          <w:p w14:paraId="21BF3B55"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17.</w:t>
            </w:r>
          </w:p>
        </w:tc>
        <w:tc>
          <w:tcPr>
            <w:tcW w:w="4972" w:type="dxa"/>
            <w:gridSpan w:val="2"/>
            <w:vAlign w:val="center"/>
          </w:tcPr>
          <w:p w14:paraId="4053E86C" w14:textId="77777777" w:rsidR="00B04B1D" w:rsidRPr="00B04B1D" w:rsidRDefault="00B04B1D" w:rsidP="00B04B1D">
            <w:pPr>
              <w:spacing w:after="0" w:line="240" w:lineRule="auto"/>
              <w:rPr>
                <w:rFonts w:ascii="Times New Roman" w:hAnsi="Times New Roman"/>
                <w:sz w:val="16"/>
                <w:szCs w:val="16"/>
              </w:rPr>
            </w:pPr>
            <w:r w:rsidRPr="00B04B1D">
              <w:rPr>
                <w:rFonts w:ascii="Times New Roman" w:hAnsi="Times New Roman"/>
                <w:sz w:val="16"/>
                <w:szCs w:val="16"/>
              </w:rPr>
              <w:t>Insérer des données à jour</w:t>
            </w:r>
          </w:p>
        </w:tc>
        <w:tc>
          <w:tcPr>
            <w:tcW w:w="1304" w:type="dxa"/>
            <w:shd w:val="clear" w:color="auto" w:fill="auto"/>
            <w:vAlign w:val="center"/>
          </w:tcPr>
          <w:p w14:paraId="6E084814"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SG</w:t>
            </w:r>
          </w:p>
        </w:tc>
        <w:tc>
          <w:tcPr>
            <w:tcW w:w="2098" w:type="dxa"/>
            <w:shd w:val="clear" w:color="auto" w:fill="F2F2F2"/>
            <w:vAlign w:val="center"/>
          </w:tcPr>
          <w:p w14:paraId="4EC22718"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16</w:t>
            </w:r>
          </w:p>
        </w:tc>
        <w:tc>
          <w:tcPr>
            <w:tcW w:w="5528" w:type="dxa"/>
            <w:vAlign w:val="center"/>
          </w:tcPr>
          <w:p w14:paraId="09629911"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Observation tenue en compte : donnée actualisée</w:t>
            </w:r>
          </w:p>
        </w:tc>
      </w:tr>
      <w:tr w:rsidR="00B04B1D" w:rsidRPr="00B04B1D" w14:paraId="6075D5BC" w14:textId="77777777" w:rsidTr="004F261E">
        <w:tc>
          <w:tcPr>
            <w:tcW w:w="665" w:type="dxa"/>
            <w:shd w:val="clear" w:color="auto" w:fill="F2F2F2"/>
            <w:vAlign w:val="center"/>
          </w:tcPr>
          <w:p w14:paraId="02C503B7"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18.</w:t>
            </w:r>
          </w:p>
        </w:tc>
        <w:tc>
          <w:tcPr>
            <w:tcW w:w="4972" w:type="dxa"/>
            <w:gridSpan w:val="2"/>
            <w:vAlign w:val="center"/>
          </w:tcPr>
          <w:p w14:paraId="5B2C3B3A" w14:textId="77777777" w:rsidR="00B04B1D" w:rsidRPr="00B04B1D" w:rsidRDefault="00B04B1D" w:rsidP="00B04B1D">
            <w:pPr>
              <w:spacing w:after="0" w:line="240" w:lineRule="auto"/>
              <w:rPr>
                <w:rFonts w:ascii="Times New Roman" w:hAnsi="Times New Roman"/>
                <w:sz w:val="16"/>
                <w:szCs w:val="16"/>
              </w:rPr>
            </w:pPr>
            <w:r w:rsidRPr="00B04B1D">
              <w:rPr>
                <w:rFonts w:ascii="Times New Roman" w:hAnsi="Times New Roman"/>
                <w:sz w:val="16"/>
                <w:szCs w:val="16"/>
              </w:rPr>
              <w:t>Pourquoi pas Environnement et Développement Durable ?</w:t>
            </w:r>
          </w:p>
          <w:p w14:paraId="4AE8FF4E" w14:textId="77777777" w:rsidR="00B04B1D" w:rsidRPr="00B04B1D" w:rsidRDefault="00B04B1D" w:rsidP="00B04B1D">
            <w:pPr>
              <w:spacing w:after="0" w:line="240" w:lineRule="auto"/>
              <w:rPr>
                <w:rFonts w:ascii="Times New Roman" w:hAnsi="Times New Roman"/>
                <w:sz w:val="16"/>
                <w:szCs w:val="16"/>
              </w:rPr>
            </w:pPr>
            <w:r w:rsidRPr="00B04B1D">
              <w:rPr>
                <w:rFonts w:ascii="Times New Roman" w:hAnsi="Times New Roman"/>
                <w:sz w:val="16"/>
                <w:szCs w:val="16"/>
              </w:rPr>
              <w:t>(CMT : Adame C)</w:t>
            </w:r>
          </w:p>
        </w:tc>
        <w:tc>
          <w:tcPr>
            <w:tcW w:w="1304" w:type="dxa"/>
            <w:shd w:val="clear" w:color="auto" w:fill="auto"/>
            <w:vAlign w:val="center"/>
          </w:tcPr>
          <w:p w14:paraId="67973F01"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SG/AC</w:t>
            </w:r>
          </w:p>
        </w:tc>
        <w:tc>
          <w:tcPr>
            <w:tcW w:w="2098" w:type="dxa"/>
            <w:shd w:val="clear" w:color="auto" w:fill="F2F2F2"/>
            <w:vAlign w:val="center"/>
          </w:tcPr>
          <w:p w14:paraId="30590A3E"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1.4.</w:t>
            </w:r>
          </w:p>
        </w:tc>
        <w:tc>
          <w:tcPr>
            <w:tcW w:w="5528" w:type="dxa"/>
            <w:vAlign w:val="center"/>
          </w:tcPr>
          <w:p w14:paraId="62EAB02F"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Non : sinon la section précédente sur l’Economie serait comprise dedans : le développement durable englobe tout !</w:t>
            </w:r>
          </w:p>
        </w:tc>
      </w:tr>
      <w:tr w:rsidR="00B04B1D" w:rsidRPr="00B04B1D" w14:paraId="26368FF5" w14:textId="77777777" w:rsidTr="004F261E">
        <w:tc>
          <w:tcPr>
            <w:tcW w:w="665" w:type="dxa"/>
            <w:shd w:val="clear" w:color="auto" w:fill="F2F2F2"/>
            <w:vAlign w:val="center"/>
          </w:tcPr>
          <w:p w14:paraId="23958542"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19.</w:t>
            </w:r>
          </w:p>
        </w:tc>
        <w:tc>
          <w:tcPr>
            <w:tcW w:w="4972" w:type="dxa"/>
            <w:gridSpan w:val="2"/>
            <w:vAlign w:val="center"/>
          </w:tcPr>
          <w:p w14:paraId="3A260766" w14:textId="77777777" w:rsidR="00B04B1D" w:rsidRPr="00B04B1D" w:rsidRDefault="00B04B1D" w:rsidP="00B04B1D">
            <w:pPr>
              <w:spacing w:after="0" w:line="240" w:lineRule="auto"/>
              <w:rPr>
                <w:rFonts w:ascii="Times New Roman" w:hAnsi="Times New Roman"/>
                <w:sz w:val="16"/>
                <w:szCs w:val="16"/>
              </w:rPr>
            </w:pPr>
            <w:r w:rsidRPr="00B04B1D">
              <w:rPr>
                <w:rFonts w:ascii="Times New Roman" w:hAnsi="Times New Roman"/>
                <w:sz w:val="16"/>
                <w:szCs w:val="16"/>
              </w:rPr>
              <w:t>Précision. Plus de 70 % de la population malienne dépendent directement des ressources naturelles pour une partie ou l’ensemble de leurs moyens de subsistance. Source étude économique réalisée par le Projet IPE 2009. La résultante est la pression sur les ressources naturelles qui nous démontre le nexus pauvreté environnement</w:t>
            </w:r>
          </w:p>
          <w:p w14:paraId="5FF6A666" w14:textId="77777777" w:rsidR="00B04B1D" w:rsidRPr="00B04B1D" w:rsidRDefault="00B04B1D" w:rsidP="00B04B1D">
            <w:pPr>
              <w:spacing w:after="0" w:line="240" w:lineRule="auto"/>
              <w:rPr>
                <w:rFonts w:ascii="Times New Roman" w:hAnsi="Times New Roman"/>
                <w:sz w:val="16"/>
                <w:szCs w:val="16"/>
              </w:rPr>
            </w:pPr>
          </w:p>
        </w:tc>
        <w:tc>
          <w:tcPr>
            <w:tcW w:w="1304" w:type="dxa"/>
            <w:shd w:val="clear" w:color="auto" w:fill="auto"/>
            <w:vAlign w:val="center"/>
          </w:tcPr>
          <w:p w14:paraId="145A88CC"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SG/AC</w:t>
            </w:r>
          </w:p>
        </w:tc>
        <w:tc>
          <w:tcPr>
            <w:tcW w:w="2098" w:type="dxa"/>
            <w:shd w:val="clear" w:color="auto" w:fill="F2F2F2"/>
            <w:vAlign w:val="center"/>
          </w:tcPr>
          <w:p w14:paraId="703EC99B"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22</w:t>
            </w:r>
          </w:p>
        </w:tc>
        <w:tc>
          <w:tcPr>
            <w:tcW w:w="5528" w:type="dxa"/>
            <w:vMerge w:val="restart"/>
            <w:vAlign w:val="center"/>
          </w:tcPr>
          <w:p w14:paraId="33C934CC"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Les deux commentaires sont vraiment dans l’esprit et la lettre de ce que dit le rapport dans es deux paragraphes commentés !</w:t>
            </w:r>
          </w:p>
          <w:p w14:paraId="48FB48C1"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22.</w:t>
            </w:r>
            <w:r w:rsidRPr="00B04B1D">
              <w:rPr>
                <w:rFonts w:ascii="Times New Roman" w:hAnsi="Times New Roman"/>
                <w:sz w:val="16"/>
                <w:szCs w:val="16"/>
              </w:rPr>
              <w:tab/>
              <w:t>L’environnement et les ressources naturelles sont un haut lieu de préoccupation dans un pays sahélien comme la Mali en bute à la désertification, qui progresse à une vitesse de 15 kilomètres par an (source CDP), et où sont fréquentes aussi des catastrophes naturelles de type inondations et sécheresses cycliques liées aux changements climatiques. Les précipitations ont par exemple connu une diminution de l’ordre de 20 % dans une période récente. Ces problèmes ont des effets négatifs sur les ressources naturelles, dont 70 % au moins de la population, surtout les personnes les plus vulnérables, tirent leurs moyens de subsistance : 1,5 million de personnes vivent dans une grande insécurité alimentaire.</w:t>
            </w:r>
          </w:p>
          <w:p w14:paraId="6B22FB5D" w14:textId="77777777" w:rsidR="00B04B1D" w:rsidRPr="00B04B1D" w:rsidRDefault="00B04B1D" w:rsidP="00B04B1D">
            <w:pPr>
              <w:spacing w:after="0" w:line="240" w:lineRule="auto"/>
              <w:jc w:val="both"/>
              <w:rPr>
                <w:rFonts w:ascii="Times New Roman" w:hAnsi="Times New Roman"/>
                <w:sz w:val="16"/>
                <w:szCs w:val="16"/>
              </w:rPr>
            </w:pPr>
          </w:p>
          <w:p w14:paraId="3812042A"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23.</w:t>
            </w:r>
            <w:r w:rsidRPr="00B04B1D">
              <w:rPr>
                <w:rFonts w:ascii="Times New Roman" w:hAnsi="Times New Roman"/>
                <w:sz w:val="16"/>
                <w:szCs w:val="16"/>
              </w:rPr>
              <w:tab/>
              <w:t>La réduction des risques de catastrophes reste donc un défi important, y compris en termes d’intégration dans les politiques nationales, locales et sectorielles de développement. Le défi environnemental résonne aussi bien au cœur des établissements humains : avec  un croît démographique naturel des plus élevés d’Afrique (3,6 %), l’urbanisation non maîtrisée charrie des problèmes critiques d’assainissement. Dans le cadre des instruments internationaux du secteur, le pays peut compter sur les importantes ressources du Fonds pour l’environnement mondial (FEM) et du Fonds de Copenhague pour le climat</w:t>
            </w:r>
          </w:p>
        </w:tc>
      </w:tr>
      <w:tr w:rsidR="00B04B1D" w:rsidRPr="00B04B1D" w14:paraId="73BA6657" w14:textId="77777777" w:rsidTr="004F261E">
        <w:tc>
          <w:tcPr>
            <w:tcW w:w="665" w:type="dxa"/>
            <w:shd w:val="clear" w:color="auto" w:fill="F2F2F2"/>
            <w:vAlign w:val="center"/>
          </w:tcPr>
          <w:p w14:paraId="163D7589"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20.</w:t>
            </w:r>
          </w:p>
        </w:tc>
        <w:tc>
          <w:tcPr>
            <w:tcW w:w="4972" w:type="dxa"/>
            <w:gridSpan w:val="2"/>
            <w:vAlign w:val="center"/>
          </w:tcPr>
          <w:p w14:paraId="4ED2BFD7" w14:textId="77777777" w:rsidR="00B04B1D" w:rsidRPr="00B04B1D" w:rsidRDefault="00B04B1D" w:rsidP="00B04B1D">
            <w:pPr>
              <w:spacing w:after="0" w:line="240" w:lineRule="auto"/>
              <w:rPr>
                <w:rFonts w:ascii="Times New Roman" w:hAnsi="Times New Roman"/>
                <w:sz w:val="16"/>
                <w:szCs w:val="16"/>
              </w:rPr>
            </w:pPr>
            <w:r w:rsidRPr="00B04B1D">
              <w:rPr>
                <w:rFonts w:ascii="Times New Roman" w:hAnsi="Times New Roman"/>
                <w:sz w:val="16"/>
                <w:szCs w:val="16"/>
              </w:rPr>
              <w:t>L’insécurité alimentaire est une problématique à part entière. peut être considérée comme une conséquence des changements climatiques.</w:t>
            </w:r>
          </w:p>
          <w:p w14:paraId="0616885B" w14:textId="77777777" w:rsidR="00B04B1D" w:rsidRPr="00B04B1D" w:rsidRDefault="00B04B1D" w:rsidP="00B04B1D">
            <w:pPr>
              <w:spacing w:after="0" w:line="240" w:lineRule="auto"/>
              <w:rPr>
                <w:rFonts w:ascii="Times New Roman" w:hAnsi="Times New Roman"/>
                <w:sz w:val="16"/>
                <w:szCs w:val="16"/>
              </w:rPr>
            </w:pPr>
            <w:r w:rsidRPr="00B04B1D">
              <w:rPr>
                <w:rFonts w:ascii="Times New Roman" w:hAnsi="Times New Roman"/>
                <w:sz w:val="16"/>
                <w:szCs w:val="16"/>
              </w:rPr>
              <w:t>(CMT : Adame C)</w:t>
            </w:r>
          </w:p>
          <w:p w14:paraId="2979B818" w14:textId="77777777" w:rsidR="00B04B1D" w:rsidRPr="00B04B1D" w:rsidRDefault="00B04B1D" w:rsidP="00B04B1D">
            <w:pPr>
              <w:spacing w:after="0" w:line="240" w:lineRule="auto"/>
              <w:rPr>
                <w:rFonts w:ascii="Times New Roman" w:hAnsi="Times New Roman"/>
                <w:sz w:val="16"/>
                <w:szCs w:val="16"/>
              </w:rPr>
            </w:pPr>
          </w:p>
          <w:p w14:paraId="3D982A90" w14:textId="77777777" w:rsidR="00B04B1D" w:rsidRPr="00B04B1D" w:rsidRDefault="00B04B1D" w:rsidP="00B04B1D">
            <w:pPr>
              <w:spacing w:after="0" w:line="240" w:lineRule="auto"/>
              <w:rPr>
                <w:rFonts w:ascii="Times New Roman" w:hAnsi="Times New Roman"/>
                <w:sz w:val="16"/>
                <w:szCs w:val="16"/>
              </w:rPr>
            </w:pPr>
            <w:r w:rsidRPr="00B04B1D">
              <w:rPr>
                <w:rFonts w:ascii="Times New Roman" w:hAnsi="Times New Roman"/>
                <w:sz w:val="16"/>
                <w:szCs w:val="16"/>
              </w:rPr>
              <w:t>Le plus important est l’intégration de la dimension environnementale dans les politiques nationales et plus spécifiquement la dimension climatique (changements climatique)</w:t>
            </w:r>
          </w:p>
          <w:p w14:paraId="11A5B8D9" w14:textId="77777777" w:rsidR="00B04B1D" w:rsidRPr="00B04B1D" w:rsidRDefault="00B04B1D" w:rsidP="00B04B1D">
            <w:pPr>
              <w:spacing w:after="0" w:line="240" w:lineRule="auto"/>
              <w:rPr>
                <w:rFonts w:ascii="Times New Roman" w:hAnsi="Times New Roman"/>
                <w:sz w:val="16"/>
                <w:szCs w:val="16"/>
              </w:rPr>
            </w:pPr>
          </w:p>
        </w:tc>
        <w:tc>
          <w:tcPr>
            <w:tcW w:w="1304" w:type="dxa"/>
            <w:shd w:val="clear" w:color="auto" w:fill="auto"/>
            <w:vAlign w:val="center"/>
          </w:tcPr>
          <w:p w14:paraId="1DB10AD7"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SG/AC</w:t>
            </w:r>
          </w:p>
        </w:tc>
        <w:tc>
          <w:tcPr>
            <w:tcW w:w="2098" w:type="dxa"/>
            <w:shd w:val="clear" w:color="auto" w:fill="F2F2F2"/>
            <w:vAlign w:val="center"/>
          </w:tcPr>
          <w:p w14:paraId="2BF9A1D0"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22</w:t>
            </w:r>
          </w:p>
        </w:tc>
        <w:tc>
          <w:tcPr>
            <w:tcW w:w="5528" w:type="dxa"/>
            <w:vMerge/>
            <w:vAlign w:val="center"/>
          </w:tcPr>
          <w:p w14:paraId="22C17BE3" w14:textId="77777777" w:rsidR="00B04B1D" w:rsidRPr="00B04B1D" w:rsidRDefault="00B04B1D" w:rsidP="00B04B1D">
            <w:pPr>
              <w:spacing w:after="0" w:line="240" w:lineRule="auto"/>
              <w:jc w:val="both"/>
              <w:rPr>
                <w:rFonts w:ascii="Times New Roman" w:hAnsi="Times New Roman"/>
                <w:sz w:val="16"/>
                <w:szCs w:val="16"/>
              </w:rPr>
            </w:pPr>
          </w:p>
        </w:tc>
      </w:tr>
      <w:tr w:rsidR="00B04B1D" w:rsidRPr="00B04B1D" w14:paraId="287B9349" w14:textId="77777777" w:rsidTr="004F261E">
        <w:tc>
          <w:tcPr>
            <w:tcW w:w="665" w:type="dxa"/>
            <w:shd w:val="clear" w:color="auto" w:fill="F2F2F2"/>
            <w:vAlign w:val="center"/>
          </w:tcPr>
          <w:p w14:paraId="50F4FE42"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21.</w:t>
            </w:r>
          </w:p>
        </w:tc>
        <w:tc>
          <w:tcPr>
            <w:tcW w:w="4972" w:type="dxa"/>
            <w:gridSpan w:val="2"/>
            <w:vAlign w:val="center"/>
          </w:tcPr>
          <w:p w14:paraId="61CAFE1F" w14:textId="77777777" w:rsidR="00B04B1D" w:rsidRPr="00B04B1D" w:rsidRDefault="00B04B1D" w:rsidP="00B04B1D">
            <w:pPr>
              <w:spacing w:after="0" w:line="240" w:lineRule="auto"/>
              <w:rPr>
                <w:rFonts w:ascii="Times New Roman" w:hAnsi="Times New Roman"/>
                <w:sz w:val="16"/>
                <w:szCs w:val="16"/>
              </w:rPr>
            </w:pPr>
            <w:r w:rsidRPr="00B04B1D">
              <w:rPr>
                <w:rFonts w:ascii="Times New Roman" w:hAnsi="Times New Roman"/>
                <w:sz w:val="16"/>
                <w:szCs w:val="16"/>
              </w:rPr>
              <w:t>Reformulation 2.2. Nécessaire</w:t>
            </w:r>
          </w:p>
        </w:tc>
        <w:tc>
          <w:tcPr>
            <w:tcW w:w="1304" w:type="dxa"/>
            <w:shd w:val="clear" w:color="auto" w:fill="auto"/>
            <w:vAlign w:val="center"/>
          </w:tcPr>
          <w:p w14:paraId="4383C46D"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SG/IPE</w:t>
            </w:r>
          </w:p>
        </w:tc>
        <w:tc>
          <w:tcPr>
            <w:tcW w:w="2098" w:type="dxa"/>
            <w:shd w:val="clear" w:color="auto" w:fill="F2F2F2"/>
            <w:vAlign w:val="center"/>
          </w:tcPr>
          <w:p w14:paraId="31136948"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22</w:t>
            </w:r>
          </w:p>
        </w:tc>
        <w:tc>
          <w:tcPr>
            <w:tcW w:w="5528" w:type="dxa"/>
            <w:vAlign w:val="center"/>
          </w:tcPr>
          <w:p w14:paraId="50BAC745"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Pourquoi ? Dans quel sens ?: cette sectiion décrit bien le cadre de mise en œuvre dans la suite du résumé du contenu stratégique du programme !</w:t>
            </w:r>
          </w:p>
        </w:tc>
      </w:tr>
      <w:tr w:rsidR="00B04B1D" w:rsidRPr="00B04B1D" w14:paraId="3560D218" w14:textId="77777777" w:rsidTr="004F261E">
        <w:tc>
          <w:tcPr>
            <w:tcW w:w="665" w:type="dxa"/>
            <w:shd w:val="clear" w:color="auto" w:fill="F2F2F2"/>
            <w:vAlign w:val="center"/>
          </w:tcPr>
          <w:p w14:paraId="27CE1C9B"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22.</w:t>
            </w:r>
          </w:p>
        </w:tc>
        <w:tc>
          <w:tcPr>
            <w:tcW w:w="4972" w:type="dxa"/>
            <w:gridSpan w:val="2"/>
            <w:vAlign w:val="center"/>
          </w:tcPr>
          <w:p w14:paraId="292C2BEB" w14:textId="77777777" w:rsidR="00B04B1D" w:rsidRPr="00B04B1D" w:rsidRDefault="00B04B1D" w:rsidP="00B04B1D">
            <w:pPr>
              <w:spacing w:after="0" w:line="240" w:lineRule="auto"/>
              <w:rPr>
                <w:rFonts w:ascii="Times New Roman" w:hAnsi="Times New Roman"/>
                <w:sz w:val="16"/>
                <w:szCs w:val="16"/>
              </w:rPr>
            </w:pPr>
            <w:r w:rsidRPr="00B04B1D">
              <w:rPr>
                <w:rFonts w:ascii="Times New Roman" w:hAnsi="Times New Roman"/>
                <w:sz w:val="16"/>
                <w:szCs w:val="16"/>
              </w:rPr>
              <w:t>Je pense qu’il s’agit plutôt du fonds vert pour le climat même sis l’idée a émerge lors de la cop tenue a Copenhague</w:t>
            </w:r>
          </w:p>
        </w:tc>
        <w:tc>
          <w:tcPr>
            <w:tcW w:w="1304" w:type="dxa"/>
            <w:shd w:val="clear" w:color="auto" w:fill="auto"/>
            <w:vAlign w:val="center"/>
          </w:tcPr>
          <w:p w14:paraId="1E9DA666"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SG/IPE</w:t>
            </w:r>
          </w:p>
        </w:tc>
        <w:tc>
          <w:tcPr>
            <w:tcW w:w="2098" w:type="dxa"/>
            <w:shd w:val="clear" w:color="auto" w:fill="F2F2F2"/>
            <w:vAlign w:val="center"/>
          </w:tcPr>
          <w:p w14:paraId="21054A3C"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23</w:t>
            </w:r>
          </w:p>
        </w:tc>
        <w:tc>
          <w:tcPr>
            <w:tcW w:w="5528" w:type="dxa"/>
            <w:vAlign w:val="center"/>
          </w:tcPr>
          <w:p w14:paraId="62FD9598"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Oui, le texte dit la même chose que le commentaire : l’expression Fonds Vert ajoutée !</w:t>
            </w:r>
          </w:p>
        </w:tc>
      </w:tr>
      <w:tr w:rsidR="00B04B1D" w:rsidRPr="00B04B1D" w14:paraId="05A2A08D" w14:textId="77777777" w:rsidTr="004F261E">
        <w:tc>
          <w:tcPr>
            <w:tcW w:w="665" w:type="dxa"/>
            <w:shd w:val="clear" w:color="auto" w:fill="F2F2F2"/>
            <w:vAlign w:val="center"/>
          </w:tcPr>
          <w:p w14:paraId="5E68AF72"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23.</w:t>
            </w:r>
          </w:p>
        </w:tc>
        <w:tc>
          <w:tcPr>
            <w:tcW w:w="4972" w:type="dxa"/>
            <w:gridSpan w:val="2"/>
            <w:vAlign w:val="center"/>
          </w:tcPr>
          <w:p w14:paraId="711F8240" w14:textId="77777777" w:rsidR="00B04B1D" w:rsidRPr="00B04B1D" w:rsidRDefault="00B04B1D" w:rsidP="00B04B1D">
            <w:pPr>
              <w:spacing w:after="0" w:line="240" w:lineRule="auto"/>
              <w:rPr>
                <w:rFonts w:ascii="Times New Roman" w:hAnsi="Times New Roman"/>
                <w:sz w:val="16"/>
                <w:szCs w:val="16"/>
              </w:rPr>
            </w:pPr>
            <w:r w:rsidRPr="00B04B1D">
              <w:rPr>
                <w:rFonts w:ascii="Times New Roman" w:hAnsi="Times New Roman"/>
                <w:sz w:val="16"/>
                <w:szCs w:val="16"/>
              </w:rPr>
              <w:t>Données communiquées par le PMSU</w:t>
            </w:r>
          </w:p>
        </w:tc>
        <w:tc>
          <w:tcPr>
            <w:tcW w:w="1304" w:type="dxa"/>
            <w:shd w:val="clear" w:color="auto" w:fill="auto"/>
            <w:vAlign w:val="center"/>
          </w:tcPr>
          <w:p w14:paraId="60D4C949"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SG</w:t>
            </w:r>
          </w:p>
        </w:tc>
        <w:tc>
          <w:tcPr>
            <w:tcW w:w="2098" w:type="dxa"/>
            <w:shd w:val="clear" w:color="auto" w:fill="F2F2F2"/>
            <w:vAlign w:val="center"/>
          </w:tcPr>
          <w:p w14:paraId="5E3ACF0F"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25</w:t>
            </w:r>
          </w:p>
        </w:tc>
        <w:tc>
          <w:tcPr>
            <w:tcW w:w="5528" w:type="dxa"/>
            <w:vAlign w:val="center"/>
          </w:tcPr>
          <w:p w14:paraId="11264E9D"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Oui, le Suivi-Evaluation mentionné ici comme Fonction est porté par cette Unité !</w:t>
            </w:r>
          </w:p>
        </w:tc>
      </w:tr>
      <w:tr w:rsidR="00B04B1D" w:rsidRPr="00B04B1D" w14:paraId="298815F7" w14:textId="77777777" w:rsidTr="004F261E">
        <w:tc>
          <w:tcPr>
            <w:tcW w:w="665" w:type="dxa"/>
            <w:shd w:val="clear" w:color="auto" w:fill="F2F2F2"/>
            <w:vAlign w:val="center"/>
          </w:tcPr>
          <w:p w14:paraId="4AF5E796"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24.</w:t>
            </w:r>
          </w:p>
        </w:tc>
        <w:tc>
          <w:tcPr>
            <w:tcW w:w="4972" w:type="dxa"/>
            <w:gridSpan w:val="2"/>
            <w:vAlign w:val="center"/>
          </w:tcPr>
          <w:p w14:paraId="56C23F55"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Supprimer les noms des Responsables de Programme</w:t>
            </w:r>
          </w:p>
        </w:tc>
        <w:tc>
          <w:tcPr>
            <w:tcW w:w="1304" w:type="dxa"/>
            <w:shd w:val="clear" w:color="auto" w:fill="auto"/>
            <w:vAlign w:val="center"/>
          </w:tcPr>
          <w:p w14:paraId="7504718C"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SG</w:t>
            </w:r>
          </w:p>
        </w:tc>
        <w:tc>
          <w:tcPr>
            <w:tcW w:w="2098" w:type="dxa"/>
            <w:shd w:val="clear" w:color="auto" w:fill="F2F2F2"/>
            <w:vAlign w:val="center"/>
          </w:tcPr>
          <w:p w14:paraId="4685079D"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25</w:t>
            </w:r>
          </w:p>
        </w:tc>
        <w:tc>
          <w:tcPr>
            <w:tcW w:w="5528" w:type="dxa"/>
            <w:vAlign w:val="center"/>
          </w:tcPr>
          <w:p w14:paraId="7881E055"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Observation pertinente : colonne nominative supprimée</w:t>
            </w:r>
          </w:p>
        </w:tc>
      </w:tr>
      <w:tr w:rsidR="00B04B1D" w:rsidRPr="00B04B1D" w14:paraId="4FC5BF4E" w14:textId="77777777" w:rsidTr="004F261E">
        <w:tc>
          <w:tcPr>
            <w:tcW w:w="665" w:type="dxa"/>
            <w:shd w:val="clear" w:color="auto" w:fill="F2F2F2"/>
            <w:vAlign w:val="center"/>
          </w:tcPr>
          <w:p w14:paraId="64BF6C96"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25.</w:t>
            </w:r>
          </w:p>
        </w:tc>
        <w:tc>
          <w:tcPr>
            <w:tcW w:w="4972" w:type="dxa"/>
            <w:gridSpan w:val="2"/>
            <w:vAlign w:val="center"/>
          </w:tcPr>
          <w:p w14:paraId="1EB597C0" w14:textId="77777777" w:rsidR="00B04B1D" w:rsidRPr="00B04B1D" w:rsidRDefault="00B04B1D" w:rsidP="00B04B1D">
            <w:pPr>
              <w:spacing w:after="0" w:line="240" w:lineRule="auto"/>
              <w:rPr>
                <w:rFonts w:ascii="Times New Roman" w:hAnsi="Times New Roman"/>
                <w:sz w:val="16"/>
                <w:szCs w:val="16"/>
              </w:rPr>
            </w:pPr>
            <w:r w:rsidRPr="00B04B1D">
              <w:rPr>
                <w:rFonts w:ascii="Times New Roman" w:hAnsi="Times New Roman"/>
                <w:sz w:val="16"/>
                <w:szCs w:val="16"/>
              </w:rPr>
              <w:t>Est-ce que quelque chose ne manque pas ?</w:t>
            </w:r>
          </w:p>
          <w:p w14:paraId="378B71C0" w14:textId="77777777" w:rsidR="00B04B1D" w:rsidRPr="00B04B1D" w:rsidRDefault="00B04B1D" w:rsidP="00B04B1D">
            <w:pPr>
              <w:spacing w:after="0" w:line="240" w:lineRule="auto"/>
              <w:rPr>
                <w:rFonts w:ascii="Times New Roman" w:hAnsi="Times New Roman"/>
                <w:sz w:val="16"/>
                <w:szCs w:val="16"/>
              </w:rPr>
            </w:pPr>
            <w:r w:rsidRPr="00B04B1D">
              <w:rPr>
                <w:rFonts w:ascii="Times New Roman" w:hAnsi="Times New Roman"/>
                <w:sz w:val="16"/>
                <w:szCs w:val="16"/>
              </w:rPr>
              <w:t>(CMT : Fatim Ossade)</w:t>
            </w:r>
          </w:p>
        </w:tc>
        <w:tc>
          <w:tcPr>
            <w:tcW w:w="1304" w:type="dxa"/>
            <w:shd w:val="clear" w:color="auto" w:fill="auto"/>
            <w:vAlign w:val="center"/>
          </w:tcPr>
          <w:p w14:paraId="7B9793C9"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SG/FO</w:t>
            </w:r>
          </w:p>
        </w:tc>
        <w:tc>
          <w:tcPr>
            <w:tcW w:w="2098" w:type="dxa"/>
            <w:shd w:val="clear" w:color="auto" w:fill="F2F2F2"/>
            <w:vAlign w:val="center"/>
          </w:tcPr>
          <w:p w14:paraId="010D7957"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26</w:t>
            </w:r>
          </w:p>
        </w:tc>
        <w:tc>
          <w:tcPr>
            <w:tcW w:w="5528" w:type="dxa"/>
            <w:vAlign w:val="center"/>
          </w:tcPr>
          <w:p w14:paraId="7CF4A0B2"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Observation pertinente : correction apportée !</w:t>
            </w:r>
          </w:p>
        </w:tc>
      </w:tr>
      <w:tr w:rsidR="00B04B1D" w:rsidRPr="00B04B1D" w14:paraId="125F6E0B" w14:textId="77777777" w:rsidTr="004F261E">
        <w:tc>
          <w:tcPr>
            <w:tcW w:w="665" w:type="dxa"/>
            <w:shd w:val="clear" w:color="auto" w:fill="F2F2F2"/>
            <w:vAlign w:val="center"/>
          </w:tcPr>
          <w:p w14:paraId="7048F544"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26.</w:t>
            </w:r>
          </w:p>
        </w:tc>
        <w:tc>
          <w:tcPr>
            <w:tcW w:w="4972" w:type="dxa"/>
            <w:gridSpan w:val="2"/>
            <w:vAlign w:val="center"/>
          </w:tcPr>
          <w:p w14:paraId="39F61B0E"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Une plus grande interface avec la MINUSMA, surtout pour la couverture des zones de conflits, tandis que le programme prévoit de gérer le risque sur les ressources par une stratégie de diversification des partenaires et d’une meilleure communication sur ses résultats</w:t>
            </w:r>
          </w:p>
        </w:tc>
        <w:tc>
          <w:tcPr>
            <w:tcW w:w="1304" w:type="dxa"/>
            <w:shd w:val="clear" w:color="auto" w:fill="auto"/>
            <w:vAlign w:val="center"/>
          </w:tcPr>
          <w:p w14:paraId="3178AA8C"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SG/FO</w:t>
            </w:r>
          </w:p>
        </w:tc>
        <w:tc>
          <w:tcPr>
            <w:tcW w:w="2098" w:type="dxa"/>
            <w:shd w:val="clear" w:color="auto" w:fill="F2F2F2"/>
            <w:vAlign w:val="center"/>
          </w:tcPr>
          <w:p w14:paraId="7D339B1E"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29</w:t>
            </w:r>
          </w:p>
        </w:tc>
        <w:tc>
          <w:tcPr>
            <w:tcW w:w="5528" w:type="dxa"/>
            <w:vAlign w:val="center"/>
          </w:tcPr>
          <w:p w14:paraId="3FD2BB12"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Commentaire tenu en compte : élément sur la communication ajoutée !</w:t>
            </w:r>
          </w:p>
        </w:tc>
      </w:tr>
      <w:tr w:rsidR="00B04B1D" w:rsidRPr="00B04B1D" w14:paraId="5FA8996D" w14:textId="77777777" w:rsidTr="004F261E">
        <w:tc>
          <w:tcPr>
            <w:tcW w:w="665" w:type="dxa"/>
            <w:shd w:val="clear" w:color="auto" w:fill="F2F2F2"/>
            <w:vAlign w:val="center"/>
          </w:tcPr>
          <w:p w14:paraId="720D60ED"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27.</w:t>
            </w:r>
          </w:p>
        </w:tc>
        <w:tc>
          <w:tcPr>
            <w:tcW w:w="4972" w:type="dxa"/>
            <w:gridSpan w:val="2"/>
            <w:vAlign w:val="center"/>
          </w:tcPr>
          <w:p w14:paraId="064C6880"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Remplacer Réf : 400.000 par 40.000</w:t>
            </w:r>
          </w:p>
        </w:tc>
        <w:tc>
          <w:tcPr>
            <w:tcW w:w="1304" w:type="dxa"/>
            <w:shd w:val="clear" w:color="auto" w:fill="auto"/>
            <w:vAlign w:val="center"/>
          </w:tcPr>
          <w:p w14:paraId="3C51A87A"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SG</w:t>
            </w:r>
          </w:p>
        </w:tc>
        <w:tc>
          <w:tcPr>
            <w:tcW w:w="2098" w:type="dxa"/>
            <w:shd w:val="clear" w:color="auto" w:fill="F2F2F2"/>
            <w:vAlign w:val="center"/>
          </w:tcPr>
          <w:p w14:paraId="23B93015"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38</w:t>
            </w:r>
          </w:p>
        </w:tc>
        <w:tc>
          <w:tcPr>
            <w:tcW w:w="5528" w:type="dxa"/>
            <w:vAlign w:val="center"/>
          </w:tcPr>
          <w:p w14:paraId="12764E5A"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Correction effectuée !</w:t>
            </w:r>
          </w:p>
        </w:tc>
      </w:tr>
      <w:tr w:rsidR="00B04B1D" w:rsidRPr="00B04B1D" w14:paraId="44FCCA3D" w14:textId="77777777" w:rsidTr="004F261E">
        <w:tc>
          <w:tcPr>
            <w:tcW w:w="665" w:type="dxa"/>
            <w:shd w:val="clear" w:color="auto" w:fill="F2F2F2"/>
            <w:vAlign w:val="center"/>
          </w:tcPr>
          <w:p w14:paraId="6212D66B"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28.</w:t>
            </w:r>
          </w:p>
        </w:tc>
        <w:tc>
          <w:tcPr>
            <w:tcW w:w="4972" w:type="dxa"/>
            <w:gridSpan w:val="2"/>
            <w:vAlign w:val="center"/>
          </w:tcPr>
          <w:p w14:paraId="07B8AF53" w14:textId="77777777" w:rsidR="00B04B1D" w:rsidRPr="00B04B1D" w:rsidRDefault="00B04B1D" w:rsidP="00B04B1D">
            <w:pPr>
              <w:spacing w:after="0" w:line="240" w:lineRule="auto"/>
              <w:rPr>
                <w:rFonts w:ascii="Times New Roman" w:hAnsi="Times New Roman"/>
                <w:sz w:val="16"/>
                <w:szCs w:val="16"/>
              </w:rPr>
            </w:pPr>
            <w:r w:rsidRPr="00B04B1D">
              <w:rPr>
                <w:rFonts w:ascii="Times New Roman" w:hAnsi="Times New Roman"/>
                <w:sz w:val="16"/>
                <w:szCs w:val="16"/>
              </w:rPr>
              <w:t>Revoir commentaire</w:t>
            </w:r>
          </w:p>
        </w:tc>
        <w:tc>
          <w:tcPr>
            <w:tcW w:w="1304" w:type="dxa"/>
            <w:shd w:val="clear" w:color="auto" w:fill="auto"/>
            <w:vAlign w:val="center"/>
          </w:tcPr>
          <w:p w14:paraId="532ABE92"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SG</w:t>
            </w:r>
          </w:p>
        </w:tc>
        <w:tc>
          <w:tcPr>
            <w:tcW w:w="2098" w:type="dxa"/>
            <w:shd w:val="clear" w:color="auto" w:fill="F2F2F2"/>
            <w:vAlign w:val="center"/>
          </w:tcPr>
          <w:p w14:paraId="29DDC274"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38</w:t>
            </w:r>
          </w:p>
        </w:tc>
        <w:tc>
          <w:tcPr>
            <w:tcW w:w="5528" w:type="dxa"/>
            <w:vAlign w:val="center"/>
          </w:tcPr>
          <w:p w14:paraId="3B79A6B2"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L’erreur était sur l’indicateur (corrigé à présent) et non sur le commentaire lui-même qui disait bien que l’indicateur est mesurable et sensible au genre, mais n’est pas un indicateur de produit, contrairement à ce que voudrait la matrice !</w:t>
            </w:r>
          </w:p>
        </w:tc>
      </w:tr>
      <w:tr w:rsidR="00B04B1D" w:rsidRPr="00B04B1D" w14:paraId="465DE086" w14:textId="77777777" w:rsidTr="004F261E">
        <w:tc>
          <w:tcPr>
            <w:tcW w:w="665" w:type="dxa"/>
            <w:shd w:val="clear" w:color="auto" w:fill="F2F2F2"/>
            <w:vAlign w:val="center"/>
          </w:tcPr>
          <w:p w14:paraId="30E75C41"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29.</w:t>
            </w:r>
          </w:p>
        </w:tc>
        <w:tc>
          <w:tcPr>
            <w:tcW w:w="4972" w:type="dxa"/>
            <w:gridSpan w:val="2"/>
            <w:vAlign w:val="center"/>
          </w:tcPr>
          <w:p w14:paraId="36CAF824" w14:textId="77777777" w:rsidR="00B04B1D" w:rsidRPr="00B04B1D" w:rsidRDefault="00B04B1D" w:rsidP="00B04B1D">
            <w:pPr>
              <w:spacing w:after="0" w:line="240" w:lineRule="auto"/>
              <w:rPr>
                <w:rFonts w:ascii="Times New Roman" w:hAnsi="Times New Roman"/>
                <w:sz w:val="16"/>
                <w:szCs w:val="16"/>
              </w:rPr>
            </w:pPr>
            <w:r w:rsidRPr="00B04B1D">
              <w:rPr>
                <w:rFonts w:ascii="Times New Roman" w:hAnsi="Times New Roman"/>
                <w:sz w:val="16"/>
                <w:szCs w:val="16"/>
              </w:rPr>
              <w:t>des affirmations qui meritent des evidences/preuves pour être validées</w:t>
            </w:r>
          </w:p>
        </w:tc>
        <w:tc>
          <w:tcPr>
            <w:tcW w:w="1304" w:type="dxa"/>
            <w:shd w:val="clear" w:color="auto" w:fill="auto"/>
            <w:vAlign w:val="center"/>
          </w:tcPr>
          <w:p w14:paraId="239E3E58"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MD</w:t>
            </w:r>
          </w:p>
        </w:tc>
        <w:tc>
          <w:tcPr>
            <w:tcW w:w="2098" w:type="dxa"/>
            <w:shd w:val="clear" w:color="auto" w:fill="F2F2F2"/>
            <w:vAlign w:val="center"/>
          </w:tcPr>
          <w:p w14:paraId="08CA7177"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42</w:t>
            </w:r>
          </w:p>
        </w:tc>
        <w:tc>
          <w:tcPr>
            <w:tcW w:w="5528" w:type="dxa"/>
            <w:vAlign w:val="center"/>
          </w:tcPr>
          <w:p w14:paraId="596F9E3F"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Commentaire non pertinent ! Et attention à ce genre de réflexion qui trahissent de la part du commentateur une lecture rapide du rapport. L’affirmation « </w:t>
            </w:r>
            <w:r w:rsidRPr="00B04B1D">
              <w:rPr>
                <w:rFonts w:ascii="Times New Roman" w:hAnsi="Times New Roman"/>
                <w:b/>
                <w:i/>
                <w:sz w:val="16"/>
                <w:szCs w:val="16"/>
                <w:u w:val="single"/>
              </w:rPr>
              <w:t xml:space="preserve">Enfin, un </w:t>
            </w:r>
            <w:r w:rsidRPr="00B04B1D">
              <w:rPr>
                <w:rFonts w:ascii="Times New Roman" w:hAnsi="Times New Roman"/>
                <w:b/>
                <w:i/>
                <w:sz w:val="16"/>
                <w:szCs w:val="16"/>
                <w:u w:val="single"/>
              </w:rPr>
              <w:lastRenderedPageBreak/>
              <w:t>problème de lisibilité se pose entre le programme et de son cadre de résultat, d’une part, et les projets contributeurs, d’autre part. Les projets rentrent globalement stratégiquement dans le programme, mais leurs rendus ne sont pas toujours techniquement profilés pour satisfaire aux exigences des résultats retenus dans le CPD</w:t>
            </w:r>
            <w:r w:rsidRPr="00B04B1D">
              <w:rPr>
                <w:rFonts w:ascii="Times New Roman" w:hAnsi="Times New Roman"/>
                <w:b/>
                <w:i/>
                <w:sz w:val="16"/>
                <w:szCs w:val="16"/>
              </w:rPr>
              <w:t xml:space="preserve">", </w:t>
            </w:r>
            <w:r w:rsidRPr="00B04B1D">
              <w:rPr>
                <w:rFonts w:ascii="Times New Roman" w:hAnsi="Times New Roman"/>
                <w:sz w:val="16"/>
                <w:szCs w:val="16"/>
              </w:rPr>
              <w:t>est parfaitement document : parcourez les matrices de performances et vous verrez les cages vides en face de réalisations où il est écrit que cette réalisation n’a pas d’indicateur correspondant dans la matrice du CPD ; pour vous ne les manquiez pas, ces vides sont même surlignés en bleu dans les tableaux ! Ils vous ont quand même échappé !</w:t>
            </w:r>
          </w:p>
          <w:p w14:paraId="2A16C3AF"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Normalement tous ces tableaux devaient être reversés aux annexes, mais d’expérience, s’ils le sont, ils sont encore moins lus, pendant que des commentaires de cette nature se multiplient !</w:t>
            </w:r>
          </w:p>
        </w:tc>
      </w:tr>
      <w:tr w:rsidR="00B04B1D" w:rsidRPr="00B04B1D" w14:paraId="23D3F836" w14:textId="77777777" w:rsidTr="004F261E">
        <w:tc>
          <w:tcPr>
            <w:tcW w:w="665" w:type="dxa"/>
            <w:shd w:val="clear" w:color="auto" w:fill="F2F2F2"/>
            <w:vAlign w:val="center"/>
          </w:tcPr>
          <w:p w14:paraId="1A7B4741"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lastRenderedPageBreak/>
              <w:t>30.</w:t>
            </w:r>
          </w:p>
        </w:tc>
        <w:tc>
          <w:tcPr>
            <w:tcW w:w="4972" w:type="dxa"/>
            <w:gridSpan w:val="2"/>
            <w:vAlign w:val="center"/>
          </w:tcPr>
          <w:p w14:paraId="06694289" w14:textId="77777777" w:rsidR="00B04B1D" w:rsidRPr="00B04B1D" w:rsidRDefault="00B04B1D" w:rsidP="00B04B1D">
            <w:pPr>
              <w:spacing w:after="0" w:line="240" w:lineRule="auto"/>
              <w:rPr>
                <w:rFonts w:ascii="Times New Roman" w:hAnsi="Times New Roman"/>
                <w:sz w:val="16"/>
                <w:szCs w:val="16"/>
              </w:rPr>
            </w:pPr>
            <w:r w:rsidRPr="00B04B1D">
              <w:rPr>
                <w:rFonts w:ascii="Times New Roman" w:hAnsi="Times New Roman"/>
                <w:sz w:val="16"/>
                <w:szCs w:val="16"/>
              </w:rPr>
              <w:t xml:space="preserve">Néanmoins, il faudra reconnaitre que toutes les autres activités menées contribuant à la stabilisation et l’amélioration des conditions de vie dans ces régions constituent également des facteurs contribuant au retour des déplacés. </w:t>
            </w:r>
          </w:p>
        </w:tc>
        <w:tc>
          <w:tcPr>
            <w:tcW w:w="1304" w:type="dxa"/>
            <w:shd w:val="clear" w:color="auto" w:fill="auto"/>
            <w:vAlign w:val="center"/>
          </w:tcPr>
          <w:p w14:paraId="0F2A44E9"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SG/FO</w:t>
            </w:r>
          </w:p>
        </w:tc>
        <w:tc>
          <w:tcPr>
            <w:tcW w:w="2098" w:type="dxa"/>
            <w:shd w:val="clear" w:color="auto" w:fill="F2F2F2"/>
            <w:vAlign w:val="center"/>
          </w:tcPr>
          <w:p w14:paraId="63A24887"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44</w:t>
            </w:r>
          </w:p>
        </w:tc>
        <w:tc>
          <w:tcPr>
            <w:tcW w:w="5528" w:type="dxa"/>
            <w:vAlign w:val="center"/>
          </w:tcPr>
          <w:p w14:paraId="63C5517C"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Commentaire retenu en note pour enrichir la perspective !</w:t>
            </w:r>
          </w:p>
        </w:tc>
      </w:tr>
      <w:tr w:rsidR="00B04B1D" w:rsidRPr="00B04B1D" w14:paraId="2BBEABCD" w14:textId="77777777" w:rsidTr="004F261E">
        <w:tc>
          <w:tcPr>
            <w:tcW w:w="665" w:type="dxa"/>
            <w:shd w:val="clear" w:color="auto" w:fill="F2F2F2"/>
            <w:vAlign w:val="center"/>
          </w:tcPr>
          <w:p w14:paraId="15E5F441"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31.</w:t>
            </w:r>
          </w:p>
        </w:tc>
        <w:tc>
          <w:tcPr>
            <w:tcW w:w="4972" w:type="dxa"/>
            <w:gridSpan w:val="2"/>
            <w:vAlign w:val="center"/>
          </w:tcPr>
          <w:p w14:paraId="31D823C7" w14:textId="77777777" w:rsidR="00B04B1D" w:rsidRPr="00B04B1D" w:rsidRDefault="00B04B1D" w:rsidP="00B04B1D">
            <w:pPr>
              <w:spacing w:after="0" w:line="240" w:lineRule="auto"/>
              <w:rPr>
                <w:rFonts w:ascii="Times New Roman" w:hAnsi="Times New Roman"/>
                <w:sz w:val="16"/>
                <w:szCs w:val="16"/>
              </w:rPr>
            </w:pPr>
            <w:r w:rsidRPr="00B04B1D">
              <w:rPr>
                <w:rFonts w:ascii="Times New Roman" w:hAnsi="Times New Roman"/>
                <w:sz w:val="16"/>
                <w:szCs w:val="16"/>
              </w:rPr>
              <w:t>Pourquoi 2 codes couleurs ?</w:t>
            </w:r>
          </w:p>
        </w:tc>
        <w:tc>
          <w:tcPr>
            <w:tcW w:w="1304" w:type="dxa"/>
            <w:shd w:val="clear" w:color="auto" w:fill="auto"/>
            <w:vAlign w:val="center"/>
          </w:tcPr>
          <w:p w14:paraId="4BE14BAE"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OT</w:t>
            </w:r>
          </w:p>
        </w:tc>
        <w:tc>
          <w:tcPr>
            <w:tcW w:w="2098" w:type="dxa"/>
            <w:shd w:val="clear" w:color="auto" w:fill="F2F2F2"/>
            <w:vAlign w:val="center"/>
          </w:tcPr>
          <w:p w14:paraId="1D212981"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44/Tableau</w:t>
            </w:r>
          </w:p>
        </w:tc>
        <w:tc>
          <w:tcPr>
            <w:tcW w:w="5528" w:type="dxa"/>
            <w:vAlign w:val="center"/>
          </w:tcPr>
          <w:p w14:paraId="1C4204CB"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Deux codes couleur reflètent un résultat partagé, de large interprétation, qui balance entre les signifiants exprimés par les deux codes couleurs !</w:t>
            </w:r>
          </w:p>
        </w:tc>
      </w:tr>
      <w:tr w:rsidR="00B04B1D" w:rsidRPr="00B04B1D" w14:paraId="6440EB79" w14:textId="77777777" w:rsidTr="004F261E">
        <w:tc>
          <w:tcPr>
            <w:tcW w:w="665" w:type="dxa"/>
            <w:shd w:val="clear" w:color="auto" w:fill="F2F2F2"/>
            <w:vAlign w:val="center"/>
          </w:tcPr>
          <w:p w14:paraId="4CD198F6"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32.</w:t>
            </w:r>
          </w:p>
        </w:tc>
        <w:tc>
          <w:tcPr>
            <w:tcW w:w="4972" w:type="dxa"/>
            <w:gridSpan w:val="2"/>
            <w:vAlign w:val="center"/>
          </w:tcPr>
          <w:p w14:paraId="1FE5E5C4" w14:textId="77777777" w:rsidR="00B04B1D" w:rsidRPr="00B04B1D" w:rsidRDefault="00B04B1D" w:rsidP="00B04B1D">
            <w:pPr>
              <w:spacing w:after="0" w:line="240" w:lineRule="auto"/>
              <w:rPr>
                <w:rFonts w:ascii="Times New Roman" w:hAnsi="Times New Roman"/>
                <w:sz w:val="16"/>
                <w:szCs w:val="16"/>
              </w:rPr>
            </w:pPr>
            <w:r w:rsidRPr="00B04B1D">
              <w:rPr>
                <w:rFonts w:ascii="Times New Roman" w:hAnsi="Times New Roman"/>
                <w:sz w:val="16"/>
                <w:szCs w:val="16"/>
              </w:rPr>
              <w:t>Est-ce le MEADD ou tous les secteurs impliqués dans la gestion/exploitation de l’environnement et les RN (Agriculture, Mines,…)</w:t>
            </w:r>
          </w:p>
        </w:tc>
        <w:tc>
          <w:tcPr>
            <w:tcW w:w="1304" w:type="dxa"/>
            <w:shd w:val="clear" w:color="auto" w:fill="auto"/>
            <w:vAlign w:val="center"/>
          </w:tcPr>
          <w:p w14:paraId="51AC6638"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SG/IPE</w:t>
            </w:r>
          </w:p>
        </w:tc>
        <w:tc>
          <w:tcPr>
            <w:tcW w:w="2098" w:type="dxa"/>
            <w:shd w:val="clear" w:color="auto" w:fill="F2F2F2"/>
            <w:vAlign w:val="center"/>
          </w:tcPr>
          <w:p w14:paraId="5DDA6043"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49</w:t>
            </w:r>
          </w:p>
        </w:tc>
        <w:tc>
          <w:tcPr>
            <w:tcW w:w="5528" w:type="dxa"/>
            <w:vAlign w:val="center"/>
          </w:tcPr>
          <w:p w14:paraId="1DABD617"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Environnement !</w:t>
            </w:r>
          </w:p>
        </w:tc>
      </w:tr>
      <w:tr w:rsidR="00B04B1D" w:rsidRPr="00B04B1D" w14:paraId="5333E7CD" w14:textId="77777777" w:rsidTr="004F261E">
        <w:tc>
          <w:tcPr>
            <w:tcW w:w="665" w:type="dxa"/>
            <w:shd w:val="clear" w:color="auto" w:fill="F2F2F2"/>
            <w:vAlign w:val="center"/>
          </w:tcPr>
          <w:p w14:paraId="299666DC"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33.</w:t>
            </w:r>
          </w:p>
        </w:tc>
        <w:tc>
          <w:tcPr>
            <w:tcW w:w="4972" w:type="dxa"/>
            <w:gridSpan w:val="2"/>
            <w:vAlign w:val="center"/>
          </w:tcPr>
          <w:p w14:paraId="09F4E0F7"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Disponibilité en fin2016 de la Politique Nationale de Sécurité Alimentaire et Nutritionnelle et de son plan d’action de mise en œuvre</w:t>
            </w:r>
          </w:p>
        </w:tc>
        <w:tc>
          <w:tcPr>
            <w:tcW w:w="1304" w:type="dxa"/>
            <w:shd w:val="clear" w:color="auto" w:fill="auto"/>
            <w:vAlign w:val="center"/>
          </w:tcPr>
          <w:p w14:paraId="12670B72"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OT</w:t>
            </w:r>
          </w:p>
        </w:tc>
        <w:tc>
          <w:tcPr>
            <w:tcW w:w="2098" w:type="dxa"/>
            <w:shd w:val="clear" w:color="auto" w:fill="F2F2F2"/>
            <w:vAlign w:val="center"/>
          </w:tcPr>
          <w:p w14:paraId="162ED23C"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50/Tableau</w:t>
            </w:r>
          </w:p>
        </w:tc>
        <w:tc>
          <w:tcPr>
            <w:tcW w:w="5528" w:type="dxa"/>
            <w:vAlign w:val="center"/>
          </w:tcPr>
          <w:p w14:paraId="1D43F5A8"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Observation tenue en compte : précision insérée !</w:t>
            </w:r>
          </w:p>
        </w:tc>
      </w:tr>
      <w:tr w:rsidR="00B04B1D" w:rsidRPr="00B04B1D" w14:paraId="1676BAEB" w14:textId="77777777" w:rsidTr="004F261E">
        <w:tc>
          <w:tcPr>
            <w:tcW w:w="665" w:type="dxa"/>
            <w:shd w:val="clear" w:color="auto" w:fill="F2F2F2"/>
            <w:vAlign w:val="center"/>
          </w:tcPr>
          <w:p w14:paraId="09507F0A"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34.</w:t>
            </w:r>
          </w:p>
        </w:tc>
        <w:tc>
          <w:tcPr>
            <w:tcW w:w="4972" w:type="dxa"/>
            <w:gridSpan w:val="2"/>
            <w:vAlign w:val="center"/>
          </w:tcPr>
          <w:p w14:paraId="702654C2" w14:textId="77777777" w:rsidR="00B04B1D" w:rsidRPr="00B04B1D" w:rsidRDefault="00B04B1D" w:rsidP="00B04B1D">
            <w:pPr>
              <w:spacing w:after="0" w:line="240" w:lineRule="auto"/>
              <w:rPr>
                <w:rFonts w:ascii="Times New Roman" w:hAnsi="Times New Roman"/>
                <w:sz w:val="16"/>
                <w:szCs w:val="16"/>
              </w:rPr>
            </w:pPr>
            <w:r w:rsidRPr="00B04B1D">
              <w:rPr>
                <w:rFonts w:ascii="Times New Roman" w:hAnsi="Times New Roman"/>
                <w:sz w:val="16"/>
                <w:szCs w:val="16"/>
              </w:rPr>
              <w:t>Disponible en septembre 2017</w:t>
            </w:r>
          </w:p>
        </w:tc>
        <w:tc>
          <w:tcPr>
            <w:tcW w:w="1304" w:type="dxa"/>
            <w:shd w:val="clear" w:color="auto" w:fill="auto"/>
            <w:vAlign w:val="center"/>
          </w:tcPr>
          <w:p w14:paraId="098E842D"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OT</w:t>
            </w:r>
          </w:p>
        </w:tc>
        <w:tc>
          <w:tcPr>
            <w:tcW w:w="2098" w:type="dxa"/>
            <w:shd w:val="clear" w:color="auto" w:fill="F2F2F2"/>
            <w:vAlign w:val="center"/>
          </w:tcPr>
          <w:p w14:paraId="3B7162D4"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56</w:t>
            </w:r>
          </w:p>
        </w:tc>
        <w:tc>
          <w:tcPr>
            <w:tcW w:w="5528" w:type="dxa"/>
            <w:vAlign w:val="center"/>
          </w:tcPr>
          <w:p w14:paraId="07E92680"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Observation tenue en compte : précision insérée !</w:t>
            </w:r>
          </w:p>
        </w:tc>
      </w:tr>
      <w:tr w:rsidR="00B04B1D" w:rsidRPr="00B04B1D" w14:paraId="231CEE36" w14:textId="77777777" w:rsidTr="004F261E">
        <w:tc>
          <w:tcPr>
            <w:tcW w:w="665" w:type="dxa"/>
            <w:shd w:val="clear" w:color="auto" w:fill="F2F2F2"/>
            <w:vAlign w:val="center"/>
          </w:tcPr>
          <w:p w14:paraId="63ED889C"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35.</w:t>
            </w:r>
          </w:p>
        </w:tc>
        <w:tc>
          <w:tcPr>
            <w:tcW w:w="4972" w:type="dxa"/>
            <w:gridSpan w:val="2"/>
            <w:vAlign w:val="center"/>
          </w:tcPr>
          <w:p w14:paraId="2A9EAE34" w14:textId="77777777" w:rsidR="00B04B1D" w:rsidRPr="00B04B1D" w:rsidRDefault="00B04B1D" w:rsidP="00B04B1D">
            <w:pPr>
              <w:spacing w:after="0" w:line="240" w:lineRule="auto"/>
              <w:rPr>
                <w:rFonts w:ascii="Times New Roman" w:hAnsi="Times New Roman"/>
                <w:sz w:val="16"/>
                <w:szCs w:val="16"/>
              </w:rPr>
            </w:pPr>
            <w:r w:rsidRPr="00B04B1D">
              <w:rPr>
                <w:rFonts w:ascii="Times New Roman" w:hAnsi="Times New Roman"/>
                <w:sz w:val="16"/>
                <w:szCs w:val="16"/>
              </w:rPr>
              <w:t>Projet opérationnel en avril 2017 mais officiellement lancé en septembre 2017</w:t>
            </w:r>
          </w:p>
        </w:tc>
        <w:tc>
          <w:tcPr>
            <w:tcW w:w="1304" w:type="dxa"/>
            <w:shd w:val="clear" w:color="auto" w:fill="auto"/>
            <w:vAlign w:val="center"/>
          </w:tcPr>
          <w:p w14:paraId="248DB917"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OT</w:t>
            </w:r>
          </w:p>
        </w:tc>
        <w:tc>
          <w:tcPr>
            <w:tcW w:w="2098" w:type="dxa"/>
            <w:shd w:val="clear" w:color="auto" w:fill="F2F2F2"/>
            <w:vAlign w:val="center"/>
          </w:tcPr>
          <w:p w14:paraId="6C0263AC"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57</w:t>
            </w:r>
          </w:p>
        </w:tc>
        <w:tc>
          <w:tcPr>
            <w:tcW w:w="5528" w:type="dxa"/>
            <w:vAlign w:val="center"/>
          </w:tcPr>
          <w:p w14:paraId="32B69FCB"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Observation tenue en compte : précision insérée !</w:t>
            </w:r>
          </w:p>
        </w:tc>
      </w:tr>
      <w:tr w:rsidR="00B04B1D" w:rsidRPr="00B04B1D" w14:paraId="4C6A66C7" w14:textId="77777777" w:rsidTr="004F261E">
        <w:tc>
          <w:tcPr>
            <w:tcW w:w="665" w:type="dxa"/>
            <w:shd w:val="clear" w:color="auto" w:fill="F2F2F2"/>
            <w:vAlign w:val="center"/>
          </w:tcPr>
          <w:p w14:paraId="27EB61B0"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36.</w:t>
            </w:r>
          </w:p>
        </w:tc>
        <w:tc>
          <w:tcPr>
            <w:tcW w:w="4972" w:type="dxa"/>
            <w:gridSpan w:val="2"/>
            <w:vAlign w:val="center"/>
          </w:tcPr>
          <w:p w14:paraId="0C0F6F23" w14:textId="77777777" w:rsidR="00B04B1D" w:rsidRPr="00B04B1D" w:rsidRDefault="00B04B1D" w:rsidP="00B04B1D">
            <w:pPr>
              <w:spacing w:after="0" w:line="240" w:lineRule="auto"/>
              <w:rPr>
                <w:rFonts w:ascii="Times New Roman" w:hAnsi="Times New Roman"/>
                <w:sz w:val="16"/>
                <w:szCs w:val="16"/>
              </w:rPr>
            </w:pPr>
            <w:r w:rsidRPr="00B04B1D">
              <w:rPr>
                <w:rFonts w:ascii="Times New Roman" w:hAnsi="Times New Roman"/>
                <w:sz w:val="16"/>
                <w:szCs w:val="16"/>
              </w:rPr>
              <w:t>Pour le Fonds Mondial :</w:t>
            </w:r>
          </w:p>
          <w:p w14:paraId="47274F28"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Prévalence du VIH sida en baisse : 1.1% en 2013, contre 1.3% en 2006.</w:t>
            </w:r>
          </w:p>
        </w:tc>
        <w:tc>
          <w:tcPr>
            <w:tcW w:w="1304" w:type="dxa"/>
            <w:shd w:val="clear" w:color="auto" w:fill="auto"/>
            <w:vAlign w:val="center"/>
          </w:tcPr>
          <w:p w14:paraId="4A148946"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SG</w:t>
            </w:r>
          </w:p>
        </w:tc>
        <w:tc>
          <w:tcPr>
            <w:tcW w:w="2098" w:type="dxa"/>
            <w:shd w:val="clear" w:color="auto" w:fill="F2F2F2"/>
            <w:vAlign w:val="center"/>
          </w:tcPr>
          <w:p w14:paraId="10E310CF"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70/Tableau</w:t>
            </w:r>
          </w:p>
        </w:tc>
        <w:tc>
          <w:tcPr>
            <w:tcW w:w="5528" w:type="dxa"/>
            <w:vAlign w:val="center"/>
          </w:tcPr>
          <w:p w14:paraId="72088886"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Observation tenue en compte : correction apportée !</w:t>
            </w:r>
          </w:p>
        </w:tc>
      </w:tr>
      <w:tr w:rsidR="00B04B1D" w:rsidRPr="00B04B1D" w14:paraId="3A77D6A4" w14:textId="77777777" w:rsidTr="004F261E">
        <w:tc>
          <w:tcPr>
            <w:tcW w:w="665" w:type="dxa"/>
            <w:shd w:val="clear" w:color="auto" w:fill="F2F2F2"/>
            <w:vAlign w:val="center"/>
          </w:tcPr>
          <w:p w14:paraId="28F5C1ED"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37.</w:t>
            </w:r>
          </w:p>
        </w:tc>
        <w:tc>
          <w:tcPr>
            <w:tcW w:w="4972" w:type="dxa"/>
            <w:gridSpan w:val="2"/>
            <w:vAlign w:val="center"/>
          </w:tcPr>
          <w:p w14:paraId="771D6E92"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la conception des projets prend en compte le marqueur genre et un point focal genre a été désigné depuis</w:t>
            </w:r>
          </w:p>
        </w:tc>
        <w:tc>
          <w:tcPr>
            <w:tcW w:w="1304" w:type="dxa"/>
            <w:shd w:val="clear" w:color="auto" w:fill="auto"/>
            <w:vAlign w:val="center"/>
          </w:tcPr>
          <w:p w14:paraId="3F27D033"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Z</w:t>
            </w:r>
          </w:p>
        </w:tc>
        <w:tc>
          <w:tcPr>
            <w:tcW w:w="2098" w:type="dxa"/>
            <w:shd w:val="clear" w:color="auto" w:fill="F2F2F2"/>
            <w:vAlign w:val="center"/>
          </w:tcPr>
          <w:p w14:paraId="756B036D"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76</w:t>
            </w:r>
          </w:p>
        </w:tc>
        <w:tc>
          <w:tcPr>
            <w:tcW w:w="5528" w:type="dxa"/>
            <w:vAlign w:val="center"/>
          </w:tcPr>
          <w:p w14:paraId="256F50B4"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Le commentaire laisse sauf le paragraphe en question qui a seulement été réécrit dans le sens de rendre le propos plus impersonnel : mais le fond est conforme à l’évolution que le Bureau en connu en matière de cadre de gestion du Genre !</w:t>
            </w:r>
          </w:p>
        </w:tc>
      </w:tr>
      <w:tr w:rsidR="00B04B1D" w:rsidRPr="00B04B1D" w14:paraId="16310F10" w14:textId="77777777" w:rsidTr="004F261E">
        <w:tc>
          <w:tcPr>
            <w:tcW w:w="665" w:type="dxa"/>
            <w:shd w:val="clear" w:color="auto" w:fill="F2F2F2"/>
            <w:vAlign w:val="center"/>
          </w:tcPr>
          <w:p w14:paraId="227235D6"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38.</w:t>
            </w:r>
          </w:p>
        </w:tc>
        <w:tc>
          <w:tcPr>
            <w:tcW w:w="4972" w:type="dxa"/>
            <w:gridSpan w:val="2"/>
            <w:vAlign w:val="center"/>
          </w:tcPr>
          <w:p w14:paraId="12880792"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Le caractère extraverti de la stratégie de MR n’est pas nécessairement une faiblesse. Revoir la formulation de la 2nde phrase</w:t>
            </w:r>
          </w:p>
        </w:tc>
        <w:tc>
          <w:tcPr>
            <w:tcW w:w="1304" w:type="dxa"/>
            <w:shd w:val="clear" w:color="auto" w:fill="auto"/>
            <w:vAlign w:val="center"/>
          </w:tcPr>
          <w:p w14:paraId="079721B1"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MD</w:t>
            </w:r>
          </w:p>
        </w:tc>
        <w:tc>
          <w:tcPr>
            <w:tcW w:w="2098" w:type="dxa"/>
            <w:shd w:val="clear" w:color="auto" w:fill="F2F2F2"/>
            <w:vAlign w:val="center"/>
          </w:tcPr>
          <w:p w14:paraId="4BF438E0"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3.5.2./Tableau</w:t>
            </w:r>
          </w:p>
        </w:tc>
        <w:tc>
          <w:tcPr>
            <w:tcW w:w="5528" w:type="dxa"/>
            <w:vAlign w:val="center"/>
          </w:tcPr>
          <w:p w14:paraId="7336BE57"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Le texte dit"</w:t>
            </w:r>
            <w:r w:rsidRPr="00B04B1D">
              <w:rPr>
                <w:rFonts w:ascii="Times New Roman" w:hAnsi="Times New Roman"/>
                <w:sz w:val="16"/>
                <w:szCs w:val="16"/>
                <w:lang w:eastAsia="ar-SA"/>
              </w:rPr>
              <w:t xml:space="preserve"> </w:t>
            </w:r>
            <w:r w:rsidRPr="00B04B1D">
              <w:rPr>
                <w:rFonts w:ascii="Times New Roman" w:hAnsi="Times New Roman"/>
                <w:sz w:val="16"/>
                <w:szCs w:val="16"/>
              </w:rPr>
              <w:t>Stratégie de mobilisation de ressources extravertie : plus tirée par les bailleurs potentiels qu’ancrée dans l’âme du programme" : prenez l’exemple des 7 micro projet FEM, si leurs financements étaient bien digérés par le programme, ils seraient fondus dans un seul et même programme, ce que et le PNUD et l’AEDD souhaitent pour rationaliser ce segment du portefeuille, mais que le FEM n’autorise pas ! Voilà l’illustration de ce qui est appelé ici extraversion, et là il est clair que c’est un problème pour le programme qui doit consacrer une partie des ressources à entretenir 7 coordinations de micro projets ! L’AEED aussi fait savoir que cette situation n’est pas à son avantage !</w:t>
            </w:r>
          </w:p>
        </w:tc>
      </w:tr>
      <w:tr w:rsidR="00B04B1D" w:rsidRPr="00B04B1D" w14:paraId="5B09FD1E" w14:textId="77777777" w:rsidTr="004F261E">
        <w:tc>
          <w:tcPr>
            <w:tcW w:w="665" w:type="dxa"/>
            <w:shd w:val="clear" w:color="auto" w:fill="F2F2F2"/>
            <w:vAlign w:val="center"/>
          </w:tcPr>
          <w:p w14:paraId="731B8B3D"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39.</w:t>
            </w:r>
          </w:p>
        </w:tc>
        <w:tc>
          <w:tcPr>
            <w:tcW w:w="4972" w:type="dxa"/>
            <w:gridSpan w:val="2"/>
            <w:vAlign w:val="center"/>
          </w:tcPr>
          <w:p w14:paraId="02B9865F"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le cas cité est très spécifique et ne concerne qu’un pourcentage quasi infime des élèves</w:t>
            </w:r>
          </w:p>
        </w:tc>
        <w:tc>
          <w:tcPr>
            <w:tcW w:w="1304" w:type="dxa"/>
            <w:shd w:val="clear" w:color="auto" w:fill="auto"/>
            <w:vAlign w:val="center"/>
          </w:tcPr>
          <w:p w14:paraId="22648A82"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Z</w:t>
            </w:r>
          </w:p>
        </w:tc>
        <w:tc>
          <w:tcPr>
            <w:tcW w:w="2098" w:type="dxa"/>
            <w:shd w:val="clear" w:color="auto" w:fill="F2F2F2"/>
            <w:vAlign w:val="center"/>
          </w:tcPr>
          <w:p w14:paraId="06226637"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88</w:t>
            </w:r>
          </w:p>
        </w:tc>
        <w:tc>
          <w:tcPr>
            <w:tcW w:w="5528" w:type="dxa"/>
            <w:vAlign w:val="center"/>
          </w:tcPr>
          <w:p w14:paraId="70B7ECF2"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Mais n’est-il pas informatif que cela soit relevé : on a dit que les interventions sont pertinentes, généralement parlant, mais qu’il y a aussi cette exception ! Il faut vraiment qu’on enlève du rapport tout ce qui est à améliorer ???</w:t>
            </w:r>
          </w:p>
        </w:tc>
      </w:tr>
      <w:tr w:rsidR="00B04B1D" w:rsidRPr="00B04B1D" w14:paraId="34A3A7E8" w14:textId="77777777" w:rsidTr="004F261E">
        <w:tc>
          <w:tcPr>
            <w:tcW w:w="665" w:type="dxa"/>
            <w:shd w:val="clear" w:color="auto" w:fill="F2F2F2"/>
            <w:vAlign w:val="center"/>
          </w:tcPr>
          <w:p w14:paraId="294055D2"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40.</w:t>
            </w:r>
          </w:p>
        </w:tc>
        <w:tc>
          <w:tcPr>
            <w:tcW w:w="4972" w:type="dxa"/>
            <w:gridSpan w:val="2"/>
            <w:vAlign w:val="center"/>
          </w:tcPr>
          <w:p w14:paraId="24291EAD"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Les données budgétaires ont été fournies sur la base du canevas des consultants</w:t>
            </w:r>
          </w:p>
        </w:tc>
        <w:tc>
          <w:tcPr>
            <w:tcW w:w="1304" w:type="dxa"/>
            <w:shd w:val="clear" w:color="auto" w:fill="auto"/>
            <w:vAlign w:val="center"/>
          </w:tcPr>
          <w:p w14:paraId="588A8DF7"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SG</w:t>
            </w:r>
          </w:p>
        </w:tc>
        <w:tc>
          <w:tcPr>
            <w:tcW w:w="2098" w:type="dxa"/>
            <w:shd w:val="clear" w:color="auto" w:fill="F2F2F2"/>
            <w:vAlign w:val="center"/>
          </w:tcPr>
          <w:p w14:paraId="567522A2"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90</w:t>
            </w:r>
          </w:p>
        </w:tc>
        <w:tc>
          <w:tcPr>
            <w:tcW w:w="5528" w:type="dxa"/>
            <w:vAlign w:val="center"/>
          </w:tcPr>
          <w:p w14:paraId="66BE7BE3"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Oui commentaire avéré ! le propos est reformulé !</w:t>
            </w:r>
          </w:p>
        </w:tc>
      </w:tr>
      <w:tr w:rsidR="00B04B1D" w:rsidRPr="00B04B1D" w14:paraId="71E7ABB1" w14:textId="77777777" w:rsidTr="004F261E">
        <w:tc>
          <w:tcPr>
            <w:tcW w:w="665" w:type="dxa"/>
            <w:shd w:val="clear" w:color="auto" w:fill="F2F2F2"/>
            <w:vAlign w:val="center"/>
          </w:tcPr>
          <w:p w14:paraId="056D2D1A"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41.</w:t>
            </w:r>
          </w:p>
        </w:tc>
        <w:tc>
          <w:tcPr>
            <w:tcW w:w="4972" w:type="dxa"/>
            <w:gridSpan w:val="2"/>
            <w:vAlign w:val="center"/>
          </w:tcPr>
          <w:p w14:paraId="4867EC4D" w14:textId="77777777" w:rsidR="00B04B1D" w:rsidRPr="00B04B1D" w:rsidRDefault="00B04B1D" w:rsidP="00B04B1D">
            <w:pPr>
              <w:spacing w:after="0" w:line="240" w:lineRule="auto"/>
              <w:rPr>
                <w:rFonts w:ascii="Times New Roman" w:hAnsi="Times New Roman"/>
                <w:sz w:val="16"/>
                <w:szCs w:val="16"/>
              </w:rPr>
            </w:pPr>
            <w:r w:rsidRPr="00B04B1D">
              <w:rPr>
                <w:rFonts w:ascii="Times New Roman" w:hAnsi="Times New Roman"/>
                <w:sz w:val="16"/>
                <w:szCs w:val="16"/>
              </w:rPr>
              <w:t>A nuancer étant donné que le PNUD n’a pas le même corps business que l’UNICEF</w:t>
            </w:r>
          </w:p>
        </w:tc>
        <w:tc>
          <w:tcPr>
            <w:tcW w:w="1304" w:type="dxa"/>
            <w:shd w:val="clear" w:color="auto" w:fill="auto"/>
            <w:vAlign w:val="center"/>
          </w:tcPr>
          <w:p w14:paraId="55E1261B"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Z</w:t>
            </w:r>
          </w:p>
        </w:tc>
        <w:tc>
          <w:tcPr>
            <w:tcW w:w="2098" w:type="dxa"/>
            <w:shd w:val="clear" w:color="auto" w:fill="F2F2F2"/>
            <w:vAlign w:val="center"/>
          </w:tcPr>
          <w:p w14:paraId="397FB55F"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93</w:t>
            </w:r>
          </w:p>
        </w:tc>
        <w:tc>
          <w:tcPr>
            <w:tcW w:w="5528" w:type="dxa"/>
            <w:vAlign w:val="center"/>
          </w:tcPr>
          <w:p w14:paraId="735DD600"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 xml:space="preserve">Le propos était déjà nuancé avec l’expression "pourrait…" : pour le core business évoqué par le commentaire, naturellement, sur le papier, il n’y a pas deux agences </w:t>
            </w:r>
            <w:r w:rsidRPr="00B04B1D">
              <w:rPr>
                <w:rFonts w:ascii="Times New Roman" w:hAnsi="Times New Roman"/>
                <w:sz w:val="16"/>
                <w:szCs w:val="16"/>
              </w:rPr>
              <w:lastRenderedPageBreak/>
              <w:t>qui en aient le même ! Cela n’empêche pas les synergies et les subsidiarités, mais les facilite plutôt !</w:t>
            </w:r>
          </w:p>
        </w:tc>
      </w:tr>
      <w:tr w:rsidR="00B04B1D" w:rsidRPr="00B04B1D" w14:paraId="1C9E4C8B" w14:textId="77777777" w:rsidTr="004F261E">
        <w:tc>
          <w:tcPr>
            <w:tcW w:w="665" w:type="dxa"/>
            <w:shd w:val="clear" w:color="auto" w:fill="F2F2F2"/>
            <w:vAlign w:val="center"/>
          </w:tcPr>
          <w:p w14:paraId="5FB2A281"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lastRenderedPageBreak/>
              <w:t>42.</w:t>
            </w:r>
          </w:p>
        </w:tc>
        <w:tc>
          <w:tcPr>
            <w:tcW w:w="4972" w:type="dxa"/>
            <w:gridSpan w:val="2"/>
            <w:vAlign w:val="center"/>
          </w:tcPr>
          <w:p w14:paraId="63111CC8" w14:textId="77777777" w:rsidR="00B04B1D" w:rsidRPr="00B04B1D" w:rsidRDefault="00B04B1D" w:rsidP="00B04B1D">
            <w:pPr>
              <w:spacing w:after="0" w:line="240" w:lineRule="auto"/>
              <w:rPr>
                <w:rFonts w:ascii="Times New Roman" w:hAnsi="Times New Roman"/>
                <w:sz w:val="16"/>
                <w:szCs w:val="16"/>
              </w:rPr>
            </w:pPr>
            <w:r w:rsidRPr="00B04B1D">
              <w:rPr>
                <w:rFonts w:ascii="Times New Roman" w:hAnsi="Times New Roman"/>
                <w:sz w:val="16"/>
                <w:szCs w:val="16"/>
              </w:rPr>
              <w:t>être plus explicite sur : "Enfin, les porosités entre le PNUD et ses partenaires nationaux, avec des staffs qui circulent dans un sens et de l’autre, tout en favorisant les intelligences entre les deux parties, lèvent des questionnements d’indépendance".</w:t>
            </w:r>
          </w:p>
        </w:tc>
        <w:tc>
          <w:tcPr>
            <w:tcW w:w="1304" w:type="dxa"/>
            <w:shd w:val="clear" w:color="auto" w:fill="auto"/>
            <w:vAlign w:val="center"/>
          </w:tcPr>
          <w:p w14:paraId="228A1068"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OT</w:t>
            </w:r>
          </w:p>
        </w:tc>
        <w:tc>
          <w:tcPr>
            <w:tcW w:w="2098" w:type="dxa"/>
            <w:shd w:val="clear" w:color="auto" w:fill="F2F2F2"/>
            <w:vAlign w:val="center"/>
          </w:tcPr>
          <w:p w14:paraId="25A420E7"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114</w:t>
            </w:r>
          </w:p>
        </w:tc>
        <w:tc>
          <w:tcPr>
            <w:tcW w:w="5528" w:type="dxa"/>
            <w:vAlign w:val="center"/>
          </w:tcPr>
          <w:p w14:paraId="248EFD76"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 xml:space="preserve">Cf. ci-dessous Commentaires et réponse de l’Evacuateur ! </w:t>
            </w:r>
          </w:p>
        </w:tc>
      </w:tr>
      <w:tr w:rsidR="00B04B1D" w:rsidRPr="00B04B1D" w14:paraId="7C198059" w14:textId="77777777" w:rsidTr="004F261E">
        <w:tc>
          <w:tcPr>
            <w:tcW w:w="665" w:type="dxa"/>
            <w:shd w:val="clear" w:color="auto" w:fill="F2F2F2"/>
            <w:vAlign w:val="center"/>
          </w:tcPr>
          <w:p w14:paraId="7FEB3E91"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43.</w:t>
            </w:r>
          </w:p>
        </w:tc>
        <w:tc>
          <w:tcPr>
            <w:tcW w:w="4972" w:type="dxa"/>
            <w:gridSpan w:val="2"/>
            <w:vAlign w:val="center"/>
          </w:tcPr>
          <w:p w14:paraId="7ECC4B37" w14:textId="77777777" w:rsidR="00B04B1D" w:rsidRPr="00B04B1D" w:rsidRDefault="00B04B1D" w:rsidP="00B04B1D">
            <w:pPr>
              <w:spacing w:after="0" w:line="240" w:lineRule="auto"/>
              <w:rPr>
                <w:rFonts w:ascii="Times New Roman" w:hAnsi="Times New Roman"/>
                <w:sz w:val="16"/>
                <w:szCs w:val="16"/>
              </w:rPr>
            </w:pPr>
            <w:r w:rsidRPr="00B04B1D">
              <w:rPr>
                <w:rFonts w:ascii="Times New Roman" w:hAnsi="Times New Roman"/>
                <w:sz w:val="16"/>
                <w:szCs w:val="16"/>
              </w:rPr>
              <w:t xml:space="preserve">Le PNUD travaille en bonne intelligence avec la MINUSMA dans plusieurs domaines :(Formation des Policiers, des Magistrats, le projet GFP, les autorités intérimaires, les élections), de ce fait, je suggère de relativiser le commentaire fait à ce niveau. </w:t>
            </w:r>
          </w:p>
        </w:tc>
        <w:tc>
          <w:tcPr>
            <w:tcW w:w="1304" w:type="dxa"/>
            <w:shd w:val="clear" w:color="auto" w:fill="auto"/>
            <w:vAlign w:val="center"/>
          </w:tcPr>
          <w:p w14:paraId="7E6E77A2"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SG/FO</w:t>
            </w:r>
          </w:p>
        </w:tc>
        <w:tc>
          <w:tcPr>
            <w:tcW w:w="2098" w:type="dxa"/>
            <w:shd w:val="clear" w:color="auto" w:fill="F2F2F2"/>
            <w:vAlign w:val="center"/>
          </w:tcPr>
          <w:p w14:paraId="6EF08F63"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117</w:t>
            </w:r>
          </w:p>
        </w:tc>
        <w:tc>
          <w:tcPr>
            <w:tcW w:w="5528" w:type="dxa"/>
            <w:vAlign w:val="center"/>
          </w:tcPr>
          <w:p w14:paraId="1DB9CDD1"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Commentaire non contradictoire avec le propos du rapport : précisions insérées en note !</w:t>
            </w:r>
          </w:p>
        </w:tc>
      </w:tr>
      <w:tr w:rsidR="00B04B1D" w:rsidRPr="00B04B1D" w14:paraId="43EEE486" w14:textId="77777777" w:rsidTr="004F261E">
        <w:tc>
          <w:tcPr>
            <w:tcW w:w="665" w:type="dxa"/>
            <w:shd w:val="clear" w:color="auto" w:fill="F2F2F2"/>
            <w:vAlign w:val="center"/>
          </w:tcPr>
          <w:p w14:paraId="795DC3B9"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44.</w:t>
            </w:r>
          </w:p>
        </w:tc>
        <w:tc>
          <w:tcPr>
            <w:tcW w:w="4972" w:type="dxa"/>
            <w:gridSpan w:val="2"/>
            <w:vAlign w:val="center"/>
          </w:tcPr>
          <w:p w14:paraId="1D2A97E8" w14:textId="77777777" w:rsidR="00B04B1D" w:rsidRPr="00B04B1D" w:rsidRDefault="00B04B1D" w:rsidP="00B04B1D">
            <w:pPr>
              <w:spacing w:after="0" w:line="240" w:lineRule="auto"/>
              <w:rPr>
                <w:rFonts w:ascii="Times New Roman" w:hAnsi="Times New Roman"/>
                <w:sz w:val="16"/>
                <w:szCs w:val="16"/>
              </w:rPr>
            </w:pPr>
            <w:r w:rsidRPr="00B04B1D">
              <w:rPr>
                <w:rFonts w:ascii="Times New Roman" w:hAnsi="Times New Roman"/>
                <w:sz w:val="16"/>
                <w:szCs w:val="16"/>
              </w:rPr>
              <w:t>Quel est l’avis du Senior Management ?</w:t>
            </w:r>
          </w:p>
        </w:tc>
        <w:tc>
          <w:tcPr>
            <w:tcW w:w="1304" w:type="dxa"/>
            <w:shd w:val="clear" w:color="auto" w:fill="auto"/>
            <w:vAlign w:val="center"/>
          </w:tcPr>
          <w:p w14:paraId="061250F6" w14:textId="77777777" w:rsidR="00B04B1D" w:rsidRPr="00B04B1D" w:rsidRDefault="00B04B1D" w:rsidP="00B04B1D">
            <w:pPr>
              <w:spacing w:after="0" w:line="240" w:lineRule="auto"/>
              <w:jc w:val="center"/>
              <w:rPr>
                <w:rFonts w:ascii="Times New Roman" w:hAnsi="Times New Roman"/>
                <w:sz w:val="16"/>
                <w:szCs w:val="16"/>
              </w:rPr>
            </w:pPr>
          </w:p>
        </w:tc>
        <w:tc>
          <w:tcPr>
            <w:tcW w:w="2098" w:type="dxa"/>
            <w:shd w:val="clear" w:color="auto" w:fill="F2F2F2"/>
            <w:vAlign w:val="center"/>
          </w:tcPr>
          <w:p w14:paraId="07B8B142"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118</w:t>
            </w:r>
          </w:p>
        </w:tc>
        <w:tc>
          <w:tcPr>
            <w:tcW w:w="5528" w:type="dxa"/>
            <w:vAlign w:val="center"/>
          </w:tcPr>
          <w:p w14:paraId="5374D3D1"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Cette observation est faite par le Haut management, en réaction au fait que la mission du Fonds qui s’est retrouvée à Bamako en même temps que les évaluateurs ne prévoyait pas de débriefer avec le PNUD dans le fond !</w:t>
            </w:r>
          </w:p>
        </w:tc>
      </w:tr>
      <w:tr w:rsidR="00B04B1D" w:rsidRPr="00B04B1D" w14:paraId="63150A42" w14:textId="77777777" w:rsidTr="004F261E">
        <w:tc>
          <w:tcPr>
            <w:tcW w:w="665" w:type="dxa"/>
            <w:shd w:val="clear" w:color="auto" w:fill="F2F2F2"/>
            <w:vAlign w:val="center"/>
          </w:tcPr>
          <w:p w14:paraId="3EC1BC3A"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45.</w:t>
            </w:r>
          </w:p>
        </w:tc>
        <w:tc>
          <w:tcPr>
            <w:tcW w:w="4972" w:type="dxa"/>
            <w:gridSpan w:val="2"/>
            <w:vAlign w:val="center"/>
          </w:tcPr>
          <w:p w14:paraId="295EC4DA" w14:textId="77777777" w:rsidR="00B04B1D" w:rsidRPr="00B04B1D" w:rsidRDefault="00B04B1D" w:rsidP="00B04B1D">
            <w:pPr>
              <w:spacing w:after="0" w:line="240" w:lineRule="auto"/>
              <w:rPr>
                <w:rFonts w:ascii="Times New Roman" w:hAnsi="Times New Roman"/>
                <w:sz w:val="16"/>
                <w:szCs w:val="16"/>
              </w:rPr>
            </w:pPr>
            <w:r w:rsidRPr="00B04B1D">
              <w:rPr>
                <w:rFonts w:ascii="Times New Roman" w:hAnsi="Times New Roman"/>
                <w:sz w:val="16"/>
                <w:szCs w:val="16"/>
              </w:rPr>
              <w:t>A revoir il semble que quelque chose manque à cette phrase</w:t>
            </w:r>
          </w:p>
        </w:tc>
        <w:tc>
          <w:tcPr>
            <w:tcW w:w="1304" w:type="dxa"/>
            <w:shd w:val="clear" w:color="auto" w:fill="auto"/>
            <w:vAlign w:val="center"/>
          </w:tcPr>
          <w:p w14:paraId="33B2B97C" w14:textId="77777777" w:rsidR="00B04B1D" w:rsidRPr="00B04B1D" w:rsidRDefault="00B04B1D" w:rsidP="00B04B1D">
            <w:pPr>
              <w:spacing w:after="0" w:line="240" w:lineRule="auto"/>
              <w:jc w:val="center"/>
              <w:rPr>
                <w:rFonts w:ascii="Times New Roman" w:hAnsi="Times New Roman"/>
                <w:sz w:val="16"/>
                <w:szCs w:val="16"/>
              </w:rPr>
            </w:pPr>
          </w:p>
        </w:tc>
        <w:tc>
          <w:tcPr>
            <w:tcW w:w="2098" w:type="dxa"/>
            <w:vMerge w:val="restart"/>
            <w:shd w:val="clear" w:color="auto" w:fill="F2F2F2"/>
            <w:vAlign w:val="center"/>
          </w:tcPr>
          <w:p w14:paraId="6A829F2A"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120</w:t>
            </w:r>
          </w:p>
        </w:tc>
        <w:tc>
          <w:tcPr>
            <w:tcW w:w="5528" w:type="dxa"/>
            <w:vMerge w:val="restart"/>
            <w:vAlign w:val="center"/>
          </w:tcPr>
          <w:p w14:paraId="3020F549"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Non, le propos est complet et intelligible : " Certains, au demeurant, interprètent l’entre deux comme un lieu de complicités qui peut être opposé à la réputation d’indépendance de l’Agence : le Bureau recrute beaucoup dans les structures nationales, et ses staffs retournent parfois reprendre des responsabilités au cœur ou au sommet de l’Etat."…</w:t>
            </w:r>
          </w:p>
          <w:p w14:paraId="7B6EC1FD"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Pour le reste, l’évaluation avait aussi un rôle d’information pour le Bureau : c’est un partenaire financier important qui exprime cet avis entre les relations entre le Bureau et les institutions nationales! Il est plus utile pour le Bureau d’être au courant de cette opinion pour bien communiquer là-dessus en direction de sa source, plutôt que l’argument évident contenu dans le commentaire !</w:t>
            </w:r>
          </w:p>
        </w:tc>
      </w:tr>
      <w:tr w:rsidR="00B04B1D" w:rsidRPr="00B04B1D" w14:paraId="36871379" w14:textId="77777777" w:rsidTr="004F261E">
        <w:tc>
          <w:tcPr>
            <w:tcW w:w="665" w:type="dxa"/>
            <w:shd w:val="clear" w:color="auto" w:fill="F2F2F2"/>
            <w:vAlign w:val="center"/>
          </w:tcPr>
          <w:p w14:paraId="39376FDA"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46.</w:t>
            </w:r>
          </w:p>
        </w:tc>
        <w:tc>
          <w:tcPr>
            <w:tcW w:w="4972" w:type="dxa"/>
            <w:gridSpan w:val="2"/>
            <w:vAlign w:val="center"/>
          </w:tcPr>
          <w:p w14:paraId="1ECACAED" w14:textId="77777777" w:rsidR="00B04B1D" w:rsidRPr="00B04B1D" w:rsidRDefault="00B04B1D" w:rsidP="00B04B1D">
            <w:pPr>
              <w:spacing w:after="0" w:line="240" w:lineRule="auto"/>
              <w:rPr>
                <w:rFonts w:ascii="Times New Roman" w:hAnsi="Times New Roman"/>
                <w:sz w:val="16"/>
                <w:szCs w:val="16"/>
              </w:rPr>
            </w:pPr>
            <w:r w:rsidRPr="00B04B1D">
              <w:rPr>
                <w:rFonts w:ascii="Times New Roman" w:hAnsi="Times New Roman"/>
                <w:sz w:val="16"/>
                <w:szCs w:val="16"/>
              </w:rPr>
              <w:t>Ceci n’est pas particulier au PNUD, tous les partenaires en font autant et cela n’est pas contraires aux procédures de recrutements qui sont ouvertes et compétitives</w:t>
            </w:r>
          </w:p>
        </w:tc>
        <w:tc>
          <w:tcPr>
            <w:tcW w:w="1304" w:type="dxa"/>
            <w:shd w:val="clear" w:color="auto" w:fill="auto"/>
            <w:vAlign w:val="center"/>
          </w:tcPr>
          <w:p w14:paraId="64D79992" w14:textId="77777777" w:rsidR="00B04B1D" w:rsidRPr="00B04B1D" w:rsidRDefault="00B04B1D" w:rsidP="00B04B1D">
            <w:pPr>
              <w:spacing w:after="0" w:line="240" w:lineRule="auto"/>
              <w:jc w:val="center"/>
              <w:rPr>
                <w:rFonts w:ascii="Times New Roman" w:hAnsi="Times New Roman"/>
                <w:sz w:val="16"/>
                <w:szCs w:val="16"/>
              </w:rPr>
            </w:pPr>
          </w:p>
        </w:tc>
        <w:tc>
          <w:tcPr>
            <w:tcW w:w="2098" w:type="dxa"/>
            <w:vMerge/>
            <w:shd w:val="clear" w:color="auto" w:fill="F2F2F2"/>
            <w:vAlign w:val="center"/>
          </w:tcPr>
          <w:p w14:paraId="3E2B6E13" w14:textId="77777777" w:rsidR="00B04B1D" w:rsidRPr="00B04B1D" w:rsidRDefault="00B04B1D" w:rsidP="00B04B1D">
            <w:pPr>
              <w:spacing w:after="0" w:line="240" w:lineRule="auto"/>
              <w:jc w:val="center"/>
              <w:rPr>
                <w:rFonts w:ascii="Times New Roman" w:hAnsi="Times New Roman"/>
                <w:sz w:val="16"/>
                <w:szCs w:val="16"/>
              </w:rPr>
            </w:pPr>
          </w:p>
        </w:tc>
        <w:tc>
          <w:tcPr>
            <w:tcW w:w="5528" w:type="dxa"/>
            <w:vMerge/>
            <w:vAlign w:val="center"/>
          </w:tcPr>
          <w:p w14:paraId="232AA84B" w14:textId="77777777" w:rsidR="00B04B1D" w:rsidRPr="00B04B1D" w:rsidRDefault="00B04B1D" w:rsidP="00B04B1D">
            <w:pPr>
              <w:spacing w:after="0" w:line="240" w:lineRule="auto"/>
              <w:jc w:val="both"/>
              <w:rPr>
                <w:rFonts w:ascii="Times New Roman" w:hAnsi="Times New Roman"/>
                <w:sz w:val="16"/>
                <w:szCs w:val="16"/>
              </w:rPr>
            </w:pPr>
          </w:p>
        </w:tc>
      </w:tr>
      <w:tr w:rsidR="00B04B1D" w:rsidRPr="00B04B1D" w14:paraId="77BD39EE" w14:textId="77777777" w:rsidTr="004F261E">
        <w:tc>
          <w:tcPr>
            <w:tcW w:w="665" w:type="dxa"/>
            <w:shd w:val="clear" w:color="auto" w:fill="F2F2F2"/>
            <w:vAlign w:val="center"/>
          </w:tcPr>
          <w:p w14:paraId="7702D4B5"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47</w:t>
            </w:r>
          </w:p>
        </w:tc>
        <w:tc>
          <w:tcPr>
            <w:tcW w:w="4972" w:type="dxa"/>
            <w:gridSpan w:val="2"/>
            <w:vAlign w:val="center"/>
          </w:tcPr>
          <w:p w14:paraId="42A71618" w14:textId="77777777" w:rsidR="00B04B1D" w:rsidRPr="00B04B1D" w:rsidRDefault="00B04B1D" w:rsidP="00B04B1D">
            <w:pPr>
              <w:spacing w:after="0" w:line="240" w:lineRule="auto"/>
              <w:rPr>
                <w:rFonts w:ascii="Times New Roman" w:hAnsi="Times New Roman"/>
                <w:sz w:val="16"/>
                <w:szCs w:val="16"/>
              </w:rPr>
            </w:pPr>
            <w:r w:rsidRPr="00B04B1D">
              <w:rPr>
                <w:rFonts w:ascii="Times New Roman" w:hAnsi="Times New Roman"/>
                <w:sz w:val="16"/>
                <w:szCs w:val="16"/>
              </w:rPr>
              <w:t>Lesquelles Unités parallèles ?</w:t>
            </w:r>
          </w:p>
        </w:tc>
        <w:tc>
          <w:tcPr>
            <w:tcW w:w="1304" w:type="dxa"/>
            <w:shd w:val="clear" w:color="auto" w:fill="auto"/>
            <w:vAlign w:val="center"/>
          </w:tcPr>
          <w:p w14:paraId="1F0777C1" w14:textId="77777777" w:rsidR="00B04B1D" w:rsidRPr="00B04B1D" w:rsidRDefault="00B04B1D" w:rsidP="00B04B1D">
            <w:pPr>
              <w:spacing w:after="0" w:line="240" w:lineRule="auto"/>
              <w:jc w:val="center"/>
              <w:rPr>
                <w:rFonts w:ascii="Times New Roman" w:hAnsi="Times New Roman"/>
                <w:sz w:val="16"/>
                <w:szCs w:val="16"/>
              </w:rPr>
            </w:pPr>
          </w:p>
        </w:tc>
        <w:tc>
          <w:tcPr>
            <w:tcW w:w="2098" w:type="dxa"/>
            <w:shd w:val="clear" w:color="auto" w:fill="F2F2F2"/>
            <w:vAlign w:val="center"/>
          </w:tcPr>
          <w:p w14:paraId="7C89E334" w14:textId="77777777" w:rsidR="00B04B1D" w:rsidRPr="00B04B1D" w:rsidRDefault="00B04B1D" w:rsidP="00B04B1D">
            <w:pPr>
              <w:spacing w:after="0" w:line="240" w:lineRule="auto"/>
              <w:jc w:val="center"/>
              <w:rPr>
                <w:rFonts w:ascii="Times New Roman" w:hAnsi="Times New Roman"/>
                <w:sz w:val="16"/>
                <w:szCs w:val="16"/>
              </w:rPr>
            </w:pPr>
            <w:r w:rsidRPr="00B04B1D">
              <w:rPr>
                <w:rFonts w:ascii="Times New Roman" w:hAnsi="Times New Roman"/>
                <w:sz w:val="16"/>
                <w:szCs w:val="16"/>
              </w:rPr>
              <w:t>R1</w:t>
            </w:r>
          </w:p>
        </w:tc>
        <w:tc>
          <w:tcPr>
            <w:tcW w:w="5528" w:type="dxa"/>
            <w:vAlign w:val="center"/>
          </w:tcPr>
          <w:p w14:paraId="50DE35A7" w14:textId="77777777" w:rsidR="00B04B1D" w:rsidRPr="00B04B1D" w:rsidRDefault="00B04B1D" w:rsidP="00B04B1D">
            <w:pPr>
              <w:spacing w:after="0" w:line="240" w:lineRule="auto"/>
              <w:jc w:val="both"/>
              <w:rPr>
                <w:rFonts w:ascii="Times New Roman" w:hAnsi="Times New Roman"/>
                <w:sz w:val="16"/>
                <w:szCs w:val="16"/>
              </w:rPr>
            </w:pPr>
            <w:r w:rsidRPr="00B04B1D">
              <w:rPr>
                <w:rFonts w:ascii="Times New Roman" w:hAnsi="Times New Roman"/>
                <w:sz w:val="16"/>
                <w:szCs w:val="16"/>
              </w:rPr>
              <w:t>7 Unités de gestion de micro projets sont créées dans les flancs de l’Agence Environnementale !</w:t>
            </w:r>
          </w:p>
        </w:tc>
      </w:tr>
    </w:tbl>
    <w:p w14:paraId="31645FBD" w14:textId="77777777" w:rsidR="00B04B1D" w:rsidRDefault="00B04B1D" w:rsidP="00B04B1D">
      <w:pPr>
        <w:rPr>
          <w:rFonts w:eastAsia="Times New Roman"/>
        </w:rPr>
      </w:pPr>
      <w:r>
        <w:br w:type="page"/>
      </w:r>
    </w:p>
    <w:p w14:paraId="72B9AE4C" w14:textId="77777777" w:rsidR="00006C7E" w:rsidRPr="004F261E" w:rsidRDefault="00B04B1D" w:rsidP="00006C7E">
      <w:pPr>
        <w:pStyle w:val="Titre2"/>
        <w:numPr>
          <w:ilvl w:val="0"/>
          <w:numId w:val="144"/>
        </w:numPr>
        <w:spacing w:before="0"/>
        <w:rPr>
          <w:rFonts w:ascii="Times New Roman" w:hAnsi="Times New Roman"/>
          <w:color w:val="auto"/>
          <w:sz w:val="24"/>
          <w:szCs w:val="24"/>
        </w:rPr>
      </w:pPr>
      <w:bookmarkStart w:id="163" w:name="_Toc499213908"/>
      <w:r w:rsidRPr="006B309F">
        <w:rPr>
          <w:rFonts w:ascii="Times New Roman" w:hAnsi="Times New Roman"/>
          <w:color w:val="auto"/>
          <w:sz w:val="24"/>
          <w:szCs w:val="24"/>
        </w:rPr>
        <w:lastRenderedPageBreak/>
        <w:t>Matrice</w:t>
      </w:r>
      <w:r>
        <w:rPr>
          <w:rFonts w:ascii="Times New Roman" w:hAnsi="Times New Roman"/>
          <w:color w:val="auto"/>
          <w:sz w:val="24"/>
          <w:szCs w:val="24"/>
        </w:rPr>
        <w:t>s</w:t>
      </w:r>
      <w:r w:rsidRPr="006B309F">
        <w:rPr>
          <w:rFonts w:ascii="Times New Roman" w:hAnsi="Times New Roman"/>
          <w:color w:val="auto"/>
          <w:sz w:val="24"/>
          <w:szCs w:val="24"/>
        </w:rPr>
        <w:t xml:space="preserve"> d’évaluation</w:t>
      </w:r>
      <w:bookmarkEnd w:id="163"/>
    </w:p>
    <w:p w14:paraId="5860953D" w14:textId="77777777" w:rsidR="00006C7E" w:rsidRPr="00006C7E" w:rsidRDefault="00006C7E" w:rsidP="00006C7E">
      <w:pPr>
        <w:spacing w:after="0" w:line="240" w:lineRule="auto"/>
        <w:rPr>
          <w:b/>
        </w:rPr>
      </w:pPr>
    </w:p>
    <w:tbl>
      <w:tblPr>
        <w:tblStyle w:val="Grilledutableau"/>
        <w:tblW w:w="16113" w:type="dxa"/>
        <w:tblInd w:w="-885" w:type="dxa"/>
        <w:tblLayout w:type="fixed"/>
        <w:tblLook w:val="04A0" w:firstRow="1" w:lastRow="0" w:firstColumn="1" w:lastColumn="0" w:noHBand="0" w:noVBand="1"/>
      </w:tblPr>
      <w:tblGrid>
        <w:gridCol w:w="627"/>
        <w:gridCol w:w="2459"/>
        <w:gridCol w:w="1080"/>
        <w:gridCol w:w="1080"/>
        <w:gridCol w:w="1134"/>
        <w:gridCol w:w="945"/>
        <w:gridCol w:w="2233"/>
        <w:gridCol w:w="1923"/>
        <w:gridCol w:w="2319"/>
        <w:gridCol w:w="2313"/>
      </w:tblGrid>
      <w:tr w:rsidR="00006C7E" w:rsidRPr="00721F7C" w14:paraId="16AA659A" w14:textId="77777777" w:rsidTr="00006C7E">
        <w:tc>
          <w:tcPr>
            <w:tcW w:w="16113" w:type="dxa"/>
            <w:gridSpan w:val="10"/>
            <w:shd w:val="clear" w:color="auto" w:fill="D9D9D9" w:themeFill="background1" w:themeFillShade="D9"/>
            <w:vAlign w:val="center"/>
          </w:tcPr>
          <w:p w14:paraId="0C4A3A47" w14:textId="77777777" w:rsidR="00006C7E" w:rsidRPr="00721F7C" w:rsidRDefault="00006C7E" w:rsidP="00006C7E">
            <w:pPr>
              <w:spacing w:after="0" w:line="240" w:lineRule="auto"/>
              <w:rPr>
                <w:b w:val="0"/>
                <w:u w:val="single"/>
              </w:rPr>
            </w:pPr>
            <w:r w:rsidRPr="00721F7C">
              <w:rPr>
                <w:b w:val="0"/>
                <w:u w:val="single"/>
              </w:rPr>
              <w:t>RESULTAT 1</w:t>
            </w:r>
          </w:p>
        </w:tc>
      </w:tr>
      <w:tr w:rsidR="00006C7E" w:rsidRPr="00721F7C" w14:paraId="75DF986A" w14:textId="77777777" w:rsidTr="00006C7E">
        <w:tc>
          <w:tcPr>
            <w:tcW w:w="16113" w:type="dxa"/>
            <w:gridSpan w:val="10"/>
            <w:shd w:val="clear" w:color="auto" w:fill="D9D9D9" w:themeFill="background1" w:themeFillShade="D9"/>
            <w:vAlign w:val="center"/>
          </w:tcPr>
          <w:p w14:paraId="22087414" w14:textId="77777777" w:rsidR="00006C7E" w:rsidRPr="00721F7C" w:rsidRDefault="00006C7E" w:rsidP="00006C7E">
            <w:pPr>
              <w:spacing w:after="0" w:line="240" w:lineRule="auto"/>
              <w:rPr>
                <w:b w:val="0"/>
                <w:u w:val="single"/>
              </w:rPr>
            </w:pPr>
            <w:r w:rsidRPr="00721F7C">
              <w:rPr>
                <w:b w:val="0"/>
                <w:u w:val="single"/>
              </w:rPr>
              <w:t>Effet PNUAD/CPD visé</w:t>
            </w:r>
          </w:p>
          <w:p w14:paraId="3959E068" w14:textId="77777777" w:rsidR="00006C7E" w:rsidRPr="00721F7C" w:rsidRDefault="00006C7E" w:rsidP="00006C7E">
            <w:pPr>
              <w:spacing w:after="0" w:line="240" w:lineRule="auto"/>
              <w:rPr>
                <w:b w:val="0"/>
                <w:u w:val="single"/>
              </w:rPr>
            </w:pPr>
            <w:r w:rsidRPr="00721F7C">
              <w:rPr>
                <w:b w:val="0"/>
                <w:u w:val="single"/>
              </w:rPr>
              <w:t>"D’ici à 2019, la cohésion sociale est facilitée par la justice transitionnelle, le dialogue entre communautés, la culture et l’éducation à la paix."</w:t>
            </w:r>
          </w:p>
          <w:p w14:paraId="4802D803" w14:textId="77777777" w:rsidR="00006C7E" w:rsidRPr="00721F7C" w:rsidRDefault="00006C7E" w:rsidP="00006C7E">
            <w:pPr>
              <w:spacing w:after="0" w:line="240" w:lineRule="auto"/>
              <w:rPr>
                <w:b w:val="0"/>
                <w:u w:val="single"/>
              </w:rPr>
            </w:pPr>
          </w:p>
          <w:p w14:paraId="3025C9F3" w14:textId="77777777" w:rsidR="00006C7E" w:rsidRPr="00721F7C" w:rsidRDefault="00006C7E" w:rsidP="00006C7E">
            <w:pPr>
              <w:spacing w:after="0" w:line="240" w:lineRule="auto"/>
              <w:rPr>
                <w:b w:val="0"/>
                <w:u w:val="single"/>
              </w:rPr>
            </w:pPr>
            <w:r w:rsidRPr="00721F7C">
              <w:rPr>
                <w:b w:val="0"/>
                <w:u w:val="single"/>
              </w:rPr>
              <w:t xml:space="preserve">Priorité ou objectif national : </w:t>
            </w:r>
            <w:r w:rsidRPr="00721F7C">
              <w:rPr>
                <w:b w:val="0"/>
              </w:rPr>
              <w:t>Mettre en œuvre une politique active de réconciliation nationale</w:t>
            </w:r>
          </w:p>
          <w:p w14:paraId="34C14778" w14:textId="77777777" w:rsidR="00006C7E" w:rsidRPr="00721F7C" w:rsidRDefault="00006C7E" w:rsidP="00006C7E">
            <w:pPr>
              <w:spacing w:after="0" w:line="240" w:lineRule="auto"/>
              <w:rPr>
                <w:b w:val="0"/>
                <w:u w:val="single"/>
              </w:rPr>
            </w:pPr>
            <w:r w:rsidRPr="00721F7C">
              <w:rPr>
                <w:b w:val="0"/>
              </w:rPr>
              <w:t>Résultat correspondant dans le plan stratégique 2014-2017 : 2) Il est répondu aux attentes des citoyens, notamment en matière de liberté d’expression, de développement, de primauté du droit et de redevabilité, grâce à des systèmes plus solides de gouvernance démocratique.</w:t>
            </w:r>
          </w:p>
        </w:tc>
      </w:tr>
      <w:tr w:rsidR="00006C7E" w:rsidRPr="00721F7C" w14:paraId="323558FB" w14:textId="77777777" w:rsidTr="00006C7E">
        <w:tc>
          <w:tcPr>
            <w:tcW w:w="5246" w:type="dxa"/>
            <w:gridSpan w:val="4"/>
            <w:shd w:val="clear" w:color="auto" w:fill="D9D9D9" w:themeFill="background1" w:themeFillShade="D9"/>
            <w:vAlign w:val="center"/>
          </w:tcPr>
          <w:p w14:paraId="1DE701D6" w14:textId="77777777" w:rsidR="00006C7E" w:rsidRPr="00721F7C" w:rsidRDefault="00006C7E" w:rsidP="00006C7E">
            <w:pPr>
              <w:spacing w:after="0" w:line="240" w:lineRule="auto"/>
              <w:rPr>
                <w:b w:val="0"/>
              </w:rPr>
            </w:pPr>
            <w:r w:rsidRPr="00721F7C">
              <w:rPr>
                <w:b w:val="0"/>
              </w:rPr>
              <w:t>Indicateurs de résultat</w:t>
            </w:r>
          </w:p>
        </w:tc>
        <w:tc>
          <w:tcPr>
            <w:tcW w:w="4312" w:type="dxa"/>
            <w:gridSpan w:val="3"/>
            <w:shd w:val="clear" w:color="auto" w:fill="D9D9D9" w:themeFill="background1" w:themeFillShade="D9"/>
            <w:vAlign w:val="center"/>
          </w:tcPr>
          <w:p w14:paraId="423E34CD" w14:textId="77777777" w:rsidR="00006C7E" w:rsidRPr="00721F7C" w:rsidRDefault="00006C7E" w:rsidP="00006C7E">
            <w:pPr>
              <w:spacing w:after="0" w:line="240" w:lineRule="auto"/>
              <w:rPr>
                <w:b w:val="0"/>
              </w:rPr>
            </w:pPr>
            <w:r w:rsidRPr="00721F7C">
              <w:rPr>
                <w:b w:val="0"/>
              </w:rPr>
              <w:t>Référence</w:t>
            </w:r>
          </w:p>
        </w:tc>
        <w:tc>
          <w:tcPr>
            <w:tcW w:w="4242" w:type="dxa"/>
            <w:gridSpan w:val="2"/>
            <w:shd w:val="clear" w:color="auto" w:fill="D9D9D9" w:themeFill="background1" w:themeFillShade="D9"/>
            <w:vAlign w:val="center"/>
          </w:tcPr>
          <w:p w14:paraId="677C6FF1" w14:textId="77777777" w:rsidR="00006C7E" w:rsidRPr="00721F7C" w:rsidRDefault="00006C7E" w:rsidP="00006C7E">
            <w:pPr>
              <w:spacing w:after="0" w:line="240" w:lineRule="auto"/>
              <w:rPr>
                <w:b w:val="0"/>
              </w:rPr>
            </w:pPr>
            <w:r w:rsidRPr="00721F7C">
              <w:rPr>
                <w:b w:val="0"/>
              </w:rPr>
              <w:t>Cibles</w:t>
            </w:r>
          </w:p>
        </w:tc>
        <w:tc>
          <w:tcPr>
            <w:tcW w:w="2313" w:type="dxa"/>
            <w:shd w:val="clear" w:color="auto" w:fill="D9D9D9" w:themeFill="background1" w:themeFillShade="D9"/>
            <w:vAlign w:val="center"/>
          </w:tcPr>
          <w:p w14:paraId="2BDF57BB" w14:textId="77777777" w:rsidR="00006C7E" w:rsidRPr="00721F7C" w:rsidRDefault="00006C7E" w:rsidP="00006C7E">
            <w:pPr>
              <w:spacing w:after="0" w:line="240" w:lineRule="auto"/>
              <w:rPr>
                <w:b w:val="0"/>
              </w:rPr>
            </w:pPr>
            <w:r w:rsidRPr="00721F7C">
              <w:rPr>
                <w:b w:val="0"/>
              </w:rPr>
              <w:t>Observation</w:t>
            </w:r>
          </w:p>
        </w:tc>
      </w:tr>
      <w:tr w:rsidR="00006C7E" w:rsidRPr="00721F7C" w14:paraId="4B770760" w14:textId="77777777" w:rsidTr="00006C7E">
        <w:tc>
          <w:tcPr>
            <w:tcW w:w="5246" w:type="dxa"/>
            <w:gridSpan w:val="4"/>
            <w:shd w:val="clear" w:color="auto" w:fill="D9D9D9" w:themeFill="background1" w:themeFillShade="D9"/>
            <w:vAlign w:val="center"/>
          </w:tcPr>
          <w:p w14:paraId="43A369ED" w14:textId="77777777" w:rsidR="00006C7E" w:rsidRPr="00721F7C" w:rsidRDefault="00006C7E" w:rsidP="00006C7E">
            <w:pPr>
              <w:spacing w:after="0" w:line="240" w:lineRule="auto"/>
              <w:rPr>
                <w:b w:val="0"/>
              </w:rPr>
            </w:pPr>
            <w:r w:rsidRPr="00721F7C">
              <w:rPr>
                <w:b w:val="0"/>
              </w:rPr>
              <w:t>Nombre de cas d’insécurité dans le nord (en rapport avec le conflit armé, le terrorisme, la criminalité et la guerre, par région)</w:t>
            </w:r>
          </w:p>
        </w:tc>
        <w:tc>
          <w:tcPr>
            <w:tcW w:w="4312" w:type="dxa"/>
            <w:gridSpan w:val="3"/>
            <w:shd w:val="clear" w:color="auto" w:fill="D9D9D9" w:themeFill="background1" w:themeFillShade="D9"/>
            <w:vAlign w:val="center"/>
          </w:tcPr>
          <w:p w14:paraId="6F2393A5" w14:textId="77777777" w:rsidR="00006C7E" w:rsidRPr="00721F7C" w:rsidRDefault="00006C7E" w:rsidP="00006C7E">
            <w:pPr>
              <w:spacing w:after="0" w:line="240" w:lineRule="auto"/>
              <w:rPr>
                <w:b w:val="0"/>
              </w:rPr>
            </w:pPr>
            <w:r w:rsidRPr="00721F7C">
              <w:rPr>
                <w:b w:val="0"/>
              </w:rPr>
              <w:t>Conflit ouvert et actes terroristes (2013)</w:t>
            </w:r>
          </w:p>
        </w:tc>
        <w:tc>
          <w:tcPr>
            <w:tcW w:w="4242" w:type="dxa"/>
            <w:gridSpan w:val="2"/>
            <w:shd w:val="clear" w:color="auto" w:fill="D9D9D9" w:themeFill="background1" w:themeFillShade="D9"/>
            <w:vAlign w:val="center"/>
          </w:tcPr>
          <w:p w14:paraId="42E40605" w14:textId="77777777" w:rsidR="00006C7E" w:rsidRPr="00721F7C" w:rsidRDefault="00006C7E" w:rsidP="00006C7E">
            <w:pPr>
              <w:spacing w:after="0" w:line="240" w:lineRule="auto"/>
              <w:rPr>
                <w:b w:val="0"/>
              </w:rPr>
            </w:pPr>
            <w:r w:rsidRPr="00721F7C">
              <w:rPr>
                <w:b w:val="0"/>
              </w:rPr>
              <w:t>Objectif en 2019: stabilisation et réconciliation</w:t>
            </w:r>
          </w:p>
        </w:tc>
        <w:tc>
          <w:tcPr>
            <w:tcW w:w="2313" w:type="dxa"/>
            <w:shd w:val="clear" w:color="auto" w:fill="D9D9D9" w:themeFill="background1" w:themeFillShade="D9"/>
            <w:vAlign w:val="center"/>
          </w:tcPr>
          <w:p w14:paraId="40C7C901" w14:textId="77777777" w:rsidR="00006C7E" w:rsidRPr="00721F7C" w:rsidRDefault="00006C7E" w:rsidP="00006C7E">
            <w:pPr>
              <w:spacing w:after="0" w:line="240" w:lineRule="auto"/>
              <w:rPr>
                <w:b w:val="0"/>
              </w:rPr>
            </w:pPr>
          </w:p>
        </w:tc>
      </w:tr>
      <w:tr w:rsidR="00006C7E" w:rsidRPr="00721F7C" w14:paraId="134B8A6F" w14:textId="77777777" w:rsidTr="00006C7E">
        <w:tc>
          <w:tcPr>
            <w:tcW w:w="5246" w:type="dxa"/>
            <w:gridSpan w:val="4"/>
            <w:shd w:val="clear" w:color="auto" w:fill="D9D9D9" w:themeFill="background1" w:themeFillShade="D9"/>
            <w:vAlign w:val="center"/>
          </w:tcPr>
          <w:p w14:paraId="3062C9D0" w14:textId="77777777" w:rsidR="00006C7E" w:rsidRPr="00721F7C" w:rsidRDefault="00006C7E" w:rsidP="00006C7E">
            <w:pPr>
              <w:spacing w:after="0" w:line="240" w:lineRule="auto"/>
              <w:rPr>
                <w:b w:val="0"/>
              </w:rPr>
            </w:pPr>
            <w:r w:rsidRPr="00721F7C">
              <w:rPr>
                <w:b w:val="0"/>
              </w:rPr>
              <w:t>Degré de mise en œuvre de l’accord général de paix</w:t>
            </w:r>
          </w:p>
        </w:tc>
        <w:tc>
          <w:tcPr>
            <w:tcW w:w="4312" w:type="dxa"/>
            <w:gridSpan w:val="3"/>
            <w:shd w:val="clear" w:color="auto" w:fill="D9D9D9" w:themeFill="background1" w:themeFillShade="D9"/>
            <w:vAlign w:val="center"/>
          </w:tcPr>
          <w:p w14:paraId="58E50588" w14:textId="77777777" w:rsidR="00006C7E" w:rsidRPr="00721F7C" w:rsidRDefault="00006C7E" w:rsidP="00006C7E">
            <w:pPr>
              <w:spacing w:after="0" w:line="240" w:lineRule="auto"/>
              <w:rPr>
                <w:b w:val="0"/>
              </w:rPr>
            </w:pPr>
            <w:r w:rsidRPr="00721F7C">
              <w:rPr>
                <w:b w:val="0"/>
              </w:rPr>
              <w:t>Non disponible</w:t>
            </w:r>
          </w:p>
        </w:tc>
        <w:tc>
          <w:tcPr>
            <w:tcW w:w="4242" w:type="dxa"/>
            <w:gridSpan w:val="2"/>
            <w:shd w:val="clear" w:color="auto" w:fill="D9D9D9" w:themeFill="background1" w:themeFillShade="D9"/>
            <w:vAlign w:val="center"/>
          </w:tcPr>
          <w:p w14:paraId="65120B7E" w14:textId="77777777" w:rsidR="00006C7E" w:rsidRPr="00721F7C" w:rsidRDefault="00006C7E" w:rsidP="00006C7E">
            <w:pPr>
              <w:spacing w:after="0" w:line="240" w:lineRule="auto"/>
              <w:rPr>
                <w:b w:val="0"/>
              </w:rPr>
            </w:pPr>
            <w:r w:rsidRPr="00721F7C">
              <w:rPr>
                <w:b w:val="0"/>
              </w:rPr>
              <w:t>A déterminer</w:t>
            </w:r>
          </w:p>
        </w:tc>
        <w:tc>
          <w:tcPr>
            <w:tcW w:w="2313" w:type="dxa"/>
            <w:shd w:val="clear" w:color="auto" w:fill="D9D9D9" w:themeFill="background1" w:themeFillShade="D9"/>
            <w:vAlign w:val="center"/>
          </w:tcPr>
          <w:p w14:paraId="004FDFDB" w14:textId="77777777" w:rsidR="00006C7E" w:rsidRPr="00721F7C" w:rsidRDefault="00006C7E" w:rsidP="00006C7E">
            <w:pPr>
              <w:spacing w:after="0" w:line="240" w:lineRule="auto"/>
              <w:rPr>
                <w:b w:val="0"/>
              </w:rPr>
            </w:pPr>
          </w:p>
        </w:tc>
      </w:tr>
      <w:tr w:rsidR="00006C7E" w:rsidRPr="00721F7C" w14:paraId="72108BB1" w14:textId="77777777" w:rsidTr="00006C7E">
        <w:tc>
          <w:tcPr>
            <w:tcW w:w="5246" w:type="dxa"/>
            <w:gridSpan w:val="4"/>
            <w:shd w:val="clear" w:color="auto" w:fill="D9D9D9" w:themeFill="background1" w:themeFillShade="D9"/>
            <w:vAlign w:val="center"/>
          </w:tcPr>
          <w:p w14:paraId="540A8ECE" w14:textId="77777777" w:rsidR="00006C7E" w:rsidRPr="00721F7C" w:rsidRDefault="00006C7E" w:rsidP="00006C7E">
            <w:pPr>
              <w:spacing w:after="0" w:line="240" w:lineRule="auto"/>
              <w:rPr>
                <w:b w:val="0"/>
              </w:rPr>
            </w:pPr>
            <w:r w:rsidRPr="00721F7C">
              <w:rPr>
                <w:b w:val="0"/>
              </w:rPr>
              <w:t>Nombre de violations du droit international humanitaire et des droits fondamentaux en rapport avec le conflit</w:t>
            </w:r>
          </w:p>
        </w:tc>
        <w:tc>
          <w:tcPr>
            <w:tcW w:w="4312" w:type="dxa"/>
            <w:gridSpan w:val="3"/>
            <w:shd w:val="clear" w:color="auto" w:fill="D9D9D9" w:themeFill="background1" w:themeFillShade="D9"/>
            <w:vAlign w:val="center"/>
          </w:tcPr>
          <w:p w14:paraId="34154BCF" w14:textId="77777777" w:rsidR="00006C7E" w:rsidRPr="00721F7C" w:rsidRDefault="00006C7E" w:rsidP="00006C7E">
            <w:pPr>
              <w:spacing w:after="0" w:line="240" w:lineRule="auto"/>
              <w:rPr>
                <w:b w:val="0"/>
              </w:rPr>
            </w:pPr>
            <w:r w:rsidRPr="00721F7C">
              <w:rPr>
                <w:b w:val="0"/>
              </w:rPr>
              <w:t>2012 et 2014: 112</w:t>
            </w:r>
          </w:p>
        </w:tc>
        <w:tc>
          <w:tcPr>
            <w:tcW w:w="4242" w:type="dxa"/>
            <w:gridSpan w:val="2"/>
            <w:shd w:val="clear" w:color="auto" w:fill="D9D9D9" w:themeFill="background1" w:themeFillShade="D9"/>
            <w:vAlign w:val="center"/>
          </w:tcPr>
          <w:p w14:paraId="300A217C" w14:textId="77777777" w:rsidR="00006C7E" w:rsidRPr="00721F7C" w:rsidRDefault="00006C7E" w:rsidP="00006C7E">
            <w:pPr>
              <w:spacing w:after="0" w:line="240" w:lineRule="auto"/>
              <w:rPr>
                <w:b w:val="0"/>
              </w:rPr>
            </w:pPr>
            <w:r w:rsidRPr="00721F7C">
              <w:rPr>
                <w:b w:val="0"/>
              </w:rPr>
              <w:t>0</w:t>
            </w:r>
          </w:p>
        </w:tc>
        <w:tc>
          <w:tcPr>
            <w:tcW w:w="2313" w:type="dxa"/>
            <w:shd w:val="clear" w:color="auto" w:fill="D9D9D9" w:themeFill="background1" w:themeFillShade="D9"/>
            <w:vAlign w:val="center"/>
          </w:tcPr>
          <w:p w14:paraId="0FB3715C" w14:textId="77777777" w:rsidR="00006C7E" w:rsidRPr="00721F7C" w:rsidRDefault="00006C7E" w:rsidP="00006C7E">
            <w:pPr>
              <w:spacing w:after="0" w:line="240" w:lineRule="auto"/>
              <w:rPr>
                <w:b w:val="0"/>
              </w:rPr>
            </w:pPr>
          </w:p>
        </w:tc>
      </w:tr>
      <w:tr w:rsidR="00006C7E" w:rsidRPr="00721F7C" w14:paraId="7AB9D6FB" w14:textId="77777777" w:rsidTr="00006C7E">
        <w:tc>
          <w:tcPr>
            <w:tcW w:w="5246" w:type="dxa"/>
            <w:gridSpan w:val="4"/>
            <w:shd w:val="clear" w:color="auto" w:fill="D9D9D9" w:themeFill="background1" w:themeFillShade="D9"/>
            <w:vAlign w:val="center"/>
          </w:tcPr>
          <w:p w14:paraId="7FCC0B1F" w14:textId="77777777" w:rsidR="00006C7E" w:rsidRPr="00721F7C" w:rsidRDefault="00006C7E" w:rsidP="00006C7E">
            <w:pPr>
              <w:spacing w:after="0" w:line="240" w:lineRule="auto"/>
              <w:rPr>
                <w:b w:val="0"/>
              </w:rPr>
            </w:pPr>
            <w:r w:rsidRPr="00721F7C">
              <w:rPr>
                <w:b w:val="0"/>
              </w:rPr>
              <w:t>Nombre d’incidents impliquant une violation grave des droits des enfants touchés par un conflit armé</w:t>
            </w:r>
          </w:p>
        </w:tc>
        <w:tc>
          <w:tcPr>
            <w:tcW w:w="4312" w:type="dxa"/>
            <w:gridSpan w:val="3"/>
            <w:shd w:val="clear" w:color="auto" w:fill="D9D9D9" w:themeFill="background1" w:themeFillShade="D9"/>
            <w:vAlign w:val="center"/>
          </w:tcPr>
          <w:p w14:paraId="51D38DFC" w14:textId="77777777" w:rsidR="00006C7E" w:rsidRPr="00721F7C" w:rsidRDefault="00006C7E" w:rsidP="00006C7E">
            <w:pPr>
              <w:spacing w:after="0" w:line="240" w:lineRule="auto"/>
              <w:rPr>
                <w:b w:val="0"/>
              </w:rPr>
            </w:pPr>
            <w:r w:rsidRPr="00721F7C">
              <w:rPr>
                <w:b w:val="0"/>
              </w:rPr>
              <w:t>32</w:t>
            </w:r>
          </w:p>
        </w:tc>
        <w:tc>
          <w:tcPr>
            <w:tcW w:w="4242" w:type="dxa"/>
            <w:gridSpan w:val="2"/>
            <w:shd w:val="clear" w:color="auto" w:fill="D9D9D9" w:themeFill="background1" w:themeFillShade="D9"/>
            <w:vAlign w:val="center"/>
          </w:tcPr>
          <w:p w14:paraId="3BFAE1C7" w14:textId="77777777" w:rsidR="00006C7E" w:rsidRPr="00721F7C" w:rsidRDefault="00006C7E" w:rsidP="00006C7E">
            <w:pPr>
              <w:spacing w:after="0" w:line="240" w:lineRule="auto"/>
              <w:rPr>
                <w:b w:val="0"/>
              </w:rPr>
            </w:pPr>
            <w:r w:rsidRPr="00721F7C">
              <w:rPr>
                <w:b w:val="0"/>
              </w:rPr>
              <w:t>0</w:t>
            </w:r>
          </w:p>
        </w:tc>
        <w:tc>
          <w:tcPr>
            <w:tcW w:w="2313" w:type="dxa"/>
            <w:shd w:val="clear" w:color="auto" w:fill="D9D9D9" w:themeFill="background1" w:themeFillShade="D9"/>
            <w:vAlign w:val="center"/>
          </w:tcPr>
          <w:p w14:paraId="22B451FB" w14:textId="77777777" w:rsidR="00006C7E" w:rsidRPr="00721F7C" w:rsidRDefault="00006C7E" w:rsidP="00006C7E">
            <w:pPr>
              <w:spacing w:after="0" w:line="240" w:lineRule="auto"/>
              <w:rPr>
                <w:b w:val="0"/>
              </w:rPr>
            </w:pPr>
          </w:p>
        </w:tc>
      </w:tr>
      <w:tr w:rsidR="00006C7E" w:rsidRPr="00721F7C" w14:paraId="2B2C9D2C" w14:textId="77777777" w:rsidTr="00006C7E">
        <w:tc>
          <w:tcPr>
            <w:tcW w:w="5246" w:type="dxa"/>
            <w:gridSpan w:val="4"/>
            <w:shd w:val="clear" w:color="auto" w:fill="D9D9D9" w:themeFill="background1" w:themeFillShade="D9"/>
            <w:vAlign w:val="center"/>
          </w:tcPr>
          <w:p w14:paraId="4679625B" w14:textId="77777777" w:rsidR="00006C7E" w:rsidRPr="00721F7C" w:rsidRDefault="00006C7E" w:rsidP="00006C7E">
            <w:pPr>
              <w:spacing w:after="0" w:line="240" w:lineRule="auto"/>
              <w:rPr>
                <w:b w:val="0"/>
              </w:rPr>
            </w:pPr>
            <w:r w:rsidRPr="00721F7C">
              <w:rPr>
                <w:b w:val="0"/>
              </w:rPr>
              <w:t>Nombre de réfugiés et de personnes déplacées à l’intérieur du pays (ventilé par statut de réfugié et de personne déplacée et par région)</w:t>
            </w:r>
          </w:p>
        </w:tc>
        <w:tc>
          <w:tcPr>
            <w:tcW w:w="4312" w:type="dxa"/>
            <w:gridSpan w:val="3"/>
            <w:shd w:val="clear" w:color="auto" w:fill="D9D9D9" w:themeFill="background1" w:themeFillShade="D9"/>
            <w:vAlign w:val="center"/>
          </w:tcPr>
          <w:p w14:paraId="39BF0A9C" w14:textId="77777777" w:rsidR="00006C7E" w:rsidRPr="00721F7C" w:rsidRDefault="00006C7E" w:rsidP="00006C7E">
            <w:pPr>
              <w:spacing w:after="0" w:line="240" w:lineRule="auto"/>
              <w:rPr>
                <w:b w:val="0"/>
              </w:rPr>
            </w:pPr>
            <w:r w:rsidRPr="00721F7C">
              <w:rPr>
                <w:b w:val="0"/>
              </w:rPr>
              <w:t>140 033 réfugiés et</w:t>
            </w:r>
          </w:p>
          <w:p w14:paraId="7106DC6F" w14:textId="77777777" w:rsidR="00006C7E" w:rsidRPr="00721F7C" w:rsidRDefault="00006C7E" w:rsidP="00006C7E">
            <w:pPr>
              <w:spacing w:after="0" w:line="240" w:lineRule="auto"/>
              <w:rPr>
                <w:b w:val="0"/>
              </w:rPr>
            </w:pPr>
            <w:r w:rsidRPr="00721F7C">
              <w:rPr>
                <w:b w:val="0"/>
              </w:rPr>
              <w:t>126 249 personnes déplacées (en</w:t>
            </w:r>
          </w:p>
          <w:p w14:paraId="2F437F64" w14:textId="77777777" w:rsidR="00006C7E" w:rsidRPr="00721F7C" w:rsidRDefault="00006C7E" w:rsidP="00006C7E">
            <w:pPr>
              <w:spacing w:after="0" w:line="240" w:lineRule="auto"/>
              <w:rPr>
                <w:b w:val="0"/>
              </w:rPr>
            </w:pPr>
            <w:r w:rsidRPr="00721F7C">
              <w:rPr>
                <w:b w:val="0"/>
              </w:rPr>
              <w:t>date du 31</w:t>
            </w:r>
            <w:r w:rsidRPr="00721F7C">
              <w:rPr>
                <w:b w:val="0"/>
                <w:vertAlign w:val="superscript"/>
              </w:rPr>
              <w:t>er</w:t>
            </w:r>
            <w:r w:rsidRPr="00721F7C">
              <w:rPr>
                <w:b w:val="0"/>
              </w:rPr>
              <w:t xml:space="preserve">  juillet 2014)</w:t>
            </w:r>
          </w:p>
        </w:tc>
        <w:tc>
          <w:tcPr>
            <w:tcW w:w="4242" w:type="dxa"/>
            <w:gridSpan w:val="2"/>
            <w:shd w:val="clear" w:color="auto" w:fill="D9D9D9" w:themeFill="background1" w:themeFillShade="D9"/>
            <w:vAlign w:val="center"/>
          </w:tcPr>
          <w:p w14:paraId="4B7AFCEA" w14:textId="77777777" w:rsidR="00006C7E" w:rsidRPr="00721F7C" w:rsidRDefault="00006C7E" w:rsidP="00006C7E">
            <w:pPr>
              <w:spacing w:after="0" w:line="240" w:lineRule="auto"/>
              <w:rPr>
                <w:b w:val="0"/>
              </w:rPr>
            </w:pPr>
            <w:r w:rsidRPr="00721F7C">
              <w:rPr>
                <w:b w:val="0"/>
              </w:rPr>
              <w:t>0</w:t>
            </w:r>
          </w:p>
        </w:tc>
        <w:tc>
          <w:tcPr>
            <w:tcW w:w="2313" w:type="dxa"/>
            <w:shd w:val="clear" w:color="auto" w:fill="D9D9D9" w:themeFill="background1" w:themeFillShade="D9"/>
            <w:vAlign w:val="center"/>
          </w:tcPr>
          <w:p w14:paraId="484571D4" w14:textId="77777777" w:rsidR="00006C7E" w:rsidRPr="00721F7C" w:rsidRDefault="00006C7E" w:rsidP="00006C7E">
            <w:pPr>
              <w:spacing w:after="0" w:line="240" w:lineRule="auto"/>
              <w:rPr>
                <w:b w:val="0"/>
              </w:rPr>
            </w:pPr>
          </w:p>
        </w:tc>
      </w:tr>
      <w:tr w:rsidR="00006C7E" w:rsidRPr="00721F7C" w14:paraId="04870479" w14:textId="77777777" w:rsidTr="00006C7E">
        <w:trPr>
          <w:trHeight w:val="286"/>
        </w:trPr>
        <w:tc>
          <w:tcPr>
            <w:tcW w:w="627" w:type="dxa"/>
            <w:vMerge w:val="restart"/>
            <w:shd w:val="clear" w:color="auto" w:fill="D9D9D9" w:themeFill="background1" w:themeFillShade="D9"/>
            <w:vAlign w:val="center"/>
          </w:tcPr>
          <w:p w14:paraId="69965B93" w14:textId="77777777" w:rsidR="00006C7E" w:rsidRPr="00721F7C" w:rsidRDefault="00006C7E" w:rsidP="00006C7E">
            <w:pPr>
              <w:spacing w:after="0" w:line="240" w:lineRule="auto"/>
              <w:rPr>
                <w:b w:val="0"/>
              </w:rPr>
            </w:pPr>
            <w:r w:rsidRPr="00721F7C">
              <w:rPr>
                <w:b w:val="0"/>
              </w:rPr>
              <w:t>N°</w:t>
            </w:r>
          </w:p>
        </w:tc>
        <w:tc>
          <w:tcPr>
            <w:tcW w:w="2459" w:type="dxa"/>
            <w:vMerge w:val="restart"/>
            <w:shd w:val="clear" w:color="auto" w:fill="D9D9D9" w:themeFill="background1" w:themeFillShade="D9"/>
            <w:vAlign w:val="center"/>
          </w:tcPr>
          <w:p w14:paraId="48441841" w14:textId="77777777" w:rsidR="00006C7E" w:rsidRPr="00721F7C" w:rsidRDefault="00006C7E" w:rsidP="00006C7E">
            <w:pPr>
              <w:spacing w:after="0" w:line="240" w:lineRule="auto"/>
              <w:rPr>
                <w:b w:val="0"/>
              </w:rPr>
            </w:pPr>
            <w:r w:rsidRPr="00721F7C">
              <w:rPr>
                <w:b w:val="0"/>
              </w:rPr>
              <w:t>Produits à livrer et indicateurs</w:t>
            </w:r>
          </w:p>
          <w:p w14:paraId="77634722" w14:textId="77777777" w:rsidR="00006C7E" w:rsidRPr="00721F7C" w:rsidRDefault="00006C7E" w:rsidP="00006C7E">
            <w:pPr>
              <w:spacing w:after="0" w:line="240" w:lineRule="auto"/>
              <w:rPr>
                <w:b w:val="0"/>
              </w:rPr>
            </w:pPr>
            <w:r w:rsidRPr="00721F7C">
              <w:rPr>
                <w:b w:val="0"/>
              </w:rPr>
              <w:t>(Base cadre logique)</w:t>
            </w:r>
          </w:p>
        </w:tc>
        <w:tc>
          <w:tcPr>
            <w:tcW w:w="4239" w:type="dxa"/>
            <w:gridSpan w:val="4"/>
            <w:shd w:val="clear" w:color="auto" w:fill="D9D9D9" w:themeFill="background1" w:themeFillShade="D9"/>
            <w:vAlign w:val="center"/>
          </w:tcPr>
          <w:p w14:paraId="36ACD52B" w14:textId="77777777" w:rsidR="00006C7E" w:rsidRPr="00721F7C" w:rsidRDefault="00006C7E" w:rsidP="00006C7E">
            <w:pPr>
              <w:spacing w:after="0" w:line="240" w:lineRule="auto"/>
              <w:rPr>
                <w:b w:val="0"/>
              </w:rPr>
            </w:pPr>
            <w:r w:rsidRPr="00721F7C">
              <w:rPr>
                <w:b w:val="0"/>
              </w:rPr>
              <w:t>Indicateurs</w:t>
            </w:r>
          </w:p>
        </w:tc>
        <w:tc>
          <w:tcPr>
            <w:tcW w:w="2233" w:type="dxa"/>
            <w:vMerge w:val="restart"/>
            <w:shd w:val="clear" w:color="auto" w:fill="D9D9D9" w:themeFill="background1" w:themeFillShade="D9"/>
            <w:vAlign w:val="center"/>
          </w:tcPr>
          <w:p w14:paraId="1F7AA92A" w14:textId="77777777" w:rsidR="00006C7E" w:rsidRPr="00721F7C" w:rsidRDefault="00006C7E" w:rsidP="00006C7E">
            <w:pPr>
              <w:spacing w:after="0" w:line="240" w:lineRule="auto"/>
              <w:rPr>
                <w:b w:val="0"/>
              </w:rPr>
            </w:pPr>
            <w:r w:rsidRPr="00721F7C">
              <w:rPr>
                <w:b w:val="0"/>
              </w:rPr>
              <w:t>Source</w:t>
            </w:r>
          </w:p>
        </w:tc>
        <w:tc>
          <w:tcPr>
            <w:tcW w:w="1923" w:type="dxa"/>
            <w:vMerge w:val="restart"/>
            <w:shd w:val="clear" w:color="auto" w:fill="D9D9D9" w:themeFill="background1" w:themeFillShade="D9"/>
            <w:vAlign w:val="center"/>
          </w:tcPr>
          <w:p w14:paraId="3FB8823B" w14:textId="77777777" w:rsidR="00006C7E" w:rsidRPr="00721F7C" w:rsidRDefault="00006C7E" w:rsidP="00006C7E">
            <w:pPr>
              <w:spacing w:after="0" w:line="240" w:lineRule="auto"/>
              <w:rPr>
                <w:b w:val="0"/>
              </w:rPr>
            </w:pPr>
            <w:r w:rsidRPr="00721F7C">
              <w:rPr>
                <w:b w:val="0"/>
              </w:rPr>
              <w:t>Hypothèse</w:t>
            </w:r>
          </w:p>
        </w:tc>
        <w:tc>
          <w:tcPr>
            <w:tcW w:w="2319" w:type="dxa"/>
            <w:vMerge w:val="restart"/>
            <w:shd w:val="clear" w:color="auto" w:fill="D9D9D9" w:themeFill="background1" w:themeFillShade="D9"/>
            <w:vAlign w:val="center"/>
          </w:tcPr>
          <w:p w14:paraId="2468E056" w14:textId="77777777" w:rsidR="00006C7E" w:rsidRPr="00721F7C" w:rsidRDefault="00006C7E" w:rsidP="00006C7E">
            <w:pPr>
              <w:spacing w:after="0" w:line="240" w:lineRule="auto"/>
              <w:rPr>
                <w:b w:val="0"/>
              </w:rPr>
            </w:pPr>
            <w:r w:rsidRPr="00721F7C">
              <w:rPr>
                <w:b w:val="0"/>
              </w:rPr>
              <w:t>Alternative</w:t>
            </w:r>
          </w:p>
          <w:p w14:paraId="667300FB" w14:textId="77777777" w:rsidR="00006C7E" w:rsidRPr="00721F7C" w:rsidRDefault="00006C7E" w:rsidP="00006C7E">
            <w:pPr>
              <w:spacing w:after="0" w:line="240" w:lineRule="auto"/>
              <w:rPr>
                <w:b w:val="0"/>
              </w:rPr>
            </w:pPr>
            <w:r w:rsidRPr="00721F7C">
              <w:rPr>
                <w:b w:val="0"/>
              </w:rPr>
              <w:t>(si hypothèse ci-contre non réalisée)</w:t>
            </w:r>
          </w:p>
        </w:tc>
        <w:tc>
          <w:tcPr>
            <w:tcW w:w="2313" w:type="dxa"/>
            <w:vMerge w:val="restart"/>
            <w:shd w:val="clear" w:color="auto" w:fill="D9D9D9" w:themeFill="background1" w:themeFillShade="D9"/>
            <w:vAlign w:val="center"/>
          </w:tcPr>
          <w:p w14:paraId="64F990CC" w14:textId="77777777" w:rsidR="00006C7E" w:rsidRPr="00721F7C" w:rsidRDefault="00006C7E" w:rsidP="00006C7E">
            <w:pPr>
              <w:spacing w:after="0" w:line="240" w:lineRule="auto"/>
              <w:rPr>
                <w:b w:val="0"/>
              </w:rPr>
            </w:pPr>
            <w:r w:rsidRPr="00721F7C">
              <w:rPr>
                <w:b w:val="0"/>
              </w:rPr>
              <w:t>Justification</w:t>
            </w:r>
          </w:p>
          <w:p w14:paraId="5534C65D" w14:textId="77777777" w:rsidR="00006C7E" w:rsidRPr="00721F7C" w:rsidRDefault="00006C7E" w:rsidP="00006C7E">
            <w:pPr>
              <w:spacing w:after="0" w:line="240" w:lineRule="auto"/>
              <w:rPr>
                <w:b w:val="0"/>
              </w:rPr>
            </w:pPr>
            <w:r w:rsidRPr="00721F7C">
              <w:rPr>
                <w:b w:val="0"/>
              </w:rPr>
              <w:t>Observation</w:t>
            </w:r>
          </w:p>
          <w:p w14:paraId="64AAB8F9" w14:textId="77777777" w:rsidR="00006C7E" w:rsidRPr="00721F7C" w:rsidRDefault="00006C7E" w:rsidP="00006C7E">
            <w:pPr>
              <w:spacing w:after="0" w:line="240" w:lineRule="auto"/>
              <w:rPr>
                <w:b w:val="0"/>
              </w:rPr>
            </w:pPr>
            <w:r w:rsidRPr="00721F7C">
              <w:rPr>
                <w:b w:val="0"/>
              </w:rPr>
              <w:t>Commentaire</w:t>
            </w:r>
          </w:p>
        </w:tc>
      </w:tr>
      <w:tr w:rsidR="00006C7E" w:rsidRPr="00721F7C" w14:paraId="28CDC1E1" w14:textId="77777777" w:rsidTr="00006C7E">
        <w:trPr>
          <w:trHeight w:val="285"/>
        </w:trPr>
        <w:tc>
          <w:tcPr>
            <w:tcW w:w="627" w:type="dxa"/>
            <w:vMerge/>
            <w:shd w:val="clear" w:color="auto" w:fill="D9D9D9" w:themeFill="background1" w:themeFillShade="D9"/>
            <w:vAlign w:val="center"/>
          </w:tcPr>
          <w:p w14:paraId="4AC34B88" w14:textId="77777777" w:rsidR="00006C7E" w:rsidRPr="00721F7C" w:rsidRDefault="00006C7E" w:rsidP="00006C7E">
            <w:pPr>
              <w:spacing w:after="0" w:line="240" w:lineRule="auto"/>
              <w:rPr>
                <w:b w:val="0"/>
              </w:rPr>
            </w:pPr>
          </w:p>
        </w:tc>
        <w:tc>
          <w:tcPr>
            <w:tcW w:w="2459" w:type="dxa"/>
            <w:vMerge/>
            <w:shd w:val="clear" w:color="auto" w:fill="D9D9D9" w:themeFill="background1" w:themeFillShade="D9"/>
            <w:vAlign w:val="center"/>
          </w:tcPr>
          <w:p w14:paraId="41357560" w14:textId="77777777" w:rsidR="00006C7E" w:rsidRPr="00721F7C" w:rsidRDefault="00006C7E" w:rsidP="00006C7E">
            <w:pPr>
              <w:spacing w:after="0" w:line="240" w:lineRule="auto"/>
              <w:rPr>
                <w:b w:val="0"/>
              </w:rPr>
            </w:pPr>
          </w:p>
        </w:tc>
        <w:tc>
          <w:tcPr>
            <w:tcW w:w="1080" w:type="dxa"/>
            <w:shd w:val="clear" w:color="auto" w:fill="D9D9D9" w:themeFill="background1" w:themeFillShade="D9"/>
            <w:vAlign w:val="center"/>
          </w:tcPr>
          <w:p w14:paraId="3AE4BCF7" w14:textId="77777777" w:rsidR="00006C7E" w:rsidRPr="00721F7C" w:rsidRDefault="00006C7E" w:rsidP="00006C7E">
            <w:pPr>
              <w:spacing w:after="0" w:line="240" w:lineRule="auto"/>
              <w:rPr>
                <w:b w:val="0"/>
              </w:rPr>
            </w:pPr>
            <w:r w:rsidRPr="00721F7C">
              <w:rPr>
                <w:b w:val="0"/>
              </w:rPr>
              <w:t>Libellé</w:t>
            </w:r>
          </w:p>
        </w:tc>
        <w:tc>
          <w:tcPr>
            <w:tcW w:w="1080" w:type="dxa"/>
            <w:shd w:val="clear" w:color="auto" w:fill="D9D9D9" w:themeFill="background1" w:themeFillShade="D9"/>
            <w:vAlign w:val="center"/>
          </w:tcPr>
          <w:p w14:paraId="74322871" w14:textId="77777777" w:rsidR="00006C7E" w:rsidRPr="00721F7C" w:rsidRDefault="00006C7E" w:rsidP="00006C7E">
            <w:pPr>
              <w:spacing w:after="0" w:line="240" w:lineRule="auto"/>
              <w:rPr>
                <w:b w:val="0"/>
              </w:rPr>
            </w:pPr>
            <w:r w:rsidRPr="00721F7C">
              <w:rPr>
                <w:b w:val="0"/>
              </w:rPr>
              <w:t>Baseline</w:t>
            </w:r>
          </w:p>
        </w:tc>
        <w:tc>
          <w:tcPr>
            <w:tcW w:w="1134" w:type="dxa"/>
            <w:shd w:val="clear" w:color="auto" w:fill="D9D9D9" w:themeFill="background1" w:themeFillShade="D9"/>
            <w:vAlign w:val="center"/>
          </w:tcPr>
          <w:p w14:paraId="434679A7" w14:textId="77777777" w:rsidR="00006C7E" w:rsidRPr="00721F7C" w:rsidRDefault="00006C7E" w:rsidP="00006C7E">
            <w:pPr>
              <w:spacing w:after="0" w:line="240" w:lineRule="auto"/>
              <w:rPr>
                <w:b w:val="0"/>
              </w:rPr>
            </w:pPr>
            <w:r w:rsidRPr="00721F7C">
              <w:rPr>
                <w:b w:val="0"/>
              </w:rPr>
              <w:t>Cibles</w:t>
            </w:r>
          </w:p>
        </w:tc>
        <w:tc>
          <w:tcPr>
            <w:tcW w:w="945" w:type="dxa"/>
            <w:shd w:val="clear" w:color="auto" w:fill="D9D9D9" w:themeFill="background1" w:themeFillShade="D9"/>
            <w:vAlign w:val="center"/>
          </w:tcPr>
          <w:p w14:paraId="01B5C63A" w14:textId="77777777" w:rsidR="00006C7E" w:rsidRPr="00721F7C" w:rsidRDefault="00006C7E" w:rsidP="00006C7E">
            <w:pPr>
              <w:spacing w:after="0" w:line="240" w:lineRule="auto"/>
              <w:rPr>
                <w:b w:val="0"/>
              </w:rPr>
            </w:pPr>
            <w:r w:rsidRPr="00721F7C">
              <w:rPr>
                <w:b w:val="0"/>
              </w:rPr>
              <w:t>Réalisé</w:t>
            </w:r>
          </w:p>
        </w:tc>
        <w:tc>
          <w:tcPr>
            <w:tcW w:w="2233" w:type="dxa"/>
            <w:vMerge/>
            <w:shd w:val="clear" w:color="auto" w:fill="D9D9D9" w:themeFill="background1" w:themeFillShade="D9"/>
            <w:vAlign w:val="center"/>
          </w:tcPr>
          <w:p w14:paraId="35824848" w14:textId="77777777" w:rsidR="00006C7E" w:rsidRPr="00721F7C" w:rsidRDefault="00006C7E" w:rsidP="00006C7E">
            <w:pPr>
              <w:spacing w:after="0" w:line="240" w:lineRule="auto"/>
              <w:rPr>
                <w:b w:val="0"/>
              </w:rPr>
            </w:pPr>
          </w:p>
        </w:tc>
        <w:tc>
          <w:tcPr>
            <w:tcW w:w="1923" w:type="dxa"/>
            <w:vMerge/>
            <w:shd w:val="clear" w:color="auto" w:fill="D9D9D9" w:themeFill="background1" w:themeFillShade="D9"/>
            <w:vAlign w:val="center"/>
          </w:tcPr>
          <w:p w14:paraId="621BC840" w14:textId="77777777" w:rsidR="00006C7E" w:rsidRPr="00721F7C" w:rsidRDefault="00006C7E" w:rsidP="00006C7E">
            <w:pPr>
              <w:spacing w:after="0" w:line="240" w:lineRule="auto"/>
              <w:rPr>
                <w:b w:val="0"/>
              </w:rPr>
            </w:pPr>
          </w:p>
        </w:tc>
        <w:tc>
          <w:tcPr>
            <w:tcW w:w="2319" w:type="dxa"/>
            <w:vMerge/>
            <w:shd w:val="clear" w:color="auto" w:fill="D9D9D9" w:themeFill="background1" w:themeFillShade="D9"/>
            <w:vAlign w:val="center"/>
          </w:tcPr>
          <w:p w14:paraId="5EDE24C7" w14:textId="77777777" w:rsidR="00006C7E" w:rsidRPr="00721F7C" w:rsidRDefault="00006C7E" w:rsidP="00006C7E">
            <w:pPr>
              <w:spacing w:after="0" w:line="240" w:lineRule="auto"/>
              <w:rPr>
                <w:b w:val="0"/>
              </w:rPr>
            </w:pPr>
          </w:p>
        </w:tc>
        <w:tc>
          <w:tcPr>
            <w:tcW w:w="2313" w:type="dxa"/>
            <w:vMerge/>
            <w:shd w:val="clear" w:color="auto" w:fill="D9D9D9" w:themeFill="background1" w:themeFillShade="D9"/>
            <w:vAlign w:val="center"/>
          </w:tcPr>
          <w:p w14:paraId="0B35C4DB" w14:textId="77777777" w:rsidR="00006C7E" w:rsidRPr="00721F7C" w:rsidRDefault="00006C7E" w:rsidP="00006C7E">
            <w:pPr>
              <w:spacing w:after="0" w:line="240" w:lineRule="auto"/>
              <w:rPr>
                <w:b w:val="0"/>
              </w:rPr>
            </w:pPr>
          </w:p>
        </w:tc>
      </w:tr>
      <w:tr w:rsidR="00006C7E" w:rsidRPr="00721F7C" w14:paraId="694D19A0" w14:textId="77777777" w:rsidTr="00006C7E">
        <w:tc>
          <w:tcPr>
            <w:tcW w:w="627" w:type="dxa"/>
            <w:shd w:val="clear" w:color="auto" w:fill="D9D9D9" w:themeFill="background1" w:themeFillShade="D9"/>
            <w:vAlign w:val="center"/>
          </w:tcPr>
          <w:p w14:paraId="789390AE" w14:textId="77777777" w:rsidR="00006C7E" w:rsidRPr="00721F7C" w:rsidRDefault="00006C7E" w:rsidP="00006C7E">
            <w:pPr>
              <w:spacing w:after="0" w:line="240" w:lineRule="auto"/>
              <w:rPr>
                <w:b w:val="0"/>
              </w:rPr>
            </w:pPr>
            <w:r w:rsidRPr="00721F7C">
              <w:rPr>
                <w:b w:val="0"/>
              </w:rPr>
              <w:t>1.1.1.</w:t>
            </w:r>
          </w:p>
        </w:tc>
        <w:tc>
          <w:tcPr>
            <w:tcW w:w="2459" w:type="dxa"/>
            <w:vAlign w:val="center"/>
          </w:tcPr>
          <w:p w14:paraId="5022490A" w14:textId="77777777" w:rsidR="00006C7E" w:rsidRPr="00721F7C" w:rsidRDefault="00006C7E" w:rsidP="00006C7E">
            <w:pPr>
              <w:spacing w:after="0" w:line="240" w:lineRule="auto"/>
              <w:rPr>
                <w:b w:val="0"/>
              </w:rPr>
            </w:pPr>
            <w:r w:rsidRPr="00721F7C">
              <w:rPr>
                <w:b w:val="0"/>
                <w:u w:val="single"/>
              </w:rPr>
              <w:t>Produit 1</w:t>
            </w:r>
            <w:r w:rsidRPr="00721F7C">
              <w:rPr>
                <w:b w:val="0"/>
              </w:rPr>
              <w:t>: Les institutions responsables du processus de réconciliation nationale possèdent les compétences techniques et opérationnelles requises pour favoriser l’amélioration de la cohésion sociale au service d’une paix durable</w:t>
            </w:r>
          </w:p>
        </w:tc>
        <w:tc>
          <w:tcPr>
            <w:tcW w:w="1080" w:type="dxa"/>
            <w:vAlign w:val="center"/>
          </w:tcPr>
          <w:p w14:paraId="4E58D8C7" w14:textId="77777777" w:rsidR="00006C7E" w:rsidRPr="00721F7C" w:rsidRDefault="00006C7E" w:rsidP="00006C7E">
            <w:pPr>
              <w:spacing w:after="0" w:line="240" w:lineRule="auto"/>
              <w:rPr>
                <w:b w:val="0"/>
              </w:rPr>
            </w:pPr>
            <w:r w:rsidRPr="00721F7C">
              <w:rPr>
                <w:b w:val="0"/>
              </w:rPr>
              <w:t>Degré de mise en œuvre de</w:t>
            </w:r>
            <w:r w:rsidRPr="00721F7C">
              <w:rPr>
                <w:b w:val="0"/>
                <w:i/>
              </w:rPr>
              <w:t xml:space="preserve"> </w:t>
            </w:r>
            <w:r w:rsidRPr="00721F7C">
              <w:rPr>
                <w:b w:val="0"/>
              </w:rPr>
              <w:t xml:space="preserve">la stratégie de réconciliation nationale : </w:t>
            </w:r>
          </w:p>
        </w:tc>
        <w:tc>
          <w:tcPr>
            <w:tcW w:w="1080" w:type="dxa"/>
            <w:vAlign w:val="center"/>
          </w:tcPr>
          <w:p w14:paraId="41812375" w14:textId="77777777" w:rsidR="00006C7E" w:rsidRPr="00721F7C" w:rsidRDefault="00006C7E" w:rsidP="00006C7E">
            <w:pPr>
              <w:spacing w:after="0" w:line="240" w:lineRule="auto"/>
              <w:rPr>
                <w:b w:val="0"/>
              </w:rPr>
            </w:pPr>
            <w:r w:rsidRPr="00721F7C">
              <w:rPr>
                <w:b w:val="0"/>
              </w:rPr>
              <w:t>0%</w:t>
            </w:r>
          </w:p>
        </w:tc>
        <w:tc>
          <w:tcPr>
            <w:tcW w:w="1134" w:type="dxa"/>
            <w:vAlign w:val="center"/>
          </w:tcPr>
          <w:p w14:paraId="123A1F31" w14:textId="77777777" w:rsidR="00006C7E" w:rsidRPr="00721F7C" w:rsidRDefault="00006C7E" w:rsidP="00006C7E">
            <w:pPr>
              <w:spacing w:after="0" w:line="240" w:lineRule="auto"/>
              <w:rPr>
                <w:b w:val="0"/>
              </w:rPr>
            </w:pPr>
            <w:r w:rsidRPr="00721F7C">
              <w:rPr>
                <w:b w:val="0"/>
              </w:rPr>
              <w:t>75%</w:t>
            </w:r>
          </w:p>
        </w:tc>
        <w:tc>
          <w:tcPr>
            <w:tcW w:w="945" w:type="dxa"/>
            <w:shd w:val="clear" w:color="auto" w:fill="C9C9C9" w:themeFill="accent3" w:themeFillTint="99"/>
            <w:vAlign w:val="center"/>
          </w:tcPr>
          <w:p w14:paraId="5ACB4C8D" w14:textId="77777777" w:rsidR="00006C7E" w:rsidRPr="00721F7C" w:rsidRDefault="00006C7E" w:rsidP="00006C7E">
            <w:pPr>
              <w:spacing w:after="0" w:line="240" w:lineRule="auto"/>
              <w:rPr>
                <w:b w:val="0"/>
              </w:rPr>
            </w:pPr>
            <w:r w:rsidRPr="00721F7C">
              <w:rPr>
                <w:b w:val="0"/>
              </w:rPr>
              <w:t>???????</w:t>
            </w:r>
          </w:p>
        </w:tc>
        <w:tc>
          <w:tcPr>
            <w:tcW w:w="2233" w:type="dxa"/>
            <w:vAlign w:val="center"/>
          </w:tcPr>
          <w:p w14:paraId="4444AE70" w14:textId="77777777" w:rsidR="00006C7E" w:rsidRPr="00721F7C" w:rsidRDefault="00006C7E" w:rsidP="00006C7E">
            <w:pPr>
              <w:numPr>
                <w:ilvl w:val="0"/>
                <w:numId w:val="9"/>
              </w:numPr>
              <w:spacing w:after="0" w:line="240" w:lineRule="auto"/>
              <w:rPr>
                <w:b w:val="0"/>
              </w:rPr>
            </w:pPr>
            <w:r w:rsidRPr="00721F7C">
              <w:rPr>
                <w:b w:val="0"/>
              </w:rPr>
              <w:t>Rapports d’exécution</w:t>
            </w:r>
          </w:p>
          <w:p w14:paraId="19E4EA23" w14:textId="77777777" w:rsidR="00006C7E" w:rsidRPr="00721F7C" w:rsidRDefault="00006C7E" w:rsidP="00006C7E">
            <w:pPr>
              <w:numPr>
                <w:ilvl w:val="0"/>
                <w:numId w:val="9"/>
              </w:numPr>
              <w:spacing w:after="0" w:line="240" w:lineRule="auto"/>
              <w:rPr>
                <w:b w:val="0"/>
              </w:rPr>
            </w:pPr>
            <w:r w:rsidRPr="00721F7C">
              <w:rPr>
                <w:b w:val="0"/>
              </w:rPr>
              <w:t>Sources primaires</w:t>
            </w:r>
          </w:p>
        </w:tc>
        <w:tc>
          <w:tcPr>
            <w:tcW w:w="1923" w:type="dxa"/>
            <w:vAlign w:val="center"/>
          </w:tcPr>
          <w:p w14:paraId="7DF70652" w14:textId="77777777" w:rsidR="00006C7E" w:rsidRPr="00721F7C" w:rsidRDefault="00006C7E" w:rsidP="00006C7E">
            <w:pPr>
              <w:spacing w:after="0" w:line="240" w:lineRule="auto"/>
              <w:rPr>
                <w:b w:val="0"/>
              </w:rPr>
            </w:pPr>
            <w:r w:rsidRPr="00721F7C">
              <w:rPr>
                <w:b w:val="0"/>
              </w:rPr>
              <w:t>Information collectée au fur et mesure et consignée dans les rapports</w:t>
            </w:r>
          </w:p>
        </w:tc>
        <w:tc>
          <w:tcPr>
            <w:tcW w:w="2319" w:type="dxa"/>
            <w:vAlign w:val="center"/>
          </w:tcPr>
          <w:p w14:paraId="08BA6E2E" w14:textId="77777777" w:rsidR="00006C7E" w:rsidRPr="00721F7C" w:rsidRDefault="00006C7E" w:rsidP="00006C7E">
            <w:pPr>
              <w:spacing w:after="0" w:line="240" w:lineRule="auto"/>
              <w:rPr>
                <w:b w:val="0"/>
              </w:rPr>
            </w:pPr>
            <w:r w:rsidRPr="00721F7C">
              <w:rPr>
                <w:b w:val="0"/>
              </w:rPr>
              <w:t>Sonder les acteurs et bénéficiaires du projet</w:t>
            </w:r>
          </w:p>
        </w:tc>
        <w:tc>
          <w:tcPr>
            <w:tcW w:w="2313" w:type="dxa"/>
            <w:shd w:val="clear" w:color="auto" w:fill="C9C9C9" w:themeFill="accent3" w:themeFillTint="99"/>
            <w:vAlign w:val="center"/>
          </w:tcPr>
          <w:p w14:paraId="73218DE2" w14:textId="77777777" w:rsidR="00006C7E" w:rsidRPr="00721F7C" w:rsidRDefault="00006C7E" w:rsidP="00006C7E">
            <w:pPr>
              <w:spacing w:after="0" w:line="240" w:lineRule="auto"/>
              <w:rPr>
                <w:b w:val="0"/>
              </w:rPr>
            </w:pPr>
            <w:r w:rsidRPr="00721F7C">
              <w:rPr>
                <w:b w:val="0"/>
              </w:rPr>
              <w:t>!!!!!!!!!!!</w:t>
            </w:r>
          </w:p>
        </w:tc>
      </w:tr>
      <w:tr w:rsidR="00006C7E" w:rsidRPr="00721F7C" w14:paraId="2F3926CD" w14:textId="77777777" w:rsidTr="00006C7E">
        <w:tc>
          <w:tcPr>
            <w:tcW w:w="627" w:type="dxa"/>
            <w:shd w:val="clear" w:color="auto" w:fill="D9D9D9" w:themeFill="background1" w:themeFillShade="D9"/>
            <w:vAlign w:val="center"/>
          </w:tcPr>
          <w:p w14:paraId="4DDCF926" w14:textId="77777777" w:rsidR="00006C7E" w:rsidRPr="00721F7C" w:rsidRDefault="00006C7E" w:rsidP="00006C7E">
            <w:pPr>
              <w:spacing w:after="0" w:line="240" w:lineRule="auto"/>
              <w:rPr>
                <w:b w:val="0"/>
              </w:rPr>
            </w:pPr>
            <w:r w:rsidRPr="00721F7C">
              <w:rPr>
                <w:b w:val="0"/>
              </w:rPr>
              <w:lastRenderedPageBreak/>
              <w:t>1.1.2.</w:t>
            </w:r>
          </w:p>
        </w:tc>
        <w:tc>
          <w:tcPr>
            <w:tcW w:w="2459" w:type="dxa"/>
            <w:vAlign w:val="center"/>
          </w:tcPr>
          <w:p w14:paraId="314F0178" w14:textId="77777777" w:rsidR="00006C7E" w:rsidRPr="00721F7C" w:rsidRDefault="00006C7E" w:rsidP="00006C7E">
            <w:pPr>
              <w:spacing w:after="0" w:line="240" w:lineRule="auto"/>
              <w:rPr>
                <w:b w:val="0"/>
              </w:rPr>
            </w:pPr>
            <w:r w:rsidRPr="00721F7C">
              <w:rPr>
                <w:b w:val="0"/>
                <w:u w:val="single"/>
              </w:rPr>
              <w:t>Produit 2</w:t>
            </w:r>
            <w:r w:rsidRPr="00721F7C">
              <w:rPr>
                <w:b w:val="0"/>
              </w:rPr>
              <w:t xml:space="preserve"> :les autorités locales et la société civile (les dirigeants traditionnels, les chefs religieux et les organisations de femmes et de jeunes) du nord possèdent les capacités requises pour prévenir et régler les conflits.</w:t>
            </w:r>
          </w:p>
        </w:tc>
        <w:tc>
          <w:tcPr>
            <w:tcW w:w="1080" w:type="dxa"/>
            <w:vAlign w:val="center"/>
          </w:tcPr>
          <w:p w14:paraId="3EF82A31" w14:textId="77777777" w:rsidR="00006C7E" w:rsidRPr="00721F7C" w:rsidRDefault="00006C7E" w:rsidP="00006C7E">
            <w:pPr>
              <w:spacing w:after="0" w:line="240" w:lineRule="auto"/>
              <w:rPr>
                <w:b w:val="0"/>
              </w:rPr>
            </w:pPr>
            <w:r w:rsidRPr="00721F7C">
              <w:rPr>
                <w:b w:val="0"/>
              </w:rPr>
              <w:t>Nombre de membres d’organisations de la société civile, d’acteurs et de dirigeants locaux ayant suivi une formation du PNUD dans le domaine de la prévention et de la gestion des conflits, de la médiation, du dialogue et de l’alerte rapide :</w:t>
            </w:r>
          </w:p>
        </w:tc>
        <w:tc>
          <w:tcPr>
            <w:tcW w:w="1080" w:type="dxa"/>
            <w:vAlign w:val="center"/>
          </w:tcPr>
          <w:p w14:paraId="51776C39" w14:textId="77777777" w:rsidR="00006C7E" w:rsidRPr="00721F7C" w:rsidRDefault="00006C7E" w:rsidP="00006C7E">
            <w:pPr>
              <w:spacing w:after="0" w:line="240" w:lineRule="auto"/>
              <w:rPr>
                <w:b w:val="0"/>
              </w:rPr>
            </w:pPr>
            <w:r w:rsidRPr="00721F7C">
              <w:rPr>
                <w:b w:val="0"/>
              </w:rPr>
              <w:t>0</w:t>
            </w:r>
          </w:p>
        </w:tc>
        <w:tc>
          <w:tcPr>
            <w:tcW w:w="1134" w:type="dxa"/>
            <w:vAlign w:val="center"/>
          </w:tcPr>
          <w:p w14:paraId="6D7F990D" w14:textId="77777777" w:rsidR="00006C7E" w:rsidRPr="00721F7C" w:rsidRDefault="00006C7E" w:rsidP="00006C7E">
            <w:pPr>
              <w:spacing w:after="0" w:line="240" w:lineRule="auto"/>
              <w:rPr>
                <w:b w:val="0"/>
              </w:rPr>
            </w:pPr>
            <w:r w:rsidRPr="00721F7C">
              <w:rPr>
                <w:b w:val="0"/>
              </w:rPr>
              <w:t>200 personnes, dont 50 % de femmes</w:t>
            </w:r>
          </w:p>
        </w:tc>
        <w:tc>
          <w:tcPr>
            <w:tcW w:w="945" w:type="dxa"/>
            <w:shd w:val="clear" w:color="auto" w:fill="C9C9C9" w:themeFill="accent3" w:themeFillTint="99"/>
            <w:vAlign w:val="center"/>
          </w:tcPr>
          <w:p w14:paraId="531F7977" w14:textId="77777777" w:rsidR="00006C7E" w:rsidRPr="00721F7C" w:rsidRDefault="00006C7E" w:rsidP="00006C7E">
            <w:pPr>
              <w:spacing w:after="0" w:line="240" w:lineRule="auto"/>
              <w:rPr>
                <w:b w:val="0"/>
              </w:rPr>
            </w:pPr>
            <w:r w:rsidRPr="00721F7C">
              <w:rPr>
                <w:b w:val="0"/>
              </w:rPr>
              <w:t>???????</w:t>
            </w:r>
          </w:p>
        </w:tc>
        <w:tc>
          <w:tcPr>
            <w:tcW w:w="2233" w:type="dxa"/>
            <w:vAlign w:val="center"/>
          </w:tcPr>
          <w:p w14:paraId="798399E0" w14:textId="77777777" w:rsidR="00006C7E" w:rsidRPr="00721F7C" w:rsidRDefault="00006C7E" w:rsidP="00006C7E">
            <w:pPr>
              <w:numPr>
                <w:ilvl w:val="0"/>
                <w:numId w:val="9"/>
              </w:numPr>
              <w:spacing w:after="0" w:line="240" w:lineRule="auto"/>
              <w:rPr>
                <w:b w:val="0"/>
              </w:rPr>
            </w:pPr>
            <w:r w:rsidRPr="00721F7C">
              <w:rPr>
                <w:b w:val="0"/>
              </w:rPr>
              <w:t>Rapports d’exécution</w:t>
            </w:r>
          </w:p>
          <w:p w14:paraId="48B329CD" w14:textId="77777777" w:rsidR="00006C7E" w:rsidRPr="00721F7C" w:rsidRDefault="00006C7E" w:rsidP="00006C7E">
            <w:pPr>
              <w:numPr>
                <w:ilvl w:val="0"/>
                <w:numId w:val="9"/>
              </w:numPr>
              <w:spacing w:after="0" w:line="240" w:lineRule="auto"/>
              <w:rPr>
                <w:b w:val="0"/>
              </w:rPr>
            </w:pPr>
            <w:r w:rsidRPr="00721F7C">
              <w:rPr>
                <w:b w:val="0"/>
              </w:rPr>
              <w:t>Sources primaires</w:t>
            </w:r>
          </w:p>
        </w:tc>
        <w:tc>
          <w:tcPr>
            <w:tcW w:w="1923" w:type="dxa"/>
            <w:vAlign w:val="center"/>
          </w:tcPr>
          <w:p w14:paraId="1C576807" w14:textId="77777777" w:rsidR="00006C7E" w:rsidRPr="00721F7C" w:rsidRDefault="00006C7E" w:rsidP="00006C7E">
            <w:pPr>
              <w:spacing w:after="0" w:line="240" w:lineRule="auto"/>
              <w:rPr>
                <w:b w:val="0"/>
              </w:rPr>
            </w:pPr>
            <w:r w:rsidRPr="00721F7C">
              <w:rPr>
                <w:b w:val="0"/>
              </w:rPr>
              <w:t>Information collectée au fur et mesure et consignée dans les rapports</w:t>
            </w:r>
          </w:p>
        </w:tc>
        <w:tc>
          <w:tcPr>
            <w:tcW w:w="2319" w:type="dxa"/>
            <w:vAlign w:val="center"/>
          </w:tcPr>
          <w:p w14:paraId="603EA41D" w14:textId="77777777" w:rsidR="00006C7E" w:rsidRPr="00721F7C" w:rsidRDefault="00006C7E" w:rsidP="00006C7E">
            <w:pPr>
              <w:spacing w:after="0" w:line="240" w:lineRule="auto"/>
              <w:rPr>
                <w:b w:val="0"/>
              </w:rPr>
            </w:pPr>
            <w:r w:rsidRPr="00721F7C">
              <w:rPr>
                <w:b w:val="0"/>
              </w:rPr>
              <w:t>Sonder les acteurs et bénéficiaires du projet</w:t>
            </w:r>
          </w:p>
        </w:tc>
        <w:tc>
          <w:tcPr>
            <w:tcW w:w="2313" w:type="dxa"/>
            <w:shd w:val="clear" w:color="auto" w:fill="C9C9C9" w:themeFill="accent3" w:themeFillTint="99"/>
            <w:vAlign w:val="center"/>
          </w:tcPr>
          <w:p w14:paraId="5E2AE8FD" w14:textId="77777777" w:rsidR="00006C7E" w:rsidRPr="00721F7C" w:rsidRDefault="00006C7E" w:rsidP="00006C7E">
            <w:pPr>
              <w:spacing w:after="0" w:line="240" w:lineRule="auto"/>
              <w:rPr>
                <w:b w:val="0"/>
              </w:rPr>
            </w:pPr>
            <w:r w:rsidRPr="00721F7C">
              <w:rPr>
                <w:b w:val="0"/>
              </w:rPr>
              <w:t>!!!!!!!!!!!</w:t>
            </w:r>
          </w:p>
        </w:tc>
      </w:tr>
      <w:tr w:rsidR="00006C7E" w:rsidRPr="00721F7C" w14:paraId="0BC7E8BE" w14:textId="77777777" w:rsidTr="00006C7E">
        <w:tc>
          <w:tcPr>
            <w:tcW w:w="627" w:type="dxa"/>
            <w:shd w:val="clear" w:color="auto" w:fill="D9D9D9" w:themeFill="background1" w:themeFillShade="D9"/>
            <w:vAlign w:val="center"/>
          </w:tcPr>
          <w:p w14:paraId="3E9247BC" w14:textId="77777777" w:rsidR="00006C7E" w:rsidRPr="00721F7C" w:rsidRDefault="00006C7E" w:rsidP="00006C7E">
            <w:pPr>
              <w:spacing w:after="0" w:line="240" w:lineRule="auto"/>
              <w:rPr>
                <w:b w:val="0"/>
              </w:rPr>
            </w:pPr>
            <w:r w:rsidRPr="00721F7C">
              <w:rPr>
                <w:b w:val="0"/>
              </w:rPr>
              <w:t>1.1.3.</w:t>
            </w:r>
          </w:p>
        </w:tc>
        <w:tc>
          <w:tcPr>
            <w:tcW w:w="2459" w:type="dxa"/>
            <w:vAlign w:val="center"/>
          </w:tcPr>
          <w:p w14:paraId="0CD6D928" w14:textId="77777777" w:rsidR="00006C7E" w:rsidRPr="00721F7C" w:rsidRDefault="00006C7E" w:rsidP="00006C7E">
            <w:pPr>
              <w:spacing w:after="0" w:line="240" w:lineRule="auto"/>
              <w:rPr>
                <w:b w:val="0"/>
              </w:rPr>
            </w:pPr>
          </w:p>
        </w:tc>
        <w:tc>
          <w:tcPr>
            <w:tcW w:w="1080" w:type="dxa"/>
            <w:vAlign w:val="center"/>
          </w:tcPr>
          <w:p w14:paraId="29558F8D" w14:textId="77777777" w:rsidR="00006C7E" w:rsidRPr="00721F7C" w:rsidRDefault="00006C7E" w:rsidP="00006C7E">
            <w:pPr>
              <w:spacing w:after="0" w:line="240" w:lineRule="auto"/>
              <w:rPr>
                <w:b w:val="0"/>
              </w:rPr>
            </w:pPr>
            <w:r w:rsidRPr="00721F7C">
              <w:rPr>
                <w:b w:val="0"/>
              </w:rPr>
              <w:t xml:space="preserve">Nombre d’instances locales ayant mis en place </w:t>
            </w:r>
            <w:r w:rsidRPr="00721F7C">
              <w:rPr>
                <w:b w:val="0"/>
              </w:rPr>
              <w:lastRenderedPageBreak/>
              <w:t xml:space="preserve">des dispositifs en faveur du dialogue intra- et intercommunautaire et les utilisant dans les débats locaux : </w:t>
            </w:r>
          </w:p>
        </w:tc>
        <w:tc>
          <w:tcPr>
            <w:tcW w:w="1080" w:type="dxa"/>
            <w:vAlign w:val="center"/>
          </w:tcPr>
          <w:p w14:paraId="5270DAA8" w14:textId="77777777" w:rsidR="00006C7E" w:rsidRPr="00721F7C" w:rsidRDefault="00006C7E" w:rsidP="00006C7E">
            <w:pPr>
              <w:spacing w:after="0" w:line="240" w:lineRule="auto"/>
              <w:rPr>
                <w:b w:val="0"/>
              </w:rPr>
            </w:pPr>
            <w:r w:rsidRPr="00721F7C">
              <w:rPr>
                <w:b w:val="0"/>
              </w:rPr>
              <w:lastRenderedPageBreak/>
              <w:t>0</w:t>
            </w:r>
          </w:p>
        </w:tc>
        <w:tc>
          <w:tcPr>
            <w:tcW w:w="1134" w:type="dxa"/>
            <w:vAlign w:val="center"/>
          </w:tcPr>
          <w:p w14:paraId="4E812EFB" w14:textId="77777777" w:rsidR="00006C7E" w:rsidRPr="00721F7C" w:rsidRDefault="00006C7E" w:rsidP="00006C7E">
            <w:pPr>
              <w:spacing w:after="0" w:line="240" w:lineRule="auto"/>
              <w:rPr>
                <w:b w:val="0"/>
              </w:rPr>
            </w:pPr>
            <w:r w:rsidRPr="00721F7C">
              <w:rPr>
                <w:b w:val="0"/>
              </w:rPr>
              <w:t>17</w:t>
            </w:r>
          </w:p>
        </w:tc>
        <w:tc>
          <w:tcPr>
            <w:tcW w:w="945" w:type="dxa"/>
            <w:shd w:val="clear" w:color="auto" w:fill="C9C9C9" w:themeFill="accent3" w:themeFillTint="99"/>
            <w:vAlign w:val="center"/>
          </w:tcPr>
          <w:p w14:paraId="4CF425C1" w14:textId="77777777" w:rsidR="00006C7E" w:rsidRPr="00721F7C" w:rsidRDefault="00006C7E" w:rsidP="00006C7E">
            <w:pPr>
              <w:spacing w:after="0" w:line="240" w:lineRule="auto"/>
              <w:rPr>
                <w:b w:val="0"/>
              </w:rPr>
            </w:pPr>
            <w:r w:rsidRPr="00721F7C">
              <w:rPr>
                <w:b w:val="0"/>
              </w:rPr>
              <w:t>???????</w:t>
            </w:r>
          </w:p>
        </w:tc>
        <w:tc>
          <w:tcPr>
            <w:tcW w:w="2233" w:type="dxa"/>
            <w:vAlign w:val="center"/>
          </w:tcPr>
          <w:p w14:paraId="4D593D65" w14:textId="77777777" w:rsidR="00006C7E" w:rsidRPr="00721F7C" w:rsidRDefault="00006C7E" w:rsidP="00006C7E">
            <w:pPr>
              <w:numPr>
                <w:ilvl w:val="0"/>
                <w:numId w:val="9"/>
              </w:numPr>
              <w:spacing w:after="0" w:line="240" w:lineRule="auto"/>
              <w:rPr>
                <w:b w:val="0"/>
              </w:rPr>
            </w:pPr>
            <w:r w:rsidRPr="00721F7C">
              <w:rPr>
                <w:b w:val="0"/>
              </w:rPr>
              <w:t>Rapports d’exécution</w:t>
            </w:r>
          </w:p>
          <w:p w14:paraId="73953530" w14:textId="77777777" w:rsidR="00006C7E" w:rsidRPr="00721F7C" w:rsidRDefault="00006C7E" w:rsidP="00006C7E">
            <w:pPr>
              <w:numPr>
                <w:ilvl w:val="0"/>
                <w:numId w:val="9"/>
              </w:numPr>
              <w:spacing w:after="0" w:line="240" w:lineRule="auto"/>
              <w:rPr>
                <w:b w:val="0"/>
              </w:rPr>
            </w:pPr>
            <w:r w:rsidRPr="00721F7C">
              <w:rPr>
                <w:b w:val="0"/>
              </w:rPr>
              <w:t>Sources primaires</w:t>
            </w:r>
          </w:p>
        </w:tc>
        <w:tc>
          <w:tcPr>
            <w:tcW w:w="1923" w:type="dxa"/>
            <w:vAlign w:val="center"/>
          </w:tcPr>
          <w:p w14:paraId="3E26690D" w14:textId="77777777" w:rsidR="00006C7E" w:rsidRPr="00721F7C" w:rsidRDefault="00006C7E" w:rsidP="00006C7E">
            <w:pPr>
              <w:spacing w:after="0" w:line="240" w:lineRule="auto"/>
              <w:rPr>
                <w:b w:val="0"/>
              </w:rPr>
            </w:pPr>
            <w:r w:rsidRPr="00721F7C">
              <w:rPr>
                <w:b w:val="0"/>
              </w:rPr>
              <w:t>Information collectée au fur et mesure et consignée dans les rapports</w:t>
            </w:r>
          </w:p>
        </w:tc>
        <w:tc>
          <w:tcPr>
            <w:tcW w:w="2319" w:type="dxa"/>
            <w:vAlign w:val="center"/>
          </w:tcPr>
          <w:p w14:paraId="6298DFE0" w14:textId="77777777" w:rsidR="00006C7E" w:rsidRPr="00721F7C" w:rsidRDefault="00006C7E" w:rsidP="00006C7E">
            <w:pPr>
              <w:spacing w:after="0" w:line="240" w:lineRule="auto"/>
              <w:rPr>
                <w:b w:val="0"/>
              </w:rPr>
            </w:pPr>
            <w:r w:rsidRPr="00721F7C">
              <w:rPr>
                <w:b w:val="0"/>
              </w:rPr>
              <w:t>Sonder les acteurs et bénéficiaires du projet</w:t>
            </w:r>
          </w:p>
        </w:tc>
        <w:tc>
          <w:tcPr>
            <w:tcW w:w="2313" w:type="dxa"/>
            <w:vAlign w:val="center"/>
          </w:tcPr>
          <w:p w14:paraId="1DD19182" w14:textId="77777777" w:rsidR="00006C7E" w:rsidRPr="00721F7C" w:rsidRDefault="00006C7E" w:rsidP="00006C7E">
            <w:pPr>
              <w:spacing w:after="0" w:line="240" w:lineRule="auto"/>
              <w:rPr>
                <w:b w:val="0"/>
              </w:rPr>
            </w:pPr>
          </w:p>
        </w:tc>
      </w:tr>
      <w:tr w:rsidR="00006C7E" w:rsidRPr="00721F7C" w14:paraId="1DE3D57A" w14:textId="77777777" w:rsidTr="00006C7E">
        <w:tc>
          <w:tcPr>
            <w:tcW w:w="627" w:type="dxa"/>
            <w:shd w:val="clear" w:color="auto" w:fill="D9D9D9" w:themeFill="background1" w:themeFillShade="D9"/>
            <w:vAlign w:val="center"/>
          </w:tcPr>
          <w:p w14:paraId="0F388390" w14:textId="77777777" w:rsidR="00006C7E" w:rsidRPr="00721F7C" w:rsidRDefault="00006C7E" w:rsidP="00006C7E">
            <w:pPr>
              <w:spacing w:after="0" w:line="240" w:lineRule="auto"/>
              <w:rPr>
                <w:b w:val="0"/>
              </w:rPr>
            </w:pPr>
            <w:r w:rsidRPr="00721F7C">
              <w:rPr>
                <w:b w:val="0"/>
              </w:rPr>
              <w:t>1.1.4.</w:t>
            </w:r>
          </w:p>
        </w:tc>
        <w:tc>
          <w:tcPr>
            <w:tcW w:w="2459" w:type="dxa"/>
            <w:vAlign w:val="center"/>
          </w:tcPr>
          <w:p w14:paraId="061BEA2E" w14:textId="77777777" w:rsidR="00006C7E" w:rsidRPr="00721F7C" w:rsidRDefault="00006C7E" w:rsidP="00006C7E">
            <w:pPr>
              <w:spacing w:after="0" w:line="240" w:lineRule="auto"/>
              <w:rPr>
                <w:b w:val="0"/>
              </w:rPr>
            </w:pPr>
            <w:r w:rsidRPr="00721F7C">
              <w:rPr>
                <w:b w:val="0"/>
                <w:u w:val="single"/>
              </w:rPr>
              <w:t>Produit 3</w:t>
            </w:r>
            <w:r w:rsidRPr="00721F7C">
              <w:rPr>
                <w:b w:val="0"/>
              </w:rPr>
              <w:t xml:space="preserve">: La réintégration et la réadaptation des personnes déplacées à l’intérieur du pays sont garanties grâce à la mise en œuvre effective d’une stratégie de solutions durables </w:t>
            </w:r>
          </w:p>
        </w:tc>
        <w:tc>
          <w:tcPr>
            <w:tcW w:w="1080" w:type="dxa"/>
            <w:vAlign w:val="center"/>
          </w:tcPr>
          <w:p w14:paraId="77F3A965" w14:textId="77777777" w:rsidR="00006C7E" w:rsidRPr="00721F7C" w:rsidRDefault="00006C7E" w:rsidP="00006C7E">
            <w:pPr>
              <w:spacing w:after="0" w:line="240" w:lineRule="auto"/>
              <w:rPr>
                <w:b w:val="0"/>
              </w:rPr>
            </w:pPr>
            <w:r w:rsidRPr="00721F7C">
              <w:rPr>
                <w:b w:val="0"/>
              </w:rPr>
              <w:t>Nombre de réfugiés et</w:t>
            </w:r>
          </w:p>
          <w:p w14:paraId="59B67ADB" w14:textId="77777777" w:rsidR="00006C7E" w:rsidRPr="00721F7C" w:rsidRDefault="00006C7E" w:rsidP="00006C7E">
            <w:pPr>
              <w:spacing w:after="0" w:line="240" w:lineRule="auto"/>
              <w:rPr>
                <w:b w:val="0"/>
              </w:rPr>
            </w:pPr>
            <w:r w:rsidRPr="00721F7C">
              <w:rPr>
                <w:b w:val="0"/>
              </w:rPr>
              <w:t xml:space="preserve">de personnes déplacées bénéficiant d’un appui à la réintégration socio-économique : </w:t>
            </w:r>
          </w:p>
        </w:tc>
        <w:tc>
          <w:tcPr>
            <w:tcW w:w="1080" w:type="dxa"/>
            <w:vAlign w:val="center"/>
          </w:tcPr>
          <w:p w14:paraId="48940471" w14:textId="77777777" w:rsidR="00006C7E" w:rsidRPr="00721F7C" w:rsidRDefault="00006C7E" w:rsidP="00006C7E">
            <w:pPr>
              <w:spacing w:after="0" w:line="240" w:lineRule="auto"/>
              <w:rPr>
                <w:b w:val="0"/>
              </w:rPr>
            </w:pPr>
            <w:r w:rsidRPr="00721F7C">
              <w:rPr>
                <w:b w:val="0"/>
              </w:rPr>
              <w:t>40 000</w:t>
            </w:r>
          </w:p>
        </w:tc>
        <w:tc>
          <w:tcPr>
            <w:tcW w:w="1134" w:type="dxa"/>
            <w:vAlign w:val="center"/>
          </w:tcPr>
          <w:p w14:paraId="717B3791" w14:textId="77777777" w:rsidR="00006C7E" w:rsidRPr="00721F7C" w:rsidRDefault="00006C7E" w:rsidP="00006C7E">
            <w:pPr>
              <w:spacing w:after="0" w:line="240" w:lineRule="auto"/>
              <w:rPr>
                <w:b w:val="0"/>
              </w:rPr>
            </w:pPr>
            <w:r w:rsidRPr="00721F7C">
              <w:rPr>
                <w:b w:val="0"/>
              </w:rPr>
              <w:t>265 740, dont 60 % de femmes</w:t>
            </w:r>
          </w:p>
        </w:tc>
        <w:tc>
          <w:tcPr>
            <w:tcW w:w="945" w:type="dxa"/>
            <w:shd w:val="clear" w:color="auto" w:fill="C9C9C9" w:themeFill="accent3" w:themeFillTint="99"/>
            <w:vAlign w:val="center"/>
          </w:tcPr>
          <w:p w14:paraId="1F0FB1AF" w14:textId="77777777" w:rsidR="00006C7E" w:rsidRPr="00721F7C" w:rsidRDefault="00006C7E" w:rsidP="00006C7E">
            <w:pPr>
              <w:spacing w:after="0" w:line="240" w:lineRule="auto"/>
              <w:rPr>
                <w:b w:val="0"/>
              </w:rPr>
            </w:pPr>
            <w:r w:rsidRPr="00721F7C">
              <w:rPr>
                <w:b w:val="0"/>
              </w:rPr>
              <w:t>???????</w:t>
            </w:r>
          </w:p>
        </w:tc>
        <w:tc>
          <w:tcPr>
            <w:tcW w:w="2233" w:type="dxa"/>
            <w:vAlign w:val="center"/>
          </w:tcPr>
          <w:p w14:paraId="382051BA" w14:textId="77777777" w:rsidR="00006C7E" w:rsidRPr="00721F7C" w:rsidRDefault="00006C7E" w:rsidP="00006C7E">
            <w:pPr>
              <w:numPr>
                <w:ilvl w:val="0"/>
                <w:numId w:val="9"/>
              </w:numPr>
              <w:spacing w:after="0" w:line="240" w:lineRule="auto"/>
              <w:rPr>
                <w:b w:val="0"/>
              </w:rPr>
            </w:pPr>
            <w:r w:rsidRPr="00721F7C">
              <w:rPr>
                <w:b w:val="0"/>
              </w:rPr>
              <w:t>Rapports d’exécution</w:t>
            </w:r>
          </w:p>
          <w:p w14:paraId="4AEC2D87" w14:textId="77777777" w:rsidR="00006C7E" w:rsidRPr="00721F7C" w:rsidRDefault="00006C7E" w:rsidP="00006C7E">
            <w:pPr>
              <w:numPr>
                <w:ilvl w:val="0"/>
                <w:numId w:val="9"/>
              </w:numPr>
              <w:spacing w:after="0" w:line="240" w:lineRule="auto"/>
              <w:rPr>
                <w:b w:val="0"/>
              </w:rPr>
            </w:pPr>
            <w:r w:rsidRPr="00721F7C">
              <w:rPr>
                <w:b w:val="0"/>
              </w:rPr>
              <w:t>Sources primaires</w:t>
            </w:r>
          </w:p>
        </w:tc>
        <w:tc>
          <w:tcPr>
            <w:tcW w:w="1923" w:type="dxa"/>
            <w:vAlign w:val="center"/>
          </w:tcPr>
          <w:p w14:paraId="619B6F87" w14:textId="77777777" w:rsidR="00006C7E" w:rsidRPr="00721F7C" w:rsidRDefault="00006C7E" w:rsidP="00006C7E">
            <w:pPr>
              <w:spacing w:after="0" w:line="240" w:lineRule="auto"/>
              <w:rPr>
                <w:b w:val="0"/>
              </w:rPr>
            </w:pPr>
            <w:r w:rsidRPr="00721F7C">
              <w:rPr>
                <w:b w:val="0"/>
              </w:rPr>
              <w:t>Information collectée au fur et mesure et consignée dans les rapports</w:t>
            </w:r>
          </w:p>
        </w:tc>
        <w:tc>
          <w:tcPr>
            <w:tcW w:w="2319" w:type="dxa"/>
            <w:vAlign w:val="center"/>
          </w:tcPr>
          <w:p w14:paraId="231285EE" w14:textId="77777777" w:rsidR="00006C7E" w:rsidRPr="00721F7C" w:rsidRDefault="00006C7E" w:rsidP="00006C7E">
            <w:pPr>
              <w:spacing w:after="0" w:line="240" w:lineRule="auto"/>
              <w:rPr>
                <w:b w:val="0"/>
              </w:rPr>
            </w:pPr>
            <w:r w:rsidRPr="00721F7C">
              <w:rPr>
                <w:b w:val="0"/>
              </w:rPr>
              <w:t>Sonder les acteurs et bénéficiaires du projet</w:t>
            </w:r>
          </w:p>
        </w:tc>
        <w:tc>
          <w:tcPr>
            <w:tcW w:w="2313" w:type="dxa"/>
            <w:vAlign w:val="center"/>
          </w:tcPr>
          <w:p w14:paraId="18A8C6EB" w14:textId="77777777" w:rsidR="00006C7E" w:rsidRPr="00721F7C" w:rsidRDefault="00006C7E" w:rsidP="00006C7E">
            <w:pPr>
              <w:spacing w:after="0" w:line="240" w:lineRule="auto"/>
              <w:rPr>
                <w:b w:val="0"/>
              </w:rPr>
            </w:pPr>
          </w:p>
        </w:tc>
      </w:tr>
    </w:tbl>
    <w:p w14:paraId="48817453" w14:textId="77777777" w:rsidR="00006C7E" w:rsidRDefault="00006C7E" w:rsidP="00006C7E">
      <w:pPr>
        <w:spacing w:after="0" w:line="240" w:lineRule="auto"/>
      </w:pPr>
    </w:p>
    <w:p w14:paraId="2958672D" w14:textId="77777777" w:rsidR="004F261E" w:rsidRDefault="004F261E" w:rsidP="00006C7E">
      <w:pPr>
        <w:spacing w:after="0" w:line="240" w:lineRule="auto"/>
      </w:pPr>
    </w:p>
    <w:p w14:paraId="3F7AE6B7" w14:textId="77777777" w:rsidR="004F261E" w:rsidRDefault="004F261E" w:rsidP="00006C7E">
      <w:pPr>
        <w:spacing w:after="0" w:line="240" w:lineRule="auto"/>
      </w:pPr>
    </w:p>
    <w:p w14:paraId="68F1CB40" w14:textId="77777777" w:rsidR="004F261E" w:rsidRPr="00006C7E" w:rsidRDefault="004F261E" w:rsidP="00006C7E">
      <w:pPr>
        <w:spacing w:after="0" w:line="240" w:lineRule="auto"/>
      </w:pPr>
    </w:p>
    <w:p w14:paraId="1F0F4F1D" w14:textId="77777777" w:rsidR="00006C7E" w:rsidRPr="00006C7E" w:rsidRDefault="00006C7E" w:rsidP="00006C7E">
      <w:pPr>
        <w:spacing w:after="0" w:line="240" w:lineRule="auto"/>
      </w:pPr>
    </w:p>
    <w:tbl>
      <w:tblPr>
        <w:tblStyle w:val="Grilledutableau"/>
        <w:tblW w:w="16113" w:type="dxa"/>
        <w:tblInd w:w="-885" w:type="dxa"/>
        <w:tblLayout w:type="fixed"/>
        <w:tblLook w:val="04A0" w:firstRow="1" w:lastRow="0" w:firstColumn="1" w:lastColumn="0" w:noHBand="0" w:noVBand="1"/>
      </w:tblPr>
      <w:tblGrid>
        <w:gridCol w:w="627"/>
        <w:gridCol w:w="2399"/>
        <w:gridCol w:w="1110"/>
        <w:gridCol w:w="543"/>
        <w:gridCol w:w="567"/>
        <w:gridCol w:w="1134"/>
        <w:gridCol w:w="945"/>
        <w:gridCol w:w="1323"/>
        <w:gridCol w:w="910"/>
        <w:gridCol w:w="1923"/>
        <w:gridCol w:w="1278"/>
        <w:gridCol w:w="1041"/>
        <w:gridCol w:w="2313"/>
      </w:tblGrid>
      <w:tr w:rsidR="00006C7E" w:rsidRPr="00721F7C" w14:paraId="194A88AB" w14:textId="77777777" w:rsidTr="00006C7E">
        <w:trPr>
          <w:trHeight w:val="378"/>
        </w:trPr>
        <w:tc>
          <w:tcPr>
            <w:tcW w:w="16113" w:type="dxa"/>
            <w:gridSpan w:val="13"/>
            <w:shd w:val="clear" w:color="auto" w:fill="D9D9D9" w:themeFill="background1" w:themeFillShade="D9"/>
            <w:vAlign w:val="center"/>
          </w:tcPr>
          <w:p w14:paraId="295ABE7D" w14:textId="77777777" w:rsidR="00006C7E" w:rsidRPr="00721F7C" w:rsidRDefault="00006C7E" w:rsidP="00006C7E">
            <w:pPr>
              <w:spacing w:after="0" w:line="240" w:lineRule="auto"/>
              <w:rPr>
                <w:b w:val="0"/>
                <w:u w:val="single"/>
              </w:rPr>
            </w:pPr>
            <w:r w:rsidRPr="00721F7C">
              <w:rPr>
                <w:b w:val="0"/>
                <w:u w:val="single"/>
              </w:rPr>
              <w:t>RESULTAT 2</w:t>
            </w:r>
          </w:p>
        </w:tc>
      </w:tr>
      <w:tr w:rsidR="00006C7E" w:rsidRPr="00721F7C" w14:paraId="2E660B31" w14:textId="77777777" w:rsidTr="00006C7E">
        <w:trPr>
          <w:trHeight w:val="378"/>
        </w:trPr>
        <w:tc>
          <w:tcPr>
            <w:tcW w:w="16113" w:type="dxa"/>
            <w:gridSpan w:val="13"/>
            <w:shd w:val="clear" w:color="auto" w:fill="D9D9D9" w:themeFill="background1" w:themeFillShade="D9"/>
            <w:vAlign w:val="center"/>
          </w:tcPr>
          <w:p w14:paraId="5B69D7FE" w14:textId="77777777" w:rsidR="00006C7E" w:rsidRPr="00721F7C" w:rsidRDefault="00006C7E" w:rsidP="00006C7E">
            <w:pPr>
              <w:spacing w:after="0" w:line="240" w:lineRule="auto"/>
              <w:rPr>
                <w:b w:val="0"/>
              </w:rPr>
            </w:pPr>
            <w:r w:rsidRPr="00721F7C">
              <w:rPr>
                <w:b w:val="0"/>
                <w:u w:val="single"/>
              </w:rPr>
              <w:lastRenderedPageBreak/>
              <w:t>Effet PNUAD/CPD visé</w:t>
            </w:r>
          </w:p>
          <w:p w14:paraId="06901D3E" w14:textId="77777777" w:rsidR="00006C7E" w:rsidRPr="00721F7C" w:rsidRDefault="00006C7E" w:rsidP="00006C7E">
            <w:pPr>
              <w:spacing w:after="0" w:line="240" w:lineRule="auto"/>
              <w:rPr>
                <w:b w:val="0"/>
              </w:rPr>
            </w:pPr>
            <w:r w:rsidRPr="00721F7C">
              <w:rPr>
                <w:b w:val="0"/>
              </w:rPr>
              <w:t>"D’ici à 2019, les populations vulnérables, en particulier les femmes et les jeunes, utilisent des capacités de production dans un environnement (naturel) sain qui est propice à la réduction de la pauvreté."</w:t>
            </w:r>
          </w:p>
          <w:p w14:paraId="61BE9190" w14:textId="77777777" w:rsidR="00006C7E" w:rsidRPr="00721F7C" w:rsidRDefault="00006C7E" w:rsidP="00006C7E">
            <w:pPr>
              <w:spacing w:after="0" w:line="240" w:lineRule="auto"/>
              <w:rPr>
                <w:b w:val="0"/>
                <w:u w:val="single"/>
              </w:rPr>
            </w:pPr>
            <w:r w:rsidRPr="00721F7C">
              <w:rPr>
                <w:b w:val="0"/>
                <w:u w:val="single"/>
              </w:rPr>
              <w:t xml:space="preserve">Priorité ou objectif national </w:t>
            </w:r>
            <w:r w:rsidRPr="00721F7C">
              <w:rPr>
                <w:b w:val="0"/>
              </w:rPr>
              <w:t>: Construire une économie émergente</w:t>
            </w:r>
          </w:p>
          <w:p w14:paraId="66E32A6F" w14:textId="77777777" w:rsidR="00006C7E" w:rsidRPr="00721F7C" w:rsidRDefault="00006C7E" w:rsidP="00006C7E">
            <w:pPr>
              <w:spacing w:after="0" w:line="240" w:lineRule="auto"/>
              <w:rPr>
                <w:b w:val="0"/>
                <w:u w:val="single"/>
              </w:rPr>
            </w:pPr>
            <w:r w:rsidRPr="00721F7C">
              <w:rPr>
                <w:b w:val="0"/>
                <w:u w:val="single"/>
              </w:rPr>
              <w:t xml:space="preserve">Résultat correspondant dans le plan stratégique 2014-2017: </w:t>
            </w:r>
            <w:r w:rsidRPr="00721F7C">
              <w:rPr>
                <w:b w:val="0"/>
              </w:rPr>
              <w:t>1) La croissance et le développement sont inclusifs et durables, générant les capacités de production nécessaires pour créer des emplois et des moyens d’existence pour les pauvres et les exclus</w:t>
            </w:r>
          </w:p>
          <w:p w14:paraId="33DFDE75" w14:textId="77777777" w:rsidR="00006C7E" w:rsidRPr="00721F7C" w:rsidRDefault="00006C7E" w:rsidP="00006C7E">
            <w:pPr>
              <w:spacing w:after="0" w:line="240" w:lineRule="auto"/>
              <w:rPr>
                <w:b w:val="0"/>
                <w:u w:val="single"/>
              </w:rPr>
            </w:pPr>
          </w:p>
        </w:tc>
      </w:tr>
      <w:tr w:rsidR="00006C7E" w:rsidRPr="00721F7C" w14:paraId="02F03CFF" w14:textId="77777777" w:rsidTr="00006C7E">
        <w:trPr>
          <w:trHeight w:val="57"/>
        </w:trPr>
        <w:tc>
          <w:tcPr>
            <w:tcW w:w="4679" w:type="dxa"/>
            <w:gridSpan w:val="4"/>
            <w:shd w:val="clear" w:color="auto" w:fill="D9D9D9" w:themeFill="background1" w:themeFillShade="D9"/>
            <w:vAlign w:val="center"/>
          </w:tcPr>
          <w:p w14:paraId="1BC824BB" w14:textId="77777777" w:rsidR="00006C7E" w:rsidRPr="00721F7C" w:rsidRDefault="00006C7E" w:rsidP="00006C7E">
            <w:pPr>
              <w:spacing w:after="0" w:line="240" w:lineRule="auto"/>
              <w:rPr>
                <w:b w:val="0"/>
              </w:rPr>
            </w:pPr>
            <w:r w:rsidRPr="00721F7C">
              <w:rPr>
                <w:b w:val="0"/>
              </w:rPr>
              <w:t>Indicateurs de résultat</w:t>
            </w:r>
          </w:p>
        </w:tc>
        <w:tc>
          <w:tcPr>
            <w:tcW w:w="3969" w:type="dxa"/>
            <w:gridSpan w:val="4"/>
            <w:shd w:val="clear" w:color="auto" w:fill="D9D9D9" w:themeFill="background1" w:themeFillShade="D9"/>
            <w:vAlign w:val="center"/>
          </w:tcPr>
          <w:p w14:paraId="6835C9D0" w14:textId="77777777" w:rsidR="00006C7E" w:rsidRPr="00721F7C" w:rsidRDefault="00006C7E" w:rsidP="00006C7E">
            <w:pPr>
              <w:spacing w:after="0" w:line="240" w:lineRule="auto"/>
              <w:rPr>
                <w:b w:val="0"/>
              </w:rPr>
            </w:pPr>
            <w:r w:rsidRPr="00721F7C">
              <w:rPr>
                <w:b w:val="0"/>
              </w:rPr>
              <w:t>Références</w:t>
            </w:r>
          </w:p>
        </w:tc>
        <w:tc>
          <w:tcPr>
            <w:tcW w:w="4111" w:type="dxa"/>
            <w:gridSpan w:val="3"/>
            <w:shd w:val="clear" w:color="auto" w:fill="D9D9D9" w:themeFill="background1" w:themeFillShade="D9"/>
            <w:vAlign w:val="center"/>
          </w:tcPr>
          <w:p w14:paraId="728C0D05" w14:textId="77777777" w:rsidR="00006C7E" w:rsidRPr="00721F7C" w:rsidRDefault="00006C7E" w:rsidP="00006C7E">
            <w:pPr>
              <w:spacing w:after="0" w:line="240" w:lineRule="auto"/>
              <w:rPr>
                <w:b w:val="0"/>
              </w:rPr>
            </w:pPr>
            <w:r w:rsidRPr="00721F7C">
              <w:rPr>
                <w:b w:val="0"/>
              </w:rPr>
              <w:t>Cibles</w:t>
            </w:r>
          </w:p>
        </w:tc>
        <w:tc>
          <w:tcPr>
            <w:tcW w:w="3354" w:type="dxa"/>
            <w:gridSpan w:val="2"/>
            <w:shd w:val="clear" w:color="auto" w:fill="D9D9D9" w:themeFill="background1" w:themeFillShade="D9"/>
            <w:vAlign w:val="center"/>
          </w:tcPr>
          <w:p w14:paraId="01DC7E91" w14:textId="77777777" w:rsidR="00006C7E" w:rsidRPr="00721F7C" w:rsidRDefault="00006C7E" w:rsidP="00006C7E">
            <w:pPr>
              <w:spacing w:after="0" w:line="240" w:lineRule="auto"/>
              <w:rPr>
                <w:b w:val="0"/>
              </w:rPr>
            </w:pPr>
            <w:r w:rsidRPr="00721F7C">
              <w:rPr>
                <w:b w:val="0"/>
              </w:rPr>
              <w:t>Observations</w:t>
            </w:r>
          </w:p>
        </w:tc>
      </w:tr>
      <w:tr w:rsidR="00006C7E" w:rsidRPr="00721F7C" w14:paraId="2C52CD53" w14:textId="77777777" w:rsidTr="00006C7E">
        <w:trPr>
          <w:trHeight w:val="53"/>
        </w:trPr>
        <w:tc>
          <w:tcPr>
            <w:tcW w:w="4679" w:type="dxa"/>
            <w:gridSpan w:val="4"/>
            <w:shd w:val="clear" w:color="auto" w:fill="D9D9D9" w:themeFill="background1" w:themeFillShade="D9"/>
          </w:tcPr>
          <w:p w14:paraId="5560BE95" w14:textId="77777777" w:rsidR="00006C7E" w:rsidRPr="00721F7C" w:rsidRDefault="00006C7E" w:rsidP="00006C7E">
            <w:pPr>
              <w:spacing w:after="0" w:line="240" w:lineRule="auto"/>
              <w:rPr>
                <w:b w:val="0"/>
              </w:rPr>
            </w:pPr>
            <w:r w:rsidRPr="00721F7C">
              <w:rPr>
                <w:b w:val="0"/>
              </w:rPr>
              <w:t>Taux de chômage</w:t>
            </w:r>
          </w:p>
        </w:tc>
        <w:tc>
          <w:tcPr>
            <w:tcW w:w="3969" w:type="dxa"/>
            <w:gridSpan w:val="4"/>
            <w:shd w:val="clear" w:color="auto" w:fill="D9D9D9" w:themeFill="background1" w:themeFillShade="D9"/>
          </w:tcPr>
          <w:p w14:paraId="7B7C3097" w14:textId="77777777" w:rsidR="00006C7E" w:rsidRPr="00721F7C" w:rsidRDefault="00006C7E" w:rsidP="00006C7E">
            <w:pPr>
              <w:spacing w:after="0" w:line="240" w:lineRule="auto"/>
              <w:rPr>
                <w:b w:val="0"/>
              </w:rPr>
            </w:pPr>
            <w:r w:rsidRPr="00721F7C">
              <w:rPr>
                <w:b w:val="0"/>
              </w:rPr>
              <w:t>13,5 % (estimation)</w:t>
            </w:r>
          </w:p>
        </w:tc>
        <w:tc>
          <w:tcPr>
            <w:tcW w:w="4111" w:type="dxa"/>
            <w:gridSpan w:val="3"/>
            <w:shd w:val="clear" w:color="auto" w:fill="D9D9D9" w:themeFill="background1" w:themeFillShade="D9"/>
          </w:tcPr>
          <w:p w14:paraId="6660FA94" w14:textId="77777777" w:rsidR="00006C7E" w:rsidRPr="00721F7C" w:rsidRDefault="00006C7E" w:rsidP="00006C7E">
            <w:pPr>
              <w:spacing w:after="0" w:line="240" w:lineRule="auto"/>
              <w:rPr>
                <w:b w:val="0"/>
              </w:rPr>
            </w:pPr>
            <w:r w:rsidRPr="00721F7C">
              <w:rPr>
                <w:b w:val="0"/>
              </w:rPr>
              <w:t>Réduction de 2 % par an</w:t>
            </w:r>
          </w:p>
        </w:tc>
        <w:tc>
          <w:tcPr>
            <w:tcW w:w="3354" w:type="dxa"/>
            <w:gridSpan w:val="2"/>
            <w:shd w:val="clear" w:color="auto" w:fill="D9D9D9" w:themeFill="background1" w:themeFillShade="D9"/>
            <w:vAlign w:val="center"/>
          </w:tcPr>
          <w:p w14:paraId="3179E4FF" w14:textId="77777777" w:rsidR="00006C7E" w:rsidRPr="00721F7C" w:rsidRDefault="00006C7E" w:rsidP="00006C7E">
            <w:pPr>
              <w:spacing w:after="0" w:line="240" w:lineRule="auto"/>
              <w:rPr>
                <w:b w:val="0"/>
              </w:rPr>
            </w:pPr>
          </w:p>
        </w:tc>
      </w:tr>
      <w:tr w:rsidR="00006C7E" w:rsidRPr="00721F7C" w14:paraId="27604FDD" w14:textId="77777777" w:rsidTr="00006C7E">
        <w:trPr>
          <w:trHeight w:val="53"/>
        </w:trPr>
        <w:tc>
          <w:tcPr>
            <w:tcW w:w="4679" w:type="dxa"/>
            <w:gridSpan w:val="4"/>
            <w:shd w:val="clear" w:color="auto" w:fill="D9D9D9" w:themeFill="background1" w:themeFillShade="D9"/>
          </w:tcPr>
          <w:p w14:paraId="7F9BB5F3" w14:textId="77777777" w:rsidR="00006C7E" w:rsidRPr="00721F7C" w:rsidRDefault="00006C7E" w:rsidP="00006C7E">
            <w:pPr>
              <w:spacing w:after="0" w:line="240" w:lineRule="auto"/>
              <w:rPr>
                <w:b w:val="0"/>
              </w:rPr>
            </w:pPr>
            <w:r w:rsidRPr="00721F7C">
              <w:rPr>
                <w:b w:val="0"/>
              </w:rPr>
              <w:t>Taux de croissance</w:t>
            </w:r>
          </w:p>
        </w:tc>
        <w:tc>
          <w:tcPr>
            <w:tcW w:w="3969" w:type="dxa"/>
            <w:gridSpan w:val="4"/>
            <w:shd w:val="clear" w:color="auto" w:fill="D9D9D9" w:themeFill="background1" w:themeFillShade="D9"/>
          </w:tcPr>
          <w:p w14:paraId="13A03273" w14:textId="77777777" w:rsidR="00006C7E" w:rsidRPr="00721F7C" w:rsidRDefault="00006C7E" w:rsidP="00006C7E">
            <w:pPr>
              <w:spacing w:after="0" w:line="240" w:lineRule="auto"/>
              <w:rPr>
                <w:b w:val="0"/>
              </w:rPr>
            </w:pPr>
            <w:r w:rsidRPr="00721F7C">
              <w:rPr>
                <w:b w:val="0"/>
              </w:rPr>
              <w:t>1,7 % (en 2013)</w:t>
            </w:r>
          </w:p>
        </w:tc>
        <w:tc>
          <w:tcPr>
            <w:tcW w:w="4111" w:type="dxa"/>
            <w:gridSpan w:val="3"/>
            <w:shd w:val="clear" w:color="auto" w:fill="D9D9D9" w:themeFill="background1" w:themeFillShade="D9"/>
          </w:tcPr>
          <w:p w14:paraId="03BC3355" w14:textId="77777777" w:rsidR="00006C7E" w:rsidRPr="00721F7C" w:rsidRDefault="00006C7E" w:rsidP="00006C7E">
            <w:pPr>
              <w:spacing w:after="0" w:line="240" w:lineRule="auto"/>
              <w:rPr>
                <w:b w:val="0"/>
              </w:rPr>
            </w:pPr>
            <w:r w:rsidRPr="00721F7C">
              <w:rPr>
                <w:b w:val="0"/>
              </w:rPr>
              <w:t>7 %</w:t>
            </w:r>
          </w:p>
        </w:tc>
        <w:tc>
          <w:tcPr>
            <w:tcW w:w="3354" w:type="dxa"/>
            <w:gridSpan w:val="2"/>
            <w:shd w:val="clear" w:color="auto" w:fill="D9D9D9" w:themeFill="background1" w:themeFillShade="D9"/>
            <w:vAlign w:val="center"/>
          </w:tcPr>
          <w:p w14:paraId="6609F747" w14:textId="77777777" w:rsidR="00006C7E" w:rsidRPr="00721F7C" w:rsidRDefault="00006C7E" w:rsidP="00006C7E">
            <w:pPr>
              <w:spacing w:after="0" w:line="240" w:lineRule="auto"/>
              <w:rPr>
                <w:b w:val="0"/>
              </w:rPr>
            </w:pPr>
          </w:p>
        </w:tc>
      </w:tr>
      <w:tr w:rsidR="00006C7E" w:rsidRPr="00721F7C" w14:paraId="46F85FFA" w14:textId="77777777" w:rsidTr="00006C7E">
        <w:trPr>
          <w:trHeight w:val="53"/>
        </w:trPr>
        <w:tc>
          <w:tcPr>
            <w:tcW w:w="4679" w:type="dxa"/>
            <w:gridSpan w:val="4"/>
            <w:shd w:val="clear" w:color="auto" w:fill="D9D9D9" w:themeFill="background1" w:themeFillShade="D9"/>
          </w:tcPr>
          <w:p w14:paraId="34E4886F" w14:textId="77777777" w:rsidR="00006C7E" w:rsidRPr="00721F7C" w:rsidRDefault="00006C7E" w:rsidP="00006C7E">
            <w:pPr>
              <w:spacing w:after="0" w:line="240" w:lineRule="auto"/>
              <w:rPr>
                <w:b w:val="0"/>
              </w:rPr>
            </w:pPr>
            <w:r w:rsidRPr="00721F7C">
              <w:rPr>
                <w:b w:val="0"/>
              </w:rPr>
              <w:t>Taux de pauvreté</w:t>
            </w:r>
          </w:p>
        </w:tc>
        <w:tc>
          <w:tcPr>
            <w:tcW w:w="3969" w:type="dxa"/>
            <w:gridSpan w:val="4"/>
            <w:shd w:val="clear" w:color="auto" w:fill="D9D9D9" w:themeFill="background1" w:themeFillShade="D9"/>
          </w:tcPr>
          <w:p w14:paraId="3E52D82D" w14:textId="77777777" w:rsidR="00006C7E" w:rsidRPr="00721F7C" w:rsidRDefault="00006C7E" w:rsidP="00006C7E">
            <w:pPr>
              <w:spacing w:after="0" w:line="240" w:lineRule="auto"/>
              <w:rPr>
                <w:b w:val="0"/>
              </w:rPr>
            </w:pPr>
            <w:r w:rsidRPr="00721F7C">
              <w:rPr>
                <w:b w:val="0"/>
              </w:rPr>
              <w:t>43,6 %</w:t>
            </w:r>
          </w:p>
        </w:tc>
        <w:tc>
          <w:tcPr>
            <w:tcW w:w="4111" w:type="dxa"/>
            <w:gridSpan w:val="3"/>
            <w:shd w:val="clear" w:color="auto" w:fill="D9D9D9" w:themeFill="background1" w:themeFillShade="D9"/>
          </w:tcPr>
          <w:p w14:paraId="0B3C05A0" w14:textId="77777777" w:rsidR="00006C7E" w:rsidRPr="00721F7C" w:rsidRDefault="00006C7E" w:rsidP="00006C7E">
            <w:pPr>
              <w:spacing w:after="0" w:line="240" w:lineRule="auto"/>
              <w:rPr>
                <w:b w:val="0"/>
              </w:rPr>
            </w:pPr>
            <w:r w:rsidRPr="00721F7C">
              <w:rPr>
                <w:b w:val="0"/>
              </w:rPr>
              <w:t>21 %</w:t>
            </w:r>
          </w:p>
        </w:tc>
        <w:tc>
          <w:tcPr>
            <w:tcW w:w="3354" w:type="dxa"/>
            <w:gridSpan w:val="2"/>
            <w:shd w:val="clear" w:color="auto" w:fill="D9D9D9" w:themeFill="background1" w:themeFillShade="D9"/>
            <w:vAlign w:val="center"/>
          </w:tcPr>
          <w:p w14:paraId="18B08559" w14:textId="77777777" w:rsidR="00006C7E" w:rsidRPr="00721F7C" w:rsidRDefault="00006C7E" w:rsidP="00006C7E">
            <w:pPr>
              <w:spacing w:after="0" w:line="240" w:lineRule="auto"/>
              <w:rPr>
                <w:b w:val="0"/>
              </w:rPr>
            </w:pPr>
          </w:p>
        </w:tc>
      </w:tr>
      <w:tr w:rsidR="00006C7E" w:rsidRPr="00721F7C" w14:paraId="3F3CF30F" w14:textId="77777777" w:rsidTr="00006C7E">
        <w:trPr>
          <w:trHeight w:val="53"/>
        </w:trPr>
        <w:tc>
          <w:tcPr>
            <w:tcW w:w="4679" w:type="dxa"/>
            <w:gridSpan w:val="4"/>
            <w:shd w:val="clear" w:color="auto" w:fill="D9D9D9" w:themeFill="background1" w:themeFillShade="D9"/>
          </w:tcPr>
          <w:p w14:paraId="4186DFF3" w14:textId="77777777" w:rsidR="00006C7E" w:rsidRPr="00721F7C" w:rsidRDefault="00006C7E" w:rsidP="00006C7E">
            <w:pPr>
              <w:spacing w:after="0" w:line="240" w:lineRule="auto"/>
              <w:rPr>
                <w:b w:val="0"/>
              </w:rPr>
            </w:pPr>
            <w:r w:rsidRPr="00721F7C">
              <w:rPr>
                <w:b w:val="0"/>
              </w:rPr>
              <w:t>Part du budget national</w:t>
            </w:r>
          </w:p>
        </w:tc>
        <w:tc>
          <w:tcPr>
            <w:tcW w:w="3969" w:type="dxa"/>
            <w:gridSpan w:val="4"/>
            <w:shd w:val="clear" w:color="auto" w:fill="D9D9D9" w:themeFill="background1" w:themeFillShade="D9"/>
          </w:tcPr>
          <w:p w14:paraId="6E4A36DB" w14:textId="77777777" w:rsidR="00006C7E" w:rsidRPr="00721F7C" w:rsidRDefault="00006C7E" w:rsidP="00006C7E">
            <w:pPr>
              <w:spacing w:after="0" w:line="240" w:lineRule="auto"/>
              <w:rPr>
                <w:b w:val="0"/>
              </w:rPr>
            </w:pPr>
            <w:r w:rsidRPr="00721F7C">
              <w:rPr>
                <w:b w:val="0"/>
              </w:rPr>
              <w:t>1%</w:t>
            </w:r>
          </w:p>
        </w:tc>
        <w:tc>
          <w:tcPr>
            <w:tcW w:w="4111" w:type="dxa"/>
            <w:gridSpan w:val="3"/>
            <w:shd w:val="clear" w:color="auto" w:fill="D9D9D9" w:themeFill="background1" w:themeFillShade="D9"/>
          </w:tcPr>
          <w:p w14:paraId="302757A3" w14:textId="77777777" w:rsidR="00006C7E" w:rsidRPr="00721F7C" w:rsidRDefault="00006C7E" w:rsidP="00006C7E">
            <w:pPr>
              <w:spacing w:after="0" w:line="240" w:lineRule="auto"/>
              <w:rPr>
                <w:b w:val="0"/>
              </w:rPr>
            </w:pPr>
            <w:r w:rsidRPr="00721F7C">
              <w:rPr>
                <w:b w:val="0"/>
              </w:rPr>
              <w:t>4,8%</w:t>
            </w:r>
          </w:p>
        </w:tc>
        <w:tc>
          <w:tcPr>
            <w:tcW w:w="3354" w:type="dxa"/>
            <w:gridSpan w:val="2"/>
            <w:shd w:val="clear" w:color="auto" w:fill="D9D9D9" w:themeFill="background1" w:themeFillShade="D9"/>
            <w:vAlign w:val="center"/>
          </w:tcPr>
          <w:p w14:paraId="7059C73A" w14:textId="77777777" w:rsidR="00006C7E" w:rsidRPr="00721F7C" w:rsidRDefault="00006C7E" w:rsidP="00006C7E">
            <w:pPr>
              <w:spacing w:after="0" w:line="240" w:lineRule="auto"/>
              <w:rPr>
                <w:b w:val="0"/>
              </w:rPr>
            </w:pPr>
          </w:p>
        </w:tc>
      </w:tr>
      <w:tr w:rsidR="00006C7E" w:rsidRPr="00721F7C" w14:paraId="2686C452" w14:textId="77777777" w:rsidTr="00006C7E">
        <w:trPr>
          <w:trHeight w:val="53"/>
        </w:trPr>
        <w:tc>
          <w:tcPr>
            <w:tcW w:w="4679" w:type="dxa"/>
            <w:gridSpan w:val="4"/>
            <w:shd w:val="clear" w:color="auto" w:fill="D9D9D9" w:themeFill="background1" w:themeFillShade="D9"/>
            <w:vAlign w:val="center"/>
          </w:tcPr>
          <w:p w14:paraId="20454B03" w14:textId="77777777" w:rsidR="00006C7E" w:rsidRPr="00721F7C" w:rsidRDefault="00006C7E" w:rsidP="00006C7E">
            <w:pPr>
              <w:spacing w:after="0" w:line="240" w:lineRule="auto"/>
              <w:rPr>
                <w:b w:val="0"/>
              </w:rPr>
            </w:pPr>
            <w:r w:rsidRPr="00721F7C">
              <w:rPr>
                <w:b w:val="0"/>
              </w:rPr>
              <w:t>Classement Doing Business (objectif à déterminer)</w:t>
            </w:r>
          </w:p>
        </w:tc>
        <w:tc>
          <w:tcPr>
            <w:tcW w:w="3969" w:type="dxa"/>
            <w:gridSpan w:val="4"/>
            <w:shd w:val="clear" w:color="auto" w:fill="D9D9D9" w:themeFill="background1" w:themeFillShade="D9"/>
            <w:vAlign w:val="center"/>
          </w:tcPr>
          <w:p w14:paraId="1D5B6D49" w14:textId="77777777" w:rsidR="00006C7E" w:rsidRPr="00721F7C" w:rsidRDefault="00006C7E" w:rsidP="00006C7E">
            <w:pPr>
              <w:spacing w:after="0" w:line="240" w:lineRule="auto"/>
              <w:rPr>
                <w:b w:val="0"/>
              </w:rPr>
            </w:pPr>
          </w:p>
        </w:tc>
        <w:tc>
          <w:tcPr>
            <w:tcW w:w="4111" w:type="dxa"/>
            <w:gridSpan w:val="3"/>
            <w:shd w:val="clear" w:color="auto" w:fill="D9D9D9" w:themeFill="background1" w:themeFillShade="D9"/>
            <w:vAlign w:val="center"/>
          </w:tcPr>
          <w:p w14:paraId="577C5007" w14:textId="77777777" w:rsidR="00006C7E" w:rsidRPr="00721F7C" w:rsidRDefault="00006C7E" w:rsidP="00006C7E">
            <w:pPr>
              <w:spacing w:after="0" w:line="240" w:lineRule="auto"/>
              <w:rPr>
                <w:b w:val="0"/>
              </w:rPr>
            </w:pPr>
          </w:p>
        </w:tc>
        <w:tc>
          <w:tcPr>
            <w:tcW w:w="3354" w:type="dxa"/>
            <w:gridSpan w:val="2"/>
            <w:shd w:val="clear" w:color="auto" w:fill="D9D9D9" w:themeFill="background1" w:themeFillShade="D9"/>
            <w:vAlign w:val="center"/>
          </w:tcPr>
          <w:p w14:paraId="5716F375" w14:textId="77777777" w:rsidR="00006C7E" w:rsidRPr="00721F7C" w:rsidRDefault="00006C7E" w:rsidP="00006C7E">
            <w:pPr>
              <w:spacing w:after="0" w:line="240" w:lineRule="auto"/>
              <w:rPr>
                <w:b w:val="0"/>
              </w:rPr>
            </w:pPr>
          </w:p>
        </w:tc>
      </w:tr>
      <w:tr w:rsidR="00006C7E" w:rsidRPr="00721F7C" w14:paraId="2E0171CB" w14:textId="77777777" w:rsidTr="00006C7E">
        <w:trPr>
          <w:trHeight w:val="53"/>
        </w:trPr>
        <w:tc>
          <w:tcPr>
            <w:tcW w:w="4679" w:type="dxa"/>
            <w:gridSpan w:val="4"/>
            <w:shd w:val="clear" w:color="auto" w:fill="D9D9D9" w:themeFill="background1" w:themeFillShade="D9"/>
            <w:vAlign w:val="center"/>
          </w:tcPr>
          <w:p w14:paraId="1B263816" w14:textId="77777777" w:rsidR="00006C7E" w:rsidRPr="00721F7C" w:rsidRDefault="00006C7E" w:rsidP="00006C7E">
            <w:pPr>
              <w:spacing w:after="0" w:line="240" w:lineRule="auto"/>
              <w:rPr>
                <w:b w:val="0"/>
              </w:rPr>
            </w:pPr>
            <w:r w:rsidRPr="00721F7C">
              <w:rPr>
                <w:b w:val="0"/>
              </w:rPr>
              <w:t xml:space="preserve">Taux d’insécurité alimentaire </w:t>
            </w:r>
          </w:p>
        </w:tc>
        <w:tc>
          <w:tcPr>
            <w:tcW w:w="3969" w:type="dxa"/>
            <w:gridSpan w:val="4"/>
            <w:shd w:val="clear" w:color="auto" w:fill="D9D9D9" w:themeFill="background1" w:themeFillShade="D9"/>
            <w:vAlign w:val="center"/>
          </w:tcPr>
          <w:p w14:paraId="2442639C" w14:textId="77777777" w:rsidR="00006C7E" w:rsidRPr="00721F7C" w:rsidRDefault="00006C7E" w:rsidP="00006C7E">
            <w:pPr>
              <w:spacing w:after="0" w:line="240" w:lineRule="auto"/>
              <w:rPr>
                <w:b w:val="0"/>
              </w:rPr>
            </w:pPr>
            <w:r w:rsidRPr="00721F7C">
              <w:rPr>
                <w:b w:val="0"/>
              </w:rPr>
              <w:t>29%</w:t>
            </w:r>
          </w:p>
        </w:tc>
        <w:tc>
          <w:tcPr>
            <w:tcW w:w="4111" w:type="dxa"/>
            <w:gridSpan w:val="3"/>
            <w:shd w:val="clear" w:color="auto" w:fill="D9D9D9" w:themeFill="background1" w:themeFillShade="D9"/>
            <w:vAlign w:val="center"/>
          </w:tcPr>
          <w:p w14:paraId="21F41351" w14:textId="77777777" w:rsidR="00006C7E" w:rsidRPr="00721F7C" w:rsidRDefault="00006C7E" w:rsidP="00006C7E">
            <w:pPr>
              <w:spacing w:after="0" w:line="240" w:lineRule="auto"/>
              <w:rPr>
                <w:b w:val="0"/>
              </w:rPr>
            </w:pPr>
            <w:r w:rsidRPr="00721F7C">
              <w:rPr>
                <w:b w:val="0"/>
              </w:rPr>
              <w:t>14%</w:t>
            </w:r>
          </w:p>
        </w:tc>
        <w:tc>
          <w:tcPr>
            <w:tcW w:w="3354" w:type="dxa"/>
            <w:gridSpan w:val="2"/>
            <w:shd w:val="clear" w:color="auto" w:fill="D9D9D9" w:themeFill="background1" w:themeFillShade="D9"/>
            <w:vAlign w:val="center"/>
          </w:tcPr>
          <w:p w14:paraId="2B95D462" w14:textId="77777777" w:rsidR="00006C7E" w:rsidRPr="00721F7C" w:rsidRDefault="00006C7E" w:rsidP="00006C7E">
            <w:pPr>
              <w:spacing w:after="0" w:line="240" w:lineRule="auto"/>
              <w:rPr>
                <w:b w:val="0"/>
              </w:rPr>
            </w:pPr>
          </w:p>
        </w:tc>
      </w:tr>
      <w:tr w:rsidR="00006C7E" w:rsidRPr="00721F7C" w14:paraId="11127225" w14:textId="77777777" w:rsidTr="00006C7E">
        <w:trPr>
          <w:trHeight w:val="53"/>
        </w:trPr>
        <w:tc>
          <w:tcPr>
            <w:tcW w:w="4679" w:type="dxa"/>
            <w:gridSpan w:val="4"/>
            <w:shd w:val="clear" w:color="auto" w:fill="D9D9D9" w:themeFill="background1" w:themeFillShade="D9"/>
            <w:vAlign w:val="center"/>
          </w:tcPr>
          <w:p w14:paraId="08774973" w14:textId="77777777" w:rsidR="00006C7E" w:rsidRPr="00721F7C" w:rsidRDefault="00006C7E" w:rsidP="00006C7E">
            <w:pPr>
              <w:spacing w:after="0" w:line="240" w:lineRule="auto"/>
              <w:rPr>
                <w:b w:val="0"/>
              </w:rPr>
            </w:pPr>
            <w:r w:rsidRPr="00721F7C">
              <w:rPr>
                <w:b w:val="0"/>
              </w:rPr>
              <w:t>Part du budget consacrée à la réduction des effets négatifs de l’environnement sur l’économie</w:t>
            </w:r>
          </w:p>
        </w:tc>
        <w:tc>
          <w:tcPr>
            <w:tcW w:w="3969" w:type="dxa"/>
            <w:gridSpan w:val="4"/>
            <w:shd w:val="clear" w:color="auto" w:fill="D9D9D9" w:themeFill="background1" w:themeFillShade="D9"/>
            <w:vAlign w:val="center"/>
          </w:tcPr>
          <w:p w14:paraId="634965F1" w14:textId="77777777" w:rsidR="00006C7E" w:rsidRPr="00721F7C" w:rsidRDefault="00006C7E" w:rsidP="00006C7E">
            <w:pPr>
              <w:spacing w:after="0" w:line="240" w:lineRule="auto"/>
              <w:rPr>
                <w:b w:val="0"/>
              </w:rPr>
            </w:pPr>
            <w:r w:rsidRPr="00721F7C">
              <w:rPr>
                <w:b w:val="0"/>
              </w:rPr>
              <w:t>1%</w:t>
            </w:r>
          </w:p>
        </w:tc>
        <w:tc>
          <w:tcPr>
            <w:tcW w:w="4111" w:type="dxa"/>
            <w:gridSpan w:val="3"/>
            <w:shd w:val="clear" w:color="auto" w:fill="D9D9D9" w:themeFill="background1" w:themeFillShade="D9"/>
            <w:vAlign w:val="center"/>
          </w:tcPr>
          <w:p w14:paraId="11D8ABFD" w14:textId="77777777" w:rsidR="00006C7E" w:rsidRPr="00721F7C" w:rsidRDefault="00006C7E" w:rsidP="00006C7E">
            <w:pPr>
              <w:spacing w:after="0" w:line="240" w:lineRule="auto"/>
              <w:rPr>
                <w:b w:val="0"/>
              </w:rPr>
            </w:pPr>
            <w:r w:rsidRPr="00721F7C">
              <w:rPr>
                <w:b w:val="0"/>
              </w:rPr>
              <w:t>4,5%</w:t>
            </w:r>
          </w:p>
        </w:tc>
        <w:tc>
          <w:tcPr>
            <w:tcW w:w="3354" w:type="dxa"/>
            <w:gridSpan w:val="2"/>
            <w:shd w:val="clear" w:color="auto" w:fill="D9D9D9" w:themeFill="background1" w:themeFillShade="D9"/>
            <w:vAlign w:val="center"/>
          </w:tcPr>
          <w:p w14:paraId="404ACFCB" w14:textId="77777777" w:rsidR="00006C7E" w:rsidRPr="00721F7C" w:rsidRDefault="00006C7E" w:rsidP="00006C7E">
            <w:pPr>
              <w:spacing w:after="0" w:line="240" w:lineRule="auto"/>
              <w:rPr>
                <w:b w:val="0"/>
              </w:rPr>
            </w:pPr>
          </w:p>
        </w:tc>
      </w:tr>
      <w:tr w:rsidR="00006C7E" w:rsidRPr="00721F7C" w14:paraId="3A9E660D" w14:textId="77777777" w:rsidTr="00006C7E">
        <w:tc>
          <w:tcPr>
            <w:tcW w:w="16113" w:type="dxa"/>
            <w:gridSpan w:val="13"/>
            <w:shd w:val="clear" w:color="auto" w:fill="C9C9C9" w:themeFill="accent3" w:themeFillTint="99"/>
            <w:vAlign w:val="center"/>
          </w:tcPr>
          <w:p w14:paraId="0BB1AF4A" w14:textId="77777777" w:rsidR="00006C7E" w:rsidRPr="00721F7C" w:rsidRDefault="00006C7E" w:rsidP="00006C7E">
            <w:pPr>
              <w:spacing w:after="0" w:line="240" w:lineRule="auto"/>
              <w:rPr>
                <w:b w:val="0"/>
              </w:rPr>
            </w:pPr>
            <w:r w:rsidRPr="00721F7C">
              <w:rPr>
                <w:b w:val="0"/>
              </w:rPr>
              <w:t>Performances Niveau Produits</w:t>
            </w:r>
          </w:p>
        </w:tc>
      </w:tr>
      <w:tr w:rsidR="00006C7E" w:rsidRPr="00721F7C" w14:paraId="74E8FE9A" w14:textId="77777777" w:rsidTr="00006C7E">
        <w:tc>
          <w:tcPr>
            <w:tcW w:w="627" w:type="dxa"/>
            <w:vMerge w:val="restart"/>
            <w:shd w:val="clear" w:color="auto" w:fill="D9D9D9" w:themeFill="background1" w:themeFillShade="D9"/>
            <w:vAlign w:val="center"/>
          </w:tcPr>
          <w:p w14:paraId="69BDD517" w14:textId="77777777" w:rsidR="00006C7E" w:rsidRPr="00721F7C" w:rsidRDefault="00006C7E" w:rsidP="00006C7E">
            <w:pPr>
              <w:spacing w:after="0" w:line="240" w:lineRule="auto"/>
              <w:rPr>
                <w:b w:val="0"/>
              </w:rPr>
            </w:pPr>
            <w:r w:rsidRPr="00721F7C">
              <w:rPr>
                <w:b w:val="0"/>
              </w:rPr>
              <w:t>N°</w:t>
            </w:r>
          </w:p>
        </w:tc>
        <w:tc>
          <w:tcPr>
            <w:tcW w:w="2399" w:type="dxa"/>
            <w:vMerge w:val="restart"/>
            <w:vAlign w:val="center"/>
          </w:tcPr>
          <w:p w14:paraId="32A4C16D" w14:textId="77777777" w:rsidR="00006C7E" w:rsidRPr="00721F7C" w:rsidRDefault="00006C7E" w:rsidP="00006C7E">
            <w:pPr>
              <w:spacing w:after="0" w:line="240" w:lineRule="auto"/>
              <w:rPr>
                <w:b w:val="0"/>
              </w:rPr>
            </w:pPr>
            <w:r w:rsidRPr="00721F7C">
              <w:rPr>
                <w:b w:val="0"/>
              </w:rPr>
              <w:t>Produits</w:t>
            </w:r>
          </w:p>
        </w:tc>
        <w:tc>
          <w:tcPr>
            <w:tcW w:w="4299" w:type="dxa"/>
            <w:gridSpan w:val="5"/>
            <w:vAlign w:val="center"/>
          </w:tcPr>
          <w:p w14:paraId="759D45EA" w14:textId="77777777" w:rsidR="00006C7E" w:rsidRPr="00721F7C" w:rsidRDefault="00006C7E" w:rsidP="00006C7E">
            <w:pPr>
              <w:spacing w:after="0" w:line="240" w:lineRule="auto"/>
              <w:rPr>
                <w:b w:val="0"/>
              </w:rPr>
            </w:pPr>
            <w:r w:rsidRPr="00721F7C">
              <w:rPr>
                <w:b w:val="0"/>
              </w:rPr>
              <w:t>Indicateurs</w:t>
            </w:r>
          </w:p>
        </w:tc>
        <w:tc>
          <w:tcPr>
            <w:tcW w:w="2233" w:type="dxa"/>
            <w:gridSpan w:val="2"/>
            <w:vMerge w:val="restart"/>
            <w:vAlign w:val="center"/>
          </w:tcPr>
          <w:p w14:paraId="2D90219D" w14:textId="77777777" w:rsidR="00006C7E" w:rsidRPr="00721F7C" w:rsidRDefault="00006C7E" w:rsidP="00006C7E">
            <w:pPr>
              <w:spacing w:after="0" w:line="240" w:lineRule="auto"/>
              <w:rPr>
                <w:b w:val="0"/>
              </w:rPr>
            </w:pPr>
            <w:r w:rsidRPr="00721F7C">
              <w:rPr>
                <w:b w:val="0"/>
              </w:rPr>
              <w:t>Source</w:t>
            </w:r>
          </w:p>
        </w:tc>
        <w:tc>
          <w:tcPr>
            <w:tcW w:w="1923" w:type="dxa"/>
            <w:vMerge w:val="restart"/>
            <w:vAlign w:val="center"/>
          </w:tcPr>
          <w:p w14:paraId="0D664467" w14:textId="77777777" w:rsidR="00006C7E" w:rsidRPr="00721F7C" w:rsidRDefault="00006C7E" w:rsidP="00006C7E">
            <w:pPr>
              <w:spacing w:after="0" w:line="240" w:lineRule="auto"/>
              <w:rPr>
                <w:b w:val="0"/>
              </w:rPr>
            </w:pPr>
            <w:r w:rsidRPr="00721F7C">
              <w:rPr>
                <w:b w:val="0"/>
              </w:rPr>
              <w:t>Hypothèse</w:t>
            </w:r>
          </w:p>
        </w:tc>
        <w:tc>
          <w:tcPr>
            <w:tcW w:w="2319" w:type="dxa"/>
            <w:gridSpan w:val="2"/>
            <w:vMerge w:val="restart"/>
            <w:shd w:val="clear" w:color="auto" w:fill="auto"/>
            <w:vAlign w:val="center"/>
          </w:tcPr>
          <w:p w14:paraId="275AD805" w14:textId="77777777" w:rsidR="00006C7E" w:rsidRPr="00721F7C" w:rsidRDefault="00006C7E" w:rsidP="00006C7E">
            <w:pPr>
              <w:spacing w:after="0" w:line="240" w:lineRule="auto"/>
              <w:rPr>
                <w:b w:val="0"/>
              </w:rPr>
            </w:pPr>
            <w:r w:rsidRPr="00721F7C">
              <w:rPr>
                <w:b w:val="0"/>
              </w:rPr>
              <w:t>Alternative</w:t>
            </w:r>
          </w:p>
          <w:p w14:paraId="631DFEEC" w14:textId="77777777" w:rsidR="00006C7E" w:rsidRPr="00721F7C" w:rsidRDefault="00006C7E" w:rsidP="00006C7E">
            <w:pPr>
              <w:spacing w:after="0" w:line="240" w:lineRule="auto"/>
              <w:rPr>
                <w:b w:val="0"/>
              </w:rPr>
            </w:pPr>
            <w:r w:rsidRPr="00721F7C">
              <w:rPr>
                <w:b w:val="0"/>
              </w:rPr>
              <w:t>(si hypothèse ci-contre non réalisée)</w:t>
            </w:r>
          </w:p>
        </w:tc>
        <w:tc>
          <w:tcPr>
            <w:tcW w:w="2313" w:type="dxa"/>
            <w:vMerge w:val="restart"/>
            <w:shd w:val="clear" w:color="auto" w:fill="auto"/>
            <w:vAlign w:val="center"/>
          </w:tcPr>
          <w:p w14:paraId="10C98C0A" w14:textId="77777777" w:rsidR="00006C7E" w:rsidRPr="00721F7C" w:rsidRDefault="00006C7E" w:rsidP="00006C7E">
            <w:pPr>
              <w:spacing w:after="0" w:line="240" w:lineRule="auto"/>
              <w:rPr>
                <w:b w:val="0"/>
              </w:rPr>
            </w:pPr>
            <w:r w:rsidRPr="00721F7C">
              <w:rPr>
                <w:b w:val="0"/>
              </w:rPr>
              <w:t>Justification</w:t>
            </w:r>
          </w:p>
          <w:p w14:paraId="1F0E091E" w14:textId="77777777" w:rsidR="00006C7E" w:rsidRPr="00721F7C" w:rsidRDefault="00006C7E" w:rsidP="00006C7E">
            <w:pPr>
              <w:spacing w:after="0" w:line="240" w:lineRule="auto"/>
              <w:rPr>
                <w:b w:val="0"/>
              </w:rPr>
            </w:pPr>
            <w:r w:rsidRPr="00721F7C">
              <w:rPr>
                <w:b w:val="0"/>
              </w:rPr>
              <w:t>Observation</w:t>
            </w:r>
          </w:p>
          <w:p w14:paraId="78808130" w14:textId="77777777" w:rsidR="00006C7E" w:rsidRPr="00721F7C" w:rsidRDefault="00006C7E" w:rsidP="00006C7E">
            <w:pPr>
              <w:spacing w:after="0" w:line="240" w:lineRule="auto"/>
              <w:rPr>
                <w:b w:val="0"/>
              </w:rPr>
            </w:pPr>
            <w:r w:rsidRPr="00721F7C">
              <w:rPr>
                <w:b w:val="0"/>
              </w:rPr>
              <w:t>Commentaire</w:t>
            </w:r>
          </w:p>
        </w:tc>
      </w:tr>
      <w:tr w:rsidR="00006C7E" w:rsidRPr="00721F7C" w14:paraId="3E7ED267" w14:textId="77777777" w:rsidTr="00006C7E">
        <w:tc>
          <w:tcPr>
            <w:tcW w:w="627" w:type="dxa"/>
            <w:vMerge/>
            <w:shd w:val="clear" w:color="auto" w:fill="D9D9D9" w:themeFill="background1" w:themeFillShade="D9"/>
            <w:vAlign w:val="center"/>
          </w:tcPr>
          <w:p w14:paraId="297C5701" w14:textId="77777777" w:rsidR="00006C7E" w:rsidRPr="00721F7C" w:rsidRDefault="00006C7E" w:rsidP="00006C7E">
            <w:pPr>
              <w:spacing w:after="0" w:line="240" w:lineRule="auto"/>
              <w:rPr>
                <w:b w:val="0"/>
              </w:rPr>
            </w:pPr>
          </w:p>
        </w:tc>
        <w:tc>
          <w:tcPr>
            <w:tcW w:w="2399" w:type="dxa"/>
            <w:vMerge/>
            <w:vAlign w:val="center"/>
          </w:tcPr>
          <w:p w14:paraId="22227AFC" w14:textId="77777777" w:rsidR="00006C7E" w:rsidRPr="00721F7C" w:rsidRDefault="00006C7E" w:rsidP="00006C7E">
            <w:pPr>
              <w:spacing w:after="0" w:line="240" w:lineRule="auto"/>
              <w:rPr>
                <w:b w:val="0"/>
              </w:rPr>
            </w:pPr>
          </w:p>
        </w:tc>
        <w:tc>
          <w:tcPr>
            <w:tcW w:w="1110" w:type="dxa"/>
            <w:vAlign w:val="center"/>
          </w:tcPr>
          <w:p w14:paraId="1FD4E32D" w14:textId="77777777" w:rsidR="00006C7E" w:rsidRPr="00721F7C" w:rsidRDefault="00006C7E" w:rsidP="00006C7E">
            <w:pPr>
              <w:spacing w:after="0" w:line="240" w:lineRule="auto"/>
              <w:rPr>
                <w:b w:val="0"/>
              </w:rPr>
            </w:pPr>
            <w:r w:rsidRPr="00721F7C">
              <w:rPr>
                <w:b w:val="0"/>
              </w:rPr>
              <w:t>Libellé</w:t>
            </w:r>
          </w:p>
        </w:tc>
        <w:tc>
          <w:tcPr>
            <w:tcW w:w="1110" w:type="dxa"/>
            <w:gridSpan w:val="2"/>
            <w:vAlign w:val="center"/>
          </w:tcPr>
          <w:p w14:paraId="451BEFB8" w14:textId="77777777" w:rsidR="00006C7E" w:rsidRPr="00721F7C" w:rsidRDefault="00006C7E" w:rsidP="00006C7E">
            <w:pPr>
              <w:spacing w:after="0" w:line="240" w:lineRule="auto"/>
              <w:rPr>
                <w:b w:val="0"/>
              </w:rPr>
            </w:pPr>
            <w:r w:rsidRPr="00721F7C">
              <w:rPr>
                <w:b w:val="0"/>
              </w:rPr>
              <w:t>Baseline</w:t>
            </w:r>
          </w:p>
        </w:tc>
        <w:tc>
          <w:tcPr>
            <w:tcW w:w="1134" w:type="dxa"/>
            <w:vAlign w:val="center"/>
          </w:tcPr>
          <w:p w14:paraId="5BC82C6D" w14:textId="77777777" w:rsidR="00006C7E" w:rsidRPr="00721F7C" w:rsidRDefault="00006C7E" w:rsidP="00006C7E">
            <w:pPr>
              <w:spacing w:after="0" w:line="240" w:lineRule="auto"/>
              <w:rPr>
                <w:b w:val="0"/>
              </w:rPr>
            </w:pPr>
            <w:r w:rsidRPr="00721F7C">
              <w:rPr>
                <w:b w:val="0"/>
              </w:rPr>
              <w:t>Cibles</w:t>
            </w:r>
          </w:p>
        </w:tc>
        <w:tc>
          <w:tcPr>
            <w:tcW w:w="945" w:type="dxa"/>
            <w:vAlign w:val="center"/>
          </w:tcPr>
          <w:p w14:paraId="295D2F7C" w14:textId="77777777" w:rsidR="00006C7E" w:rsidRPr="00721F7C" w:rsidRDefault="00006C7E" w:rsidP="00006C7E">
            <w:pPr>
              <w:spacing w:after="0" w:line="240" w:lineRule="auto"/>
              <w:rPr>
                <w:b w:val="0"/>
              </w:rPr>
            </w:pPr>
            <w:r w:rsidRPr="00721F7C">
              <w:rPr>
                <w:b w:val="0"/>
              </w:rPr>
              <w:t>Réalisé</w:t>
            </w:r>
          </w:p>
        </w:tc>
        <w:tc>
          <w:tcPr>
            <w:tcW w:w="2233" w:type="dxa"/>
            <w:gridSpan w:val="2"/>
            <w:vMerge/>
            <w:vAlign w:val="center"/>
          </w:tcPr>
          <w:p w14:paraId="76F3725F" w14:textId="77777777" w:rsidR="00006C7E" w:rsidRPr="00721F7C" w:rsidRDefault="00006C7E" w:rsidP="00006C7E">
            <w:pPr>
              <w:numPr>
                <w:ilvl w:val="0"/>
                <w:numId w:val="9"/>
              </w:numPr>
              <w:spacing w:after="0" w:line="240" w:lineRule="auto"/>
              <w:rPr>
                <w:b w:val="0"/>
              </w:rPr>
            </w:pPr>
          </w:p>
        </w:tc>
        <w:tc>
          <w:tcPr>
            <w:tcW w:w="1923" w:type="dxa"/>
            <w:vMerge/>
            <w:vAlign w:val="center"/>
          </w:tcPr>
          <w:p w14:paraId="7477ADE7" w14:textId="77777777" w:rsidR="00006C7E" w:rsidRPr="00721F7C" w:rsidRDefault="00006C7E" w:rsidP="00006C7E">
            <w:pPr>
              <w:spacing w:after="0" w:line="240" w:lineRule="auto"/>
              <w:rPr>
                <w:b w:val="0"/>
              </w:rPr>
            </w:pPr>
          </w:p>
        </w:tc>
        <w:tc>
          <w:tcPr>
            <w:tcW w:w="2319" w:type="dxa"/>
            <w:gridSpan w:val="2"/>
            <w:vMerge/>
            <w:shd w:val="clear" w:color="auto" w:fill="auto"/>
            <w:vAlign w:val="center"/>
          </w:tcPr>
          <w:p w14:paraId="2E577FD0" w14:textId="77777777" w:rsidR="00006C7E" w:rsidRPr="00721F7C" w:rsidRDefault="00006C7E" w:rsidP="00006C7E">
            <w:pPr>
              <w:spacing w:after="0" w:line="240" w:lineRule="auto"/>
              <w:rPr>
                <w:b w:val="0"/>
              </w:rPr>
            </w:pPr>
          </w:p>
        </w:tc>
        <w:tc>
          <w:tcPr>
            <w:tcW w:w="2313" w:type="dxa"/>
            <w:vMerge/>
            <w:shd w:val="clear" w:color="auto" w:fill="auto"/>
            <w:vAlign w:val="center"/>
          </w:tcPr>
          <w:p w14:paraId="6DCF2301" w14:textId="77777777" w:rsidR="00006C7E" w:rsidRPr="00721F7C" w:rsidRDefault="00006C7E" w:rsidP="00006C7E">
            <w:pPr>
              <w:spacing w:after="0" w:line="240" w:lineRule="auto"/>
              <w:rPr>
                <w:b w:val="0"/>
              </w:rPr>
            </w:pPr>
          </w:p>
        </w:tc>
      </w:tr>
      <w:tr w:rsidR="00006C7E" w:rsidRPr="00721F7C" w14:paraId="755AD85D" w14:textId="77777777" w:rsidTr="00006C7E">
        <w:tc>
          <w:tcPr>
            <w:tcW w:w="627" w:type="dxa"/>
            <w:vMerge w:val="restart"/>
            <w:shd w:val="clear" w:color="auto" w:fill="D9D9D9" w:themeFill="background1" w:themeFillShade="D9"/>
            <w:vAlign w:val="center"/>
          </w:tcPr>
          <w:p w14:paraId="225A88C5" w14:textId="77777777" w:rsidR="00006C7E" w:rsidRPr="00721F7C" w:rsidRDefault="00006C7E" w:rsidP="00006C7E">
            <w:pPr>
              <w:spacing w:after="0" w:line="240" w:lineRule="auto"/>
              <w:rPr>
                <w:b w:val="0"/>
              </w:rPr>
            </w:pPr>
            <w:r w:rsidRPr="00721F7C">
              <w:rPr>
                <w:b w:val="0"/>
              </w:rPr>
              <w:t>2.1</w:t>
            </w:r>
          </w:p>
        </w:tc>
        <w:tc>
          <w:tcPr>
            <w:tcW w:w="2399" w:type="dxa"/>
            <w:vMerge w:val="restart"/>
            <w:vAlign w:val="center"/>
          </w:tcPr>
          <w:p w14:paraId="063DAEC2" w14:textId="77777777" w:rsidR="00006C7E" w:rsidRPr="00721F7C" w:rsidRDefault="00006C7E" w:rsidP="00006C7E">
            <w:pPr>
              <w:spacing w:after="0" w:line="240" w:lineRule="auto"/>
              <w:rPr>
                <w:b w:val="0"/>
              </w:rPr>
            </w:pPr>
            <w:r w:rsidRPr="00721F7C">
              <w:rPr>
                <w:b w:val="0"/>
              </w:rPr>
              <w:t>Les Ministères ayant l’économie, les finances et la planification dans leurs attributions ont amélioré leurs capacités de formulation des politiques, de gestion des finances publiques et de coordination de l’aide pour stimuler une croissance diversifiée et réduire l’inégalité</w:t>
            </w:r>
          </w:p>
        </w:tc>
        <w:tc>
          <w:tcPr>
            <w:tcW w:w="1110" w:type="dxa"/>
          </w:tcPr>
          <w:p w14:paraId="0765FD01" w14:textId="77777777" w:rsidR="00006C7E" w:rsidRPr="00721F7C" w:rsidRDefault="00006C7E" w:rsidP="00006C7E">
            <w:pPr>
              <w:spacing w:after="0" w:line="240" w:lineRule="auto"/>
              <w:rPr>
                <w:b w:val="0"/>
              </w:rPr>
            </w:pPr>
            <w:r w:rsidRPr="00721F7C">
              <w:rPr>
                <w:b w:val="0"/>
              </w:rPr>
              <w:t>Nombre de documents de politique et d’analyse économique approuvés à l’échelle nationale</w:t>
            </w:r>
          </w:p>
        </w:tc>
        <w:tc>
          <w:tcPr>
            <w:tcW w:w="1110" w:type="dxa"/>
            <w:gridSpan w:val="2"/>
          </w:tcPr>
          <w:p w14:paraId="6EA7CF80" w14:textId="77777777" w:rsidR="00006C7E" w:rsidRPr="00721F7C" w:rsidRDefault="00006C7E" w:rsidP="00006C7E">
            <w:pPr>
              <w:spacing w:after="0" w:line="240" w:lineRule="auto"/>
              <w:rPr>
                <w:b w:val="0"/>
              </w:rPr>
            </w:pPr>
            <w:r w:rsidRPr="00721F7C">
              <w:rPr>
                <w:b w:val="0"/>
              </w:rPr>
              <w:t>10</w:t>
            </w:r>
          </w:p>
        </w:tc>
        <w:tc>
          <w:tcPr>
            <w:tcW w:w="1134" w:type="dxa"/>
          </w:tcPr>
          <w:p w14:paraId="36D04DEC" w14:textId="77777777" w:rsidR="00006C7E" w:rsidRPr="00721F7C" w:rsidRDefault="00006C7E" w:rsidP="00006C7E">
            <w:pPr>
              <w:spacing w:after="0" w:line="240" w:lineRule="auto"/>
              <w:rPr>
                <w:b w:val="0"/>
              </w:rPr>
            </w:pPr>
            <w:r w:rsidRPr="00721F7C">
              <w:rPr>
                <w:b w:val="0"/>
              </w:rPr>
              <w:t>20</w:t>
            </w:r>
          </w:p>
        </w:tc>
        <w:tc>
          <w:tcPr>
            <w:tcW w:w="945" w:type="dxa"/>
            <w:shd w:val="clear" w:color="auto" w:fill="C9C9C9" w:themeFill="accent3" w:themeFillTint="99"/>
            <w:vAlign w:val="center"/>
          </w:tcPr>
          <w:p w14:paraId="704A2A47" w14:textId="77777777" w:rsidR="00006C7E" w:rsidRPr="00721F7C" w:rsidRDefault="00006C7E" w:rsidP="00006C7E">
            <w:pPr>
              <w:spacing w:after="0" w:line="240" w:lineRule="auto"/>
              <w:rPr>
                <w:b w:val="0"/>
              </w:rPr>
            </w:pPr>
            <w:r w:rsidRPr="00721F7C">
              <w:rPr>
                <w:b w:val="0"/>
              </w:rPr>
              <w:t>???????</w:t>
            </w:r>
          </w:p>
        </w:tc>
        <w:tc>
          <w:tcPr>
            <w:tcW w:w="2233" w:type="dxa"/>
            <w:gridSpan w:val="2"/>
            <w:vAlign w:val="center"/>
          </w:tcPr>
          <w:p w14:paraId="6844D3EF" w14:textId="77777777" w:rsidR="00006C7E" w:rsidRPr="00721F7C" w:rsidRDefault="00006C7E" w:rsidP="00006C7E">
            <w:pPr>
              <w:numPr>
                <w:ilvl w:val="0"/>
                <w:numId w:val="9"/>
              </w:numPr>
              <w:spacing w:after="0" w:line="240" w:lineRule="auto"/>
              <w:rPr>
                <w:b w:val="0"/>
              </w:rPr>
            </w:pPr>
            <w:r w:rsidRPr="00721F7C">
              <w:rPr>
                <w:b w:val="0"/>
              </w:rPr>
              <w:t>Rapports d’exécution</w:t>
            </w:r>
          </w:p>
          <w:p w14:paraId="338378A1" w14:textId="77777777" w:rsidR="00006C7E" w:rsidRPr="00721F7C" w:rsidRDefault="00006C7E" w:rsidP="00006C7E">
            <w:pPr>
              <w:numPr>
                <w:ilvl w:val="0"/>
                <w:numId w:val="9"/>
              </w:numPr>
              <w:spacing w:after="0" w:line="240" w:lineRule="auto"/>
              <w:rPr>
                <w:b w:val="0"/>
              </w:rPr>
            </w:pPr>
            <w:r w:rsidRPr="00721F7C">
              <w:rPr>
                <w:b w:val="0"/>
              </w:rPr>
              <w:t>Sources primaires</w:t>
            </w:r>
          </w:p>
        </w:tc>
        <w:tc>
          <w:tcPr>
            <w:tcW w:w="1923" w:type="dxa"/>
            <w:vAlign w:val="center"/>
          </w:tcPr>
          <w:p w14:paraId="55B7752E" w14:textId="77777777" w:rsidR="00006C7E" w:rsidRPr="00721F7C" w:rsidRDefault="00006C7E" w:rsidP="00006C7E">
            <w:pPr>
              <w:spacing w:after="0" w:line="240" w:lineRule="auto"/>
              <w:rPr>
                <w:b w:val="0"/>
              </w:rPr>
            </w:pPr>
            <w:r w:rsidRPr="00721F7C">
              <w:rPr>
                <w:b w:val="0"/>
              </w:rPr>
              <w:t>Information collectée au fur et mesure et consignée dans les rapports</w:t>
            </w:r>
          </w:p>
        </w:tc>
        <w:tc>
          <w:tcPr>
            <w:tcW w:w="2319" w:type="dxa"/>
            <w:gridSpan w:val="2"/>
            <w:shd w:val="clear" w:color="auto" w:fill="auto"/>
            <w:vAlign w:val="center"/>
          </w:tcPr>
          <w:p w14:paraId="7A17447E" w14:textId="77777777" w:rsidR="00006C7E" w:rsidRPr="00721F7C" w:rsidRDefault="00006C7E" w:rsidP="00006C7E">
            <w:pPr>
              <w:spacing w:after="0" w:line="240" w:lineRule="auto"/>
              <w:rPr>
                <w:b w:val="0"/>
              </w:rPr>
            </w:pPr>
            <w:r w:rsidRPr="00721F7C">
              <w:rPr>
                <w:b w:val="0"/>
              </w:rPr>
              <w:t>Sonder les acteurs et bénéficiaires du projet</w:t>
            </w:r>
          </w:p>
        </w:tc>
        <w:tc>
          <w:tcPr>
            <w:tcW w:w="2313" w:type="dxa"/>
            <w:shd w:val="clear" w:color="auto" w:fill="C9C9C9" w:themeFill="accent3" w:themeFillTint="99"/>
            <w:vAlign w:val="center"/>
          </w:tcPr>
          <w:p w14:paraId="69AB8D5B" w14:textId="77777777" w:rsidR="00006C7E" w:rsidRPr="00721F7C" w:rsidRDefault="00006C7E" w:rsidP="00006C7E">
            <w:pPr>
              <w:spacing w:after="0" w:line="240" w:lineRule="auto"/>
              <w:rPr>
                <w:b w:val="0"/>
              </w:rPr>
            </w:pPr>
            <w:r w:rsidRPr="00721F7C">
              <w:rPr>
                <w:b w:val="0"/>
              </w:rPr>
              <w:t>!!!!!!!!!!!</w:t>
            </w:r>
          </w:p>
        </w:tc>
      </w:tr>
      <w:tr w:rsidR="00006C7E" w:rsidRPr="00721F7C" w14:paraId="6F9D3802" w14:textId="77777777" w:rsidTr="00006C7E">
        <w:tc>
          <w:tcPr>
            <w:tcW w:w="627" w:type="dxa"/>
            <w:vMerge/>
            <w:shd w:val="clear" w:color="auto" w:fill="D9D9D9" w:themeFill="background1" w:themeFillShade="D9"/>
            <w:vAlign w:val="center"/>
          </w:tcPr>
          <w:p w14:paraId="392B4EBD" w14:textId="77777777" w:rsidR="00006C7E" w:rsidRPr="00721F7C" w:rsidRDefault="00006C7E" w:rsidP="00006C7E">
            <w:pPr>
              <w:spacing w:after="0" w:line="240" w:lineRule="auto"/>
              <w:rPr>
                <w:b w:val="0"/>
              </w:rPr>
            </w:pPr>
          </w:p>
        </w:tc>
        <w:tc>
          <w:tcPr>
            <w:tcW w:w="2399" w:type="dxa"/>
            <w:vMerge/>
            <w:vAlign w:val="center"/>
          </w:tcPr>
          <w:p w14:paraId="4D787250" w14:textId="77777777" w:rsidR="00006C7E" w:rsidRPr="00721F7C" w:rsidRDefault="00006C7E" w:rsidP="00006C7E">
            <w:pPr>
              <w:spacing w:after="0" w:line="240" w:lineRule="auto"/>
              <w:rPr>
                <w:b w:val="0"/>
              </w:rPr>
            </w:pPr>
          </w:p>
        </w:tc>
        <w:tc>
          <w:tcPr>
            <w:tcW w:w="1110" w:type="dxa"/>
          </w:tcPr>
          <w:p w14:paraId="20C6561C" w14:textId="77777777" w:rsidR="00006C7E" w:rsidRPr="00721F7C" w:rsidRDefault="00006C7E" w:rsidP="00006C7E">
            <w:pPr>
              <w:spacing w:after="0" w:line="240" w:lineRule="auto"/>
              <w:rPr>
                <w:b w:val="0"/>
              </w:rPr>
            </w:pPr>
            <w:r w:rsidRPr="00721F7C">
              <w:rPr>
                <w:b w:val="0"/>
              </w:rPr>
              <w:t>Nombre de réformes économiq</w:t>
            </w:r>
            <w:r w:rsidRPr="00721F7C">
              <w:rPr>
                <w:b w:val="0"/>
              </w:rPr>
              <w:lastRenderedPageBreak/>
              <w:t>ues, légales, administratives et fiscales entreprises dans les secteurs de l’agriculture, de l’extraction minière et des services pour diversifier les sources de croissance et réduire l’inégalité</w:t>
            </w:r>
          </w:p>
        </w:tc>
        <w:tc>
          <w:tcPr>
            <w:tcW w:w="1110" w:type="dxa"/>
            <w:gridSpan w:val="2"/>
          </w:tcPr>
          <w:p w14:paraId="73E22AFD" w14:textId="77777777" w:rsidR="00006C7E" w:rsidRPr="00721F7C" w:rsidRDefault="00006C7E" w:rsidP="00006C7E">
            <w:pPr>
              <w:spacing w:after="0" w:line="240" w:lineRule="auto"/>
              <w:rPr>
                <w:b w:val="0"/>
              </w:rPr>
            </w:pPr>
            <w:r w:rsidRPr="00721F7C">
              <w:rPr>
                <w:b w:val="0"/>
              </w:rPr>
              <w:lastRenderedPageBreak/>
              <w:t>5</w:t>
            </w:r>
          </w:p>
        </w:tc>
        <w:tc>
          <w:tcPr>
            <w:tcW w:w="1134" w:type="dxa"/>
          </w:tcPr>
          <w:p w14:paraId="46981C4D" w14:textId="77777777" w:rsidR="00006C7E" w:rsidRPr="00721F7C" w:rsidRDefault="00006C7E" w:rsidP="00006C7E">
            <w:pPr>
              <w:spacing w:after="0" w:line="240" w:lineRule="auto"/>
              <w:rPr>
                <w:b w:val="0"/>
              </w:rPr>
            </w:pPr>
            <w:r w:rsidRPr="00721F7C">
              <w:rPr>
                <w:b w:val="0"/>
              </w:rPr>
              <w:t>12</w:t>
            </w:r>
          </w:p>
        </w:tc>
        <w:tc>
          <w:tcPr>
            <w:tcW w:w="945" w:type="dxa"/>
            <w:shd w:val="clear" w:color="auto" w:fill="C9C9C9" w:themeFill="accent3" w:themeFillTint="99"/>
          </w:tcPr>
          <w:p w14:paraId="5482A17E" w14:textId="77777777" w:rsidR="00006C7E" w:rsidRPr="00721F7C" w:rsidRDefault="00006C7E" w:rsidP="00006C7E">
            <w:pPr>
              <w:spacing w:after="0" w:line="240" w:lineRule="auto"/>
              <w:rPr>
                <w:b w:val="0"/>
              </w:rPr>
            </w:pPr>
          </w:p>
        </w:tc>
        <w:tc>
          <w:tcPr>
            <w:tcW w:w="2233" w:type="dxa"/>
            <w:gridSpan w:val="2"/>
            <w:vAlign w:val="center"/>
          </w:tcPr>
          <w:p w14:paraId="327A51B7" w14:textId="77777777" w:rsidR="00006C7E" w:rsidRPr="00721F7C" w:rsidRDefault="00006C7E" w:rsidP="00006C7E">
            <w:pPr>
              <w:numPr>
                <w:ilvl w:val="0"/>
                <w:numId w:val="9"/>
              </w:numPr>
              <w:spacing w:after="0" w:line="240" w:lineRule="auto"/>
              <w:rPr>
                <w:b w:val="0"/>
              </w:rPr>
            </w:pPr>
            <w:r w:rsidRPr="00721F7C">
              <w:rPr>
                <w:b w:val="0"/>
              </w:rPr>
              <w:t>Rapports d’exécution</w:t>
            </w:r>
          </w:p>
          <w:p w14:paraId="199DA563" w14:textId="77777777" w:rsidR="00006C7E" w:rsidRPr="00721F7C" w:rsidRDefault="00006C7E" w:rsidP="00006C7E">
            <w:pPr>
              <w:numPr>
                <w:ilvl w:val="0"/>
                <w:numId w:val="9"/>
              </w:numPr>
              <w:spacing w:after="0" w:line="240" w:lineRule="auto"/>
              <w:rPr>
                <w:b w:val="0"/>
              </w:rPr>
            </w:pPr>
            <w:r w:rsidRPr="00721F7C">
              <w:rPr>
                <w:b w:val="0"/>
              </w:rPr>
              <w:t>Sources primaires</w:t>
            </w:r>
          </w:p>
        </w:tc>
        <w:tc>
          <w:tcPr>
            <w:tcW w:w="1923" w:type="dxa"/>
            <w:vAlign w:val="center"/>
          </w:tcPr>
          <w:p w14:paraId="4FDE7A84" w14:textId="77777777" w:rsidR="00006C7E" w:rsidRPr="00721F7C" w:rsidRDefault="00006C7E" w:rsidP="00006C7E">
            <w:pPr>
              <w:spacing w:after="0" w:line="240" w:lineRule="auto"/>
              <w:rPr>
                <w:b w:val="0"/>
              </w:rPr>
            </w:pPr>
            <w:r w:rsidRPr="00721F7C">
              <w:rPr>
                <w:b w:val="0"/>
              </w:rPr>
              <w:t xml:space="preserve">Information collectée au fur et mesure et </w:t>
            </w:r>
            <w:r w:rsidRPr="00721F7C">
              <w:rPr>
                <w:b w:val="0"/>
              </w:rPr>
              <w:lastRenderedPageBreak/>
              <w:t>consignée dans les rapports</w:t>
            </w:r>
          </w:p>
        </w:tc>
        <w:tc>
          <w:tcPr>
            <w:tcW w:w="2319" w:type="dxa"/>
            <w:gridSpan w:val="2"/>
            <w:shd w:val="clear" w:color="auto" w:fill="auto"/>
            <w:vAlign w:val="center"/>
          </w:tcPr>
          <w:p w14:paraId="250EF298" w14:textId="77777777" w:rsidR="00006C7E" w:rsidRPr="00721F7C" w:rsidRDefault="00006C7E" w:rsidP="00006C7E">
            <w:pPr>
              <w:spacing w:after="0" w:line="240" w:lineRule="auto"/>
              <w:rPr>
                <w:b w:val="0"/>
              </w:rPr>
            </w:pPr>
            <w:r w:rsidRPr="00721F7C">
              <w:rPr>
                <w:b w:val="0"/>
              </w:rPr>
              <w:lastRenderedPageBreak/>
              <w:t>Sonder les acteurs et bénéficiaires du projet</w:t>
            </w:r>
          </w:p>
        </w:tc>
        <w:tc>
          <w:tcPr>
            <w:tcW w:w="2313" w:type="dxa"/>
            <w:shd w:val="clear" w:color="auto" w:fill="C9C9C9" w:themeFill="accent3" w:themeFillTint="99"/>
            <w:vAlign w:val="center"/>
          </w:tcPr>
          <w:p w14:paraId="497D867D" w14:textId="77777777" w:rsidR="00006C7E" w:rsidRPr="00721F7C" w:rsidRDefault="00006C7E" w:rsidP="00006C7E">
            <w:pPr>
              <w:spacing w:after="0" w:line="240" w:lineRule="auto"/>
              <w:rPr>
                <w:b w:val="0"/>
              </w:rPr>
            </w:pPr>
            <w:r w:rsidRPr="00721F7C">
              <w:rPr>
                <w:b w:val="0"/>
              </w:rPr>
              <w:t>!!!!!!!!!!!</w:t>
            </w:r>
          </w:p>
        </w:tc>
      </w:tr>
      <w:tr w:rsidR="00006C7E" w:rsidRPr="00721F7C" w14:paraId="6CF5E51C" w14:textId="77777777" w:rsidTr="00006C7E">
        <w:tc>
          <w:tcPr>
            <w:tcW w:w="627" w:type="dxa"/>
            <w:vMerge w:val="restart"/>
            <w:shd w:val="clear" w:color="auto" w:fill="D9D9D9" w:themeFill="background1" w:themeFillShade="D9"/>
            <w:vAlign w:val="center"/>
          </w:tcPr>
          <w:p w14:paraId="7D7A9351" w14:textId="77777777" w:rsidR="00006C7E" w:rsidRPr="00721F7C" w:rsidRDefault="00006C7E" w:rsidP="00006C7E">
            <w:pPr>
              <w:spacing w:after="0" w:line="240" w:lineRule="auto"/>
              <w:rPr>
                <w:b w:val="0"/>
              </w:rPr>
            </w:pPr>
            <w:r w:rsidRPr="00721F7C">
              <w:rPr>
                <w:b w:val="0"/>
              </w:rPr>
              <w:t>2.2.</w:t>
            </w:r>
          </w:p>
        </w:tc>
        <w:tc>
          <w:tcPr>
            <w:tcW w:w="2399" w:type="dxa"/>
            <w:vMerge w:val="restart"/>
            <w:vAlign w:val="center"/>
          </w:tcPr>
          <w:p w14:paraId="62728E86" w14:textId="77777777" w:rsidR="00006C7E" w:rsidRPr="00721F7C" w:rsidRDefault="00006C7E" w:rsidP="00006C7E">
            <w:pPr>
              <w:spacing w:after="0" w:line="240" w:lineRule="auto"/>
              <w:rPr>
                <w:b w:val="0"/>
              </w:rPr>
            </w:pPr>
            <w:r w:rsidRPr="00721F7C">
              <w:rPr>
                <w:b w:val="0"/>
              </w:rPr>
              <w:t>La résilience des populations les plus vulnérables</w:t>
            </w:r>
            <w:r w:rsidRPr="00721F7C">
              <w:rPr>
                <w:b w:val="0"/>
                <w:vertAlign w:val="superscript"/>
              </w:rPr>
              <w:t>24</w:t>
            </w:r>
            <w:r w:rsidRPr="00721F7C">
              <w:rPr>
                <w:b w:val="0"/>
              </w:rPr>
              <w:t xml:space="preserve"> en milieu rural est renforcée au travers de l’amélioration de l’utilisation des ressources naturelles, de la promotion de la réduction des risques de catastrophe et des risques climatiques, de l’utilisation des sources d’énergie renouvelable, de la multiplication des </w:t>
            </w:r>
            <w:r w:rsidRPr="00721F7C">
              <w:rPr>
                <w:b w:val="0"/>
              </w:rPr>
              <w:lastRenderedPageBreak/>
              <w:t>débouchés économiques et de l’amélioration de l’accès aux services financiers</w:t>
            </w:r>
          </w:p>
        </w:tc>
        <w:tc>
          <w:tcPr>
            <w:tcW w:w="1110" w:type="dxa"/>
          </w:tcPr>
          <w:p w14:paraId="5FD28D82" w14:textId="77777777" w:rsidR="00006C7E" w:rsidRPr="00721F7C" w:rsidRDefault="00006C7E" w:rsidP="00006C7E">
            <w:pPr>
              <w:spacing w:after="0" w:line="240" w:lineRule="auto"/>
              <w:rPr>
                <w:b w:val="0"/>
              </w:rPr>
            </w:pPr>
            <w:r w:rsidRPr="00721F7C">
              <w:rPr>
                <w:b w:val="0"/>
              </w:rPr>
              <w:lastRenderedPageBreak/>
              <w:t>Nombre de petits fermiers, de jeunes et de femmes en milieu rural engagés dans des activités rémunératrices durables</w:t>
            </w:r>
          </w:p>
        </w:tc>
        <w:tc>
          <w:tcPr>
            <w:tcW w:w="1110" w:type="dxa"/>
            <w:gridSpan w:val="2"/>
          </w:tcPr>
          <w:p w14:paraId="2B8BA479" w14:textId="77777777" w:rsidR="00006C7E" w:rsidRPr="00721F7C" w:rsidRDefault="00006C7E" w:rsidP="00006C7E">
            <w:pPr>
              <w:spacing w:after="0" w:line="240" w:lineRule="auto"/>
              <w:rPr>
                <w:b w:val="0"/>
              </w:rPr>
            </w:pPr>
            <w:r w:rsidRPr="00721F7C">
              <w:rPr>
                <w:b w:val="0"/>
              </w:rPr>
              <w:t>200 000</w:t>
            </w:r>
          </w:p>
        </w:tc>
        <w:tc>
          <w:tcPr>
            <w:tcW w:w="1134" w:type="dxa"/>
          </w:tcPr>
          <w:p w14:paraId="27316D2E" w14:textId="77777777" w:rsidR="00006C7E" w:rsidRPr="00721F7C" w:rsidRDefault="00006C7E" w:rsidP="00006C7E">
            <w:pPr>
              <w:spacing w:after="0" w:line="240" w:lineRule="auto"/>
              <w:rPr>
                <w:b w:val="0"/>
              </w:rPr>
            </w:pPr>
            <w:r w:rsidRPr="00721F7C">
              <w:rPr>
                <w:b w:val="0"/>
              </w:rPr>
              <w:t>1 500 000, dont 60 % de femmes</w:t>
            </w:r>
          </w:p>
        </w:tc>
        <w:tc>
          <w:tcPr>
            <w:tcW w:w="945" w:type="dxa"/>
            <w:shd w:val="clear" w:color="auto" w:fill="C9C9C9" w:themeFill="accent3" w:themeFillTint="99"/>
            <w:vAlign w:val="center"/>
          </w:tcPr>
          <w:p w14:paraId="2E365288" w14:textId="77777777" w:rsidR="00006C7E" w:rsidRPr="00721F7C" w:rsidRDefault="00006C7E" w:rsidP="00006C7E">
            <w:pPr>
              <w:spacing w:after="0" w:line="240" w:lineRule="auto"/>
              <w:rPr>
                <w:b w:val="0"/>
              </w:rPr>
            </w:pPr>
            <w:r w:rsidRPr="00721F7C">
              <w:rPr>
                <w:b w:val="0"/>
              </w:rPr>
              <w:t>???????</w:t>
            </w:r>
          </w:p>
        </w:tc>
        <w:tc>
          <w:tcPr>
            <w:tcW w:w="2233" w:type="dxa"/>
            <w:gridSpan w:val="2"/>
            <w:vAlign w:val="center"/>
          </w:tcPr>
          <w:p w14:paraId="7508F68E" w14:textId="77777777" w:rsidR="00006C7E" w:rsidRPr="00721F7C" w:rsidRDefault="00006C7E" w:rsidP="00006C7E">
            <w:pPr>
              <w:numPr>
                <w:ilvl w:val="0"/>
                <w:numId w:val="9"/>
              </w:numPr>
              <w:spacing w:after="0" w:line="240" w:lineRule="auto"/>
              <w:rPr>
                <w:b w:val="0"/>
              </w:rPr>
            </w:pPr>
            <w:r w:rsidRPr="00721F7C">
              <w:rPr>
                <w:b w:val="0"/>
              </w:rPr>
              <w:t>Rapports d’exécution</w:t>
            </w:r>
          </w:p>
          <w:p w14:paraId="73E7ACE7" w14:textId="77777777" w:rsidR="00006C7E" w:rsidRPr="00721F7C" w:rsidRDefault="00006C7E" w:rsidP="00006C7E">
            <w:pPr>
              <w:numPr>
                <w:ilvl w:val="0"/>
                <w:numId w:val="9"/>
              </w:numPr>
              <w:spacing w:after="0" w:line="240" w:lineRule="auto"/>
              <w:rPr>
                <w:b w:val="0"/>
              </w:rPr>
            </w:pPr>
            <w:r w:rsidRPr="00721F7C">
              <w:rPr>
                <w:b w:val="0"/>
              </w:rPr>
              <w:t>Sources primaires</w:t>
            </w:r>
          </w:p>
        </w:tc>
        <w:tc>
          <w:tcPr>
            <w:tcW w:w="1923" w:type="dxa"/>
            <w:vAlign w:val="center"/>
          </w:tcPr>
          <w:p w14:paraId="19E11BEC" w14:textId="77777777" w:rsidR="00006C7E" w:rsidRPr="00721F7C" w:rsidRDefault="00006C7E" w:rsidP="00006C7E">
            <w:pPr>
              <w:spacing w:after="0" w:line="240" w:lineRule="auto"/>
              <w:rPr>
                <w:b w:val="0"/>
              </w:rPr>
            </w:pPr>
            <w:r w:rsidRPr="00721F7C">
              <w:rPr>
                <w:b w:val="0"/>
              </w:rPr>
              <w:t>Information collectée au fur et mesure et consignée dans les rapports</w:t>
            </w:r>
          </w:p>
        </w:tc>
        <w:tc>
          <w:tcPr>
            <w:tcW w:w="2319" w:type="dxa"/>
            <w:gridSpan w:val="2"/>
            <w:shd w:val="clear" w:color="auto" w:fill="auto"/>
            <w:vAlign w:val="center"/>
          </w:tcPr>
          <w:p w14:paraId="6BF8E5E7" w14:textId="77777777" w:rsidR="00006C7E" w:rsidRPr="00721F7C" w:rsidRDefault="00006C7E" w:rsidP="00006C7E">
            <w:pPr>
              <w:spacing w:after="0" w:line="240" w:lineRule="auto"/>
              <w:rPr>
                <w:b w:val="0"/>
              </w:rPr>
            </w:pPr>
            <w:r w:rsidRPr="00721F7C">
              <w:rPr>
                <w:b w:val="0"/>
              </w:rPr>
              <w:t>Sonder les acteurs et cibles du projet</w:t>
            </w:r>
          </w:p>
        </w:tc>
        <w:tc>
          <w:tcPr>
            <w:tcW w:w="2313" w:type="dxa"/>
            <w:shd w:val="clear" w:color="auto" w:fill="C9C9C9" w:themeFill="accent3" w:themeFillTint="99"/>
            <w:vAlign w:val="center"/>
          </w:tcPr>
          <w:p w14:paraId="4698BF76" w14:textId="77777777" w:rsidR="00006C7E" w:rsidRPr="00721F7C" w:rsidRDefault="00006C7E" w:rsidP="00006C7E">
            <w:pPr>
              <w:spacing w:after="0" w:line="240" w:lineRule="auto"/>
              <w:rPr>
                <w:b w:val="0"/>
              </w:rPr>
            </w:pPr>
            <w:r w:rsidRPr="00721F7C">
              <w:rPr>
                <w:b w:val="0"/>
              </w:rPr>
              <w:t>!!!!!!!!!!!</w:t>
            </w:r>
          </w:p>
        </w:tc>
      </w:tr>
      <w:tr w:rsidR="00006C7E" w:rsidRPr="00721F7C" w14:paraId="39082C84" w14:textId="77777777" w:rsidTr="00006C7E">
        <w:tc>
          <w:tcPr>
            <w:tcW w:w="627" w:type="dxa"/>
            <w:vMerge/>
            <w:shd w:val="clear" w:color="auto" w:fill="D9D9D9" w:themeFill="background1" w:themeFillShade="D9"/>
            <w:vAlign w:val="center"/>
          </w:tcPr>
          <w:p w14:paraId="30635BCF" w14:textId="77777777" w:rsidR="00006C7E" w:rsidRPr="00721F7C" w:rsidRDefault="00006C7E" w:rsidP="00006C7E">
            <w:pPr>
              <w:spacing w:after="0" w:line="240" w:lineRule="auto"/>
              <w:rPr>
                <w:b w:val="0"/>
              </w:rPr>
            </w:pPr>
          </w:p>
        </w:tc>
        <w:tc>
          <w:tcPr>
            <w:tcW w:w="2399" w:type="dxa"/>
            <w:vMerge/>
            <w:vAlign w:val="center"/>
          </w:tcPr>
          <w:p w14:paraId="6EC5D8C2" w14:textId="77777777" w:rsidR="00006C7E" w:rsidRPr="00721F7C" w:rsidRDefault="00006C7E" w:rsidP="00006C7E">
            <w:pPr>
              <w:spacing w:after="0" w:line="240" w:lineRule="auto"/>
              <w:rPr>
                <w:b w:val="0"/>
              </w:rPr>
            </w:pPr>
          </w:p>
        </w:tc>
        <w:tc>
          <w:tcPr>
            <w:tcW w:w="1110" w:type="dxa"/>
          </w:tcPr>
          <w:p w14:paraId="37196C09" w14:textId="77777777" w:rsidR="00006C7E" w:rsidRPr="00721F7C" w:rsidRDefault="00006C7E" w:rsidP="00006C7E">
            <w:pPr>
              <w:spacing w:after="0" w:line="240" w:lineRule="auto"/>
              <w:rPr>
                <w:b w:val="0"/>
              </w:rPr>
            </w:pPr>
            <w:r w:rsidRPr="00721F7C">
              <w:rPr>
                <w:b w:val="0"/>
              </w:rPr>
              <w:t>Pourcentage de personnes vulnérables engagées dans des activités économiques résilientes aux catastrophes et aux changements climatiques</w:t>
            </w:r>
          </w:p>
        </w:tc>
        <w:tc>
          <w:tcPr>
            <w:tcW w:w="1110" w:type="dxa"/>
            <w:gridSpan w:val="2"/>
          </w:tcPr>
          <w:p w14:paraId="65525BED" w14:textId="77777777" w:rsidR="00006C7E" w:rsidRPr="00721F7C" w:rsidRDefault="00006C7E" w:rsidP="00006C7E">
            <w:pPr>
              <w:spacing w:after="0" w:line="240" w:lineRule="auto"/>
              <w:rPr>
                <w:b w:val="0"/>
              </w:rPr>
            </w:pPr>
            <w:r w:rsidRPr="00721F7C">
              <w:rPr>
                <w:b w:val="0"/>
              </w:rPr>
              <w:t>10%</w:t>
            </w:r>
          </w:p>
        </w:tc>
        <w:tc>
          <w:tcPr>
            <w:tcW w:w="1134" w:type="dxa"/>
          </w:tcPr>
          <w:p w14:paraId="239D77F4" w14:textId="77777777" w:rsidR="00006C7E" w:rsidRPr="00721F7C" w:rsidRDefault="00006C7E" w:rsidP="00006C7E">
            <w:pPr>
              <w:spacing w:after="0" w:line="240" w:lineRule="auto"/>
              <w:rPr>
                <w:b w:val="0"/>
              </w:rPr>
            </w:pPr>
            <w:r w:rsidRPr="00721F7C">
              <w:rPr>
                <w:b w:val="0"/>
              </w:rPr>
              <w:t>60%</w:t>
            </w:r>
          </w:p>
        </w:tc>
        <w:tc>
          <w:tcPr>
            <w:tcW w:w="945" w:type="dxa"/>
            <w:shd w:val="clear" w:color="auto" w:fill="C9C9C9" w:themeFill="accent3" w:themeFillTint="99"/>
            <w:vAlign w:val="center"/>
          </w:tcPr>
          <w:p w14:paraId="6B0F91D9" w14:textId="77777777" w:rsidR="00006C7E" w:rsidRPr="00721F7C" w:rsidRDefault="00006C7E" w:rsidP="00006C7E">
            <w:pPr>
              <w:spacing w:after="0" w:line="240" w:lineRule="auto"/>
              <w:rPr>
                <w:b w:val="0"/>
              </w:rPr>
            </w:pPr>
            <w:r w:rsidRPr="00721F7C">
              <w:rPr>
                <w:b w:val="0"/>
              </w:rPr>
              <w:t>???????</w:t>
            </w:r>
          </w:p>
        </w:tc>
        <w:tc>
          <w:tcPr>
            <w:tcW w:w="2233" w:type="dxa"/>
            <w:gridSpan w:val="2"/>
            <w:vAlign w:val="center"/>
          </w:tcPr>
          <w:p w14:paraId="4F5B133D" w14:textId="77777777" w:rsidR="00006C7E" w:rsidRPr="00721F7C" w:rsidRDefault="00006C7E" w:rsidP="00006C7E">
            <w:pPr>
              <w:numPr>
                <w:ilvl w:val="0"/>
                <w:numId w:val="9"/>
              </w:numPr>
              <w:spacing w:after="0" w:line="240" w:lineRule="auto"/>
              <w:rPr>
                <w:b w:val="0"/>
              </w:rPr>
            </w:pPr>
            <w:r w:rsidRPr="00721F7C">
              <w:rPr>
                <w:b w:val="0"/>
              </w:rPr>
              <w:t>Rapports d’exécution</w:t>
            </w:r>
          </w:p>
          <w:p w14:paraId="73FDEA17" w14:textId="77777777" w:rsidR="00006C7E" w:rsidRPr="00721F7C" w:rsidRDefault="00006C7E" w:rsidP="00006C7E">
            <w:pPr>
              <w:numPr>
                <w:ilvl w:val="0"/>
                <w:numId w:val="9"/>
              </w:numPr>
              <w:spacing w:after="0" w:line="240" w:lineRule="auto"/>
              <w:rPr>
                <w:b w:val="0"/>
              </w:rPr>
            </w:pPr>
            <w:r w:rsidRPr="00721F7C">
              <w:rPr>
                <w:b w:val="0"/>
              </w:rPr>
              <w:t>Sources primaires</w:t>
            </w:r>
          </w:p>
        </w:tc>
        <w:tc>
          <w:tcPr>
            <w:tcW w:w="1923" w:type="dxa"/>
            <w:vAlign w:val="center"/>
          </w:tcPr>
          <w:p w14:paraId="6F0A79E0" w14:textId="77777777" w:rsidR="00006C7E" w:rsidRPr="00721F7C" w:rsidRDefault="00006C7E" w:rsidP="00006C7E">
            <w:pPr>
              <w:spacing w:after="0" w:line="240" w:lineRule="auto"/>
              <w:rPr>
                <w:b w:val="0"/>
              </w:rPr>
            </w:pPr>
            <w:r w:rsidRPr="00721F7C">
              <w:rPr>
                <w:b w:val="0"/>
              </w:rPr>
              <w:t>Information collectée au fur et mesure et consignée dans les rapports</w:t>
            </w:r>
          </w:p>
        </w:tc>
        <w:tc>
          <w:tcPr>
            <w:tcW w:w="2319" w:type="dxa"/>
            <w:gridSpan w:val="2"/>
            <w:shd w:val="clear" w:color="auto" w:fill="auto"/>
            <w:vAlign w:val="center"/>
          </w:tcPr>
          <w:p w14:paraId="7FF27A96" w14:textId="77777777" w:rsidR="00006C7E" w:rsidRPr="00721F7C" w:rsidRDefault="00006C7E" w:rsidP="00006C7E">
            <w:pPr>
              <w:spacing w:after="0" w:line="240" w:lineRule="auto"/>
              <w:rPr>
                <w:b w:val="0"/>
              </w:rPr>
            </w:pPr>
            <w:r w:rsidRPr="00721F7C">
              <w:rPr>
                <w:b w:val="0"/>
              </w:rPr>
              <w:t>Sonder les acteurs et cibles du projet</w:t>
            </w:r>
          </w:p>
        </w:tc>
        <w:tc>
          <w:tcPr>
            <w:tcW w:w="2313" w:type="dxa"/>
            <w:shd w:val="clear" w:color="auto" w:fill="C9C9C9" w:themeFill="accent3" w:themeFillTint="99"/>
            <w:vAlign w:val="center"/>
          </w:tcPr>
          <w:p w14:paraId="1455C235" w14:textId="77777777" w:rsidR="00006C7E" w:rsidRPr="00721F7C" w:rsidRDefault="00006C7E" w:rsidP="00006C7E">
            <w:pPr>
              <w:spacing w:after="0" w:line="240" w:lineRule="auto"/>
              <w:rPr>
                <w:b w:val="0"/>
              </w:rPr>
            </w:pPr>
            <w:r w:rsidRPr="00721F7C">
              <w:rPr>
                <w:b w:val="0"/>
              </w:rPr>
              <w:t>!!!!!!!!!!!</w:t>
            </w:r>
          </w:p>
        </w:tc>
      </w:tr>
      <w:tr w:rsidR="00006C7E" w:rsidRPr="00721F7C" w14:paraId="732E883C" w14:textId="77777777" w:rsidTr="00006C7E">
        <w:tc>
          <w:tcPr>
            <w:tcW w:w="627" w:type="dxa"/>
            <w:vMerge w:val="restart"/>
            <w:shd w:val="clear" w:color="auto" w:fill="D9D9D9" w:themeFill="background1" w:themeFillShade="D9"/>
            <w:vAlign w:val="center"/>
          </w:tcPr>
          <w:p w14:paraId="09A0A5D0" w14:textId="77777777" w:rsidR="00006C7E" w:rsidRPr="00721F7C" w:rsidRDefault="00006C7E" w:rsidP="00006C7E">
            <w:pPr>
              <w:spacing w:after="0" w:line="240" w:lineRule="auto"/>
              <w:rPr>
                <w:b w:val="0"/>
              </w:rPr>
            </w:pPr>
            <w:r w:rsidRPr="00721F7C">
              <w:rPr>
                <w:b w:val="0"/>
              </w:rPr>
              <w:t>2.3.</w:t>
            </w:r>
          </w:p>
        </w:tc>
        <w:tc>
          <w:tcPr>
            <w:tcW w:w="2399" w:type="dxa"/>
            <w:vMerge w:val="restart"/>
            <w:vAlign w:val="center"/>
          </w:tcPr>
          <w:p w14:paraId="7305D894" w14:textId="77777777" w:rsidR="00006C7E" w:rsidRPr="00721F7C" w:rsidRDefault="00006C7E" w:rsidP="00006C7E">
            <w:pPr>
              <w:spacing w:after="0" w:line="240" w:lineRule="auto"/>
              <w:rPr>
                <w:b w:val="0"/>
              </w:rPr>
            </w:pPr>
            <w:r w:rsidRPr="00721F7C">
              <w:rPr>
                <w:b w:val="0"/>
              </w:rPr>
              <w:t>Les capacités de planification, d’évaluation et d’affectation des ressources des institutions responsables de l’environnement sont renforcées pour mettre en œuvre les plans sectoriels visant</w:t>
            </w:r>
          </w:p>
          <w:p w14:paraId="42529290" w14:textId="77777777" w:rsidR="00006C7E" w:rsidRPr="00721F7C" w:rsidRDefault="00006C7E" w:rsidP="00006C7E">
            <w:pPr>
              <w:spacing w:after="0" w:line="240" w:lineRule="auto"/>
              <w:rPr>
                <w:b w:val="0"/>
              </w:rPr>
            </w:pPr>
          </w:p>
          <w:p w14:paraId="74CD6E42" w14:textId="77777777" w:rsidR="00006C7E" w:rsidRPr="00721F7C" w:rsidRDefault="00006C7E" w:rsidP="00006C7E">
            <w:pPr>
              <w:spacing w:after="0" w:line="240" w:lineRule="auto"/>
              <w:rPr>
                <w:b w:val="0"/>
              </w:rPr>
            </w:pPr>
            <w:r w:rsidRPr="00721F7C">
              <w:rPr>
                <w:b w:val="0"/>
              </w:rPr>
              <w:t>mieux intégrer les liens entre la pauvreté et l’environnement et les préoccupations en matière de réduction des risques de catastrophe et des risques climatiques</w:t>
            </w:r>
          </w:p>
        </w:tc>
        <w:tc>
          <w:tcPr>
            <w:tcW w:w="1110" w:type="dxa"/>
            <w:vAlign w:val="center"/>
          </w:tcPr>
          <w:p w14:paraId="080BD2EA" w14:textId="77777777" w:rsidR="00006C7E" w:rsidRPr="00721F7C" w:rsidRDefault="00006C7E" w:rsidP="00006C7E">
            <w:pPr>
              <w:spacing w:after="0" w:line="240" w:lineRule="auto"/>
              <w:rPr>
                <w:b w:val="0"/>
              </w:rPr>
            </w:pPr>
            <w:r w:rsidRPr="00721F7C">
              <w:rPr>
                <w:b w:val="0"/>
              </w:rPr>
              <w:t>Plans de développement socio-économique et plans sectoriels relatifs aux changements climatiques et à la gestion des ressources naturelles</w:t>
            </w:r>
          </w:p>
        </w:tc>
        <w:tc>
          <w:tcPr>
            <w:tcW w:w="1110" w:type="dxa"/>
            <w:gridSpan w:val="2"/>
            <w:vAlign w:val="center"/>
          </w:tcPr>
          <w:p w14:paraId="48A71514" w14:textId="77777777" w:rsidR="00006C7E" w:rsidRPr="00721F7C" w:rsidRDefault="00006C7E" w:rsidP="00006C7E">
            <w:pPr>
              <w:spacing w:after="0" w:line="240" w:lineRule="auto"/>
              <w:rPr>
                <w:b w:val="0"/>
              </w:rPr>
            </w:pPr>
            <w:r w:rsidRPr="00721F7C">
              <w:rPr>
                <w:b w:val="0"/>
              </w:rPr>
              <w:t>trois plans de développement et un plan sectoriel</w:t>
            </w:r>
          </w:p>
        </w:tc>
        <w:tc>
          <w:tcPr>
            <w:tcW w:w="1134" w:type="dxa"/>
            <w:vAlign w:val="center"/>
          </w:tcPr>
          <w:p w14:paraId="4CE07156" w14:textId="77777777" w:rsidR="00006C7E" w:rsidRPr="00721F7C" w:rsidRDefault="00006C7E" w:rsidP="00006C7E">
            <w:pPr>
              <w:spacing w:after="0" w:line="240" w:lineRule="auto"/>
              <w:rPr>
                <w:b w:val="0"/>
              </w:rPr>
            </w:pPr>
            <w:r w:rsidRPr="00721F7C">
              <w:rPr>
                <w:b w:val="0"/>
              </w:rPr>
              <w:t>15 plans de développement économique, social et culturel</w:t>
            </w:r>
          </w:p>
          <w:p w14:paraId="5968DE9C" w14:textId="77777777" w:rsidR="00006C7E" w:rsidRPr="00721F7C" w:rsidRDefault="00006C7E" w:rsidP="00006C7E">
            <w:pPr>
              <w:spacing w:after="0" w:line="240" w:lineRule="auto"/>
              <w:rPr>
                <w:b w:val="0"/>
              </w:rPr>
            </w:pPr>
          </w:p>
          <w:p w14:paraId="2730F5DE" w14:textId="77777777" w:rsidR="00006C7E" w:rsidRPr="00721F7C" w:rsidRDefault="00006C7E" w:rsidP="00006C7E">
            <w:pPr>
              <w:spacing w:after="0" w:line="240" w:lineRule="auto"/>
              <w:rPr>
                <w:b w:val="0"/>
              </w:rPr>
            </w:pPr>
            <w:r w:rsidRPr="00721F7C">
              <w:rPr>
                <w:b w:val="0"/>
              </w:rPr>
              <w:t xml:space="preserve">(15 municipalités) et 3 plans sectoriels (à l’échelle nationale) en faveur de faibles émissions de </w:t>
            </w:r>
            <w:r w:rsidRPr="00721F7C">
              <w:rPr>
                <w:b w:val="0"/>
              </w:rPr>
              <w:lastRenderedPageBreak/>
              <w:t>carbone et de la résilience aux changements climatiques</w:t>
            </w:r>
          </w:p>
        </w:tc>
        <w:tc>
          <w:tcPr>
            <w:tcW w:w="945" w:type="dxa"/>
            <w:shd w:val="clear" w:color="auto" w:fill="C9C9C9" w:themeFill="accent3" w:themeFillTint="99"/>
            <w:vAlign w:val="center"/>
          </w:tcPr>
          <w:p w14:paraId="1C550E68" w14:textId="77777777" w:rsidR="00006C7E" w:rsidRPr="00721F7C" w:rsidRDefault="00006C7E" w:rsidP="00006C7E">
            <w:pPr>
              <w:spacing w:after="0" w:line="240" w:lineRule="auto"/>
              <w:rPr>
                <w:b w:val="0"/>
              </w:rPr>
            </w:pPr>
            <w:r w:rsidRPr="00721F7C">
              <w:rPr>
                <w:b w:val="0"/>
              </w:rPr>
              <w:lastRenderedPageBreak/>
              <w:t>???????</w:t>
            </w:r>
          </w:p>
        </w:tc>
        <w:tc>
          <w:tcPr>
            <w:tcW w:w="2233" w:type="dxa"/>
            <w:gridSpan w:val="2"/>
            <w:vAlign w:val="center"/>
          </w:tcPr>
          <w:p w14:paraId="06166D92" w14:textId="77777777" w:rsidR="00006C7E" w:rsidRPr="00721F7C" w:rsidRDefault="00006C7E" w:rsidP="00006C7E">
            <w:pPr>
              <w:numPr>
                <w:ilvl w:val="0"/>
                <w:numId w:val="9"/>
              </w:numPr>
              <w:spacing w:after="0" w:line="240" w:lineRule="auto"/>
              <w:rPr>
                <w:b w:val="0"/>
              </w:rPr>
            </w:pPr>
            <w:r w:rsidRPr="00721F7C">
              <w:rPr>
                <w:b w:val="0"/>
              </w:rPr>
              <w:t>Rapports d’exécution</w:t>
            </w:r>
          </w:p>
          <w:p w14:paraId="25763FF3" w14:textId="77777777" w:rsidR="00006C7E" w:rsidRPr="00721F7C" w:rsidRDefault="00006C7E" w:rsidP="00006C7E">
            <w:pPr>
              <w:numPr>
                <w:ilvl w:val="0"/>
                <w:numId w:val="9"/>
              </w:numPr>
              <w:spacing w:after="0" w:line="240" w:lineRule="auto"/>
              <w:rPr>
                <w:b w:val="0"/>
              </w:rPr>
            </w:pPr>
            <w:r w:rsidRPr="00721F7C">
              <w:rPr>
                <w:b w:val="0"/>
              </w:rPr>
              <w:t>Sources primaires</w:t>
            </w:r>
          </w:p>
        </w:tc>
        <w:tc>
          <w:tcPr>
            <w:tcW w:w="1923" w:type="dxa"/>
            <w:vAlign w:val="center"/>
          </w:tcPr>
          <w:p w14:paraId="448012D0" w14:textId="77777777" w:rsidR="00006C7E" w:rsidRPr="00721F7C" w:rsidRDefault="00006C7E" w:rsidP="00006C7E">
            <w:pPr>
              <w:spacing w:after="0" w:line="240" w:lineRule="auto"/>
              <w:rPr>
                <w:b w:val="0"/>
              </w:rPr>
            </w:pPr>
            <w:r w:rsidRPr="00721F7C">
              <w:rPr>
                <w:b w:val="0"/>
              </w:rPr>
              <w:t>Information collectée au fur et mesure et consignée dans les rapports</w:t>
            </w:r>
          </w:p>
        </w:tc>
        <w:tc>
          <w:tcPr>
            <w:tcW w:w="2319" w:type="dxa"/>
            <w:gridSpan w:val="2"/>
            <w:shd w:val="clear" w:color="auto" w:fill="auto"/>
            <w:vAlign w:val="center"/>
          </w:tcPr>
          <w:p w14:paraId="005E7E9F" w14:textId="77777777" w:rsidR="00006C7E" w:rsidRPr="00721F7C" w:rsidRDefault="00006C7E" w:rsidP="00006C7E">
            <w:pPr>
              <w:spacing w:after="0" w:line="240" w:lineRule="auto"/>
              <w:rPr>
                <w:b w:val="0"/>
              </w:rPr>
            </w:pPr>
            <w:r w:rsidRPr="00721F7C">
              <w:rPr>
                <w:b w:val="0"/>
              </w:rPr>
              <w:t>Sonder les acteurs et cibles du projet</w:t>
            </w:r>
          </w:p>
        </w:tc>
        <w:tc>
          <w:tcPr>
            <w:tcW w:w="2313" w:type="dxa"/>
            <w:shd w:val="clear" w:color="auto" w:fill="C9C9C9" w:themeFill="accent3" w:themeFillTint="99"/>
            <w:vAlign w:val="center"/>
          </w:tcPr>
          <w:p w14:paraId="442C510F" w14:textId="77777777" w:rsidR="00006C7E" w:rsidRPr="00721F7C" w:rsidRDefault="00006C7E" w:rsidP="00006C7E">
            <w:pPr>
              <w:spacing w:after="0" w:line="240" w:lineRule="auto"/>
              <w:rPr>
                <w:b w:val="0"/>
              </w:rPr>
            </w:pPr>
            <w:r w:rsidRPr="00721F7C">
              <w:rPr>
                <w:b w:val="0"/>
              </w:rPr>
              <w:t>!!!!!!!!!!!</w:t>
            </w:r>
          </w:p>
        </w:tc>
      </w:tr>
      <w:tr w:rsidR="00006C7E" w:rsidRPr="00721F7C" w14:paraId="6AE8BF19" w14:textId="77777777" w:rsidTr="00006C7E">
        <w:tc>
          <w:tcPr>
            <w:tcW w:w="627" w:type="dxa"/>
            <w:vMerge/>
            <w:shd w:val="clear" w:color="auto" w:fill="D9D9D9" w:themeFill="background1" w:themeFillShade="D9"/>
            <w:vAlign w:val="center"/>
          </w:tcPr>
          <w:p w14:paraId="5B2D6194" w14:textId="77777777" w:rsidR="00006C7E" w:rsidRPr="00721F7C" w:rsidRDefault="00006C7E" w:rsidP="00006C7E">
            <w:pPr>
              <w:spacing w:after="0" w:line="240" w:lineRule="auto"/>
              <w:rPr>
                <w:b w:val="0"/>
              </w:rPr>
            </w:pPr>
          </w:p>
        </w:tc>
        <w:tc>
          <w:tcPr>
            <w:tcW w:w="2399" w:type="dxa"/>
            <w:vMerge/>
            <w:vAlign w:val="center"/>
          </w:tcPr>
          <w:p w14:paraId="7705474D" w14:textId="77777777" w:rsidR="00006C7E" w:rsidRPr="00721F7C" w:rsidRDefault="00006C7E" w:rsidP="00006C7E">
            <w:pPr>
              <w:spacing w:after="0" w:line="240" w:lineRule="auto"/>
              <w:rPr>
                <w:b w:val="0"/>
              </w:rPr>
            </w:pPr>
          </w:p>
        </w:tc>
        <w:tc>
          <w:tcPr>
            <w:tcW w:w="1110" w:type="dxa"/>
            <w:vAlign w:val="center"/>
          </w:tcPr>
          <w:p w14:paraId="208D3B54" w14:textId="77777777" w:rsidR="00006C7E" w:rsidRPr="00721F7C" w:rsidRDefault="00006C7E" w:rsidP="00006C7E">
            <w:pPr>
              <w:spacing w:after="0" w:line="240" w:lineRule="auto"/>
              <w:rPr>
                <w:b w:val="0"/>
              </w:rPr>
            </w:pPr>
            <w:r w:rsidRPr="00721F7C">
              <w:rPr>
                <w:b w:val="0"/>
              </w:rPr>
              <w:t>Nombre de plans d’action en faveur de la réduction des risques de catastrophe et de l’assainissement élaborés à l’échelle nationale, régionale et locale Nombre de plans d’action en faveur de la réduction des risques de catastrophe et de l’assainiss</w:t>
            </w:r>
            <w:r w:rsidRPr="00721F7C">
              <w:rPr>
                <w:b w:val="0"/>
              </w:rPr>
              <w:lastRenderedPageBreak/>
              <w:t>ement élaborés à l’échelle nationale, régionale et locale</w:t>
            </w:r>
          </w:p>
        </w:tc>
        <w:tc>
          <w:tcPr>
            <w:tcW w:w="1110" w:type="dxa"/>
            <w:gridSpan w:val="2"/>
            <w:vAlign w:val="center"/>
          </w:tcPr>
          <w:p w14:paraId="6529BDC9" w14:textId="77777777" w:rsidR="00006C7E" w:rsidRPr="00721F7C" w:rsidRDefault="00006C7E" w:rsidP="00006C7E">
            <w:pPr>
              <w:spacing w:after="0" w:line="240" w:lineRule="auto"/>
              <w:rPr>
                <w:b w:val="0"/>
              </w:rPr>
            </w:pPr>
            <w:r w:rsidRPr="00721F7C">
              <w:rPr>
                <w:b w:val="0"/>
              </w:rPr>
              <w:lastRenderedPageBreak/>
              <w:t>Aucune stratégie ou politique de réduction des risques de catastrophe</w:t>
            </w:r>
          </w:p>
        </w:tc>
        <w:tc>
          <w:tcPr>
            <w:tcW w:w="1134" w:type="dxa"/>
            <w:vAlign w:val="center"/>
          </w:tcPr>
          <w:p w14:paraId="0D62B1AC" w14:textId="77777777" w:rsidR="00006C7E" w:rsidRPr="00721F7C" w:rsidRDefault="00006C7E" w:rsidP="00006C7E">
            <w:pPr>
              <w:spacing w:after="0" w:line="240" w:lineRule="auto"/>
              <w:rPr>
                <w:b w:val="0"/>
              </w:rPr>
            </w:pPr>
            <w:r w:rsidRPr="00721F7C">
              <w:rPr>
                <w:b w:val="0"/>
              </w:rPr>
              <w:t>03 plans d’action (un premier à l’échelle nationale, un deuxième à l’échelle régionale et un troisième à l’échelle locale)</w:t>
            </w:r>
          </w:p>
        </w:tc>
        <w:tc>
          <w:tcPr>
            <w:tcW w:w="945" w:type="dxa"/>
            <w:shd w:val="clear" w:color="auto" w:fill="C9C9C9" w:themeFill="accent3" w:themeFillTint="99"/>
            <w:vAlign w:val="center"/>
          </w:tcPr>
          <w:p w14:paraId="1E46CB4F" w14:textId="77777777" w:rsidR="00006C7E" w:rsidRPr="00721F7C" w:rsidRDefault="00006C7E" w:rsidP="00006C7E">
            <w:pPr>
              <w:spacing w:after="0" w:line="240" w:lineRule="auto"/>
              <w:rPr>
                <w:b w:val="0"/>
              </w:rPr>
            </w:pPr>
            <w:r w:rsidRPr="00721F7C">
              <w:rPr>
                <w:b w:val="0"/>
              </w:rPr>
              <w:t>???????</w:t>
            </w:r>
          </w:p>
        </w:tc>
        <w:tc>
          <w:tcPr>
            <w:tcW w:w="2233" w:type="dxa"/>
            <w:gridSpan w:val="2"/>
            <w:vAlign w:val="center"/>
          </w:tcPr>
          <w:p w14:paraId="1CF2558A" w14:textId="77777777" w:rsidR="00006C7E" w:rsidRPr="00721F7C" w:rsidRDefault="00006C7E" w:rsidP="00006C7E">
            <w:pPr>
              <w:numPr>
                <w:ilvl w:val="0"/>
                <w:numId w:val="9"/>
              </w:numPr>
              <w:spacing w:after="0" w:line="240" w:lineRule="auto"/>
              <w:rPr>
                <w:b w:val="0"/>
              </w:rPr>
            </w:pPr>
            <w:r w:rsidRPr="00721F7C">
              <w:rPr>
                <w:b w:val="0"/>
              </w:rPr>
              <w:t>Rapports d’exécution</w:t>
            </w:r>
          </w:p>
          <w:p w14:paraId="17C85FAF" w14:textId="77777777" w:rsidR="00006C7E" w:rsidRPr="00721F7C" w:rsidRDefault="00006C7E" w:rsidP="00006C7E">
            <w:pPr>
              <w:numPr>
                <w:ilvl w:val="0"/>
                <w:numId w:val="9"/>
              </w:numPr>
              <w:spacing w:after="0" w:line="240" w:lineRule="auto"/>
              <w:rPr>
                <w:b w:val="0"/>
              </w:rPr>
            </w:pPr>
            <w:r w:rsidRPr="00721F7C">
              <w:rPr>
                <w:b w:val="0"/>
              </w:rPr>
              <w:t>Sources primaires</w:t>
            </w:r>
          </w:p>
        </w:tc>
        <w:tc>
          <w:tcPr>
            <w:tcW w:w="1923" w:type="dxa"/>
            <w:vAlign w:val="center"/>
          </w:tcPr>
          <w:p w14:paraId="7D0B7A29" w14:textId="77777777" w:rsidR="00006C7E" w:rsidRPr="00721F7C" w:rsidRDefault="00006C7E" w:rsidP="00006C7E">
            <w:pPr>
              <w:spacing w:after="0" w:line="240" w:lineRule="auto"/>
              <w:rPr>
                <w:b w:val="0"/>
              </w:rPr>
            </w:pPr>
            <w:r w:rsidRPr="00721F7C">
              <w:rPr>
                <w:b w:val="0"/>
              </w:rPr>
              <w:t>Information collectée au fur et mesure et consignée dans les rapports</w:t>
            </w:r>
          </w:p>
        </w:tc>
        <w:tc>
          <w:tcPr>
            <w:tcW w:w="2319" w:type="dxa"/>
            <w:gridSpan w:val="2"/>
            <w:shd w:val="clear" w:color="auto" w:fill="auto"/>
            <w:vAlign w:val="center"/>
          </w:tcPr>
          <w:p w14:paraId="3C5A82F0" w14:textId="77777777" w:rsidR="00006C7E" w:rsidRPr="00721F7C" w:rsidRDefault="00006C7E" w:rsidP="00006C7E">
            <w:pPr>
              <w:spacing w:after="0" w:line="240" w:lineRule="auto"/>
              <w:rPr>
                <w:b w:val="0"/>
              </w:rPr>
            </w:pPr>
            <w:r w:rsidRPr="00721F7C">
              <w:rPr>
                <w:b w:val="0"/>
              </w:rPr>
              <w:t>Sonder les acteurs et cibles du projet</w:t>
            </w:r>
          </w:p>
        </w:tc>
        <w:tc>
          <w:tcPr>
            <w:tcW w:w="2313" w:type="dxa"/>
            <w:shd w:val="clear" w:color="auto" w:fill="C9C9C9" w:themeFill="accent3" w:themeFillTint="99"/>
            <w:vAlign w:val="center"/>
          </w:tcPr>
          <w:p w14:paraId="775DF764" w14:textId="77777777" w:rsidR="00006C7E" w:rsidRPr="00721F7C" w:rsidRDefault="00006C7E" w:rsidP="00006C7E">
            <w:pPr>
              <w:spacing w:after="0" w:line="240" w:lineRule="auto"/>
              <w:rPr>
                <w:b w:val="0"/>
              </w:rPr>
            </w:pPr>
            <w:r w:rsidRPr="00721F7C">
              <w:rPr>
                <w:b w:val="0"/>
              </w:rPr>
              <w:t>!!!!!!!!!!!</w:t>
            </w:r>
          </w:p>
        </w:tc>
      </w:tr>
    </w:tbl>
    <w:p w14:paraId="7DF80103" w14:textId="77777777" w:rsidR="00006C7E" w:rsidRPr="00006C7E" w:rsidRDefault="00006C7E" w:rsidP="00006C7E">
      <w:pPr>
        <w:spacing w:after="0" w:line="240" w:lineRule="auto"/>
      </w:pPr>
    </w:p>
    <w:tbl>
      <w:tblPr>
        <w:tblStyle w:val="Grilledutableau"/>
        <w:tblW w:w="16113" w:type="dxa"/>
        <w:tblInd w:w="-885" w:type="dxa"/>
        <w:tblLayout w:type="fixed"/>
        <w:tblLook w:val="04A0" w:firstRow="1" w:lastRow="0" w:firstColumn="1" w:lastColumn="0" w:noHBand="0" w:noVBand="1"/>
      </w:tblPr>
      <w:tblGrid>
        <w:gridCol w:w="627"/>
        <w:gridCol w:w="2399"/>
        <w:gridCol w:w="1110"/>
        <w:gridCol w:w="543"/>
        <w:gridCol w:w="567"/>
        <w:gridCol w:w="1134"/>
        <w:gridCol w:w="945"/>
        <w:gridCol w:w="1323"/>
        <w:gridCol w:w="910"/>
        <w:gridCol w:w="1923"/>
        <w:gridCol w:w="1278"/>
        <w:gridCol w:w="1041"/>
        <w:gridCol w:w="2313"/>
      </w:tblGrid>
      <w:tr w:rsidR="00006C7E" w:rsidRPr="00721F7C" w14:paraId="2E5195AF" w14:textId="77777777" w:rsidTr="00006C7E">
        <w:trPr>
          <w:trHeight w:val="378"/>
        </w:trPr>
        <w:tc>
          <w:tcPr>
            <w:tcW w:w="16113" w:type="dxa"/>
            <w:gridSpan w:val="13"/>
            <w:shd w:val="clear" w:color="auto" w:fill="D9D9D9" w:themeFill="background1" w:themeFillShade="D9"/>
            <w:vAlign w:val="center"/>
          </w:tcPr>
          <w:p w14:paraId="2E4BD5B0" w14:textId="77777777" w:rsidR="00006C7E" w:rsidRPr="00721F7C" w:rsidRDefault="00006C7E" w:rsidP="00006C7E">
            <w:pPr>
              <w:spacing w:after="0" w:line="240" w:lineRule="auto"/>
              <w:rPr>
                <w:b w:val="0"/>
                <w:u w:val="single"/>
              </w:rPr>
            </w:pPr>
            <w:r w:rsidRPr="00721F7C">
              <w:rPr>
                <w:b w:val="0"/>
                <w:u w:val="single"/>
              </w:rPr>
              <w:t>RESULTAT 3</w:t>
            </w:r>
          </w:p>
        </w:tc>
      </w:tr>
      <w:tr w:rsidR="00006C7E" w:rsidRPr="00721F7C" w14:paraId="4B6CCB2D" w14:textId="77777777" w:rsidTr="00006C7E">
        <w:trPr>
          <w:trHeight w:val="378"/>
        </w:trPr>
        <w:tc>
          <w:tcPr>
            <w:tcW w:w="16113" w:type="dxa"/>
            <w:gridSpan w:val="13"/>
            <w:shd w:val="clear" w:color="auto" w:fill="D9D9D9" w:themeFill="background1" w:themeFillShade="D9"/>
            <w:vAlign w:val="center"/>
          </w:tcPr>
          <w:p w14:paraId="0AE81EC3" w14:textId="77777777" w:rsidR="00006C7E" w:rsidRPr="00721F7C" w:rsidRDefault="00006C7E" w:rsidP="00006C7E">
            <w:pPr>
              <w:spacing w:after="0" w:line="240" w:lineRule="auto"/>
              <w:rPr>
                <w:b w:val="0"/>
                <w:u w:val="single"/>
              </w:rPr>
            </w:pPr>
            <w:r w:rsidRPr="00721F7C">
              <w:rPr>
                <w:b w:val="0"/>
                <w:u w:val="single"/>
              </w:rPr>
              <w:t>Effet PNUAD/CPD visé</w:t>
            </w:r>
          </w:p>
          <w:p w14:paraId="05F0DD8F" w14:textId="77777777" w:rsidR="00006C7E" w:rsidRPr="00721F7C" w:rsidRDefault="00006C7E" w:rsidP="00006C7E">
            <w:pPr>
              <w:spacing w:after="0" w:line="240" w:lineRule="auto"/>
              <w:rPr>
                <w:b w:val="0"/>
              </w:rPr>
            </w:pPr>
            <w:r w:rsidRPr="00721F7C">
              <w:rPr>
                <w:b w:val="0"/>
              </w:rPr>
              <w:t>"D’ici 2019, l’État et les institutions nationales et locales remplissent plus eff icacement leur mission de service public et les acteurs non étatiques participent à la vie de la nation et exercent un contrôle citoyen dans le respect des principes de la bonne gouvernance et de la primauté du droit."</w:t>
            </w:r>
          </w:p>
          <w:p w14:paraId="04706BB4" w14:textId="77777777" w:rsidR="00006C7E" w:rsidRPr="00721F7C" w:rsidRDefault="00006C7E" w:rsidP="00006C7E">
            <w:pPr>
              <w:spacing w:after="0" w:line="240" w:lineRule="auto"/>
              <w:rPr>
                <w:b w:val="0"/>
                <w:u w:val="single"/>
              </w:rPr>
            </w:pPr>
          </w:p>
          <w:p w14:paraId="67E08712" w14:textId="77777777" w:rsidR="00006C7E" w:rsidRPr="00721F7C" w:rsidRDefault="00006C7E" w:rsidP="00006C7E">
            <w:pPr>
              <w:spacing w:after="0" w:line="240" w:lineRule="auto"/>
              <w:rPr>
                <w:b w:val="0"/>
                <w:u w:val="single"/>
              </w:rPr>
            </w:pPr>
            <w:r w:rsidRPr="00721F7C">
              <w:rPr>
                <w:b w:val="0"/>
                <w:u w:val="single"/>
              </w:rPr>
              <w:t xml:space="preserve">Priorité ou objectif national : </w:t>
            </w:r>
            <w:r w:rsidRPr="00721F7C">
              <w:rPr>
                <w:b w:val="0"/>
              </w:rPr>
              <w:t>Établir des institutions fortes et crédibles</w:t>
            </w:r>
          </w:p>
          <w:p w14:paraId="2BAA9D99" w14:textId="77777777" w:rsidR="00006C7E" w:rsidRPr="00721F7C" w:rsidRDefault="00006C7E" w:rsidP="00006C7E">
            <w:pPr>
              <w:spacing w:after="0" w:line="240" w:lineRule="auto"/>
              <w:rPr>
                <w:b w:val="0"/>
                <w:u w:val="single"/>
              </w:rPr>
            </w:pPr>
            <w:r w:rsidRPr="00721F7C">
              <w:rPr>
                <w:b w:val="0"/>
                <w:u w:val="single"/>
              </w:rPr>
              <w:t xml:space="preserve">Résultat correspondant dans le plan stratégique 2014-2017 : 2) </w:t>
            </w:r>
            <w:r w:rsidRPr="00721F7C">
              <w:rPr>
                <w:b w:val="0"/>
              </w:rPr>
              <w:t>Il est répondu aux attentes des citoyens, notamment en matière de liberté d’expression, de développement, de primauté du droit et de redevabilité, grâce à des systèmes plus solides de gouvernance démocratique</w:t>
            </w:r>
          </w:p>
        </w:tc>
      </w:tr>
      <w:tr w:rsidR="00006C7E" w:rsidRPr="00721F7C" w14:paraId="6399ED89" w14:textId="77777777" w:rsidTr="00006C7E">
        <w:trPr>
          <w:trHeight w:val="57"/>
        </w:trPr>
        <w:tc>
          <w:tcPr>
            <w:tcW w:w="4679" w:type="dxa"/>
            <w:gridSpan w:val="4"/>
            <w:shd w:val="clear" w:color="auto" w:fill="D9D9D9" w:themeFill="background1" w:themeFillShade="D9"/>
            <w:vAlign w:val="center"/>
          </w:tcPr>
          <w:p w14:paraId="27BB59F6" w14:textId="77777777" w:rsidR="00006C7E" w:rsidRPr="00721F7C" w:rsidRDefault="00006C7E" w:rsidP="00006C7E">
            <w:pPr>
              <w:spacing w:after="0" w:line="240" w:lineRule="auto"/>
              <w:rPr>
                <w:b w:val="0"/>
              </w:rPr>
            </w:pPr>
            <w:r w:rsidRPr="00721F7C">
              <w:rPr>
                <w:b w:val="0"/>
              </w:rPr>
              <w:t>Indicateurs de résultat</w:t>
            </w:r>
          </w:p>
        </w:tc>
        <w:tc>
          <w:tcPr>
            <w:tcW w:w="3969" w:type="dxa"/>
            <w:gridSpan w:val="4"/>
            <w:shd w:val="clear" w:color="auto" w:fill="D9D9D9" w:themeFill="background1" w:themeFillShade="D9"/>
            <w:vAlign w:val="center"/>
          </w:tcPr>
          <w:p w14:paraId="5976F953" w14:textId="77777777" w:rsidR="00006C7E" w:rsidRPr="00721F7C" w:rsidRDefault="00006C7E" w:rsidP="00006C7E">
            <w:pPr>
              <w:spacing w:after="0" w:line="240" w:lineRule="auto"/>
              <w:rPr>
                <w:b w:val="0"/>
              </w:rPr>
            </w:pPr>
            <w:r w:rsidRPr="00721F7C">
              <w:rPr>
                <w:b w:val="0"/>
              </w:rPr>
              <w:t>Références</w:t>
            </w:r>
          </w:p>
        </w:tc>
        <w:tc>
          <w:tcPr>
            <w:tcW w:w="4111" w:type="dxa"/>
            <w:gridSpan w:val="3"/>
            <w:shd w:val="clear" w:color="auto" w:fill="D9D9D9" w:themeFill="background1" w:themeFillShade="D9"/>
            <w:vAlign w:val="center"/>
          </w:tcPr>
          <w:p w14:paraId="4447BF84" w14:textId="77777777" w:rsidR="00006C7E" w:rsidRPr="00721F7C" w:rsidRDefault="00006C7E" w:rsidP="00006C7E">
            <w:pPr>
              <w:spacing w:after="0" w:line="240" w:lineRule="auto"/>
              <w:rPr>
                <w:b w:val="0"/>
              </w:rPr>
            </w:pPr>
            <w:r w:rsidRPr="00721F7C">
              <w:rPr>
                <w:b w:val="0"/>
              </w:rPr>
              <w:t>Cibles</w:t>
            </w:r>
          </w:p>
        </w:tc>
        <w:tc>
          <w:tcPr>
            <w:tcW w:w="3354" w:type="dxa"/>
            <w:gridSpan w:val="2"/>
            <w:shd w:val="clear" w:color="auto" w:fill="D9D9D9" w:themeFill="background1" w:themeFillShade="D9"/>
            <w:vAlign w:val="center"/>
          </w:tcPr>
          <w:p w14:paraId="0F8B070B" w14:textId="77777777" w:rsidR="00006C7E" w:rsidRPr="00721F7C" w:rsidRDefault="00006C7E" w:rsidP="00006C7E">
            <w:pPr>
              <w:spacing w:after="0" w:line="240" w:lineRule="auto"/>
              <w:rPr>
                <w:b w:val="0"/>
              </w:rPr>
            </w:pPr>
            <w:r w:rsidRPr="00721F7C">
              <w:rPr>
                <w:b w:val="0"/>
              </w:rPr>
              <w:t>Observations</w:t>
            </w:r>
          </w:p>
        </w:tc>
      </w:tr>
      <w:tr w:rsidR="00006C7E" w:rsidRPr="00721F7C" w14:paraId="5230F4B4" w14:textId="77777777" w:rsidTr="00006C7E">
        <w:trPr>
          <w:trHeight w:val="53"/>
        </w:trPr>
        <w:tc>
          <w:tcPr>
            <w:tcW w:w="4679" w:type="dxa"/>
            <w:gridSpan w:val="4"/>
            <w:shd w:val="clear" w:color="auto" w:fill="D9D9D9" w:themeFill="background1" w:themeFillShade="D9"/>
          </w:tcPr>
          <w:p w14:paraId="233A97FC" w14:textId="77777777" w:rsidR="00006C7E" w:rsidRPr="00721F7C" w:rsidRDefault="00006C7E" w:rsidP="00006C7E">
            <w:pPr>
              <w:spacing w:after="0" w:line="240" w:lineRule="auto"/>
              <w:rPr>
                <w:b w:val="0"/>
              </w:rPr>
            </w:pPr>
            <w:r w:rsidRPr="00721F7C">
              <w:rPr>
                <w:b w:val="0"/>
              </w:rPr>
              <w:t>Index Ibrahim (Score)</w:t>
            </w:r>
          </w:p>
        </w:tc>
        <w:tc>
          <w:tcPr>
            <w:tcW w:w="3969" w:type="dxa"/>
            <w:gridSpan w:val="4"/>
            <w:shd w:val="clear" w:color="auto" w:fill="D9D9D9" w:themeFill="background1" w:themeFillShade="D9"/>
          </w:tcPr>
          <w:p w14:paraId="19E551A7" w14:textId="77777777" w:rsidR="00006C7E" w:rsidRPr="00721F7C" w:rsidRDefault="00006C7E" w:rsidP="00006C7E">
            <w:pPr>
              <w:spacing w:after="0" w:line="240" w:lineRule="auto"/>
              <w:rPr>
                <w:b w:val="0"/>
              </w:rPr>
            </w:pPr>
            <w:r w:rsidRPr="00721F7C">
              <w:rPr>
                <w:b w:val="0"/>
              </w:rPr>
              <w:t>50,7 (2013)</w:t>
            </w:r>
          </w:p>
        </w:tc>
        <w:tc>
          <w:tcPr>
            <w:tcW w:w="4111" w:type="dxa"/>
            <w:gridSpan w:val="3"/>
            <w:shd w:val="clear" w:color="auto" w:fill="D9D9D9" w:themeFill="background1" w:themeFillShade="D9"/>
          </w:tcPr>
          <w:p w14:paraId="0D7A2280" w14:textId="77777777" w:rsidR="00006C7E" w:rsidRPr="00721F7C" w:rsidRDefault="00006C7E" w:rsidP="00006C7E">
            <w:pPr>
              <w:spacing w:after="0" w:line="240" w:lineRule="auto"/>
              <w:rPr>
                <w:b w:val="0"/>
              </w:rPr>
            </w:pPr>
            <w:r w:rsidRPr="00721F7C">
              <w:rPr>
                <w:b w:val="0"/>
              </w:rPr>
              <w:t>55</w:t>
            </w:r>
          </w:p>
        </w:tc>
        <w:tc>
          <w:tcPr>
            <w:tcW w:w="3354" w:type="dxa"/>
            <w:gridSpan w:val="2"/>
            <w:shd w:val="clear" w:color="auto" w:fill="D9D9D9" w:themeFill="background1" w:themeFillShade="D9"/>
            <w:vAlign w:val="center"/>
          </w:tcPr>
          <w:p w14:paraId="218A5022" w14:textId="77777777" w:rsidR="00006C7E" w:rsidRPr="00721F7C" w:rsidRDefault="00006C7E" w:rsidP="00006C7E">
            <w:pPr>
              <w:spacing w:after="0" w:line="240" w:lineRule="auto"/>
              <w:rPr>
                <w:b w:val="0"/>
              </w:rPr>
            </w:pPr>
          </w:p>
        </w:tc>
      </w:tr>
      <w:tr w:rsidR="00006C7E" w:rsidRPr="00721F7C" w14:paraId="78BDED35" w14:textId="77777777" w:rsidTr="00006C7E">
        <w:trPr>
          <w:trHeight w:val="53"/>
        </w:trPr>
        <w:tc>
          <w:tcPr>
            <w:tcW w:w="4679" w:type="dxa"/>
            <w:gridSpan w:val="4"/>
            <w:shd w:val="clear" w:color="auto" w:fill="D9D9D9" w:themeFill="background1" w:themeFillShade="D9"/>
          </w:tcPr>
          <w:p w14:paraId="3B287AC0" w14:textId="77777777" w:rsidR="00006C7E" w:rsidRPr="00721F7C" w:rsidRDefault="00006C7E" w:rsidP="00006C7E">
            <w:pPr>
              <w:spacing w:after="0" w:line="240" w:lineRule="auto"/>
              <w:rPr>
                <w:b w:val="0"/>
              </w:rPr>
            </w:pPr>
            <w:r w:rsidRPr="00721F7C">
              <w:rPr>
                <w:b w:val="0"/>
              </w:rPr>
              <w:t>Pourcentage de la population en faveur du processus démocratique</w:t>
            </w:r>
          </w:p>
        </w:tc>
        <w:tc>
          <w:tcPr>
            <w:tcW w:w="3969" w:type="dxa"/>
            <w:gridSpan w:val="4"/>
            <w:shd w:val="clear" w:color="auto" w:fill="D9D9D9" w:themeFill="background1" w:themeFillShade="D9"/>
          </w:tcPr>
          <w:p w14:paraId="1AF9FE08" w14:textId="77777777" w:rsidR="00006C7E" w:rsidRPr="00721F7C" w:rsidRDefault="00006C7E" w:rsidP="00006C7E">
            <w:pPr>
              <w:spacing w:after="0" w:line="240" w:lineRule="auto"/>
              <w:rPr>
                <w:b w:val="0"/>
              </w:rPr>
            </w:pPr>
          </w:p>
        </w:tc>
        <w:tc>
          <w:tcPr>
            <w:tcW w:w="4111" w:type="dxa"/>
            <w:gridSpan w:val="3"/>
            <w:shd w:val="clear" w:color="auto" w:fill="D9D9D9" w:themeFill="background1" w:themeFillShade="D9"/>
          </w:tcPr>
          <w:p w14:paraId="03932A10" w14:textId="77777777" w:rsidR="00006C7E" w:rsidRPr="00721F7C" w:rsidRDefault="00006C7E" w:rsidP="00006C7E">
            <w:pPr>
              <w:spacing w:after="0" w:line="240" w:lineRule="auto"/>
              <w:rPr>
                <w:b w:val="0"/>
              </w:rPr>
            </w:pPr>
          </w:p>
        </w:tc>
        <w:tc>
          <w:tcPr>
            <w:tcW w:w="3354" w:type="dxa"/>
            <w:gridSpan w:val="2"/>
            <w:shd w:val="clear" w:color="auto" w:fill="D9D9D9" w:themeFill="background1" w:themeFillShade="D9"/>
            <w:vAlign w:val="center"/>
          </w:tcPr>
          <w:p w14:paraId="3FC16148" w14:textId="77777777" w:rsidR="00006C7E" w:rsidRPr="00721F7C" w:rsidRDefault="00006C7E" w:rsidP="00006C7E">
            <w:pPr>
              <w:spacing w:after="0" w:line="240" w:lineRule="auto"/>
              <w:rPr>
                <w:b w:val="0"/>
              </w:rPr>
            </w:pPr>
          </w:p>
        </w:tc>
      </w:tr>
      <w:tr w:rsidR="00006C7E" w:rsidRPr="00721F7C" w14:paraId="5F1B6F08" w14:textId="77777777" w:rsidTr="00006C7E">
        <w:trPr>
          <w:trHeight w:val="53"/>
        </w:trPr>
        <w:tc>
          <w:tcPr>
            <w:tcW w:w="4679" w:type="dxa"/>
            <w:gridSpan w:val="4"/>
            <w:shd w:val="clear" w:color="auto" w:fill="D9D9D9" w:themeFill="background1" w:themeFillShade="D9"/>
          </w:tcPr>
          <w:p w14:paraId="2941F33B" w14:textId="77777777" w:rsidR="00006C7E" w:rsidRPr="00721F7C" w:rsidRDefault="00006C7E" w:rsidP="00006C7E">
            <w:pPr>
              <w:spacing w:after="0" w:line="240" w:lineRule="auto"/>
              <w:rPr>
                <w:b w:val="0"/>
              </w:rPr>
            </w:pPr>
            <w:r w:rsidRPr="00721F7C">
              <w:rPr>
                <w:b w:val="0"/>
              </w:rPr>
              <w:t>Pourcentage de cas traités de violation des droits fondamentaux (par âge, sexe et région)</w:t>
            </w:r>
          </w:p>
        </w:tc>
        <w:tc>
          <w:tcPr>
            <w:tcW w:w="3969" w:type="dxa"/>
            <w:gridSpan w:val="4"/>
            <w:shd w:val="clear" w:color="auto" w:fill="D9D9D9" w:themeFill="background1" w:themeFillShade="D9"/>
          </w:tcPr>
          <w:p w14:paraId="621CE457" w14:textId="77777777" w:rsidR="00006C7E" w:rsidRPr="00721F7C" w:rsidRDefault="00006C7E" w:rsidP="00006C7E">
            <w:pPr>
              <w:spacing w:after="0" w:line="240" w:lineRule="auto"/>
              <w:rPr>
                <w:b w:val="0"/>
              </w:rPr>
            </w:pPr>
          </w:p>
        </w:tc>
        <w:tc>
          <w:tcPr>
            <w:tcW w:w="4111" w:type="dxa"/>
            <w:gridSpan w:val="3"/>
            <w:shd w:val="clear" w:color="auto" w:fill="D9D9D9" w:themeFill="background1" w:themeFillShade="D9"/>
          </w:tcPr>
          <w:p w14:paraId="0970C982" w14:textId="77777777" w:rsidR="00006C7E" w:rsidRPr="00721F7C" w:rsidRDefault="00006C7E" w:rsidP="00006C7E">
            <w:pPr>
              <w:spacing w:after="0" w:line="240" w:lineRule="auto"/>
              <w:rPr>
                <w:b w:val="0"/>
              </w:rPr>
            </w:pPr>
          </w:p>
        </w:tc>
        <w:tc>
          <w:tcPr>
            <w:tcW w:w="3354" w:type="dxa"/>
            <w:gridSpan w:val="2"/>
            <w:shd w:val="clear" w:color="auto" w:fill="D9D9D9" w:themeFill="background1" w:themeFillShade="D9"/>
            <w:vAlign w:val="center"/>
          </w:tcPr>
          <w:p w14:paraId="46EF22EB" w14:textId="77777777" w:rsidR="00006C7E" w:rsidRPr="00721F7C" w:rsidRDefault="00006C7E" w:rsidP="00006C7E">
            <w:pPr>
              <w:spacing w:after="0" w:line="240" w:lineRule="auto"/>
              <w:rPr>
                <w:b w:val="0"/>
              </w:rPr>
            </w:pPr>
          </w:p>
        </w:tc>
      </w:tr>
      <w:tr w:rsidR="00006C7E" w:rsidRPr="00721F7C" w14:paraId="0D8D323B" w14:textId="77777777" w:rsidTr="00006C7E">
        <w:trPr>
          <w:trHeight w:val="53"/>
        </w:trPr>
        <w:tc>
          <w:tcPr>
            <w:tcW w:w="4679" w:type="dxa"/>
            <w:gridSpan w:val="4"/>
            <w:shd w:val="clear" w:color="auto" w:fill="D9D9D9" w:themeFill="background1" w:themeFillShade="D9"/>
          </w:tcPr>
          <w:p w14:paraId="3A7F61B2" w14:textId="77777777" w:rsidR="00006C7E" w:rsidRPr="00721F7C" w:rsidRDefault="00006C7E" w:rsidP="00006C7E">
            <w:pPr>
              <w:spacing w:after="0" w:line="240" w:lineRule="auto"/>
              <w:rPr>
                <w:b w:val="0"/>
              </w:rPr>
            </w:pPr>
            <w:r w:rsidRPr="00721F7C">
              <w:rPr>
                <w:b w:val="0"/>
              </w:rPr>
              <w:t>Taux de participation électorale (femmes, etc.)</w:t>
            </w:r>
          </w:p>
        </w:tc>
        <w:tc>
          <w:tcPr>
            <w:tcW w:w="3969" w:type="dxa"/>
            <w:gridSpan w:val="4"/>
            <w:shd w:val="clear" w:color="auto" w:fill="D9D9D9" w:themeFill="background1" w:themeFillShade="D9"/>
          </w:tcPr>
          <w:p w14:paraId="43D3B0B2" w14:textId="77777777" w:rsidR="00006C7E" w:rsidRPr="00721F7C" w:rsidRDefault="00006C7E" w:rsidP="00006C7E">
            <w:pPr>
              <w:spacing w:after="0" w:line="240" w:lineRule="auto"/>
              <w:rPr>
                <w:b w:val="0"/>
              </w:rPr>
            </w:pPr>
            <w:r w:rsidRPr="00721F7C">
              <w:rPr>
                <w:b w:val="0"/>
              </w:rPr>
              <w:t>40%</w:t>
            </w:r>
          </w:p>
        </w:tc>
        <w:tc>
          <w:tcPr>
            <w:tcW w:w="4111" w:type="dxa"/>
            <w:gridSpan w:val="3"/>
            <w:shd w:val="clear" w:color="auto" w:fill="D9D9D9" w:themeFill="background1" w:themeFillShade="D9"/>
          </w:tcPr>
          <w:p w14:paraId="2B2E7DFF" w14:textId="77777777" w:rsidR="00006C7E" w:rsidRPr="00721F7C" w:rsidRDefault="00006C7E" w:rsidP="00006C7E">
            <w:pPr>
              <w:spacing w:after="0" w:line="240" w:lineRule="auto"/>
              <w:rPr>
                <w:b w:val="0"/>
              </w:rPr>
            </w:pPr>
            <w:r w:rsidRPr="00721F7C">
              <w:rPr>
                <w:b w:val="0"/>
              </w:rPr>
              <w:t>50%</w:t>
            </w:r>
          </w:p>
        </w:tc>
        <w:tc>
          <w:tcPr>
            <w:tcW w:w="3354" w:type="dxa"/>
            <w:gridSpan w:val="2"/>
            <w:shd w:val="clear" w:color="auto" w:fill="D9D9D9" w:themeFill="background1" w:themeFillShade="D9"/>
            <w:vAlign w:val="center"/>
          </w:tcPr>
          <w:p w14:paraId="31A4779B" w14:textId="77777777" w:rsidR="00006C7E" w:rsidRPr="00721F7C" w:rsidRDefault="00006C7E" w:rsidP="00006C7E">
            <w:pPr>
              <w:spacing w:after="0" w:line="240" w:lineRule="auto"/>
              <w:rPr>
                <w:b w:val="0"/>
              </w:rPr>
            </w:pPr>
          </w:p>
        </w:tc>
      </w:tr>
      <w:tr w:rsidR="00006C7E" w:rsidRPr="00721F7C" w14:paraId="6537AB30" w14:textId="77777777" w:rsidTr="00006C7E">
        <w:trPr>
          <w:trHeight w:val="53"/>
        </w:trPr>
        <w:tc>
          <w:tcPr>
            <w:tcW w:w="4679" w:type="dxa"/>
            <w:gridSpan w:val="4"/>
            <w:shd w:val="clear" w:color="auto" w:fill="D9D9D9" w:themeFill="background1" w:themeFillShade="D9"/>
            <w:vAlign w:val="center"/>
          </w:tcPr>
          <w:p w14:paraId="7CCCA865" w14:textId="77777777" w:rsidR="00006C7E" w:rsidRPr="00721F7C" w:rsidRDefault="00006C7E" w:rsidP="00006C7E">
            <w:pPr>
              <w:spacing w:after="0" w:line="240" w:lineRule="auto"/>
              <w:rPr>
                <w:b w:val="0"/>
              </w:rPr>
            </w:pPr>
            <w:r w:rsidRPr="00721F7C">
              <w:rPr>
                <w:b w:val="0"/>
              </w:rPr>
              <w:t>Pourcentage du budget national transféré aux autorités locales</w:t>
            </w:r>
          </w:p>
        </w:tc>
        <w:tc>
          <w:tcPr>
            <w:tcW w:w="3969" w:type="dxa"/>
            <w:gridSpan w:val="4"/>
            <w:shd w:val="clear" w:color="auto" w:fill="D9D9D9" w:themeFill="background1" w:themeFillShade="D9"/>
            <w:vAlign w:val="center"/>
          </w:tcPr>
          <w:p w14:paraId="526515EA" w14:textId="77777777" w:rsidR="00006C7E" w:rsidRPr="00721F7C" w:rsidRDefault="00006C7E" w:rsidP="00006C7E">
            <w:pPr>
              <w:spacing w:after="0" w:line="240" w:lineRule="auto"/>
              <w:rPr>
                <w:b w:val="0"/>
              </w:rPr>
            </w:pPr>
            <w:r w:rsidRPr="00721F7C">
              <w:rPr>
                <w:b w:val="0"/>
              </w:rPr>
              <w:t>3,1 % (2010</w:t>
            </w:r>
            <w:r w:rsidRPr="00721F7C">
              <w:rPr>
                <w:b w:val="0"/>
                <w:vertAlign w:val="superscript"/>
              </w:rPr>
              <w:t>26</w:t>
            </w:r>
            <w:r w:rsidRPr="00721F7C">
              <w:rPr>
                <w:b w:val="0"/>
              </w:rPr>
              <w:t>)</w:t>
            </w:r>
          </w:p>
        </w:tc>
        <w:tc>
          <w:tcPr>
            <w:tcW w:w="4111" w:type="dxa"/>
            <w:gridSpan w:val="3"/>
            <w:shd w:val="clear" w:color="auto" w:fill="D9D9D9" w:themeFill="background1" w:themeFillShade="D9"/>
            <w:vAlign w:val="center"/>
          </w:tcPr>
          <w:p w14:paraId="0B068927" w14:textId="77777777" w:rsidR="00006C7E" w:rsidRPr="00721F7C" w:rsidRDefault="00006C7E" w:rsidP="00006C7E">
            <w:pPr>
              <w:spacing w:after="0" w:line="240" w:lineRule="auto"/>
              <w:rPr>
                <w:b w:val="0"/>
              </w:rPr>
            </w:pPr>
            <w:r w:rsidRPr="00721F7C">
              <w:rPr>
                <w:b w:val="0"/>
              </w:rPr>
              <w:t>5 %</w:t>
            </w:r>
          </w:p>
        </w:tc>
        <w:tc>
          <w:tcPr>
            <w:tcW w:w="3354" w:type="dxa"/>
            <w:gridSpan w:val="2"/>
            <w:shd w:val="clear" w:color="auto" w:fill="D9D9D9" w:themeFill="background1" w:themeFillShade="D9"/>
            <w:vAlign w:val="center"/>
          </w:tcPr>
          <w:p w14:paraId="14C85A2A" w14:textId="77777777" w:rsidR="00006C7E" w:rsidRPr="00721F7C" w:rsidRDefault="00006C7E" w:rsidP="00006C7E">
            <w:pPr>
              <w:spacing w:after="0" w:line="240" w:lineRule="auto"/>
              <w:rPr>
                <w:b w:val="0"/>
              </w:rPr>
            </w:pPr>
          </w:p>
        </w:tc>
      </w:tr>
      <w:tr w:rsidR="00006C7E" w:rsidRPr="00721F7C" w14:paraId="13F28094" w14:textId="77777777" w:rsidTr="00006C7E">
        <w:tc>
          <w:tcPr>
            <w:tcW w:w="16113" w:type="dxa"/>
            <w:gridSpan w:val="13"/>
            <w:shd w:val="clear" w:color="auto" w:fill="C9C9C9" w:themeFill="accent3" w:themeFillTint="99"/>
            <w:vAlign w:val="center"/>
          </w:tcPr>
          <w:p w14:paraId="23AF378A" w14:textId="77777777" w:rsidR="00006C7E" w:rsidRPr="00721F7C" w:rsidRDefault="00006C7E" w:rsidP="00006C7E">
            <w:pPr>
              <w:spacing w:after="0" w:line="240" w:lineRule="auto"/>
              <w:rPr>
                <w:b w:val="0"/>
              </w:rPr>
            </w:pPr>
            <w:r w:rsidRPr="00721F7C">
              <w:rPr>
                <w:b w:val="0"/>
              </w:rPr>
              <w:t>Performances Niveau Produits</w:t>
            </w:r>
          </w:p>
        </w:tc>
      </w:tr>
      <w:tr w:rsidR="00006C7E" w:rsidRPr="00721F7C" w14:paraId="6480822F" w14:textId="77777777" w:rsidTr="00006C7E">
        <w:tc>
          <w:tcPr>
            <w:tcW w:w="627" w:type="dxa"/>
            <w:vMerge w:val="restart"/>
            <w:shd w:val="clear" w:color="auto" w:fill="D9D9D9" w:themeFill="background1" w:themeFillShade="D9"/>
            <w:vAlign w:val="center"/>
          </w:tcPr>
          <w:p w14:paraId="593B6044" w14:textId="77777777" w:rsidR="00006C7E" w:rsidRPr="00721F7C" w:rsidRDefault="00006C7E" w:rsidP="00006C7E">
            <w:pPr>
              <w:spacing w:after="0" w:line="240" w:lineRule="auto"/>
              <w:rPr>
                <w:b w:val="0"/>
              </w:rPr>
            </w:pPr>
            <w:r w:rsidRPr="00721F7C">
              <w:rPr>
                <w:b w:val="0"/>
              </w:rPr>
              <w:t>N°</w:t>
            </w:r>
          </w:p>
        </w:tc>
        <w:tc>
          <w:tcPr>
            <w:tcW w:w="2399" w:type="dxa"/>
            <w:vMerge w:val="restart"/>
            <w:vAlign w:val="center"/>
          </w:tcPr>
          <w:p w14:paraId="55E8FAE0" w14:textId="77777777" w:rsidR="00006C7E" w:rsidRPr="00721F7C" w:rsidRDefault="00006C7E" w:rsidP="00006C7E">
            <w:pPr>
              <w:spacing w:after="0" w:line="240" w:lineRule="auto"/>
              <w:rPr>
                <w:b w:val="0"/>
              </w:rPr>
            </w:pPr>
            <w:r w:rsidRPr="00721F7C">
              <w:rPr>
                <w:b w:val="0"/>
              </w:rPr>
              <w:t>Produits</w:t>
            </w:r>
          </w:p>
        </w:tc>
        <w:tc>
          <w:tcPr>
            <w:tcW w:w="4299" w:type="dxa"/>
            <w:gridSpan w:val="5"/>
            <w:vAlign w:val="center"/>
          </w:tcPr>
          <w:p w14:paraId="65ED4BF9" w14:textId="77777777" w:rsidR="00006C7E" w:rsidRPr="00721F7C" w:rsidRDefault="00006C7E" w:rsidP="00006C7E">
            <w:pPr>
              <w:spacing w:after="0" w:line="240" w:lineRule="auto"/>
              <w:rPr>
                <w:b w:val="0"/>
              </w:rPr>
            </w:pPr>
            <w:r w:rsidRPr="00721F7C">
              <w:rPr>
                <w:b w:val="0"/>
              </w:rPr>
              <w:t>Indicateurs</w:t>
            </w:r>
          </w:p>
        </w:tc>
        <w:tc>
          <w:tcPr>
            <w:tcW w:w="2233" w:type="dxa"/>
            <w:gridSpan w:val="2"/>
            <w:vMerge w:val="restart"/>
            <w:vAlign w:val="center"/>
          </w:tcPr>
          <w:p w14:paraId="5B887F2C" w14:textId="77777777" w:rsidR="00006C7E" w:rsidRPr="00721F7C" w:rsidRDefault="00006C7E" w:rsidP="00006C7E">
            <w:pPr>
              <w:spacing w:after="0" w:line="240" w:lineRule="auto"/>
              <w:rPr>
                <w:b w:val="0"/>
              </w:rPr>
            </w:pPr>
            <w:r w:rsidRPr="00721F7C">
              <w:rPr>
                <w:b w:val="0"/>
              </w:rPr>
              <w:t>Source</w:t>
            </w:r>
          </w:p>
        </w:tc>
        <w:tc>
          <w:tcPr>
            <w:tcW w:w="1923" w:type="dxa"/>
            <w:vMerge w:val="restart"/>
            <w:vAlign w:val="center"/>
          </w:tcPr>
          <w:p w14:paraId="1E83B485" w14:textId="77777777" w:rsidR="00006C7E" w:rsidRPr="00721F7C" w:rsidRDefault="00006C7E" w:rsidP="00006C7E">
            <w:pPr>
              <w:spacing w:after="0" w:line="240" w:lineRule="auto"/>
              <w:rPr>
                <w:b w:val="0"/>
              </w:rPr>
            </w:pPr>
            <w:r w:rsidRPr="00721F7C">
              <w:rPr>
                <w:b w:val="0"/>
              </w:rPr>
              <w:t>Hypothèse</w:t>
            </w:r>
          </w:p>
        </w:tc>
        <w:tc>
          <w:tcPr>
            <w:tcW w:w="2319" w:type="dxa"/>
            <w:gridSpan w:val="2"/>
            <w:vMerge w:val="restart"/>
            <w:shd w:val="clear" w:color="auto" w:fill="auto"/>
            <w:vAlign w:val="center"/>
          </w:tcPr>
          <w:p w14:paraId="3DB11D9F" w14:textId="77777777" w:rsidR="00006C7E" w:rsidRPr="00721F7C" w:rsidRDefault="00006C7E" w:rsidP="00006C7E">
            <w:pPr>
              <w:spacing w:after="0" w:line="240" w:lineRule="auto"/>
              <w:rPr>
                <w:b w:val="0"/>
              </w:rPr>
            </w:pPr>
            <w:r w:rsidRPr="00721F7C">
              <w:rPr>
                <w:b w:val="0"/>
              </w:rPr>
              <w:t>Alternative</w:t>
            </w:r>
          </w:p>
          <w:p w14:paraId="4ECA254B" w14:textId="77777777" w:rsidR="00006C7E" w:rsidRPr="00721F7C" w:rsidRDefault="00006C7E" w:rsidP="00006C7E">
            <w:pPr>
              <w:spacing w:after="0" w:line="240" w:lineRule="auto"/>
              <w:rPr>
                <w:b w:val="0"/>
              </w:rPr>
            </w:pPr>
            <w:r w:rsidRPr="00721F7C">
              <w:rPr>
                <w:b w:val="0"/>
              </w:rPr>
              <w:t>(si hypothèse ci-contre non réalisée)</w:t>
            </w:r>
          </w:p>
        </w:tc>
        <w:tc>
          <w:tcPr>
            <w:tcW w:w="2313" w:type="dxa"/>
            <w:vMerge w:val="restart"/>
            <w:shd w:val="clear" w:color="auto" w:fill="auto"/>
            <w:vAlign w:val="center"/>
          </w:tcPr>
          <w:p w14:paraId="3C05817E" w14:textId="77777777" w:rsidR="00006C7E" w:rsidRPr="00721F7C" w:rsidRDefault="00006C7E" w:rsidP="00006C7E">
            <w:pPr>
              <w:spacing w:after="0" w:line="240" w:lineRule="auto"/>
              <w:rPr>
                <w:b w:val="0"/>
              </w:rPr>
            </w:pPr>
            <w:r w:rsidRPr="00721F7C">
              <w:rPr>
                <w:b w:val="0"/>
              </w:rPr>
              <w:t>Justification</w:t>
            </w:r>
          </w:p>
          <w:p w14:paraId="3A45910C" w14:textId="77777777" w:rsidR="00006C7E" w:rsidRPr="00721F7C" w:rsidRDefault="00006C7E" w:rsidP="00006C7E">
            <w:pPr>
              <w:spacing w:after="0" w:line="240" w:lineRule="auto"/>
              <w:rPr>
                <w:b w:val="0"/>
              </w:rPr>
            </w:pPr>
            <w:r w:rsidRPr="00721F7C">
              <w:rPr>
                <w:b w:val="0"/>
              </w:rPr>
              <w:t>Observation</w:t>
            </w:r>
          </w:p>
          <w:p w14:paraId="19DA3DC6" w14:textId="77777777" w:rsidR="00006C7E" w:rsidRPr="00721F7C" w:rsidRDefault="00006C7E" w:rsidP="00006C7E">
            <w:pPr>
              <w:spacing w:after="0" w:line="240" w:lineRule="auto"/>
              <w:rPr>
                <w:b w:val="0"/>
              </w:rPr>
            </w:pPr>
            <w:r w:rsidRPr="00721F7C">
              <w:rPr>
                <w:b w:val="0"/>
              </w:rPr>
              <w:t>Commentaire</w:t>
            </w:r>
          </w:p>
        </w:tc>
      </w:tr>
      <w:tr w:rsidR="00006C7E" w:rsidRPr="00721F7C" w14:paraId="416353C9" w14:textId="77777777" w:rsidTr="00006C7E">
        <w:tc>
          <w:tcPr>
            <w:tcW w:w="627" w:type="dxa"/>
            <w:vMerge/>
            <w:shd w:val="clear" w:color="auto" w:fill="D9D9D9" w:themeFill="background1" w:themeFillShade="D9"/>
            <w:vAlign w:val="center"/>
          </w:tcPr>
          <w:p w14:paraId="310F3A30" w14:textId="77777777" w:rsidR="00006C7E" w:rsidRPr="00721F7C" w:rsidRDefault="00006C7E" w:rsidP="00006C7E">
            <w:pPr>
              <w:spacing w:after="0" w:line="240" w:lineRule="auto"/>
              <w:rPr>
                <w:b w:val="0"/>
              </w:rPr>
            </w:pPr>
          </w:p>
        </w:tc>
        <w:tc>
          <w:tcPr>
            <w:tcW w:w="2399" w:type="dxa"/>
            <w:vMerge/>
            <w:vAlign w:val="center"/>
          </w:tcPr>
          <w:p w14:paraId="3038199B" w14:textId="77777777" w:rsidR="00006C7E" w:rsidRPr="00721F7C" w:rsidRDefault="00006C7E" w:rsidP="00006C7E">
            <w:pPr>
              <w:spacing w:after="0" w:line="240" w:lineRule="auto"/>
              <w:rPr>
                <w:b w:val="0"/>
              </w:rPr>
            </w:pPr>
          </w:p>
        </w:tc>
        <w:tc>
          <w:tcPr>
            <w:tcW w:w="1110" w:type="dxa"/>
            <w:vAlign w:val="center"/>
          </w:tcPr>
          <w:p w14:paraId="733B24CD" w14:textId="77777777" w:rsidR="00006C7E" w:rsidRPr="00721F7C" w:rsidRDefault="00006C7E" w:rsidP="00006C7E">
            <w:pPr>
              <w:spacing w:after="0" w:line="240" w:lineRule="auto"/>
              <w:rPr>
                <w:b w:val="0"/>
              </w:rPr>
            </w:pPr>
            <w:r w:rsidRPr="00721F7C">
              <w:rPr>
                <w:b w:val="0"/>
              </w:rPr>
              <w:t>Libellé</w:t>
            </w:r>
          </w:p>
        </w:tc>
        <w:tc>
          <w:tcPr>
            <w:tcW w:w="1110" w:type="dxa"/>
            <w:gridSpan w:val="2"/>
            <w:vAlign w:val="center"/>
          </w:tcPr>
          <w:p w14:paraId="3EFFAFFA" w14:textId="77777777" w:rsidR="00006C7E" w:rsidRPr="00721F7C" w:rsidRDefault="00006C7E" w:rsidP="00006C7E">
            <w:pPr>
              <w:spacing w:after="0" w:line="240" w:lineRule="auto"/>
              <w:rPr>
                <w:b w:val="0"/>
              </w:rPr>
            </w:pPr>
            <w:r w:rsidRPr="00721F7C">
              <w:rPr>
                <w:b w:val="0"/>
              </w:rPr>
              <w:t>Baseline</w:t>
            </w:r>
          </w:p>
        </w:tc>
        <w:tc>
          <w:tcPr>
            <w:tcW w:w="1134" w:type="dxa"/>
            <w:vAlign w:val="center"/>
          </w:tcPr>
          <w:p w14:paraId="720EEC0C" w14:textId="77777777" w:rsidR="00006C7E" w:rsidRPr="00721F7C" w:rsidRDefault="00006C7E" w:rsidP="00006C7E">
            <w:pPr>
              <w:spacing w:after="0" w:line="240" w:lineRule="auto"/>
              <w:rPr>
                <w:b w:val="0"/>
              </w:rPr>
            </w:pPr>
            <w:r w:rsidRPr="00721F7C">
              <w:rPr>
                <w:b w:val="0"/>
              </w:rPr>
              <w:t>Cibles</w:t>
            </w:r>
          </w:p>
        </w:tc>
        <w:tc>
          <w:tcPr>
            <w:tcW w:w="945" w:type="dxa"/>
            <w:vAlign w:val="center"/>
          </w:tcPr>
          <w:p w14:paraId="41828D95" w14:textId="77777777" w:rsidR="00006C7E" w:rsidRPr="00721F7C" w:rsidRDefault="00006C7E" w:rsidP="00006C7E">
            <w:pPr>
              <w:spacing w:after="0" w:line="240" w:lineRule="auto"/>
              <w:rPr>
                <w:b w:val="0"/>
              </w:rPr>
            </w:pPr>
            <w:r w:rsidRPr="00721F7C">
              <w:rPr>
                <w:b w:val="0"/>
              </w:rPr>
              <w:t>Réalisé</w:t>
            </w:r>
          </w:p>
        </w:tc>
        <w:tc>
          <w:tcPr>
            <w:tcW w:w="2233" w:type="dxa"/>
            <w:gridSpan w:val="2"/>
            <w:vMerge/>
            <w:vAlign w:val="center"/>
          </w:tcPr>
          <w:p w14:paraId="487E6578" w14:textId="77777777" w:rsidR="00006C7E" w:rsidRPr="00721F7C" w:rsidRDefault="00006C7E" w:rsidP="00006C7E">
            <w:pPr>
              <w:numPr>
                <w:ilvl w:val="0"/>
                <w:numId w:val="9"/>
              </w:numPr>
              <w:spacing w:after="0" w:line="240" w:lineRule="auto"/>
              <w:rPr>
                <w:b w:val="0"/>
              </w:rPr>
            </w:pPr>
          </w:p>
        </w:tc>
        <w:tc>
          <w:tcPr>
            <w:tcW w:w="1923" w:type="dxa"/>
            <w:vMerge/>
            <w:vAlign w:val="center"/>
          </w:tcPr>
          <w:p w14:paraId="34078C5A" w14:textId="77777777" w:rsidR="00006C7E" w:rsidRPr="00721F7C" w:rsidRDefault="00006C7E" w:rsidP="00006C7E">
            <w:pPr>
              <w:spacing w:after="0" w:line="240" w:lineRule="auto"/>
              <w:rPr>
                <w:b w:val="0"/>
              </w:rPr>
            </w:pPr>
          </w:p>
        </w:tc>
        <w:tc>
          <w:tcPr>
            <w:tcW w:w="2319" w:type="dxa"/>
            <w:gridSpan w:val="2"/>
            <w:vMerge/>
            <w:shd w:val="clear" w:color="auto" w:fill="auto"/>
            <w:vAlign w:val="center"/>
          </w:tcPr>
          <w:p w14:paraId="20A037C8" w14:textId="77777777" w:rsidR="00006C7E" w:rsidRPr="00721F7C" w:rsidRDefault="00006C7E" w:rsidP="00006C7E">
            <w:pPr>
              <w:spacing w:after="0" w:line="240" w:lineRule="auto"/>
              <w:rPr>
                <w:b w:val="0"/>
              </w:rPr>
            </w:pPr>
          </w:p>
        </w:tc>
        <w:tc>
          <w:tcPr>
            <w:tcW w:w="2313" w:type="dxa"/>
            <w:vMerge/>
            <w:shd w:val="clear" w:color="auto" w:fill="auto"/>
            <w:vAlign w:val="center"/>
          </w:tcPr>
          <w:p w14:paraId="3D88BA64" w14:textId="77777777" w:rsidR="00006C7E" w:rsidRPr="00721F7C" w:rsidRDefault="00006C7E" w:rsidP="00006C7E">
            <w:pPr>
              <w:spacing w:after="0" w:line="240" w:lineRule="auto"/>
              <w:rPr>
                <w:b w:val="0"/>
              </w:rPr>
            </w:pPr>
          </w:p>
        </w:tc>
      </w:tr>
      <w:tr w:rsidR="00006C7E" w:rsidRPr="00721F7C" w14:paraId="754386F1" w14:textId="77777777" w:rsidTr="00006C7E">
        <w:trPr>
          <w:trHeight w:val="3128"/>
        </w:trPr>
        <w:tc>
          <w:tcPr>
            <w:tcW w:w="627" w:type="dxa"/>
            <w:shd w:val="clear" w:color="auto" w:fill="D9D9D9" w:themeFill="background1" w:themeFillShade="D9"/>
            <w:vAlign w:val="center"/>
          </w:tcPr>
          <w:p w14:paraId="1A922E79" w14:textId="77777777" w:rsidR="00006C7E" w:rsidRPr="00721F7C" w:rsidRDefault="00006C7E" w:rsidP="00006C7E">
            <w:pPr>
              <w:spacing w:after="0" w:line="240" w:lineRule="auto"/>
              <w:rPr>
                <w:b w:val="0"/>
              </w:rPr>
            </w:pPr>
            <w:r w:rsidRPr="00721F7C">
              <w:rPr>
                <w:b w:val="0"/>
              </w:rPr>
              <w:lastRenderedPageBreak/>
              <w:t>2.1.</w:t>
            </w:r>
          </w:p>
        </w:tc>
        <w:tc>
          <w:tcPr>
            <w:tcW w:w="2399" w:type="dxa"/>
            <w:vAlign w:val="center"/>
          </w:tcPr>
          <w:p w14:paraId="750D935F" w14:textId="77777777" w:rsidR="00006C7E" w:rsidRPr="00721F7C" w:rsidRDefault="00006C7E" w:rsidP="00006C7E">
            <w:pPr>
              <w:spacing w:after="0" w:line="240" w:lineRule="auto"/>
              <w:rPr>
                <w:b w:val="0"/>
              </w:rPr>
            </w:pPr>
            <w:r w:rsidRPr="00721F7C">
              <w:rPr>
                <w:b w:val="0"/>
              </w:rPr>
              <w:t>Les capacités du Parlement sont renforcées dans les matières législatives et le contrôle de l’action gouvernementale</w:t>
            </w:r>
          </w:p>
        </w:tc>
        <w:tc>
          <w:tcPr>
            <w:tcW w:w="1110" w:type="dxa"/>
          </w:tcPr>
          <w:p w14:paraId="24DBA54A" w14:textId="77777777" w:rsidR="00006C7E" w:rsidRPr="00721F7C" w:rsidRDefault="00006C7E" w:rsidP="00006C7E">
            <w:pPr>
              <w:spacing w:after="0" w:line="240" w:lineRule="auto"/>
              <w:rPr>
                <w:b w:val="0"/>
              </w:rPr>
            </w:pPr>
            <w:r w:rsidRPr="00721F7C">
              <w:rPr>
                <w:b w:val="0"/>
              </w:rPr>
              <w:t>Pourcentage de députés élus au suffrage direct ayant suivi une formation aux techniques de l’examen de la législation, du contrôle et de la transparence budgétaire</w:t>
            </w:r>
          </w:p>
        </w:tc>
        <w:tc>
          <w:tcPr>
            <w:tcW w:w="1110" w:type="dxa"/>
            <w:gridSpan w:val="2"/>
          </w:tcPr>
          <w:p w14:paraId="1960D270" w14:textId="77777777" w:rsidR="00006C7E" w:rsidRPr="00721F7C" w:rsidRDefault="00006C7E" w:rsidP="00006C7E">
            <w:pPr>
              <w:spacing w:after="0" w:line="240" w:lineRule="auto"/>
              <w:rPr>
                <w:b w:val="0"/>
              </w:rPr>
            </w:pPr>
            <w:r w:rsidRPr="00721F7C">
              <w:rPr>
                <w:b w:val="0"/>
              </w:rPr>
              <w:t>20%</w:t>
            </w:r>
          </w:p>
        </w:tc>
        <w:tc>
          <w:tcPr>
            <w:tcW w:w="1134" w:type="dxa"/>
          </w:tcPr>
          <w:p w14:paraId="3275E243" w14:textId="77777777" w:rsidR="00006C7E" w:rsidRPr="00721F7C" w:rsidRDefault="00006C7E" w:rsidP="00006C7E">
            <w:pPr>
              <w:spacing w:after="0" w:line="240" w:lineRule="auto"/>
              <w:rPr>
                <w:b w:val="0"/>
              </w:rPr>
            </w:pPr>
            <w:r w:rsidRPr="00721F7C">
              <w:rPr>
                <w:b w:val="0"/>
              </w:rPr>
              <w:t>100%</w:t>
            </w:r>
          </w:p>
        </w:tc>
        <w:tc>
          <w:tcPr>
            <w:tcW w:w="945" w:type="dxa"/>
            <w:shd w:val="clear" w:color="auto" w:fill="C9C9C9" w:themeFill="accent3" w:themeFillTint="99"/>
            <w:vAlign w:val="center"/>
          </w:tcPr>
          <w:p w14:paraId="6F75FA6E" w14:textId="77777777" w:rsidR="00006C7E" w:rsidRPr="00721F7C" w:rsidRDefault="00006C7E" w:rsidP="00006C7E">
            <w:pPr>
              <w:spacing w:after="0" w:line="240" w:lineRule="auto"/>
              <w:rPr>
                <w:b w:val="0"/>
              </w:rPr>
            </w:pPr>
            <w:r w:rsidRPr="00721F7C">
              <w:rPr>
                <w:b w:val="0"/>
              </w:rPr>
              <w:t>???????</w:t>
            </w:r>
          </w:p>
        </w:tc>
        <w:tc>
          <w:tcPr>
            <w:tcW w:w="2233" w:type="dxa"/>
            <w:gridSpan w:val="2"/>
            <w:vAlign w:val="center"/>
          </w:tcPr>
          <w:p w14:paraId="1C1542DA" w14:textId="77777777" w:rsidR="00006C7E" w:rsidRPr="00721F7C" w:rsidRDefault="00006C7E" w:rsidP="00006C7E">
            <w:pPr>
              <w:numPr>
                <w:ilvl w:val="0"/>
                <w:numId w:val="9"/>
              </w:numPr>
              <w:spacing w:after="0" w:line="240" w:lineRule="auto"/>
              <w:rPr>
                <w:b w:val="0"/>
              </w:rPr>
            </w:pPr>
            <w:r w:rsidRPr="00721F7C">
              <w:rPr>
                <w:b w:val="0"/>
              </w:rPr>
              <w:t>Rapports d’exécution</w:t>
            </w:r>
          </w:p>
          <w:p w14:paraId="76B26674" w14:textId="77777777" w:rsidR="00006C7E" w:rsidRPr="00721F7C" w:rsidRDefault="00006C7E" w:rsidP="00006C7E">
            <w:pPr>
              <w:numPr>
                <w:ilvl w:val="0"/>
                <w:numId w:val="9"/>
              </w:numPr>
              <w:spacing w:after="0" w:line="240" w:lineRule="auto"/>
              <w:rPr>
                <w:b w:val="0"/>
              </w:rPr>
            </w:pPr>
            <w:r w:rsidRPr="00721F7C">
              <w:rPr>
                <w:b w:val="0"/>
              </w:rPr>
              <w:t>Sources primaires</w:t>
            </w:r>
          </w:p>
        </w:tc>
        <w:tc>
          <w:tcPr>
            <w:tcW w:w="1923" w:type="dxa"/>
            <w:vAlign w:val="center"/>
          </w:tcPr>
          <w:p w14:paraId="3511785C" w14:textId="77777777" w:rsidR="00006C7E" w:rsidRPr="00721F7C" w:rsidRDefault="00006C7E" w:rsidP="00006C7E">
            <w:pPr>
              <w:spacing w:after="0" w:line="240" w:lineRule="auto"/>
              <w:rPr>
                <w:b w:val="0"/>
              </w:rPr>
            </w:pPr>
            <w:r w:rsidRPr="00721F7C">
              <w:rPr>
                <w:b w:val="0"/>
              </w:rPr>
              <w:t>Information collectée au fur et mesure et consignée dans les rapports</w:t>
            </w:r>
          </w:p>
        </w:tc>
        <w:tc>
          <w:tcPr>
            <w:tcW w:w="2319" w:type="dxa"/>
            <w:gridSpan w:val="2"/>
            <w:shd w:val="clear" w:color="auto" w:fill="auto"/>
            <w:vAlign w:val="center"/>
          </w:tcPr>
          <w:p w14:paraId="7A4343F3" w14:textId="77777777" w:rsidR="00006C7E" w:rsidRPr="00721F7C" w:rsidRDefault="00006C7E" w:rsidP="00006C7E">
            <w:pPr>
              <w:spacing w:after="0" w:line="240" w:lineRule="auto"/>
              <w:rPr>
                <w:b w:val="0"/>
              </w:rPr>
            </w:pPr>
            <w:r w:rsidRPr="00721F7C">
              <w:rPr>
                <w:b w:val="0"/>
              </w:rPr>
              <w:t>Sonder les acteurs et bénéficiaires du projet</w:t>
            </w:r>
          </w:p>
        </w:tc>
        <w:tc>
          <w:tcPr>
            <w:tcW w:w="2313" w:type="dxa"/>
            <w:shd w:val="clear" w:color="auto" w:fill="C9C9C9" w:themeFill="accent3" w:themeFillTint="99"/>
            <w:vAlign w:val="center"/>
          </w:tcPr>
          <w:p w14:paraId="0192BC04" w14:textId="77777777" w:rsidR="00006C7E" w:rsidRPr="00721F7C" w:rsidRDefault="00006C7E" w:rsidP="00006C7E">
            <w:pPr>
              <w:spacing w:after="0" w:line="240" w:lineRule="auto"/>
              <w:rPr>
                <w:b w:val="0"/>
              </w:rPr>
            </w:pPr>
            <w:r w:rsidRPr="00721F7C">
              <w:rPr>
                <w:b w:val="0"/>
              </w:rPr>
              <w:t>!!!!!!!!!!!</w:t>
            </w:r>
          </w:p>
        </w:tc>
      </w:tr>
      <w:tr w:rsidR="00006C7E" w:rsidRPr="00721F7C" w14:paraId="5F4C46C0" w14:textId="77777777" w:rsidTr="00006C7E">
        <w:tc>
          <w:tcPr>
            <w:tcW w:w="627" w:type="dxa"/>
            <w:shd w:val="clear" w:color="auto" w:fill="D9D9D9" w:themeFill="background1" w:themeFillShade="D9"/>
            <w:vAlign w:val="center"/>
          </w:tcPr>
          <w:p w14:paraId="3A9CD32C" w14:textId="77777777" w:rsidR="00006C7E" w:rsidRPr="00721F7C" w:rsidRDefault="00006C7E" w:rsidP="00006C7E">
            <w:pPr>
              <w:spacing w:after="0" w:line="240" w:lineRule="auto"/>
              <w:rPr>
                <w:b w:val="0"/>
              </w:rPr>
            </w:pPr>
            <w:r w:rsidRPr="00721F7C">
              <w:rPr>
                <w:b w:val="0"/>
              </w:rPr>
              <w:t>2.2.1.</w:t>
            </w:r>
          </w:p>
        </w:tc>
        <w:tc>
          <w:tcPr>
            <w:tcW w:w="2399" w:type="dxa"/>
            <w:vMerge w:val="restart"/>
            <w:vAlign w:val="center"/>
          </w:tcPr>
          <w:p w14:paraId="2D5E1B86" w14:textId="77777777" w:rsidR="00006C7E" w:rsidRPr="00721F7C" w:rsidRDefault="00006C7E" w:rsidP="00006C7E">
            <w:pPr>
              <w:spacing w:after="0" w:line="240" w:lineRule="auto"/>
              <w:rPr>
                <w:b w:val="0"/>
              </w:rPr>
            </w:pPr>
            <w:r w:rsidRPr="00721F7C">
              <w:rPr>
                <w:b w:val="0"/>
              </w:rPr>
              <w:t>La réforme de la justice et le redéploiement de l’administration dans les régions de Gao, de Kidal et de Timbuktu sont consolidés pour renforcer l’autorité de l’État et la primauté du droit</w:t>
            </w:r>
          </w:p>
        </w:tc>
        <w:tc>
          <w:tcPr>
            <w:tcW w:w="1110" w:type="dxa"/>
            <w:vMerge w:val="restart"/>
          </w:tcPr>
          <w:p w14:paraId="0E52A3AC" w14:textId="77777777" w:rsidR="00006C7E" w:rsidRPr="00721F7C" w:rsidRDefault="00006C7E" w:rsidP="00006C7E">
            <w:pPr>
              <w:spacing w:after="0" w:line="240" w:lineRule="auto"/>
              <w:rPr>
                <w:b w:val="0"/>
              </w:rPr>
            </w:pPr>
            <w:r w:rsidRPr="00721F7C">
              <w:rPr>
                <w:b w:val="0"/>
              </w:rPr>
              <w:t>Nombre de personnes ayant accès aux services judicaires</w:t>
            </w:r>
          </w:p>
        </w:tc>
        <w:tc>
          <w:tcPr>
            <w:tcW w:w="1110" w:type="dxa"/>
            <w:gridSpan w:val="2"/>
            <w:vMerge w:val="restart"/>
          </w:tcPr>
          <w:p w14:paraId="135DB59C" w14:textId="77777777" w:rsidR="00006C7E" w:rsidRPr="00721F7C" w:rsidRDefault="00006C7E" w:rsidP="00006C7E">
            <w:pPr>
              <w:spacing w:after="0" w:line="240" w:lineRule="auto"/>
              <w:rPr>
                <w:b w:val="0"/>
              </w:rPr>
            </w:pPr>
            <w:r w:rsidRPr="00721F7C">
              <w:rPr>
                <w:b w:val="0"/>
              </w:rPr>
              <w:t>3 millions</w:t>
            </w:r>
          </w:p>
        </w:tc>
        <w:tc>
          <w:tcPr>
            <w:tcW w:w="1134" w:type="dxa"/>
            <w:vMerge w:val="restart"/>
          </w:tcPr>
          <w:p w14:paraId="0D0CD706" w14:textId="77777777" w:rsidR="00006C7E" w:rsidRPr="00721F7C" w:rsidRDefault="00006C7E" w:rsidP="00006C7E">
            <w:pPr>
              <w:spacing w:after="0" w:line="240" w:lineRule="auto"/>
              <w:rPr>
                <w:b w:val="0"/>
              </w:rPr>
            </w:pPr>
            <w:r w:rsidRPr="00721F7C">
              <w:rPr>
                <w:b w:val="0"/>
              </w:rPr>
              <w:t>9 millions</w:t>
            </w:r>
          </w:p>
        </w:tc>
        <w:tc>
          <w:tcPr>
            <w:tcW w:w="945" w:type="dxa"/>
            <w:vMerge w:val="restart"/>
            <w:shd w:val="clear" w:color="auto" w:fill="C9C9C9" w:themeFill="accent3" w:themeFillTint="99"/>
            <w:vAlign w:val="center"/>
          </w:tcPr>
          <w:p w14:paraId="40A1C13E" w14:textId="77777777" w:rsidR="00006C7E" w:rsidRPr="00721F7C" w:rsidRDefault="00006C7E" w:rsidP="00006C7E">
            <w:pPr>
              <w:spacing w:after="0" w:line="240" w:lineRule="auto"/>
              <w:rPr>
                <w:b w:val="0"/>
              </w:rPr>
            </w:pPr>
            <w:r w:rsidRPr="00721F7C">
              <w:rPr>
                <w:b w:val="0"/>
              </w:rPr>
              <w:t>???????</w:t>
            </w:r>
          </w:p>
        </w:tc>
        <w:tc>
          <w:tcPr>
            <w:tcW w:w="2233" w:type="dxa"/>
            <w:gridSpan w:val="2"/>
            <w:vMerge w:val="restart"/>
            <w:vAlign w:val="center"/>
          </w:tcPr>
          <w:p w14:paraId="187F4CFB" w14:textId="77777777" w:rsidR="00006C7E" w:rsidRPr="00721F7C" w:rsidRDefault="00006C7E" w:rsidP="00006C7E">
            <w:pPr>
              <w:numPr>
                <w:ilvl w:val="0"/>
                <w:numId w:val="9"/>
              </w:numPr>
              <w:spacing w:after="0" w:line="240" w:lineRule="auto"/>
              <w:rPr>
                <w:b w:val="0"/>
              </w:rPr>
            </w:pPr>
            <w:r w:rsidRPr="00721F7C">
              <w:rPr>
                <w:b w:val="0"/>
              </w:rPr>
              <w:t>Rapports d’exécution</w:t>
            </w:r>
          </w:p>
          <w:p w14:paraId="66B8EA69" w14:textId="77777777" w:rsidR="00006C7E" w:rsidRPr="00721F7C" w:rsidRDefault="00006C7E" w:rsidP="00006C7E">
            <w:pPr>
              <w:numPr>
                <w:ilvl w:val="0"/>
                <w:numId w:val="9"/>
              </w:numPr>
              <w:spacing w:after="0" w:line="240" w:lineRule="auto"/>
              <w:rPr>
                <w:b w:val="0"/>
              </w:rPr>
            </w:pPr>
            <w:r w:rsidRPr="00721F7C">
              <w:rPr>
                <w:b w:val="0"/>
              </w:rPr>
              <w:t>Sources primaires</w:t>
            </w:r>
          </w:p>
        </w:tc>
        <w:tc>
          <w:tcPr>
            <w:tcW w:w="1923" w:type="dxa"/>
            <w:vMerge w:val="restart"/>
            <w:vAlign w:val="center"/>
          </w:tcPr>
          <w:p w14:paraId="5F05A4F2" w14:textId="77777777" w:rsidR="00006C7E" w:rsidRPr="00721F7C" w:rsidRDefault="00006C7E" w:rsidP="00006C7E">
            <w:pPr>
              <w:spacing w:after="0" w:line="240" w:lineRule="auto"/>
              <w:rPr>
                <w:b w:val="0"/>
              </w:rPr>
            </w:pPr>
            <w:r w:rsidRPr="00721F7C">
              <w:rPr>
                <w:b w:val="0"/>
              </w:rPr>
              <w:t>Information collectée au fur et mesure et consignée dans les rapports</w:t>
            </w:r>
          </w:p>
        </w:tc>
        <w:tc>
          <w:tcPr>
            <w:tcW w:w="2319" w:type="dxa"/>
            <w:gridSpan w:val="2"/>
            <w:vMerge w:val="restart"/>
            <w:shd w:val="clear" w:color="auto" w:fill="auto"/>
            <w:vAlign w:val="center"/>
          </w:tcPr>
          <w:p w14:paraId="7695B9D8" w14:textId="77777777" w:rsidR="00006C7E" w:rsidRPr="00721F7C" w:rsidRDefault="00006C7E" w:rsidP="00006C7E">
            <w:pPr>
              <w:spacing w:after="0" w:line="240" w:lineRule="auto"/>
              <w:rPr>
                <w:b w:val="0"/>
              </w:rPr>
            </w:pPr>
            <w:r w:rsidRPr="00721F7C">
              <w:rPr>
                <w:b w:val="0"/>
              </w:rPr>
              <w:t>Sonder les acteurs et cibles du projet</w:t>
            </w:r>
          </w:p>
        </w:tc>
        <w:tc>
          <w:tcPr>
            <w:tcW w:w="2313" w:type="dxa"/>
            <w:vMerge w:val="restart"/>
            <w:shd w:val="clear" w:color="auto" w:fill="C9C9C9" w:themeFill="accent3" w:themeFillTint="99"/>
            <w:vAlign w:val="center"/>
          </w:tcPr>
          <w:p w14:paraId="69077CD1" w14:textId="77777777" w:rsidR="00006C7E" w:rsidRPr="00721F7C" w:rsidRDefault="00006C7E" w:rsidP="00006C7E">
            <w:pPr>
              <w:spacing w:after="0" w:line="240" w:lineRule="auto"/>
              <w:rPr>
                <w:b w:val="0"/>
              </w:rPr>
            </w:pPr>
            <w:r w:rsidRPr="00721F7C">
              <w:rPr>
                <w:b w:val="0"/>
              </w:rPr>
              <w:t>!!!!!!!!!!!</w:t>
            </w:r>
          </w:p>
        </w:tc>
      </w:tr>
      <w:tr w:rsidR="00006C7E" w:rsidRPr="00721F7C" w14:paraId="093DFD23" w14:textId="77777777" w:rsidTr="00006C7E">
        <w:tc>
          <w:tcPr>
            <w:tcW w:w="627" w:type="dxa"/>
            <w:shd w:val="clear" w:color="auto" w:fill="D9D9D9" w:themeFill="background1" w:themeFillShade="D9"/>
            <w:vAlign w:val="center"/>
          </w:tcPr>
          <w:p w14:paraId="0C431203" w14:textId="77777777" w:rsidR="00006C7E" w:rsidRPr="00721F7C" w:rsidRDefault="00006C7E" w:rsidP="00006C7E">
            <w:pPr>
              <w:spacing w:after="0" w:line="240" w:lineRule="auto"/>
              <w:rPr>
                <w:b w:val="0"/>
              </w:rPr>
            </w:pPr>
          </w:p>
        </w:tc>
        <w:tc>
          <w:tcPr>
            <w:tcW w:w="2399" w:type="dxa"/>
            <w:vMerge/>
            <w:vAlign w:val="center"/>
          </w:tcPr>
          <w:p w14:paraId="0416C3E7" w14:textId="77777777" w:rsidR="00006C7E" w:rsidRPr="00721F7C" w:rsidRDefault="00006C7E" w:rsidP="00006C7E">
            <w:pPr>
              <w:spacing w:after="0" w:line="240" w:lineRule="auto"/>
              <w:rPr>
                <w:b w:val="0"/>
              </w:rPr>
            </w:pPr>
          </w:p>
        </w:tc>
        <w:tc>
          <w:tcPr>
            <w:tcW w:w="1110" w:type="dxa"/>
            <w:vMerge/>
          </w:tcPr>
          <w:p w14:paraId="78661AFA" w14:textId="77777777" w:rsidR="00006C7E" w:rsidRPr="00721F7C" w:rsidRDefault="00006C7E" w:rsidP="00006C7E">
            <w:pPr>
              <w:spacing w:after="0" w:line="240" w:lineRule="auto"/>
              <w:rPr>
                <w:b w:val="0"/>
              </w:rPr>
            </w:pPr>
          </w:p>
        </w:tc>
        <w:tc>
          <w:tcPr>
            <w:tcW w:w="1110" w:type="dxa"/>
            <w:gridSpan w:val="2"/>
            <w:vMerge/>
          </w:tcPr>
          <w:p w14:paraId="0025F384" w14:textId="77777777" w:rsidR="00006C7E" w:rsidRPr="00721F7C" w:rsidRDefault="00006C7E" w:rsidP="00006C7E">
            <w:pPr>
              <w:spacing w:after="0" w:line="240" w:lineRule="auto"/>
              <w:rPr>
                <w:b w:val="0"/>
              </w:rPr>
            </w:pPr>
          </w:p>
        </w:tc>
        <w:tc>
          <w:tcPr>
            <w:tcW w:w="1134" w:type="dxa"/>
            <w:vMerge/>
          </w:tcPr>
          <w:p w14:paraId="4AFBCAD2" w14:textId="77777777" w:rsidR="00006C7E" w:rsidRPr="00721F7C" w:rsidRDefault="00006C7E" w:rsidP="00006C7E">
            <w:pPr>
              <w:spacing w:after="0" w:line="240" w:lineRule="auto"/>
              <w:rPr>
                <w:b w:val="0"/>
              </w:rPr>
            </w:pPr>
          </w:p>
        </w:tc>
        <w:tc>
          <w:tcPr>
            <w:tcW w:w="945" w:type="dxa"/>
            <w:vMerge/>
            <w:shd w:val="clear" w:color="auto" w:fill="C9C9C9" w:themeFill="accent3" w:themeFillTint="99"/>
          </w:tcPr>
          <w:p w14:paraId="38A0B927" w14:textId="77777777" w:rsidR="00006C7E" w:rsidRPr="00721F7C" w:rsidRDefault="00006C7E" w:rsidP="00006C7E">
            <w:pPr>
              <w:spacing w:after="0" w:line="240" w:lineRule="auto"/>
              <w:rPr>
                <w:b w:val="0"/>
              </w:rPr>
            </w:pPr>
          </w:p>
        </w:tc>
        <w:tc>
          <w:tcPr>
            <w:tcW w:w="2233" w:type="dxa"/>
            <w:gridSpan w:val="2"/>
            <w:vMerge/>
            <w:vAlign w:val="center"/>
          </w:tcPr>
          <w:p w14:paraId="08EBCD63" w14:textId="77777777" w:rsidR="00006C7E" w:rsidRPr="00721F7C" w:rsidRDefault="00006C7E" w:rsidP="00006C7E">
            <w:pPr>
              <w:numPr>
                <w:ilvl w:val="0"/>
                <w:numId w:val="9"/>
              </w:numPr>
              <w:spacing w:after="0" w:line="240" w:lineRule="auto"/>
              <w:rPr>
                <w:b w:val="0"/>
              </w:rPr>
            </w:pPr>
          </w:p>
        </w:tc>
        <w:tc>
          <w:tcPr>
            <w:tcW w:w="1923" w:type="dxa"/>
            <w:vMerge/>
            <w:vAlign w:val="center"/>
          </w:tcPr>
          <w:p w14:paraId="5932F5A0" w14:textId="77777777" w:rsidR="00006C7E" w:rsidRPr="00721F7C" w:rsidRDefault="00006C7E" w:rsidP="00006C7E">
            <w:pPr>
              <w:spacing w:after="0" w:line="240" w:lineRule="auto"/>
              <w:rPr>
                <w:b w:val="0"/>
              </w:rPr>
            </w:pPr>
          </w:p>
        </w:tc>
        <w:tc>
          <w:tcPr>
            <w:tcW w:w="2319" w:type="dxa"/>
            <w:gridSpan w:val="2"/>
            <w:vMerge/>
            <w:shd w:val="clear" w:color="auto" w:fill="auto"/>
            <w:vAlign w:val="center"/>
          </w:tcPr>
          <w:p w14:paraId="1305F0D7" w14:textId="77777777" w:rsidR="00006C7E" w:rsidRPr="00721F7C" w:rsidRDefault="00006C7E" w:rsidP="00006C7E">
            <w:pPr>
              <w:spacing w:after="0" w:line="240" w:lineRule="auto"/>
              <w:rPr>
                <w:b w:val="0"/>
              </w:rPr>
            </w:pPr>
          </w:p>
        </w:tc>
        <w:tc>
          <w:tcPr>
            <w:tcW w:w="2313" w:type="dxa"/>
            <w:vMerge/>
            <w:shd w:val="clear" w:color="auto" w:fill="C9C9C9" w:themeFill="accent3" w:themeFillTint="99"/>
            <w:vAlign w:val="center"/>
          </w:tcPr>
          <w:p w14:paraId="65F5294B" w14:textId="77777777" w:rsidR="00006C7E" w:rsidRPr="00721F7C" w:rsidRDefault="00006C7E" w:rsidP="00006C7E">
            <w:pPr>
              <w:spacing w:after="0" w:line="240" w:lineRule="auto"/>
              <w:rPr>
                <w:b w:val="0"/>
              </w:rPr>
            </w:pPr>
          </w:p>
        </w:tc>
      </w:tr>
      <w:tr w:rsidR="00006C7E" w:rsidRPr="00721F7C" w14:paraId="29E33721" w14:textId="77777777" w:rsidTr="00006C7E">
        <w:tc>
          <w:tcPr>
            <w:tcW w:w="627" w:type="dxa"/>
            <w:shd w:val="clear" w:color="auto" w:fill="D9D9D9" w:themeFill="background1" w:themeFillShade="D9"/>
            <w:vAlign w:val="center"/>
          </w:tcPr>
          <w:p w14:paraId="2A24E7DB" w14:textId="77777777" w:rsidR="00006C7E" w:rsidRPr="00721F7C" w:rsidRDefault="00006C7E" w:rsidP="00006C7E">
            <w:pPr>
              <w:spacing w:after="0" w:line="240" w:lineRule="auto"/>
              <w:rPr>
                <w:b w:val="0"/>
              </w:rPr>
            </w:pPr>
            <w:r w:rsidRPr="00721F7C">
              <w:rPr>
                <w:b w:val="0"/>
              </w:rPr>
              <w:t>2.2.3.</w:t>
            </w:r>
          </w:p>
        </w:tc>
        <w:tc>
          <w:tcPr>
            <w:tcW w:w="2399" w:type="dxa"/>
            <w:vMerge/>
            <w:vAlign w:val="center"/>
          </w:tcPr>
          <w:p w14:paraId="64DF829D" w14:textId="77777777" w:rsidR="00006C7E" w:rsidRPr="00721F7C" w:rsidRDefault="00006C7E" w:rsidP="00006C7E">
            <w:pPr>
              <w:spacing w:after="0" w:line="240" w:lineRule="auto"/>
              <w:rPr>
                <w:b w:val="0"/>
              </w:rPr>
            </w:pPr>
          </w:p>
        </w:tc>
        <w:tc>
          <w:tcPr>
            <w:tcW w:w="1110" w:type="dxa"/>
            <w:vMerge/>
            <w:vAlign w:val="center"/>
          </w:tcPr>
          <w:p w14:paraId="6DA2BADE" w14:textId="77777777" w:rsidR="00006C7E" w:rsidRPr="00721F7C" w:rsidRDefault="00006C7E" w:rsidP="00006C7E">
            <w:pPr>
              <w:spacing w:after="0" w:line="240" w:lineRule="auto"/>
              <w:rPr>
                <w:b w:val="0"/>
              </w:rPr>
            </w:pPr>
          </w:p>
        </w:tc>
        <w:tc>
          <w:tcPr>
            <w:tcW w:w="1110" w:type="dxa"/>
            <w:gridSpan w:val="2"/>
            <w:vMerge/>
            <w:vAlign w:val="center"/>
          </w:tcPr>
          <w:p w14:paraId="16E7BDD4" w14:textId="77777777" w:rsidR="00006C7E" w:rsidRPr="00721F7C" w:rsidRDefault="00006C7E" w:rsidP="00006C7E">
            <w:pPr>
              <w:spacing w:after="0" w:line="240" w:lineRule="auto"/>
              <w:rPr>
                <w:b w:val="0"/>
              </w:rPr>
            </w:pPr>
          </w:p>
        </w:tc>
        <w:tc>
          <w:tcPr>
            <w:tcW w:w="1134" w:type="dxa"/>
            <w:vMerge/>
            <w:vAlign w:val="center"/>
          </w:tcPr>
          <w:p w14:paraId="536A2623" w14:textId="77777777" w:rsidR="00006C7E" w:rsidRPr="00721F7C" w:rsidRDefault="00006C7E" w:rsidP="00006C7E">
            <w:pPr>
              <w:spacing w:after="0" w:line="240" w:lineRule="auto"/>
              <w:rPr>
                <w:b w:val="0"/>
              </w:rPr>
            </w:pPr>
          </w:p>
        </w:tc>
        <w:tc>
          <w:tcPr>
            <w:tcW w:w="945" w:type="dxa"/>
            <w:vMerge/>
            <w:shd w:val="clear" w:color="auto" w:fill="C9C9C9" w:themeFill="accent3" w:themeFillTint="99"/>
            <w:vAlign w:val="center"/>
          </w:tcPr>
          <w:p w14:paraId="2A45E86E" w14:textId="77777777" w:rsidR="00006C7E" w:rsidRPr="00721F7C" w:rsidRDefault="00006C7E" w:rsidP="00006C7E">
            <w:pPr>
              <w:spacing w:after="0" w:line="240" w:lineRule="auto"/>
              <w:rPr>
                <w:b w:val="0"/>
              </w:rPr>
            </w:pPr>
          </w:p>
        </w:tc>
        <w:tc>
          <w:tcPr>
            <w:tcW w:w="2233" w:type="dxa"/>
            <w:gridSpan w:val="2"/>
            <w:vMerge/>
            <w:vAlign w:val="center"/>
          </w:tcPr>
          <w:p w14:paraId="56F28406" w14:textId="77777777" w:rsidR="00006C7E" w:rsidRPr="00721F7C" w:rsidRDefault="00006C7E" w:rsidP="00006C7E">
            <w:pPr>
              <w:numPr>
                <w:ilvl w:val="0"/>
                <w:numId w:val="9"/>
              </w:numPr>
              <w:spacing w:after="0" w:line="240" w:lineRule="auto"/>
              <w:rPr>
                <w:b w:val="0"/>
              </w:rPr>
            </w:pPr>
          </w:p>
        </w:tc>
        <w:tc>
          <w:tcPr>
            <w:tcW w:w="1923" w:type="dxa"/>
            <w:vMerge/>
            <w:vAlign w:val="center"/>
          </w:tcPr>
          <w:p w14:paraId="30BFBFA2" w14:textId="77777777" w:rsidR="00006C7E" w:rsidRPr="00721F7C" w:rsidRDefault="00006C7E" w:rsidP="00006C7E">
            <w:pPr>
              <w:spacing w:after="0" w:line="240" w:lineRule="auto"/>
              <w:rPr>
                <w:b w:val="0"/>
              </w:rPr>
            </w:pPr>
          </w:p>
        </w:tc>
        <w:tc>
          <w:tcPr>
            <w:tcW w:w="2319" w:type="dxa"/>
            <w:gridSpan w:val="2"/>
            <w:vMerge/>
            <w:shd w:val="clear" w:color="auto" w:fill="auto"/>
            <w:vAlign w:val="center"/>
          </w:tcPr>
          <w:p w14:paraId="47278171" w14:textId="77777777" w:rsidR="00006C7E" w:rsidRPr="00721F7C" w:rsidRDefault="00006C7E" w:rsidP="00006C7E">
            <w:pPr>
              <w:spacing w:after="0" w:line="240" w:lineRule="auto"/>
              <w:rPr>
                <w:b w:val="0"/>
              </w:rPr>
            </w:pPr>
          </w:p>
        </w:tc>
        <w:tc>
          <w:tcPr>
            <w:tcW w:w="2313" w:type="dxa"/>
            <w:vMerge/>
            <w:shd w:val="clear" w:color="auto" w:fill="C9C9C9" w:themeFill="accent3" w:themeFillTint="99"/>
            <w:vAlign w:val="center"/>
          </w:tcPr>
          <w:p w14:paraId="519DB2DA" w14:textId="77777777" w:rsidR="00006C7E" w:rsidRPr="00721F7C" w:rsidRDefault="00006C7E" w:rsidP="00006C7E">
            <w:pPr>
              <w:spacing w:after="0" w:line="240" w:lineRule="auto"/>
              <w:rPr>
                <w:b w:val="0"/>
              </w:rPr>
            </w:pPr>
          </w:p>
        </w:tc>
      </w:tr>
      <w:tr w:rsidR="00006C7E" w:rsidRPr="00721F7C" w14:paraId="3FFACA18" w14:textId="77777777" w:rsidTr="00006C7E">
        <w:tc>
          <w:tcPr>
            <w:tcW w:w="627" w:type="dxa"/>
            <w:shd w:val="clear" w:color="auto" w:fill="D9D9D9" w:themeFill="background1" w:themeFillShade="D9"/>
            <w:vAlign w:val="center"/>
          </w:tcPr>
          <w:p w14:paraId="0CC6AFFA" w14:textId="77777777" w:rsidR="00006C7E" w:rsidRPr="00721F7C" w:rsidRDefault="00006C7E" w:rsidP="00006C7E">
            <w:pPr>
              <w:spacing w:after="0" w:line="240" w:lineRule="auto"/>
              <w:rPr>
                <w:b w:val="0"/>
              </w:rPr>
            </w:pPr>
            <w:r w:rsidRPr="00721F7C">
              <w:rPr>
                <w:b w:val="0"/>
              </w:rPr>
              <w:t>2.2.4.</w:t>
            </w:r>
          </w:p>
        </w:tc>
        <w:tc>
          <w:tcPr>
            <w:tcW w:w="2399" w:type="dxa"/>
            <w:vMerge/>
            <w:vAlign w:val="center"/>
          </w:tcPr>
          <w:p w14:paraId="3D59CC22" w14:textId="77777777" w:rsidR="00006C7E" w:rsidRPr="00721F7C" w:rsidRDefault="00006C7E" w:rsidP="00006C7E">
            <w:pPr>
              <w:spacing w:after="0" w:line="240" w:lineRule="auto"/>
              <w:rPr>
                <w:b w:val="0"/>
              </w:rPr>
            </w:pPr>
          </w:p>
        </w:tc>
        <w:tc>
          <w:tcPr>
            <w:tcW w:w="1110" w:type="dxa"/>
            <w:vAlign w:val="center"/>
          </w:tcPr>
          <w:p w14:paraId="38F904AD" w14:textId="77777777" w:rsidR="00006C7E" w:rsidRPr="00721F7C" w:rsidRDefault="00006C7E" w:rsidP="00006C7E">
            <w:pPr>
              <w:spacing w:after="0" w:line="240" w:lineRule="auto"/>
              <w:rPr>
                <w:b w:val="0"/>
              </w:rPr>
            </w:pPr>
            <w:r w:rsidRPr="00721F7C">
              <w:rPr>
                <w:b w:val="0"/>
              </w:rPr>
              <w:t>Nombre de structures réhabilitées, équipées et fonctionn</w:t>
            </w:r>
            <w:r w:rsidRPr="00721F7C">
              <w:rPr>
                <w:b w:val="0"/>
              </w:rPr>
              <w:lastRenderedPageBreak/>
              <w:t>elles parmi celles utilisées par les autorités locales, les administrations décentralisées et le secteur de la justice</w:t>
            </w:r>
          </w:p>
        </w:tc>
        <w:tc>
          <w:tcPr>
            <w:tcW w:w="1110" w:type="dxa"/>
            <w:gridSpan w:val="2"/>
            <w:vAlign w:val="center"/>
          </w:tcPr>
          <w:p w14:paraId="44352FE6" w14:textId="77777777" w:rsidR="00006C7E" w:rsidRPr="00721F7C" w:rsidRDefault="00006C7E" w:rsidP="00006C7E">
            <w:pPr>
              <w:spacing w:after="0" w:line="240" w:lineRule="auto"/>
              <w:rPr>
                <w:b w:val="0"/>
              </w:rPr>
            </w:pPr>
            <w:r w:rsidRPr="00721F7C">
              <w:rPr>
                <w:b w:val="0"/>
              </w:rPr>
              <w:lastRenderedPageBreak/>
              <w:t>10</w:t>
            </w:r>
          </w:p>
        </w:tc>
        <w:tc>
          <w:tcPr>
            <w:tcW w:w="1134" w:type="dxa"/>
            <w:vAlign w:val="center"/>
          </w:tcPr>
          <w:p w14:paraId="477B563B" w14:textId="77777777" w:rsidR="00006C7E" w:rsidRPr="00721F7C" w:rsidRDefault="00006C7E" w:rsidP="00006C7E">
            <w:pPr>
              <w:spacing w:after="0" w:line="240" w:lineRule="auto"/>
              <w:rPr>
                <w:b w:val="0"/>
              </w:rPr>
            </w:pPr>
            <w:r w:rsidRPr="00721F7C">
              <w:rPr>
                <w:b w:val="0"/>
              </w:rPr>
              <w:t>65</w:t>
            </w:r>
          </w:p>
        </w:tc>
        <w:tc>
          <w:tcPr>
            <w:tcW w:w="945" w:type="dxa"/>
            <w:shd w:val="clear" w:color="auto" w:fill="C9C9C9" w:themeFill="accent3" w:themeFillTint="99"/>
            <w:vAlign w:val="center"/>
          </w:tcPr>
          <w:p w14:paraId="61A800CE" w14:textId="77777777" w:rsidR="00006C7E" w:rsidRPr="00721F7C" w:rsidRDefault="00006C7E" w:rsidP="00006C7E">
            <w:pPr>
              <w:spacing w:after="0" w:line="240" w:lineRule="auto"/>
              <w:rPr>
                <w:b w:val="0"/>
              </w:rPr>
            </w:pPr>
            <w:r w:rsidRPr="00721F7C">
              <w:rPr>
                <w:b w:val="0"/>
              </w:rPr>
              <w:t>???????</w:t>
            </w:r>
          </w:p>
        </w:tc>
        <w:tc>
          <w:tcPr>
            <w:tcW w:w="2233" w:type="dxa"/>
            <w:gridSpan w:val="2"/>
            <w:vAlign w:val="center"/>
          </w:tcPr>
          <w:p w14:paraId="0533C3D8" w14:textId="77777777" w:rsidR="00006C7E" w:rsidRPr="00721F7C" w:rsidRDefault="00006C7E" w:rsidP="00006C7E">
            <w:pPr>
              <w:numPr>
                <w:ilvl w:val="0"/>
                <w:numId w:val="9"/>
              </w:numPr>
              <w:spacing w:after="0" w:line="240" w:lineRule="auto"/>
              <w:rPr>
                <w:b w:val="0"/>
              </w:rPr>
            </w:pPr>
            <w:r w:rsidRPr="00721F7C">
              <w:rPr>
                <w:b w:val="0"/>
              </w:rPr>
              <w:t>Rapports d’exécution</w:t>
            </w:r>
          </w:p>
          <w:p w14:paraId="2DECE340" w14:textId="77777777" w:rsidR="00006C7E" w:rsidRPr="00721F7C" w:rsidRDefault="00006C7E" w:rsidP="00006C7E">
            <w:pPr>
              <w:numPr>
                <w:ilvl w:val="0"/>
                <w:numId w:val="9"/>
              </w:numPr>
              <w:spacing w:after="0" w:line="240" w:lineRule="auto"/>
              <w:rPr>
                <w:b w:val="0"/>
              </w:rPr>
            </w:pPr>
            <w:r w:rsidRPr="00721F7C">
              <w:rPr>
                <w:b w:val="0"/>
              </w:rPr>
              <w:t>Sources primaires</w:t>
            </w:r>
          </w:p>
        </w:tc>
        <w:tc>
          <w:tcPr>
            <w:tcW w:w="1923" w:type="dxa"/>
            <w:vAlign w:val="center"/>
          </w:tcPr>
          <w:p w14:paraId="73D6E769" w14:textId="77777777" w:rsidR="00006C7E" w:rsidRPr="00721F7C" w:rsidRDefault="00006C7E" w:rsidP="00006C7E">
            <w:pPr>
              <w:spacing w:after="0" w:line="240" w:lineRule="auto"/>
              <w:rPr>
                <w:b w:val="0"/>
              </w:rPr>
            </w:pPr>
            <w:r w:rsidRPr="00721F7C">
              <w:rPr>
                <w:b w:val="0"/>
              </w:rPr>
              <w:t>Information collectée au fur et mesure et consignée dans les rapports</w:t>
            </w:r>
          </w:p>
        </w:tc>
        <w:tc>
          <w:tcPr>
            <w:tcW w:w="2319" w:type="dxa"/>
            <w:gridSpan w:val="2"/>
            <w:shd w:val="clear" w:color="auto" w:fill="auto"/>
            <w:vAlign w:val="center"/>
          </w:tcPr>
          <w:p w14:paraId="1678AD32" w14:textId="77777777" w:rsidR="00006C7E" w:rsidRPr="00721F7C" w:rsidRDefault="00006C7E" w:rsidP="00006C7E">
            <w:pPr>
              <w:spacing w:after="0" w:line="240" w:lineRule="auto"/>
              <w:rPr>
                <w:b w:val="0"/>
              </w:rPr>
            </w:pPr>
            <w:r w:rsidRPr="00721F7C">
              <w:rPr>
                <w:b w:val="0"/>
              </w:rPr>
              <w:t>Sonder les acteurs et cibles du projet</w:t>
            </w:r>
          </w:p>
        </w:tc>
        <w:tc>
          <w:tcPr>
            <w:tcW w:w="2313" w:type="dxa"/>
            <w:shd w:val="clear" w:color="auto" w:fill="C9C9C9" w:themeFill="accent3" w:themeFillTint="99"/>
            <w:vAlign w:val="center"/>
          </w:tcPr>
          <w:p w14:paraId="2E9908FE" w14:textId="77777777" w:rsidR="00006C7E" w:rsidRPr="00721F7C" w:rsidRDefault="00006C7E" w:rsidP="00006C7E">
            <w:pPr>
              <w:spacing w:after="0" w:line="240" w:lineRule="auto"/>
              <w:rPr>
                <w:b w:val="0"/>
              </w:rPr>
            </w:pPr>
            <w:r w:rsidRPr="00721F7C">
              <w:rPr>
                <w:b w:val="0"/>
              </w:rPr>
              <w:t>!!!!!!!!!!!</w:t>
            </w:r>
          </w:p>
        </w:tc>
      </w:tr>
      <w:tr w:rsidR="00006C7E" w:rsidRPr="00721F7C" w14:paraId="681B02A7" w14:textId="77777777" w:rsidTr="00006C7E">
        <w:tc>
          <w:tcPr>
            <w:tcW w:w="627" w:type="dxa"/>
            <w:shd w:val="clear" w:color="auto" w:fill="D9D9D9" w:themeFill="background1" w:themeFillShade="D9"/>
            <w:vAlign w:val="center"/>
          </w:tcPr>
          <w:p w14:paraId="1327E20C" w14:textId="77777777" w:rsidR="00006C7E" w:rsidRPr="00721F7C" w:rsidRDefault="00006C7E" w:rsidP="00006C7E">
            <w:pPr>
              <w:spacing w:after="0" w:line="240" w:lineRule="auto"/>
              <w:rPr>
                <w:b w:val="0"/>
              </w:rPr>
            </w:pPr>
          </w:p>
        </w:tc>
        <w:tc>
          <w:tcPr>
            <w:tcW w:w="2399" w:type="dxa"/>
            <w:vMerge w:val="restart"/>
            <w:vAlign w:val="center"/>
          </w:tcPr>
          <w:p w14:paraId="7C17AC57" w14:textId="77777777" w:rsidR="00006C7E" w:rsidRPr="00721F7C" w:rsidRDefault="00006C7E" w:rsidP="00006C7E">
            <w:pPr>
              <w:spacing w:after="0" w:line="240" w:lineRule="auto"/>
              <w:rPr>
                <w:b w:val="0"/>
              </w:rPr>
            </w:pPr>
            <w:r w:rsidRPr="00721F7C">
              <w:rPr>
                <w:b w:val="0"/>
              </w:rPr>
              <w:t>Les capacités institutionnelles des instances en charge de la décentralisation et de la société civile locale sont renforcées en vue du transfert</w:t>
            </w:r>
          </w:p>
          <w:p w14:paraId="333B7879" w14:textId="77777777" w:rsidR="00006C7E" w:rsidRPr="00721F7C" w:rsidRDefault="00006C7E" w:rsidP="00006C7E">
            <w:pPr>
              <w:spacing w:after="0" w:line="240" w:lineRule="auto"/>
              <w:rPr>
                <w:b w:val="0"/>
              </w:rPr>
            </w:pPr>
            <w:r w:rsidRPr="00721F7C">
              <w:rPr>
                <w:b w:val="0"/>
              </w:rPr>
              <w:t>effectif des pouvoirs et des ressources aux autorités locales</w:t>
            </w:r>
          </w:p>
        </w:tc>
        <w:tc>
          <w:tcPr>
            <w:tcW w:w="1110" w:type="dxa"/>
          </w:tcPr>
          <w:p w14:paraId="0B897EF8" w14:textId="77777777" w:rsidR="00006C7E" w:rsidRPr="00721F7C" w:rsidRDefault="00006C7E" w:rsidP="00006C7E">
            <w:pPr>
              <w:spacing w:after="0" w:line="240" w:lineRule="auto"/>
              <w:rPr>
                <w:b w:val="0"/>
              </w:rPr>
            </w:pPr>
            <w:r w:rsidRPr="00721F7C">
              <w:rPr>
                <w:b w:val="0"/>
              </w:rPr>
              <w:t>Nombre de domaines de</w:t>
            </w:r>
          </w:p>
          <w:p w14:paraId="34D8AEBC" w14:textId="77777777" w:rsidR="00006C7E" w:rsidRPr="00721F7C" w:rsidRDefault="00006C7E" w:rsidP="00006C7E">
            <w:pPr>
              <w:spacing w:after="0" w:line="240" w:lineRule="auto"/>
              <w:rPr>
                <w:b w:val="0"/>
              </w:rPr>
            </w:pPr>
            <w:r w:rsidRPr="00721F7C">
              <w:rPr>
                <w:b w:val="0"/>
              </w:rPr>
              <w:t>compétence transférés aux autorités</w:t>
            </w:r>
          </w:p>
          <w:p w14:paraId="77B43670" w14:textId="77777777" w:rsidR="00006C7E" w:rsidRPr="00721F7C" w:rsidRDefault="00006C7E" w:rsidP="00006C7E">
            <w:pPr>
              <w:spacing w:after="0" w:line="240" w:lineRule="auto"/>
              <w:rPr>
                <w:b w:val="0"/>
              </w:rPr>
            </w:pPr>
            <w:r w:rsidRPr="00721F7C">
              <w:rPr>
                <w:b w:val="0"/>
              </w:rPr>
              <w:t>locales</w:t>
            </w:r>
          </w:p>
        </w:tc>
        <w:tc>
          <w:tcPr>
            <w:tcW w:w="1110" w:type="dxa"/>
            <w:gridSpan w:val="2"/>
          </w:tcPr>
          <w:p w14:paraId="57996637" w14:textId="77777777" w:rsidR="00006C7E" w:rsidRPr="00721F7C" w:rsidRDefault="00006C7E" w:rsidP="00006C7E">
            <w:pPr>
              <w:spacing w:after="0" w:line="240" w:lineRule="auto"/>
              <w:rPr>
                <w:b w:val="0"/>
              </w:rPr>
            </w:pPr>
            <w:r w:rsidRPr="00721F7C">
              <w:rPr>
                <w:b w:val="0"/>
              </w:rPr>
              <w:t>Trois domaines de</w:t>
            </w:r>
          </w:p>
          <w:p w14:paraId="32F32BD1" w14:textId="77777777" w:rsidR="00006C7E" w:rsidRPr="00721F7C" w:rsidRDefault="00006C7E" w:rsidP="00006C7E">
            <w:pPr>
              <w:spacing w:after="0" w:line="240" w:lineRule="auto"/>
              <w:rPr>
                <w:b w:val="0"/>
              </w:rPr>
            </w:pPr>
            <w:r w:rsidRPr="00721F7C">
              <w:rPr>
                <w:b w:val="0"/>
              </w:rPr>
              <w:t>compétence (l’éducation de base, les</w:t>
            </w:r>
          </w:p>
          <w:p w14:paraId="35E4B09E" w14:textId="77777777" w:rsidR="00006C7E" w:rsidRPr="00721F7C" w:rsidRDefault="00006C7E" w:rsidP="00006C7E">
            <w:pPr>
              <w:spacing w:after="0" w:line="240" w:lineRule="auto"/>
              <w:rPr>
                <w:b w:val="0"/>
              </w:rPr>
            </w:pPr>
            <w:r w:rsidRPr="00721F7C">
              <w:rPr>
                <w:b w:val="0"/>
              </w:rPr>
              <w:t>soins de santé de base et l’assainissement)</w:t>
            </w:r>
          </w:p>
        </w:tc>
        <w:tc>
          <w:tcPr>
            <w:tcW w:w="1134" w:type="dxa"/>
          </w:tcPr>
          <w:p w14:paraId="21586003" w14:textId="77777777" w:rsidR="00006C7E" w:rsidRPr="00721F7C" w:rsidRDefault="00006C7E" w:rsidP="00006C7E">
            <w:pPr>
              <w:spacing w:after="0" w:line="240" w:lineRule="auto"/>
              <w:rPr>
                <w:b w:val="0"/>
              </w:rPr>
            </w:pPr>
            <w:r w:rsidRPr="00721F7C">
              <w:rPr>
                <w:b w:val="0"/>
              </w:rPr>
              <w:t>cinq domaines de compétence</w:t>
            </w:r>
          </w:p>
        </w:tc>
        <w:tc>
          <w:tcPr>
            <w:tcW w:w="945" w:type="dxa"/>
            <w:shd w:val="clear" w:color="auto" w:fill="C9C9C9" w:themeFill="accent3" w:themeFillTint="99"/>
            <w:vAlign w:val="center"/>
          </w:tcPr>
          <w:p w14:paraId="566818EC" w14:textId="77777777" w:rsidR="00006C7E" w:rsidRPr="00721F7C" w:rsidRDefault="00006C7E" w:rsidP="00006C7E">
            <w:pPr>
              <w:spacing w:after="0" w:line="240" w:lineRule="auto"/>
              <w:rPr>
                <w:b w:val="0"/>
              </w:rPr>
            </w:pPr>
            <w:r w:rsidRPr="00721F7C">
              <w:rPr>
                <w:b w:val="0"/>
              </w:rPr>
              <w:t>???????</w:t>
            </w:r>
          </w:p>
        </w:tc>
        <w:tc>
          <w:tcPr>
            <w:tcW w:w="2233" w:type="dxa"/>
            <w:gridSpan w:val="2"/>
            <w:vAlign w:val="center"/>
          </w:tcPr>
          <w:p w14:paraId="7290FAA9" w14:textId="77777777" w:rsidR="00006C7E" w:rsidRPr="00721F7C" w:rsidRDefault="00006C7E" w:rsidP="00006C7E">
            <w:pPr>
              <w:numPr>
                <w:ilvl w:val="0"/>
                <w:numId w:val="9"/>
              </w:numPr>
              <w:spacing w:after="0" w:line="240" w:lineRule="auto"/>
              <w:rPr>
                <w:b w:val="0"/>
              </w:rPr>
            </w:pPr>
            <w:r w:rsidRPr="00721F7C">
              <w:rPr>
                <w:b w:val="0"/>
              </w:rPr>
              <w:t>Rapports d’exécution</w:t>
            </w:r>
          </w:p>
          <w:p w14:paraId="3EED18EF" w14:textId="77777777" w:rsidR="00006C7E" w:rsidRPr="00721F7C" w:rsidRDefault="00006C7E" w:rsidP="00006C7E">
            <w:pPr>
              <w:numPr>
                <w:ilvl w:val="0"/>
                <w:numId w:val="9"/>
              </w:numPr>
              <w:spacing w:after="0" w:line="240" w:lineRule="auto"/>
              <w:rPr>
                <w:b w:val="0"/>
              </w:rPr>
            </w:pPr>
            <w:r w:rsidRPr="00721F7C">
              <w:rPr>
                <w:b w:val="0"/>
              </w:rPr>
              <w:t>Sources primaires</w:t>
            </w:r>
          </w:p>
        </w:tc>
        <w:tc>
          <w:tcPr>
            <w:tcW w:w="1923" w:type="dxa"/>
            <w:vAlign w:val="center"/>
          </w:tcPr>
          <w:p w14:paraId="28E26643" w14:textId="77777777" w:rsidR="00006C7E" w:rsidRPr="00721F7C" w:rsidRDefault="00006C7E" w:rsidP="00006C7E">
            <w:pPr>
              <w:spacing w:after="0" w:line="240" w:lineRule="auto"/>
              <w:rPr>
                <w:b w:val="0"/>
              </w:rPr>
            </w:pPr>
            <w:r w:rsidRPr="00721F7C">
              <w:rPr>
                <w:b w:val="0"/>
              </w:rPr>
              <w:t>Information collectée au fur et mesure et consignée dans les rapports</w:t>
            </w:r>
          </w:p>
        </w:tc>
        <w:tc>
          <w:tcPr>
            <w:tcW w:w="2319" w:type="dxa"/>
            <w:gridSpan w:val="2"/>
            <w:vAlign w:val="center"/>
          </w:tcPr>
          <w:p w14:paraId="1079DF3A" w14:textId="77777777" w:rsidR="00006C7E" w:rsidRPr="00721F7C" w:rsidRDefault="00006C7E" w:rsidP="00006C7E">
            <w:pPr>
              <w:spacing w:after="0" w:line="240" w:lineRule="auto"/>
              <w:rPr>
                <w:b w:val="0"/>
              </w:rPr>
            </w:pPr>
            <w:r w:rsidRPr="00721F7C">
              <w:rPr>
                <w:b w:val="0"/>
              </w:rPr>
              <w:t>Sonder les acteurs et cibles du projet</w:t>
            </w:r>
          </w:p>
        </w:tc>
        <w:tc>
          <w:tcPr>
            <w:tcW w:w="2313" w:type="dxa"/>
            <w:shd w:val="clear" w:color="auto" w:fill="C9C9C9" w:themeFill="accent3" w:themeFillTint="99"/>
            <w:vAlign w:val="center"/>
          </w:tcPr>
          <w:p w14:paraId="2E75611B" w14:textId="77777777" w:rsidR="00006C7E" w:rsidRPr="00721F7C" w:rsidRDefault="00006C7E" w:rsidP="00006C7E">
            <w:pPr>
              <w:spacing w:after="0" w:line="240" w:lineRule="auto"/>
              <w:rPr>
                <w:b w:val="0"/>
              </w:rPr>
            </w:pPr>
            <w:r w:rsidRPr="00721F7C">
              <w:rPr>
                <w:b w:val="0"/>
              </w:rPr>
              <w:t>!!!!!!!!!!!</w:t>
            </w:r>
          </w:p>
        </w:tc>
      </w:tr>
      <w:tr w:rsidR="00006C7E" w:rsidRPr="00721F7C" w14:paraId="6F471FE4" w14:textId="77777777" w:rsidTr="00006C7E">
        <w:tc>
          <w:tcPr>
            <w:tcW w:w="627" w:type="dxa"/>
            <w:shd w:val="clear" w:color="auto" w:fill="D9D9D9" w:themeFill="background1" w:themeFillShade="D9"/>
            <w:vAlign w:val="center"/>
          </w:tcPr>
          <w:p w14:paraId="6F41A332" w14:textId="77777777" w:rsidR="00006C7E" w:rsidRPr="00721F7C" w:rsidRDefault="00006C7E" w:rsidP="00006C7E">
            <w:pPr>
              <w:spacing w:after="0" w:line="240" w:lineRule="auto"/>
              <w:rPr>
                <w:b w:val="0"/>
              </w:rPr>
            </w:pPr>
          </w:p>
        </w:tc>
        <w:tc>
          <w:tcPr>
            <w:tcW w:w="2399" w:type="dxa"/>
            <w:vMerge/>
            <w:vAlign w:val="center"/>
          </w:tcPr>
          <w:p w14:paraId="441EAFE6" w14:textId="77777777" w:rsidR="00006C7E" w:rsidRPr="00721F7C" w:rsidRDefault="00006C7E" w:rsidP="00006C7E">
            <w:pPr>
              <w:spacing w:after="0" w:line="240" w:lineRule="auto"/>
              <w:rPr>
                <w:b w:val="0"/>
              </w:rPr>
            </w:pPr>
          </w:p>
        </w:tc>
        <w:tc>
          <w:tcPr>
            <w:tcW w:w="1110" w:type="dxa"/>
            <w:vAlign w:val="center"/>
          </w:tcPr>
          <w:p w14:paraId="684ED269" w14:textId="77777777" w:rsidR="00006C7E" w:rsidRPr="00721F7C" w:rsidRDefault="00006C7E" w:rsidP="00006C7E">
            <w:pPr>
              <w:spacing w:after="0" w:line="240" w:lineRule="auto"/>
              <w:rPr>
                <w:b w:val="0"/>
              </w:rPr>
            </w:pPr>
            <w:r w:rsidRPr="00721F7C">
              <w:rPr>
                <w:b w:val="0"/>
              </w:rPr>
              <w:t xml:space="preserve">Proportion d’autorités locales organisant des débats budgétaires et publiant des </w:t>
            </w:r>
            <w:r w:rsidRPr="00721F7C">
              <w:rPr>
                <w:b w:val="0"/>
              </w:rPr>
              <w:lastRenderedPageBreak/>
              <w:t>rapports d’exécution budgétaire DFDF</w:t>
            </w:r>
          </w:p>
        </w:tc>
        <w:tc>
          <w:tcPr>
            <w:tcW w:w="1110" w:type="dxa"/>
            <w:gridSpan w:val="2"/>
            <w:vAlign w:val="center"/>
          </w:tcPr>
          <w:p w14:paraId="32EAE767" w14:textId="77777777" w:rsidR="00006C7E" w:rsidRPr="00721F7C" w:rsidRDefault="00006C7E" w:rsidP="00006C7E">
            <w:pPr>
              <w:spacing w:after="0" w:line="240" w:lineRule="auto"/>
              <w:rPr>
                <w:b w:val="0"/>
              </w:rPr>
            </w:pPr>
            <w:r w:rsidRPr="00721F7C">
              <w:rPr>
                <w:b w:val="0"/>
              </w:rPr>
              <w:lastRenderedPageBreak/>
              <w:t>0 % des autorités locales</w:t>
            </w:r>
          </w:p>
        </w:tc>
        <w:tc>
          <w:tcPr>
            <w:tcW w:w="1134" w:type="dxa"/>
            <w:vAlign w:val="center"/>
          </w:tcPr>
          <w:p w14:paraId="78BC2B6A" w14:textId="77777777" w:rsidR="00006C7E" w:rsidRPr="00721F7C" w:rsidRDefault="00006C7E" w:rsidP="00006C7E">
            <w:pPr>
              <w:spacing w:after="0" w:line="240" w:lineRule="auto"/>
              <w:rPr>
                <w:b w:val="0"/>
              </w:rPr>
            </w:pPr>
            <w:r w:rsidRPr="00721F7C">
              <w:rPr>
                <w:b w:val="0"/>
              </w:rPr>
              <w:t>35%</w:t>
            </w:r>
          </w:p>
        </w:tc>
        <w:tc>
          <w:tcPr>
            <w:tcW w:w="945" w:type="dxa"/>
            <w:shd w:val="clear" w:color="auto" w:fill="C9C9C9" w:themeFill="accent3" w:themeFillTint="99"/>
            <w:vAlign w:val="center"/>
          </w:tcPr>
          <w:p w14:paraId="65DA68E8" w14:textId="77777777" w:rsidR="00006C7E" w:rsidRPr="00721F7C" w:rsidRDefault="00006C7E" w:rsidP="00006C7E">
            <w:pPr>
              <w:spacing w:after="0" w:line="240" w:lineRule="auto"/>
              <w:rPr>
                <w:b w:val="0"/>
              </w:rPr>
            </w:pPr>
            <w:r w:rsidRPr="00721F7C">
              <w:rPr>
                <w:b w:val="0"/>
              </w:rPr>
              <w:t>???????</w:t>
            </w:r>
          </w:p>
        </w:tc>
        <w:tc>
          <w:tcPr>
            <w:tcW w:w="2233" w:type="dxa"/>
            <w:gridSpan w:val="2"/>
            <w:vAlign w:val="center"/>
          </w:tcPr>
          <w:p w14:paraId="06F77F9A" w14:textId="77777777" w:rsidR="00006C7E" w:rsidRPr="00721F7C" w:rsidRDefault="00006C7E" w:rsidP="00006C7E">
            <w:pPr>
              <w:numPr>
                <w:ilvl w:val="0"/>
                <w:numId w:val="9"/>
              </w:numPr>
              <w:spacing w:after="0" w:line="240" w:lineRule="auto"/>
              <w:rPr>
                <w:b w:val="0"/>
              </w:rPr>
            </w:pPr>
            <w:r w:rsidRPr="00721F7C">
              <w:rPr>
                <w:b w:val="0"/>
              </w:rPr>
              <w:t>Rapports d’exécution</w:t>
            </w:r>
          </w:p>
          <w:p w14:paraId="5FE6D8F6" w14:textId="77777777" w:rsidR="00006C7E" w:rsidRPr="00721F7C" w:rsidRDefault="00006C7E" w:rsidP="00006C7E">
            <w:pPr>
              <w:numPr>
                <w:ilvl w:val="0"/>
                <w:numId w:val="9"/>
              </w:numPr>
              <w:spacing w:after="0" w:line="240" w:lineRule="auto"/>
              <w:rPr>
                <w:b w:val="0"/>
              </w:rPr>
            </w:pPr>
            <w:r w:rsidRPr="00721F7C">
              <w:rPr>
                <w:b w:val="0"/>
              </w:rPr>
              <w:t>Sources primaires</w:t>
            </w:r>
          </w:p>
        </w:tc>
        <w:tc>
          <w:tcPr>
            <w:tcW w:w="1923" w:type="dxa"/>
            <w:vAlign w:val="center"/>
          </w:tcPr>
          <w:p w14:paraId="361E410A" w14:textId="77777777" w:rsidR="00006C7E" w:rsidRPr="00721F7C" w:rsidRDefault="00006C7E" w:rsidP="00006C7E">
            <w:pPr>
              <w:spacing w:after="0" w:line="240" w:lineRule="auto"/>
              <w:rPr>
                <w:b w:val="0"/>
              </w:rPr>
            </w:pPr>
            <w:r w:rsidRPr="00721F7C">
              <w:rPr>
                <w:b w:val="0"/>
              </w:rPr>
              <w:t>Information collectée au fur et mesure et consignée dans les rapports</w:t>
            </w:r>
          </w:p>
        </w:tc>
        <w:tc>
          <w:tcPr>
            <w:tcW w:w="2319" w:type="dxa"/>
            <w:gridSpan w:val="2"/>
            <w:vAlign w:val="center"/>
          </w:tcPr>
          <w:p w14:paraId="41B1F725" w14:textId="77777777" w:rsidR="00006C7E" w:rsidRPr="00721F7C" w:rsidRDefault="00006C7E" w:rsidP="00006C7E">
            <w:pPr>
              <w:spacing w:after="0" w:line="240" w:lineRule="auto"/>
              <w:rPr>
                <w:b w:val="0"/>
              </w:rPr>
            </w:pPr>
            <w:r w:rsidRPr="00721F7C">
              <w:rPr>
                <w:b w:val="0"/>
              </w:rPr>
              <w:t>Sonder les acteurs et cibles du projet</w:t>
            </w:r>
          </w:p>
        </w:tc>
        <w:tc>
          <w:tcPr>
            <w:tcW w:w="2313" w:type="dxa"/>
            <w:shd w:val="clear" w:color="auto" w:fill="C9C9C9" w:themeFill="accent3" w:themeFillTint="99"/>
            <w:vAlign w:val="center"/>
          </w:tcPr>
          <w:p w14:paraId="63633077" w14:textId="77777777" w:rsidR="00006C7E" w:rsidRPr="00721F7C" w:rsidRDefault="00006C7E" w:rsidP="00006C7E">
            <w:pPr>
              <w:spacing w:after="0" w:line="240" w:lineRule="auto"/>
              <w:rPr>
                <w:b w:val="0"/>
              </w:rPr>
            </w:pPr>
            <w:r w:rsidRPr="00721F7C">
              <w:rPr>
                <w:b w:val="0"/>
              </w:rPr>
              <w:t>!!!!!!!!!!!</w:t>
            </w:r>
          </w:p>
        </w:tc>
      </w:tr>
      <w:tr w:rsidR="00006C7E" w:rsidRPr="00721F7C" w14:paraId="4B0B6769" w14:textId="77777777" w:rsidTr="00006C7E">
        <w:tc>
          <w:tcPr>
            <w:tcW w:w="627" w:type="dxa"/>
            <w:shd w:val="clear" w:color="auto" w:fill="D9D9D9" w:themeFill="background1" w:themeFillShade="D9"/>
            <w:vAlign w:val="center"/>
          </w:tcPr>
          <w:p w14:paraId="169F65CB" w14:textId="77777777" w:rsidR="00006C7E" w:rsidRPr="00721F7C" w:rsidRDefault="00006C7E" w:rsidP="00006C7E">
            <w:pPr>
              <w:spacing w:after="0" w:line="240" w:lineRule="auto"/>
              <w:rPr>
                <w:b w:val="0"/>
              </w:rPr>
            </w:pPr>
          </w:p>
        </w:tc>
        <w:tc>
          <w:tcPr>
            <w:tcW w:w="2399" w:type="dxa"/>
            <w:vMerge/>
            <w:vAlign w:val="center"/>
          </w:tcPr>
          <w:p w14:paraId="7C10C8E0" w14:textId="77777777" w:rsidR="00006C7E" w:rsidRPr="00721F7C" w:rsidRDefault="00006C7E" w:rsidP="00006C7E">
            <w:pPr>
              <w:spacing w:after="0" w:line="240" w:lineRule="auto"/>
              <w:rPr>
                <w:b w:val="0"/>
              </w:rPr>
            </w:pPr>
          </w:p>
        </w:tc>
        <w:tc>
          <w:tcPr>
            <w:tcW w:w="1110" w:type="dxa"/>
            <w:vAlign w:val="center"/>
          </w:tcPr>
          <w:p w14:paraId="2AF7390E" w14:textId="77777777" w:rsidR="00006C7E" w:rsidRPr="00721F7C" w:rsidRDefault="00006C7E" w:rsidP="00006C7E">
            <w:pPr>
              <w:spacing w:after="0" w:line="240" w:lineRule="auto"/>
              <w:rPr>
                <w:b w:val="0"/>
              </w:rPr>
            </w:pPr>
            <w:r w:rsidRPr="00721F7C">
              <w:rPr>
                <w:b w:val="0"/>
              </w:rPr>
              <w:t>Fichier électoral biométrique disponible et mis à jour en vue des élections locales</w:t>
            </w:r>
          </w:p>
        </w:tc>
        <w:tc>
          <w:tcPr>
            <w:tcW w:w="1110" w:type="dxa"/>
            <w:gridSpan w:val="2"/>
            <w:vAlign w:val="center"/>
          </w:tcPr>
          <w:p w14:paraId="69549557" w14:textId="77777777" w:rsidR="00006C7E" w:rsidRPr="00721F7C" w:rsidRDefault="00006C7E" w:rsidP="00006C7E">
            <w:pPr>
              <w:spacing w:after="0" w:line="240" w:lineRule="auto"/>
              <w:rPr>
                <w:b w:val="0"/>
              </w:rPr>
            </w:pPr>
            <w:r w:rsidRPr="00721F7C">
              <w:rPr>
                <w:b w:val="0"/>
              </w:rPr>
              <w:t>0</w:t>
            </w:r>
          </w:p>
        </w:tc>
        <w:tc>
          <w:tcPr>
            <w:tcW w:w="1134" w:type="dxa"/>
            <w:vAlign w:val="center"/>
          </w:tcPr>
          <w:p w14:paraId="6CF220D7" w14:textId="77777777" w:rsidR="00006C7E" w:rsidRPr="00721F7C" w:rsidRDefault="00006C7E" w:rsidP="00006C7E">
            <w:pPr>
              <w:spacing w:after="0" w:line="240" w:lineRule="auto"/>
              <w:rPr>
                <w:b w:val="0"/>
              </w:rPr>
            </w:pPr>
            <w:r w:rsidRPr="00721F7C">
              <w:rPr>
                <w:b w:val="0"/>
              </w:rPr>
              <w:t>Deux mises à jour</w:t>
            </w:r>
          </w:p>
        </w:tc>
        <w:tc>
          <w:tcPr>
            <w:tcW w:w="945" w:type="dxa"/>
            <w:shd w:val="clear" w:color="auto" w:fill="C9C9C9" w:themeFill="accent3" w:themeFillTint="99"/>
            <w:vAlign w:val="center"/>
          </w:tcPr>
          <w:p w14:paraId="1FE2CA13" w14:textId="77777777" w:rsidR="00006C7E" w:rsidRPr="00721F7C" w:rsidRDefault="00006C7E" w:rsidP="00006C7E">
            <w:pPr>
              <w:spacing w:after="0" w:line="240" w:lineRule="auto"/>
              <w:rPr>
                <w:b w:val="0"/>
              </w:rPr>
            </w:pPr>
            <w:r w:rsidRPr="00721F7C">
              <w:rPr>
                <w:b w:val="0"/>
              </w:rPr>
              <w:t>???????</w:t>
            </w:r>
          </w:p>
        </w:tc>
        <w:tc>
          <w:tcPr>
            <w:tcW w:w="2233" w:type="dxa"/>
            <w:gridSpan w:val="2"/>
            <w:vAlign w:val="center"/>
          </w:tcPr>
          <w:p w14:paraId="5A6EF904" w14:textId="77777777" w:rsidR="00006C7E" w:rsidRPr="00721F7C" w:rsidRDefault="00006C7E" w:rsidP="00006C7E">
            <w:pPr>
              <w:numPr>
                <w:ilvl w:val="0"/>
                <w:numId w:val="9"/>
              </w:numPr>
              <w:spacing w:after="0" w:line="240" w:lineRule="auto"/>
              <w:rPr>
                <w:b w:val="0"/>
              </w:rPr>
            </w:pPr>
            <w:r w:rsidRPr="00721F7C">
              <w:rPr>
                <w:b w:val="0"/>
              </w:rPr>
              <w:t>Rapports d’exécution</w:t>
            </w:r>
          </w:p>
          <w:p w14:paraId="6E53FE8B" w14:textId="77777777" w:rsidR="00006C7E" w:rsidRPr="00721F7C" w:rsidRDefault="00006C7E" w:rsidP="00006C7E">
            <w:pPr>
              <w:numPr>
                <w:ilvl w:val="0"/>
                <w:numId w:val="9"/>
              </w:numPr>
              <w:spacing w:after="0" w:line="240" w:lineRule="auto"/>
              <w:rPr>
                <w:b w:val="0"/>
              </w:rPr>
            </w:pPr>
            <w:r w:rsidRPr="00721F7C">
              <w:rPr>
                <w:b w:val="0"/>
              </w:rPr>
              <w:t>Sources primaires</w:t>
            </w:r>
          </w:p>
        </w:tc>
        <w:tc>
          <w:tcPr>
            <w:tcW w:w="1923" w:type="dxa"/>
            <w:vAlign w:val="center"/>
          </w:tcPr>
          <w:p w14:paraId="27591083" w14:textId="77777777" w:rsidR="00006C7E" w:rsidRPr="00721F7C" w:rsidRDefault="00006C7E" w:rsidP="00006C7E">
            <w:pPr>
              <w:spacing w:after="0" w:line="240" w:lineRule="auto"/>
              <w:rPr>
                <w:b w:val="0"/>
              </w:rPr>
            </w:pPr>
            <w:r w:rsidRPr="00721F7C">
              <w:rPr>
                <w:b w:val="0"/>
              </w:rPr>
              <w:t>Information collectée au fur et mesure et consignée dans les rapports</w:t>
            </w:r>
          </w:p>
        </w:tc>
        <w:tc>
          <w:tcPr>
            <w:tcW w:w="2319" w:type="dxa"/>
            <w:gridSpan w:val="2"/>
            <w:vAlign w:val="center"/>
          </w:tcPr>
          <w:p w14:paraId="1EDB285D" w14:textId="77777777" w:rsidR="00006C7E" w:rsidRPr="00721F7C" w:rsidRDefault="00006C7E" w:rsidP="00006C7E">
            <w:pPr>
              <w:spacing w:after="0" w:line="240" w:lineRule="auto"/>
              <w:rPr>
                <w:b w:val="0"/>
              </w:rPr>
            </w:pPr>
            <w:r w:rsidRPr="00721F7C">
              <w:rPr>
                <w:b w:val="0"/>
              </w:rPr>
              <w:t>Sonder les acteurs et cibles du projet</w:t>
            </w:r>
          </w:p>
        </w:tc>
        <w:tc>
          <w:tcPr>
            <w:tcW w:w="2313" w:type="dxa"/>
            <w:shd w:val="clear" w:color="auto" w:fill="C9C9C9" w:themeFill="accent3" w:themeFillTint="99"/>
            <w:vAlign w:val="center"/>
          </w:tcPr>
          <w:p w14:paraId="58A84928" w14:textId="77777777" w:rsidR="00006C7E" w:rsidRPr="00721F7C" w:rsidRDefault="00006C7E" w:rsidP="00006C7E">
            <w:pPr>
              <w:spacing w:after="0" w:line="240" w:lineRule="auto"/>
              <w:rPr>
                <w:b w:val="0"/>
              </w:rPr>
            </w:pPr>
            <w:r w:rsidRPr="00721F7C">
              <w:rPr>
                <w:b w:val="0"/>
              </w:rPr>
              <w:t>!!!!!!!!!!!</w:t>
            </w:r>
          </w:p>
        </w:tc>
      </w:tr>
    </w:tbl>
    <w:p w14:paraId="0F8B05DB" w14:textId="77777777" w:rsidR="00006C7E" w:rsidRPr="00006C7E" w:rsidRDefault="00006C7E" w:rsidP="00006C7E">
      <w:pPr>
        <w:spacing w:after="0" w:line="240" w:lineRule="auto"/>
        <w:rPr>
          <w:b/>
        </w:rPr>
      </w:pPr>
    </w:p>
    <w:p w14:paraId="636C6CD0" w14:textId="77777777" w:rsidR="00006C7E" w:rsidRPr="00006C7E" w:rsidRDefault="00006C7E" w:rsidP="00006C7E">
      <w:pPr>
        <w:spacing w:after="0" w:line="240" w:lineRule="auto"/>
        <w:rPr>
          <w:b/>
        </w:rPr>
      </w:pPr>
      <w:r w:rsidRPr="00006C7E">
        <w:rPr>
          <w:b/>
        </w:rPr>
        <w:br w:type="page"/>
      </w:r>
    </w:p>
    <w:p w14:paraId="519741A0" w14:textId="77777777" w:rsidR="00006C7E" w:rsidRPr="00006C7E" w:rsidRDefault="00006C7E" w:rsidP="00006C7E">
      <w:pPr>
        <w:spacing w:after="0" w:line="240" w:lineRule="auto"/>
        <w:rPr>
          <w:b/>
        </w:rPr>
      </w:pPr>
    </w:p>
    <w:tbl>
      <w:tblPr>
        <w:tblStyle w:val="Grilledutableau"/>
        <w:tblW w:w="16113" w:type="dxa"/>
        <w:tblInd w:w="-885" w:type="dxa"/>
        <w:tblLayout w:type="fixed"/>
        <w:tblLook w:val="04A0" w:firstRow="1" w:lastRow="0" w:firstColumn="1" w:lastColumn="0" w:noHBand="0" w:noVBand="1"/>
      </w:tblPr>
      <w:tblGrid>
        <w:gridCol w:w="627"/>
        <w:gridCol w:w="2399"/>
        <w:gridCol w:w="1110"/>
        <w:gridCol w:w="543"/>
        <w:gridCol w:w="567"/>
        <w:gridCol w:w="1134"/>
        <w:gridCol w:w="945"/>
        <w:gridCol w:w="1323"/>
        <w:gridCol w:w="910"/>
        <w:gridCol w:w="1923"/>
        <w:gridCol w:w="1278"/>
        <w:gridCol w:w="1041"/>
        <w:gridCol w:w="2313"/>
      </w:tblGrid>
      <w:tr w:rsidR="00006C7E" w:rsidRPr="00C4683F" w14:paraId="2A8C2F6B" w14:textId="77777777" w:rsidTr="00006C7E">
        <w:trPr>
          <w:trHeight w:val="378"/>
        </w:trPr>
        <w:tc>
          <w:tcPr>
            <w:tcW w:w="16113" w:type="dxa"/>
            <w:gridSpan w:val="13"/>
            <w:shd w:val="clear" w:color="auto" w:fill="D9D9D9" w:themeFill="background1" w:themeFillShade="D9"/>
            <w:vAlign w:val="center"/>
          </w:tcPr>
          <w:p w14:paraId="32BD7DB4" w14:textId="77777777" w:rsidR="00006C7E" w:rsidRPr="00C4683F" w:rsidRDefault="00006C7E" w:rsidP="00006C7E">
            <w:pPr>
              <w:spacing w:after="0" w:line="240" w:lineRule="auto"/>
              <w:rPr>
                <w:b w:val="0"/>
                <w:u w:val="single"/>
              </w:rPr>
            </w:pPr>
            <w:r w:rsidRPr="00C4683F">
              <w:rPr>
                <w:b w:val="0"/>
                <w:u w:val="single"/>
              </w:rPr>
              <w:t>RESULTAT 4</w:t>
            </w:r>
          </w:p>
        </w:tc>
      </w:tr>
      <w:tr w:rsidR="00006C7E" w:rsidRPr="00C4683F" w14:paraId="5C3F7F98" w14:textId="77777777" w:rsidTr="00006C7E">
        <w:trPr>
          <w:trHeight w:val="378"/>
        </w:trPr>
        <w:tc>
          <w:tcPr>
            <w:tcW w:w="16113" w:type="dxa"/>
            <w:gridSpan w:val="13"/>
            <w:shd w:val="clear" w:color="auto" w:fill="D9D9D9" w:themeFill="background1" w:themeFillShade="D9"/>
            <w:vAlign w:val="center"/>
          </w:tcPr>
          <w:p w14:paraId="5F03EB38" w14:textId="77777777" w:rsidR="00006C7E" w:rsidRPr="00C4683F" w:rsidRDefault="00006C7E" w:rsidP="00006C7E">
            <w:pPr>
              <w:spacing w:after="0" w:line="240" w:lineRule="auto"/>
              <w:rPr>
                <w:b w:val="0"/>
              </w:rPr>
            </w:pPr>
            <w:r w:rsidRPr="00C4683F">
              <w:rPr>
                <w:b w:val="0"/>
              </w:rPr>
              <w:t>Effet PNUAD/CPD visé</w:t>
            </w:r>
          </w:p>
          <w:p w14:paraId="3463AAE5" w14:textId="77777777" w:rsidR="00006C7E" w:rsidRPr="00C4683F" w:rsidRDefault="00006C7E" w:rsidP="00006C7E">
            <w:pPr>
              <w:spacing w:after="0" w:line="240" w:lineRule="auto"/>
              <w:rPr>
                <w:b w:val="0"/>
              </w:rPr>
            </w:pPr>
            <w:r w:rsidRPr="00C4683F">
              <w:rPr>
                <w:b w:val="0"/>
              </w:rPr>
              <w:t>"D’ici à 2019, les communautés, en particulier les plus vulnérables et celles touchées par la crise, pourront accéder à des soins de santé de base de qualité et en bénéficier plus facilement et sur un pied d’égalité."</w:t>
            </w:r>
          </w:p>
          <w:p w14:paraId="6E9FEE14" w14:textId="77777777" w:rsidR="00006C7E" w:rsidRPr="00C4683F" w:rsidRDefault="00006C7E" w:rsidP="00006C7E">
            <w:pPr>
              <w:spacing w:after="0" w:line="240" w:lineRule="auto"/>
              <w:rPr>
                <w:b w:val="0"/>
              </w:rPr>
            </w:pPr>
          </w:p>
          <w:p w14:paraId="087D5BC5" w14:textId="77777777" w:rsidR="00006C7E" w:rsidRPr="00C4683F" w:rsidRDefault="00006C7E" w:rsidP="00006C7E">
            <w:pPr>
              <w:spacing w:after="0" w:line="240" w:lineRule="auto"/>
              <w:rPr>
                <w:b w:val="0"/>
              </w:rPr>
            </w:pPr>
            <w:r w:rsidRPr="00C4683F">
              <w:rPr>
                <w:b w:val="0"/>
              </w:rPr>
              <w:t>Priorité ou objectif national : Mettre en œuvre une politique active de développement social</w:t>
            </w:r>
          </w:p>
          <w:p w14:paraId="4C365AA0" w14:textId="77777777" w:rsidR="00006C7E" w:rsidRPr="00C4683F" w:rsidRDefault="00006C7E" w:rsidP="00006C7E">
            <w:pPr>
              <w:spacing w:after="0" w:line="240" w:lineRule="auto"/>
              <w:rPr>
                <w:b w:val="0"/>
              </w:rPr>
            </w:pPr>
            <w:r w:rsidRPr="00C4683F">
              <w:rPr>
                <w:b w:val="0"/>
              </w:rPr>
              <w:t>Résultat correspondant dans le plan stratégique 2014-2017 : Les pays se dotent d’institutions renforcées pour assurer progressivement l’accès universel aux services de base.</w:t>
            </w:r>
          </w:p>
        </w:tc>
      </w:tr>
      <w:tr w:rsidR="00006C7E" w:rsidRPr="00C4683F" w14:paraId="257A27A1" w14:textId="77777777" w:rsidTr="00006C7E">
        <w:trPr>
          <w:trHeight w:val="57"/>
        </w:trPr>
        <w:tc>
          <w:tcPr>
            <w:tcW w:w="4679" w:type="dxa"/>
            <w:gridSpan w:val="4"/>
            <w:shd w:val="clear" w:color="auto" w:fill="D9D9D9" w:themeFill="background1" w:themeFillShade="D9"/>
            <w:vAlign w:val="center"/>
          </w:tcPr>
          <w:p w14:paraId="0B0ED166" w14:textId="77777777" w:rsidR="00006C7E" w:rsidRPr="00C4683F" w:rsidRDefault="00006C7E" w:rsidP="00006C7E">
            <w:pPr>
              <w:spacing w:after="0" w:line="240" w:lineRule="auto"/>
              <w:rPr>
                <w:b w:val="0"/>
              </w:rPr>
            </w:pPr>
            <w:r w:rsidRPr="00C4683F">
              <w:rPr>
                <w:b w:val="0"/>
              </w:rPr>
              <w:t>Indicateurs de résultat</w:t>
            </w:r>
          </w:p>
        </w:tc>
        <w:tc>
          <w:tcPr>
            <w:tcW w:w="3969" w:type="dxa"/>
            <w:gridSpan w:val="4"/>
            <w:shd w:val="clear" w:color="auto" w:fill="D9D9D9" w:themeFill="background1" w:themeFillShade="D9"/>
            <w:vAlign w:val="center"/>
          </w:tcPr>
          <w:p w14:paraId="5283EE1A" w14:textId="77777777" w:rsidR="00006C7E" w:rsidRPr="00C4683F" w:rsidRDefault="00006C7E" w:rsidP="00006C7E">
            <w:pPr>
              <w:spacing w:after="0" w:line="240" w:lineRule="auto"/>
              <w:rPr>
                <w:b w:val="0"/>
              </w:rPr>
            </w:pPr>
            <w:r w:rsidRPr="00C4683F">
              <w:rPr>
                <w:b w:val="0"/>
              </w:rPr>
              <w:t>Références</w:t>
            </w:r>
          </w:p>
        </w:tc>
        <w:tc>
          <w:tcPr>
            <w:tcW w:w="4111" w:type="dxa"/>
            <w:gridSpan w:val="3"/>
            <w:shd w:val="clear" w:color="auto" w:fill="D9D9D9" w:themeFill="background1" w:themeFillShade="D9"/>
            <w:vAlign w:val="center"/>
          </w:tcPr>
          <w:p w14:paraId="2A523031" w14:textId="77777777" w:rsidR="00006C7E" w:rsidRPr="00C4683F" w:rsidRDefault="00006C7E" w:rsidP="00006C7E">
            <w:pPr>
              <w:spacing w:after="0" w:line="240" w:lineRule="auto"/>
              <w:rPr>
                <w:b w:val="0"/>
              </w:rPr>
            </w:pPr>
            <w:r w:rsidRPr="00C4683F">
              <w:rPr>
                <w:b w:val="0"/>
              </w:rPr>
              <w:t>Cibles</w:t>
            </w:r>
          </w:p>
        </w:tc>
        <w:tc>
          <w:tcPr>
            <w:tcW w:w="3354" w:type="dxa"/>
            <w:gridSpan w:val="2"/>
            <w:shd w:val="clear" w:color="auto" w:fill="D9D9D9" w:themeFill="background1" w:themeFillShade="D9"/>
            <w:vAlign w:val="center"/>
          </w:tcPr>
          <w:p w14:paraId="2E0F8BFD" w14:textId="77777777" w:rsidR="00006C7E" w:rsidRPr="00C4683F" w:rsidRDefault="00006C7E" w:rsidP="00006C7E">
            <w:pPr>
              <w:spacing w:after="0" w:line="240" w:lineRule="auto"/>
              <w:rPr>
                <w:b w:val="0"/>
              </w:rPr>
            </w:pPr>
            <w:r w:rsidRPr="00C4683F">
              <w:rPr>
                <w:b w:val="0"/>
              </w:rPr>
              <w:t>Observations</w:t>
            </w:r>
          </w:p>
        </w:tc>
      </w:tr>
      <w:tr w:rsidR="00006C7E" w:rsidRPr="00C4683F" w14:paraId="167624B3" w14:textId="77777777" w:rsidTr="00006C7E">
        <w:trPr>
          <w:trHeight w:val="53"/>
        </w:trPr>
        <w:tc>
          <w:tcPr>
            <w:tcW w:w="4679" w:type="dxa"/>
            <w:gridSpan w:val="4"/>
            <w:shd w:val="clear" w:color="auto" w:fill="D9D9D9" w:themeFill="background1" w:themeFillShade="D9"/>
          </w:tcPr>
          <w:p w14:paraId="5A4F003D" w14:textId="77777777" w:rsidR="00006C7E" w:rsidRPr="00C4683F" w:rsidRDefault="00006C7E" w:rsidP="00006C7E">
            <w:pPr>
              <w:spacing w:after="0" w:line="240" w:lineRule="auto"/>
              <w:rPr>
                <w:b w:val="0"/>
              </w:rPr>
            </w:pPr>
            <w:r w:rsidRPr="00C4683F">
              <w:rPr>
                <w:b w:val="0"/>
              </w:rPr>
              <w:t>Taux de mortalité maternelle</w:t>
            </w:r>
          </w:p>
        </w:tc>
        <w:tc>
          <w:tcPr>
            <w:tcW w:w="3969" w:type="dxa"/>
            <w:gridSpan w:val="4"/>
            <w:shd w:val="clear" w:color="auto" w:fill="D9D9D9" w:themeFill="background1" w:themeFillShade="D9"/>
          </w:tcPr>
          <w:p w14:paraId="23C8F935" w14:textId="77777777" w:rsidR="00006C7E" w:rsidRPr="00C4683F" w:rsidRDefault="00006C7E" w:rsidP="00006C7E">
            <w:pPr>
              <w:spacing w:after="0" w:line="240" w:lineRule="auto"/>
              <w:rPr>
                <w:b w:val="0"/>
              </w:rPr>
            </w:pPr>
            <w:r w:rsidRPr="00C4683F">
              <w:rPr>
                <w:b w:val="0"/>
              </w:rPr>
              <w:t>368 décès maternels pour 100 000 naissances vivantes</w:t>
            </w:r>
          </w:p>
        </w:tc>
        <w:tc>
          <w:tcPr>
            <w:tcW w:w="4111" w:type="dxa"/>
            <w:gridSpan w:val="3"/>
            <w:shd w:val="clear" w:color="auto" w:fill="D9D9D9" w:themeFill="background1" w:themeFillShade="D9"/>
          </w:tcPr>
          <w:p w14:paraId="700D1FF2" w14:textId="77777777" w:rsidR="00006C7E" w:rsidRPr="00C4683F" w:rsidRDefault="00006C7E" w:rsidP="00006C7E">
            <w:pPr>
              <w:spacing w:after="0" w:line="240" w:lineRule="auto"/>
              <w:rPr>
                <w:b w:val="0"/>
              </w:rPr>
            </w:pPr>
            <w:r w:rsidRPr="00C4683F">
              <w:rPr>
                <w:b w:val="0"/>
              </w:rPr>
              <w:t>230 décès maternels pour 100 000 naissances vivantes</w:t>
            </w:r>
          </w:p>
        </w:tc>
        <w:tc>
          <w:tcPr>
            <w:tcW w:w="3354" w:type="dxa"/>
            <w:gridSpan w:val="2"/>
            <w:shd w:val="clear" w:color="auto" w:fill="D9D9D9" w:themeFill="background1" w:themeFillShade="D9"/>
            <w:vAlign w:val="center"/>
          </w:tcPr>
          <w:p w14:paraId="428F81DF" w14:textId="77777777" w:rsidR="00006C7E" w:rsidRPr="00C4683F" w:rsidRDefault="00006C7E" w:rsidP="00006C7E">
            <w:pPr>
              <w:spacing w:after="0" w:line="240" w:lineRule="auto"/>
              <w:rPr>
                <w:b w:val="0"/>
              </w:rPr>
            </w:pPr>
          </w:p>
        </w:tc>
      </w:tr>
      <w:tr w:rsidR="00006C7E" w:rsidRPr="00C4683F" w14:paraId="04EF5246" w14:textId="77777777" w:rsidTr="00006C7E">
        <w:trPr>
          <w:trHeight w:val="53"/>
        </w:trPr>
        <w:tc>
          <w:tcPr>
            <w:tcW w:w="4679" w:type="dxa"/>
            <w:gridSpan w:val="4"/>
            <w:shd w:val="clear" w:color="auto" w:fill="D9D9D9" w:themeFill="background1" w:themeFillShade="D9"/>
          </w:tcPr>
          <w:p w14:paraId="4D6AB4F4" w14:textId="77777777" w:rsidR="00006C7E" w:rsidRPr="00C4683F" w:rsidRDefault="00006C7E" w:rsidP="00006C7E">
            <w:pPr>
              <w:spacing w:after="0" w:line="240" w:lineRule="auto"/>
              <w:rPr>
                <w:b w:val="0"/>
              </w:rPr>
            </w:pPr>
            <w:r w:rsidRPr="00C4683F">
              <w:rPr>
                <w:b w:val="0"/>
              </w:rPr>
              <w:t>Prévalence de la contraception</w:t>
            </w:r>
          </w:p>
        </w:tc>
        <w:tc>
          <w:tcPr>
            <w:tcW w:w="3969" w:type="dxa"/>
            <w:gridSpan w:val="4"/>
            <w:shd w:val="clear" w:color="auto" w:fill="D9D9D9" w:themeFill="background1" w:themeFillShade="D9"/>
          </w:tcPr>
          <w:p w14:paraId="11ACCAE3" w14:textId="77777777" w:rsidR="00006C7E" w:rsidRPr="00C4683F" w:rsidRDefault="00006C7E" w:rsidP="00006C7E">
            <w:pPr>
              <w:spacing w:after="0" w:line="240" w:lineRule="auto"/>
              <w:rPr>
                <w:b w:val="0"/>
              </w:rPr>
            </w:pPr>
            <w:r w:rsidRPr="00C4683F">
              <w:rPr>
                <w:b w:val="0"/>
              </w:rPr>
              <w:t>10 % en 2012-13 (Enquête démographique et de santé)</w:t>
            </w:r>
          </w:p>
        </w:tc>
        <w:tc>
          <w:tcPr>
            <w:tcW w:w="4111" w:type="dxa"/>
            <w:gridSpan w:val="3"/>
            <w:shd w:val="clear" w:color="auto" w:fill="D9D9D9" w:themeFill="background1" w:themeFillShade="D9"/>
          </w:tcPr>
          <w:p w14:paraId="2CF01C91" w14:textId="77777777" w:rsidR="00006C7E" w:rsidRPr="00C4683F" w:rsidRDefault="00006C7E" w:rsidP="00006C7E">
            <w:pPr>
              <w:spacing w:after="0" w:line="240" w:lineRule="auto"/>
              <w:rPr>
                <w:b w:val="0"/>
              </w:rPr>
            </w:pPr>
            <w:r w:rsidRPr="00C4683F">
              <w:rPr>
                <w:b w:val="0"/>
              </w:rPr>
              <w:t>15 %</w:t>
            </w:r>
          </w:p>
        </w:tc>
        <w:tc>
          <w:tcPr>
            <w:tcW w:w="3354" w:type="dxa"/>
            <w:gridSpan w:val="2"/>
            <w:shd w:val="clear" w:color="auto" w:fill="D9D9D9" w:themeFill="background1" w:themeFillShade="D9"/>
            <w:vAlign w:val="center"/>
          </w:tcPr>
          <w:p w14:paraId="12849FB3" w14:textId="77777777" w:rsidR="00006C7E" w:rsidRPr="00C4683F" w:rsidRDefault="00006C7E" w:rsidP="00006C7E">
            <w:pPr>
              <w:spacing w:after="0" w:line="240" w:lineRule="auto"/>
              <w:rPr>
                <w:b w:val="0"/>
              </w:rPr>
            </w:pPr>
          </w:p>
        </w:tc>
      </w:tr>
      <w:tr w:rsidR="00006C7E" w:rsidRPr="00C4683F" w14:paraId="52D52544" w14:textId="77777777" w:rsidTr="00006C7E">
        <w:trPr>
          <w:trHeight w:val="53"/>
        </w:trPr>
        <w:tc>
          <w:tcPr>
            <w:tcW w:w="4679" w:type="dxa"/>
            <w:gridSpan w:val="4"/>
            <w:shd w:val="clear" w:color="auto" w:fill="D9D9D9" w:themeFill="background1" w:themeFillShade="D9"/>
          </w:tcPr>
          <w:p w14:paraId="6C33FC67" w14:textId="77777777" w:rsidR="00006C7E" w:rsidRPr="00C4683F" w:rsidRDefault="00006C7E" w:rsidP="00006C7E">
            <w:pPr>
              <w:spacing w:after="0" w:line="240" w:lineRule="auto"/>
              <w:rPr>
                <w:b w:val="0"/>
              </w:rPr>
            </w:pPr>
            <w:r w:rsidRPr="00C4683F">
              <w:rPr>
                <w:b w:val="0"/>
              </w:rPr>
              <w:t>Pourcentage d’accouchements assistés par du personnel de santé qualifié</w:t>
            </w:r>
          </w:p>
        </w:tc>
        <w:tc>
          <w:tcPr>
            <w:tcW w:w="3969" w:type="dxa"/>
            <w:gridSpan w:val="4"/>
            <w:shd w:val="clear" w:color="auto" w:fill="D9D9D9" w:themeFill="background1" w:themeFillShade="D9"/>
          </w:tcPr>
          <w:p w14:paraId="2166E55E" w14:textId="77777777" w:rsidR="00006C7E" w:rsidRPr="00C4683F" w:rsidRDefault="00006C7E" w:rsidP="00006C7E">
            <w:pPr>
              <w:spacing w:after="0" w:line="240" w:lineRule="auto"/>
              <w:rPr>
                <w:b w:val="0"/>
              </w:rPr>
            </w:pPr>
            <w:r w:rsidRPr="00C4683F">
              <w:rPr>
                <w:b w:val="0"/>
              </w:rPr>
              <w:t>56%</w:t>
            </w:r>
          </w:p>
        </w:tc>
        <w:tc>
          <w:tcPr>
            <w:tcW w:w="4111" w:type="dxa"/>
            <w:gridSpan w:val="3"/>
            <w:shd w:val="clear" w:color="auto" w:fill="D9D9D9" w:themeFill="background1" w:themeFillShade="D9"/>
          </w:tcPr>
          <w:p w14:paraId="037A1AFF" w14:textId="77777777" w:rsidR="00006C7E" w:rsidRPr="00C4683F" w:rsidRDefault="00006C7E" w:rsidP="00006C7E">
            <w:pPr>
              <w:spacing w:after="0" w:line="240" w:lineRule="auto"/>
              <w:rPr>
                <w:b w:val="0"/>
              </w:rPr>
            </w:pPr>
            <w:r w:rsidRPr="00C4683F">
              <w:rPr>
                <w:b w:val="0"/>
              </w:rPr>
              <w:t>65%</w:t>
            </w:r>
          </w:p>
        </w:tc>
        <w:tc>
          <w:tcPr>
            <w:tcW w:w="3354" w:type="dxa"/>
            <w:gridSpan w:val="2"/>
            <w:shd w:val="clear" w:color="auto" w:fill="D9D9D9" w:themeFill="background1" w:themeFillShade="D9"/>
            <w:vAlign w:val="center"/>
          </w:tcPr>
          <w:p w14:paraId="7E6A65ED" w14:textId="77777777" w:rsidR="00006C7E" w:rsidRPr="00C4683F" w:rsidRDefault="00006C7E" w:rsidP="00006C7E">
            <w:pPr>
              <w:spacing w:after="0" w:line="240" w:lineRule="auto"/>
              <w:rPr>
                <w:b w:val="0"/>
              </w:rPr>
            </w:pPr>
          </w:p>
        </w:tc>
      </w:tr>
      <w:tr w:rsidR="00006C7E" w:rsidRPr="00C4683F" w14:paraId="685DC2AE" w14:textId="77777777" w:rsidTr="00006C7E">
        <w:trPr>
          <w:trHeight w:val="53"/>
        </w:trPr>
        <w:tc>
          <w:tcPr>
            <w:tcW w:w="4679" w:type="dxa"/>
            <w:gridSpan w:val="4"/>
            <w:shd w:val="clear" w:color="auto" w:fill="D9D9D9" w:themeFill="background1" w:themeFillShade="D9"/>
          </w:tcPr>
          <w:p w14:paraId="56037865" w14:textId="77777777" w:rsidR="00006C7E" w:rsidRPr="00C4683F" w:rsidRDefault="00006C7E" w:rsidP="00006C7E">
            <w:pPr>
              <w:spacing w:after="0" w:line="240" w:lineRule="auto"/>
              <w:rPr>
                <w:b w:val="0"/>
              </w:rPr>
            </w:pPr>
            <w:r w:rsidRPr="00C4683F">
              <w:rPr>
                <w:b w:val="0"/>
              </w:rPr>
              <w:t>Pourcentage d’adultes et d’enfants séropositifs sous traitement antirétroviral</w:t>
            </w:r>
          </w:p>
        </w:tc>
        <w:tc>
          <w:tcPr>
            <w:tcW w:w="3969" w:type="dxa"/>
            <w:gridSpan w:val="4"/>
            <w:shd w:val="clear" w:color="auto" w:fill="D9D9D9" w:themeFill="background1" w:themeFillShade="D9"/>
          </w:tcPr>
          <w:p w14:paraId="5E2E9A99" w14:textId="77777777" w:rsidR="00006C7E" w:rsidRPr="00C4683F" w:rsidRDefault="00006C7E" w:rsidP="00006C7E">
            <w:pPr>
              <w:spacing w:after="0" w:line="240" w:lineRule="auto"/>
              <w:rPr>
                <w:b w:val="0"/>
              </w:rPr>
            </w:pPr>
            <w:r w:rsidRPr="00C4683F">
              <w:rPr>
                <w:b w:val="0"/>
              </w:rPr>
              <w:t>50 % (estimation à la fin de l’année 2013)</w:t>
            </w:r>
          </w:p>
        </w:tc>
        <w:tc>
          <w:tcPr>
            <w:tcW w:w="4111" w:type="dxa"/>
            <w:gridSpan w:val="3"/>
            <w:shd w:val="clear" w:color="auto" w:fill="D9D9D9" w:themeFill="background1" w:themeFillShade="D9"/>
          </w:tcPr>
          <w:p w14:paraId="3CEDCC9A" w14:textId="77777777" w:rsidR="00006C7E" w:rsidRPr="00C4683F" w:rsidRDefault="00006C7E" w:rsidP="00006C7E">
            <w:pPr>
              <w:spacing w:after="0" w:line="240" w:lineRule="auto"/>
              <w:rPr>
                <w:b w:val="0"/>
              </w:rPr>
            </w:pPr>
            <w:r w:rsidRPr="00C4683F">
              <w:rPr>
                <w:b w:val="0"/>
              </w:rPr>
              <w:t>90 % en 2017 (selon le Cadre national stratégique de lutte contre le VIH/sida de 2013)</w:t>
            </w:r>
          </w:p>
        </w:tc>
        <w:tc>
          <w:tcPr>
            <w:tcW w:w="3354" w:type="dxa"/>
            <w:gridSpan w:val="2"/>
            <w:shd w:val="clear" w:color="auto" w:fill="D9D9D9" w:themeFill="background1" w:themeFillShade="D9"/>
            <w:vAlign w:val="center"/>
          </w:tcPr>
          <w:p w14:paraId="09CF14CD" w14:textId="77777777" w:rsidR="00006C7E" w:rsidRPr="00C4683F" w:rsidRDefault="00006C7E" w:rsidP="00006C7E">
            <w:pPr>
              <w:spacing w:after="0" w:line="240" w:lineRule="auto"/>
              <w:rPr>
                <w:b w:val="0"/>
              </w:rPr>
            </w:pPr>
          </w:p>
        </w:tc>
      </w:tr>
      <w:tr w:rsidR="00006C7E" w:rsidRPr="00C4683F" w14:paraId="285A8256" w14:textId="77777777" w:rsidTr="00006C7E">
        <w:tc>
          <w:tcPr>
            <w:tcW w:w="16113" w:type="dxa"/>
            <w:gridSpan w:val="13"/>
            <w:shd w:val="clear" w:color="auto" w:fill="C9C9C9" w:themeFill="accent3" w:themeFillTint="99"/>
            <w:vAlign w:val="center"/>
          </w:tcPr>
          <w:p w14:paraId="70026E9D" w14:textId="77777777" w:rsidR="00006C7E" w:rsidRPr="00C4683F" w:rsidRDefault="00006C7E" w:rsidP="00006C7E">
            <w:pPr>
              <w:spacing w:after="0" w:line="240" w:lineRule="auto"/>
              <w:rPr>
                <w:b w:val="0"/>
              </w:rPr>
            </w:pPr>
            <w:r w:rsidRPr="00C4683F">
              <w:rPr>
                <w:b w:val="0"/>
              </w:rPr>
              <w:t>Performances Niveau Produits</w:t>
            </w:r>
          </w:p>
        </w:tc>
      </w:tr>
      <w:tr w:rsidR="00006C7E" w:rsidRPr="00C4683F" w14:paraId="187E96C0" w14:textId="77777777" w:rsidTr="00006C7E">
        <w:tc>
          <w:tcPr>
            <w:tcW w:w="627" w:type="dxa"/>
            <w:vMerge w:val="restart"/>
            <w:shd w:val="clear" w:color="auto" w:fill="D9D9D9" w:themeFill="background1" w:themeFillShade="D9"/>
            <w:vAlign w:val="center"/>
          </w:tcPr>
          <w:p w14:paraId="3346D61D" w14:textId="77777777" w:rsidR="00006C7E" w:rsidRPr="00C4683F" w:rsidRDefault="00006C7E" w:rsidP="00006C7E">
            <w:pPr>
              <w:spacing w:after="0" w:line="240" w:lineRule="auto"/>
              <w:rPr>
                <w:b w:val="0"/>
              </w:rPr>
            </w:pPr>
            <w:r w:rsidRPr="00C4683F">
              <w:rPr>
                <w:b w:val="0"/>
              </w:rPr>
              <w:t>N°</w:t>
            </w:r>
          </w:p>
        </w:tc>
        <w:tc>
          <w:tcPr>
            <w:tcW w:w="2399" w:type="dxa"/>
            <w:vMerge w:val="restart"/>
            <w:vAlign w:val="center"/>
          </w:tcPr>
          <w:p w14:paraId="3F90EB34" w14:textId="77777777" w:rsidR="00006C7E" w:rsidRPr="00C4683F" w:rsidRDefault="00006C7E" w:rsidP="00006C7E">
            <w:pPr>
              <w:spacing w:after="0" w:line="240" w:lineRule="auto"/>
              <w:rPr>
                <w:b w:val="0"/>
              </w:rPr>
            </w:pPr>
            <w:r w:rsidRPr="00C4683F">
              <w:rPr>
                <w:b w:val="0"/>
              </w:rPr>
              <w:t>Produits</w:t>
            </w:r>
          </w:p>
        </w:tc>
        <w:tc>
          <w:tcPr>
            <w:tcW w:w="4299" w:type="dxa"/>
            <w:gridSpan w:val="5"/>
            <w:vAlign w:val="center"/>
          </w:tcPr>
          <w:p w14:paraId="359C0D79" w14:textId="77777777" w:rsidR="00006C7E" w:rsidRPr="00C4683F" w:rsidRDefault="00006C7E" w:rsidP="00006C7E">
            <w:pPr>
              <w:spacing w:after="0" w:line="240" w:lineRule="auto"/>
              <w:rPr>
                <w:b w:val="0"/>
              </w:rPr>
            </w:pPr>
            <w:r w:rsidRPr="00C4683F">
              <w:rPr>
                <w:b w:val="0"/>
              </w:rPr>
              <w:t>Indicateurs</w:t>
            </w:r>
          </w:p>
        </w:tc>
        <w:tc>
          <w:tcPr>
            <w:tcW w:w="2233" w:type="dxa"/>
            <w:gridSpan w:val="2"/>
            <w:vMerge w:val="restart"/>
            <w:vAlign w:val="center"/>
          </w:tcPr>
          <w:p w14:paraId="3EBD9DCB" w14:textId="77777777" w:rsidR="00006C7E" w:rsidRPr="00C4683F" w:rsidRDefault="00006C7E" w:rsidP="00006C7E">
            <w:pPr>
              <w:spacing w:after="0" w:line="240" w:lineRule="auto"/>
              <w:rPr>
                <w:b w:val="0"/>
              </w:rPr>
            </w:pPr>
            <w:r w:rsidRPr="00C4683F">
              <w:rPr>
                <w:b w:val="0"/>
              </w:rPr>
              <w:t>Source</w:t>
            </w:r>
          </w:p>
        </w:tc>
        <w:tc>
          <w:tcPr>
            <w:tcW w:w="1923" w:type="dxa"/>
            <w:vMerge w:val="restart"/>
            <w:vAlign w:val="center"/>
          </w:tcPr>
          <w:p w14:paraId="0B5B4F7D" w14:textId="77777777" w:rsidR="00006C7E" w:rsidRPr="00C4683F" w:rsidRDefault="00006C7E" w:rsidP="00006C7E">
            <w:pPr>
              <w:spacing w:after="0" w:line="240" w:lineRule="auto"/>
              <w:rPr>
                <w:b w:val="0"/>
              </w:rPr>
            </w:pPr>
            <w:r w:rsidRPr="00C4683F">
              <w:rPr>
                <w:b w:val="0"/>
              </w:rPr>
              <w:t>Hypothèse</w:t>
            </w:r>
          </w:p>
        </w:tc>
        <w:tc>
          <w:tcPr>
            <w:tcW w:w="2319" w:type="dxa"/>
            <w:gridSpan w:val="2"/>
            <w:vMerge w:val="restart"/>
            <w:shd w:val="clear" w:color="auto" w:fill="auto"/>
            <w:vAlign w:val="center"/>
          </w:tcPr>
          <w:p w14:paraId="4905209D" w14:textId="77777777" w:rsidR="00006C7E" w:rsidRPr="00C4683F" w:rsidRDefault="00006C7E" w:rsidP="00006C7E">
            <w:pPr>
              <w:spacing w:after="0" w:line="240" w:lineRule="auto"/>
              <w:rPr>
                <w:b w:val="0"/>
              </w:rPr>
            </w:pPr>
            <w:r w:rsidRPr="00C4683F">
              <w:rPr>
                <w:b w:val="0"/>
              </w:rPr>
              <w:t>Alternative</w:t>
            </w:r>
          </w:p>
          <w:p w14:paraId="64C0F555" w14:textId="77777777" w:rsidR="00006C7E" w:rsidRPr="00C4683F" w:rsidRDefault="00006C7E" w:rsidP="00006C7E">
            <w:pPr>
              <w:spacing w:after="0" w:line="240" w:lineRule="auto"/>
              <w:rPr>
                <w:b w:val="0"/>
              </w:rPr>
            </w:pPr>
            <w:r w:rsidRPr="00C4683F">
              <w:rPr>
                <w:b w:val="0"/>
              </w:rPr>
              <w:t>(si hypothèse ci-contre non réalisée)</w:t>
            </w:r>
          </w:p>
        </w:tc>
        <w:tc>
          <w:tcPr>
            <w:tcW w:w="2313" w:type="dxa"/>
            <w:vMerge w:val="restart"/>
            <w:shd w:val="clear" w:color="auto" w:fill="auto"/>
            <w:vAlign w:val="center"/>
          </w:tcPr>
          <w:p w14:paraId="5990B6F6" w14:textId="77777777" w:rsidR="00006C7E" w:rsidRPr="00C4683F" w:rsidRDefault="00006C7E" w:rsidP="00006C7E">
            <w:pPr>
              <w:spacing w:after="0" w:line="240" w:lineRule="auto"/>
              <w:rPr>
                <w:b w:val="0"/>
              </w:rPr>
            </w:pPr>
            <w:r w:rsidRPr="00C4683F">
              <w:rPr>
                <w:b w:val="0"/>
              </w:rPr>
              <w:t>Justification</w:t>
            </w:r>
          </w:p>
          <w:p w14:paraId="1FC7E997" w14:textId="77777777" w:rsidR="00006C7E" w:rsidRPr="00C4683F" w:rsidRDefault="00006C7E" w:rsidP="00006C7E">
            <w:pPr>
              <w:spacing w:after="0" w:line="240" w:lineRule="auto"/>
              <w:rPr>
                <w:b w:val="0"/>
              </w:rPr>
            </w:pPr>
            <w:r w:rsidRPr="00C4683F">
              <w:rPr>
                <w:b w:val="0"/>
              </w:rPr>
              <w:t>Observation</w:t>
            </w:r>
          </w:p>
          <w:p w14:paraId="535900C0" w14:textId="77777777" w:rsidR="00006C7E" w:rsidRPr="00C4683F" w:rsidRDefault="00006C7E" w:rsidP="00006C7E">
            <w:pPr>
              <w:spacing w:after="0" w:line="240" w:lineRule="auto"/>
              <w:rPr>
                <w:b w:val="0"/>
              </w:rPr>
            </w:pPr>
            <w:r w:rsidRPr="00C4683F">
              <w:rPr>
                <w:b w:val="0"/>
              </w:rPr>
              <w:t>Commentaire</w:t>
            </w:r>
          </w:p>
        </w:tc>
      </w:tr>
      <w:tr w:rsidR="00006C7E" w:rsidRPr="00C4683F" w14:paraId="6270D54F" w14:textId="77777777" w:rsidTr="00006C7E">
        <w:tc>
          <w:tcPr>
            <w:tcW w:w="627" w:type="dxa"/>
            <w:vMerge/>
            <w:shd w:val="clear" w:color="auto" w:fill="D9D9D9" w:themeFill="background1" w:themeFillShade="D9"/>
            <w:vAlign w:val="center"/>
          </w:tcPr>
          <w:p w14:paraId="4B6A04CA" w14:textId="77777777" w:rsidR="00006C7E" w:rsidRPr="00C4683F" w:rsidRDefault="00006C7E" w:rsidP="00006C7E">
            <w:pPr>
              <w:spacing w:after="0" w:line="240" w:lineRule="auto"/>
              <w:rPr>
                <w:b w:val="0"/>
              </w:rPr>
            </w:pPr>
          </w:p>
        </w:tc>
        <w:tc>
          <w:tcPr>
            <w:tcW w:w="2399" w:type="dxa"/>
            <w:vMerge/>
            <w:vAlign w:val="center"/>
          </w:tcPr>
          <w:p w14:paraId="3D468656" w14:textId="77777777" w:rsidR="00006C7E" w:rsidRPr="00C4683F" w:rsidRDefault="00006C7E" w:rsidP="00006C7E">
            <w:pPr>
              <w:spacing w:after="0" w:line="240" w:lineRule="auto"/>
              <w:rPr>
                <w:b w:val="0"/>
              </w:rPr>
            </w:pPr>
          </w:p>
        </w:tc>
        <w:tc>
          <w:tcPr>
            <w:tcW w:w="1110" w:type="dxa"/>
            <w:vAlign w:val="center"/>
          </w:tcPr>
          <w:p w14:paraId="559C599F" w14:textId="77777777" w:rsidR="00006C7E" w:rsidRPr="00C4683F" w:rsidRDefault="00006C7E" w:rsidP="00006C7E">
            <w:pPr>
              <w:spacing w:after="0" w:line="240" w:lineRule="auto"/>
              <w:rPr>
                <w:b w:val="0"/>
              </w:rPr>
            </w:pPr>
            <w:r w:rsidRPr="00C4683F">
              <w:rPr>
                <w:b w:val="0"/>
              </w:rPr>
              <w:t>Libellé</w:t>
            </w:r>
          </w:p>
        </w:tc>
        <w:tc>
          <w:tcPr>
            <w:tcW w:w="1110" w:type="dxa"/>
            <w:gridSpan w:val="2"/>
            <w:vAlign w:val="center"/>
          </w:tcPr>
          <w:p w14:paraId="6A27146E" w14:textId="77777777" w:rsidR="00006C7E" w:rsidRPr="00C4683F" w:rsidRDefault="00006C7E" w:rsidP="00006C7E">
            <w:pPr>
              <w:spacing w:after="0" w:line="240" w:lineRule="auto"/>
              <w:rPr>
                <w:b w:val="0"/>
              </w:rPr>
            </w:pPr>
            <w:r w:rsidRPr="00C4683F">
              <w:rPr>
                <w:b w:val="0"/>
              </w:rPr>
              <w:t>Baseline</w:t>
            </w:r>
          </w:p>
        </w:tc>
        <w:tc>
          <w:tcPr>
            <w:tcW w:w="1134" w:type="dxa"/>
            <w:vAlign w:val="center"/>
          </w:tcPr>
          <w:p w14:paraId="7847C0D6" w14:textId="77777777" w:rsidR="00006C7E" w:rsidRPr="00C4683F" w:rsidRDefault="00006C7E" w:rsidP="00006C7E">
            <w:pPr>
              <w:spacing w:after="0" w:line="240" w:lineRule="auto"/>
              <w:rPr>
                <w:b w:val="0"/>
              </w:rPr>
            </w:pPr>
            <w:r w:rsidRPr="00C4683F">
              <w:rPr>
                <w:b w:val="0"/>
              </w:rPr>
              <w:t>Cibles</w:t>
            </w:r>
          </w:p>
        </w:tc>
        <w:tc>
          <w:tcPr>
            <w:tcW w:w="945" w:type="dxa"/>
            <w:vAlign w:val="center"/>
          </w:tcPr>
          <w:p w14:paraId="73BDBBC3" w14:textId="77777777" w:rsidR="00006C7E" w:rsidRPr="00C4683F" w:rsidRDefault="00006C7E" w:rsidP="00006C7E">
            <w:pPr>
              <w:spacing w:after="0" w:line="240" w:lineRule="auto"/>
              <w:rPr>
                <w:b w:val="0"/>
              </w:rPr>
            </w:pPr>
            <w:r w:rsidRPr="00C4683F">
              <w:rPr>
                <w:b w:val="0"/>
              </w:rPr>
              <w:t>Réalisé</w:t>
            </w:r>
          </w:p>
        </w:tc>
        <w:tc>
          <w:tcPr>
            <w:tcW w:w="2233" w:type="dxa"/>
            <w:gridSpan w:val="2"/>
            <w:vMerge/>
            <w:vAlign w:val="center"/>
          </w:tcPr>
          <w:p w14:paraId="50D928F1" w14:textId="77777777" w:rsidR="00006C7E" w:rsidRPr="00C4683F" w:rsidRDefault="00006C7E" w:rsidP="00006C7E">
            <w:pPr>
              <w:numPr>
                <w:ilvl w:val="0"/>
                <w:numId w:val="9"/>
              </w:numPr>
              <w:spacing w:after="0" w:line="240" w:lineRule="auto"/>
              <w:rPr>
                <w:b w:val="0"/>
              </w:rPr>
            </w:pPr>
          </w:p>
        </w:tc>
        <w:tc>
          <w:tcPr>
            <w:tcW w:w="1923" w:type="dxa"/>
            <w:vMerge/>
            <w:vAlign w:val="center"/>
          </w:tcPr>
          <w:p w14:paraId="36047E31" w14:textId="77777777" w:rsidR="00006C7E" w:rsidRPr="00C4683F" w:rsidRDefault="00006C7E" w:rsidP="00006C7E">
            <w:pPr>
              <w:spacing w:after="0" w:line="240" w:lineRule="auto"/>
              <w:rPr>
                <w:b w:val="0"/>
              </w:rPr>
            </w:pPr>
          </w:p>
        </w:tc>
        <w:tc>
          <w:tcPr>
            <w:tcW w:w="2319" w:type="dxa"/>
            <w:gridSpan w:val="2"/>
            <w:vMerge/>
            <w:shd w:val="clear" w:color="auto" w:fill="auto"/>
            <w:vAlign w:val="center"/>
          </w:tcPr>
          <w:p w14:paraId="6569F311" w14:textId="77777777" w:rsidR="00006C7E" w:rsidRPr="00C4683F" w:rsidRDefault="00006C7E" w:rsidP="00006C7E">
            <w:pPr>
              <w:spacing w:after="0" w:line="240" w:lineRule="auto"/>
              <w:rPr>
                <w:b w:val="0"/>
              </w:rPr>
            </w:pPr>
          </w:p>
        </w:tc>
        <w:tc>
          <w:tcPr>
            <w:tcW w:w="2313" w:type="dxa"/>
            <w:vMerge/>
            <w:shd w:val="clear" w:color="auto" w:fill="auto"/>
            <w:vAlign w:val="center"/>
          </w:tcPr>
          <w:p w14:paraId="2C9EC824" w14:textId="77777777" w:rsidR="00006C7E" w:rsidRPr="00C4683F" w:rsidRDefault="00006C7E" w:rsidP="00006C7E">
            <w:pPr>
              <w:spacing w:after="0" w:line="240" w:lineRule="auto"/>
              <w:rPr>
                <w:b w:val="0"/>
              </w:rPr>
            </w:pPr>
          </w:p>
        </w:tc>
      </w:tr>
      <w:tr w:rsidR="00006C7E" w:rsidRPr="00C4683F" w14:paraId="5FF1E8AF" w14:textId="77777777" w:rsidTr="00006C7E">
        <w:trPr>
          <w:trHeight w:val="1564"/>
        </w:trPr>
        <w:tc>
          <w:tcPr>
            <w:tcW w:w="627" w:type="dxa"/>
            <w:shd w:val="clear" w:color="auto" w:fill="D9D9D9" w:themeFill="background1" w:themeFillShade="D9"/>
            <w:vAlign w:val="center"/>
          </w:tcPr>
          <w:p w14:paraId="1DB41570" w14:textId="77777777" w:rsidR="00006C7E" w:rsidRPr="00C4683F" w:rsidRDefault="00006C7E" w:rsidP="00006C7E">
            <w:pPr>
              <w:spacing w:after="0" w:line="240" w:lineRule="auto"/>
              <w:rPr>
                <w:b w:val="0"/>
              </w:rPr>
            </w:pPr>
            <w:r w:rsidRPr="00C4683F">
              <w:rPr>
                <w:b w:val="0"/>
              </w:rPr>
              <w:t>2.1.</w:t>
            </w:r>
          </w:p>
        </w:tc>
        <w:tc>
          <w:tcPr>
            <w:tcW w:w="2399" w:type="dxa"/>
            <w:vAlign w:val="center"/>
          </w:tcPr>
          <w:p w14:paraId="20A72615" w14:textId="77777777" w:rsidR="00006C7E" w:rsidRPr="00C4683F" w:rsidRDefault="00006C7E" w:rsidP="00006C7E">
            <w:pPr>
              <w:spacing w:after="0" w:line="240" w:lineRule="auto"/>
              <w:rPr>
                <w:b w:val="0"/>
              </w:rPr>
            </w:pPr>
            <w:r w:rsidRPr="00C4683F">
              <w:rPr>
                <w:b w:val="0"/>
              </w:rPr>
              <w:t>Les capacités de coordination, de gestion et de suivi du Ministère de la santé, de la société civile et des bénéficiaires secondaires sont renforcées pour lutter efficacement contre la séropositivité</w:t>
            </w:r>
          </w:p>
        </w:tc>
        <w:tc>
          <w:tcPr>
            <w:tcW w:w="1110" w:type="dxa"/>
          </w:tcPr>
          <w:p w14:paraId="476CB68A" w14:textId="77777777" w:rsidR="00006C7E" w:rsidRPr="00C4683F" w:rsidRDefault="00006C7E" w:rsidP="00006C7E">
            <w:pPr>
              <w:spacing w:after="0" w:line="240" w:lineRule="auto"/>
              <w:rPr>
                <w:b w:val="0"/>
              </w:rPr>
            </w:pPr>
            <w:r w:rsidRPr="00C4683F">
              <w:rPr>
                <w:b w:val="0"/>
              </w:rPr>
              <w:t>Nombre de plans d’action financés sur une base annuelle</w:t>
            </w:r>
          </w:p>
        </w:tc>
        <w:tc>
          <w:tcPr>
            <w:tcW w:w="1110" w:type="dxa"/>
            <w:gridSpan w:val="2"/>
          </w:tcPr>
          <w:p w14:paraId="30A3ADD7" w14:textId="77777777" w:rsidR="00006C7E" w:rsidRPr="00C4683F" w:rsidRDefault="00006C7E" w:rsidP="00006C7E">
            <w:pPr>
              <w:spacing w:after="0" w:line="240" w:lineRule="auto"/>
              <w:rPr>
                <w:b w:val="0"/>
              </w:rPr>
            </w:pPr>
            <w:r w:rsidRPr="00C4683F">
              <w:rPr>
                <w:b w:val="0"/>
              </w:rPr>
              <w:t>5</w:t>
            </w:r>
          </w:p>
        </w:tc>
        <w:tc>
          <w:tcPr>
            <w:tcW w:w="1134" w:type="dxa"/>
          </w:tcPr>
          <w:p w14:paraId="1250E58E" w14:textId="77777777" w:rsidR="00006C7E" w:rsidRPr="00C4683F" w:rsidRDefault="00006C7E" w:rsidP="00006C7E">
            <w:pPr>
              <w:spacing w:after="0" w:line="240" w:lineRule="auto"/>
              <w:rPr>
                <w:b w:val="0"/>
              </w:rPr>
            </w:pPr>
            <w:r w:rsidRPr="00C4683F">
              <w:rPr>
                <w:b w:val="0"/>
              </w:rPr>
              <w:t>25</w:t>
            </w:r>
          </w:p>
        </w:tc>
        <w:tc>
          <w:tcPr>
            <w:tcW w:w="945" w:type="dxa"/>
            <w:shd w:val="clear" w:color="auto" w:fill="C9C9C9" w:themeFill="accent3" w:themeFillTint="99"/>
            <w:vAlign w:val="center"/>
          </w:tcPr>
          <w:p w14:paraId="448320E6" w14:textId="77777777" w:rsidR="00006C7E" w:rsidRPr="00C4683F" w:rsidRDefault="00006C7E" w:rsidP="00006C7E">
            <w:pPr>
              <w:spacing w:after="0" w:line="240" w:lineRule="auto"/>
              <w:rPr>
                <w:b w:val="0"/>
              </w:rPr>
            </w:pPr>
            <w:r w:rsidRPr="00C4683F">
              <w:rPr>
                <w:b w:val="0"/>
              </w:rPr>
              <w:t>???????</w:t>
            </w:r>
          </w:p>
        </w:tc>
        <w:tc>
          <w:tcPr>
            <w:tcW w:w="2233" w:type="dxa"/>
            <w:gridSpan w:val="2"/>
            <w:vAlign w:val="center"/>
          </w:tcPr>
          <w:p w14:paraId="7591E6C0" w14:textId="77777777" w:rsidR="00006C7E" w:rsidRPr="00C4683F" w:rsidRDefault="00006C7E" w:rsidP="00006C7E">
            <w:pPr>
              <w:numPr>
                <w:ilvl w:val="0"/>
                <w:numId w:val="9"/>
              </w:numPr>
              <w:spacing w:after="0" w:line="240" w:lineRule="auto"/>
              <w:rPr>
                <w:b w:val="0"/>
              </w:rPr>
            </w:pPr>
            <w:r w:rsidRPr="00C4683F">
              <w:rPr>
                <w:b w:val="0"/>
              </w:rPr>
              <w:t>Rapports d’exécution</w:t>
            </w:r>
          </w:p>
          <w:p w14:paraId="794E53B9" w14:textId="77777777" w:rsidR="00006C7E" w:rsidRPr="00C4683F" w:rsidRDefault="00006C7E" w:rsidP="00006C7E">
            <w:pPr>
              <w:numPr>
                <w:ilvl w:val="0"/>
                <w:numId w:val="9"/>
              </w:numPr>
              <w:spacing w:after="0" w:line="240" w:lineRule="auto"/>
              <w:rPr>
                <w:b w:val="0"/>
              </w:rPr>
            </w:pPr>
            <w:r w:rsidRPr="00C4683F">
              <w:rPr>
                <w:b w:val="0"/>
              </w:rPr>
              <w:t>Sources primaires</w:t>
            </w:r>
          </w:p>
        </w:tc>
        <w:tc>
          <w:tcPr>
            <w:tcW w:w="1923" w:type="dxa"/>
            <w:vAlign w:val="center"/>
          </w:tcPr>
          <w:p w14:paraId="4CEEE9B3" w14:textId="77777777" w:rsidR="00006C7E" w:rsidRPr="00C4683F" w:rsidRDefault="00006C7E" w:rsidP="00006C7E">
            <w:pPr>
              <w:spacing w:after="0" w:line="240" w:lineRule="auto"/>
              <w:rPr>
                <w:b w:val="0"/>
              </w:rPr>
            </w:pPr>
            <w:r w:rsidRPr="00C4683F">
              <w:rPr>
                <w:b w:val="0"/>
              </w:rPr>
              <w:t>Information collectée au fur et mesure et consignée dans les rapports</w:t>
            </w:r>
          </w:p>
        </w:tc>
        <w:tc>
          <w:tcPr>
            <w:tcW w:w="2319" w:type="dxa"/>
            <w:gridSpan w:val="2"/>
            <w:shd w:val="clear" w:color="auto" w:fill="auto"/>
            <w:vAlign w:val="center"/>
          </w:tcPr>
          <w:p w14:paraId="04885DDC" w14:textId="77777777" w:rsidR="00006C7E" w:rsidRPr="00C4683F" w:rsidRDefault="00006C7E" w:rsidP="00006C7E">
            <w:pPr>
              <w:spacing w:after="0" w:line="240" w:lineRule="auto"/>
              <w:rPr>
                <w:b w:val="0"/>
              </w:rPr>
            </w:pPr>
            <w:r w:rsidRPr="00C4683F">
              <w:rPr>
                <w:b w:val="0"/>
              </w:rPr>
              <w:t>Sonder les acteurs et bénéficiaires du projet</w:t>
            </w:r>
          </w:p>
        </w:tc>
        <w:tc>
          <w:tcPr>
            <w:tcW w:w="2313" w:type="dxa"/>
            <w:shd w:val="clear" w:color="auto" w:fill="C9C9C9" w:themeFill="accent3" w:themeFillTint="99"/>
            <w:vAlign w:val="center"/>
          </w:tcPr>
          <w:p w14:paraId="7E856EA0" w14:textId="77777777" w:rsidR="00006C7E" w:rsidRPr="00C4683F" w:rsidRDefault="00006C7E" w:rsidP="00006C7E">
            <w:pPr>
              <w:spacing w:after="0" w:line="240" w:lineRule="auto"/>
              <w:rPr>
                <w:b w:val="0"/>
              </w:rPr>
            </w:pPr>
            <w:r w:rsidRPr="00C4683F">
              <w:rPr>
                <w:b w:val="0"/>
              </w:rPr>
              <w:t>!!!!!!!!!!!</w:t>
            </w:r>
          </w:p>
        </w:tc>
      </w:tr>
      <w:tr w:rsidR="00006C7E" w:rsidRPr="00C4683F" w14:paraId="77A0582F" w14:textId="77777777" w:rsidTr="00006C7E">
        <w:tc>
          <w:tcPr>
            <w:tcW w:w="627" w:type="dxa"/>
            <w:shd w:val="clear" w:color="auto" w:fill="D9D9D9" w:themeFill="background1" w:themeFillShade="D9"/>
            <w:vAlign w:val="center"/>
          </w:tcPr>
          <w:p w14:paraId="5E786574" w14:textId="77777777" w:rsidR="00006C7E" w:rsidRPr="00C4683F" w:rsidRDefault="00006C7E" w:rsidP="00006C7E">
            <w:pPr>
              <w:spacing w:after="0" w:line="240" w:lineRule="auto"/>
              <w:rPr>
                <w:b w:val="0"/>
              </w:rPr>
            </w:pPr>
            <w:r w:rsidRPr="00C4683F">
              <w:rPr>
                <w:b w:val="0"/>
              </w:rPr>
              <w:t>2.2.1.</w:t>
            </w:r>
          </w:p>
        </w:tc>
        <w:tc>
          <w:tcPr>
            <w:tcW w:w="2399" w:type="dxa"/>
            <w:vMerge w:val="restart"/>
          </w:tcPr>
          <w:p w14:paraId="4BD8F1D9" w14:textId="77777777" w:rsidR="00006C7E" w:rsidRPr="00C4683F" w:rsidRDefault="00006C7E" w:rsidP="00006C7E">
            <w:pPr>
              <w:spacing w:after="0" w:line="240" w:lineRule="auto"/>
              <w:rPr>
                <w:b w:val="0"/>
              </w:rPr>
            </w:pPr>
            <w:r w:rsidRPr="00C4683F">
              <w:rPr>
                <w:b w:val="0"/>
              </w:rPr>
              <w:t xml:space="preserve">Des services performants de prévention et de traitement sont </w:t>
            </w:r>
            <w:r w:rsidRPr="00C4683F">
              <w:rPr>
                <w:b w:val="0"/>
              </w:rPr>
              <w:lastRenderedPageBreak/>
              <w:t>disponibles pour réduire sensiblement le taux de prévalence de la séropositivité</w:t>
            </w:r>
          </w:p>
        </w:tc>
        <w:tc>
          <w:tcPr>
            <w:tcW w:w="1110" w:type="dxa"/>
            <w:vMerge w:val="restart"/>
          </w:tcPr>
          <w:p w14:paraId="5CC30273" w14:textId="77777777" w:rsidR="00006C7E" w:rsidRPr="00C4683F" w:rsidRDefault="00006C7E" w:rsidP="00006C7E">
            <w:pPr>
              <w:spacing w:after="0" w:line="240" w:lineRule="auto"/>
              <w:rPr>
                <w:b w:val="0"/>
              </w:rPr>
            </w:pPr>
            <w:r w:rsidRPr="00C4683F">
              <w:rPr>
                <w:b w:val="0"/>
              </w:rPr>
              <w:lastRenderedPageBreak/>
              <w:t xml:space="preserve">Nombre de personnes </w:t>
            </w:r>
            <w:r w:rsidRPr="00C4683F">
              <w:rPr>
                <w:b w:val="0"/>
              </w:rPr>
              <w:lastRenderedPageBreak/>
              <w:t>séropositives sous traitement antirétroviral selon les normes nationales</w:t>
            </w:r>
          </w:p>
        </w:tc>
        <w:tc>
          <w:tcPr>
            <w:tcW w:w="1110" w:type="dxa"/>
            <w:gridSpan w:val="2"/>
            <w:vMerge w:val="restart"/>
          </w:tcPr>
          <w:p w14:paraId="4041CFD7" w14:textId="77777777" w:rsidR="00006C7E" w:rsidRPr="00C4683F" w:rsidRDefault="00006C7E" w:rsidP="00006C7E">
            <w:pPr>
              <w:spacing w:after="0" w:line="240" w:lineRule="auto"/>
              <w:rPr>
                <w:b w:val="0"/>
              </w:rPr>
            </w:pPr>
            <w:r w:rsidRPr="00C4683F">
              <w:rPr>
                <w:b w:val="0"/>
              </w:rPr>
              <w:lastRenderedPageBreak/>
              <w:t>28 729 personnes</w:t>
            </w:r>
          </w:p>
        </w:tc>
        <w:tc>
          <w:tcPr>
            <w:tcW w:w="1134" w:type="dxa"/>
            <w:vMerge w:val="restart"/>
          </w:tcPr>
          <w:p w14:paraId="37CF51AF" w14:textId="77777777" w:rsidR="00006C7E" w:rsidRPr="00C4683F" w:rsidRDefault="00006C7E" w:rsidP="00006C7E">
            <w:pPr>
              <w:spacing w:after="0" w:line="240" w:lineRule="auto"/>
              <w:rPr>
                <w:b w:val="0"/>
              </w:rPr>
            </w:pPr>
            <w:r w:rsidRPr="00C4683F">
              <w:rPr>
                <w:b w:val="0"/>
              </w:rPr>
              <w:t>39875 personnes</w:t>
            </w:r>
          </w:p>
        </w:tc>
        <w:tc>
          <w:tcPr>
            <w:tcW w:w="945" w:type="dxa"/>
            <w:vMerge w:val="restart"/>
            <w:shd w:val="clear" w:color="auto" w:fill="C9C9C9" w:themeFill="accent3" w:themeFillTint="99"/>
            <w:vAlign w:val="center"/>
          </w:tcPr>
          <w:p w14:paraId="277D739A" w14:textId="77777777" w:rsidR="00006C7E" w:rsidRPr="00C4683F" w:rsidRDefault="00006C7E" w:rsidP="00006C7E">
            <w:pPr>
              <w:spacing w:after="0" w:line="240" w:lineRule="auto"/>
              <w:rPr>
                <w:b w:val="0"/>
              </w:rPr>
            </w:pPr>
            <w:r w:rsidRPr="00C4683F">
              <w:rPr>
                <w:b w:val="0"/>
              </w:rPr>
              <w:t>???????</w:t>
            </w:r>
          </w:p>
        </w:tc>
        <w:tc>
          <w:tcPr>
            <w:tcW w:w="2233" w:type="dxa"/>
            <w:gridSpan w:val="2"/>
            <w:vMerge w:val="restart"/>
            <w:vAlign w:val="center"/>
          </w:tcPr>
          <w:p w14:paraId="12C8AA4C" w14:textId="77777777" w:rsidR="00006C7E" w:rsidRPr="00C4683F" w:rsidRDefault="00006C7E" w:rsidP="00006C7E">
            <w:pPr>
              <w:numPr>
                <w:ilvl w:val="0"/>
                <w:numId w:val="9"/>
              </w:numPr>
              <w:spacing w:after="0" w:line="240" w:lineRule="auto"/>
              <w:rPr>
                <w:b w:val="0"/>
              </w:rPr>
            </w:pPr>
            <w:r w:rsidRPr="00C4683F">
              <w:rPr>
                <w:b w:val="0"/>
              </w:rPr>
              <w:t>Rapports d’exécution</w:t>
            </w:r>
          </w:p>
          <w:p w14:paraId="3739E6CC" w14:textId="77777777" w:rsidR="00006C7E" w:rsidRPr="00C4683F" w:rsidRDefault="00006C7E" w:rsidP="00006C7E">
            <w:pPr>
              <w:numPr>
                <w:ilvl w:val="0"/>
                <w:numId w:val="9"/>
              </w:numPr>
              <w:spacing w:after="0" w:line="240" w:lineRule="auto"/>
              <w:rPr>
                <w:b w:val="0"/>
              </w:rPr>
            </w:pPr>
            <w:r w:rsidRPr="00C4683F">
              <w:rPr>
                <w:b w:val="0"/>
              </w:rPr>
              <w:lastRenderedPageBreak/>
              <w:t>Sources primaires</w:t>
            </w:r>
          </w:p>
        </w:tc>
        <w:tc>
          <w:tcPr>
            <w:tcW w:w="1923" w:type="dxa"/>
            <w:vMerge w:val="restart"/>
            <w:vAlign w:val="center"/>
          </w:tcPr>
          <w:p w14:paraId="4357FAFF" w14:textId="77777777" w:rsidR="00006C7E" w:rsidRPr="00C4683F" w:rsidRDefault="00006C7E" w:rsidP="00006C7E">
            <w:pPr>
              <w:spacing w:after="0" w:line="240" w:lineRule="auto"/>
              <w:rPr>
                <w:b w:val="0"/>
              </w:rPr>
            </w:pPr>
            <w:r w:rsidRPr="00C4683F">
              <w:rPr>
                <w:b w:val="0"/>
              </w:rPr>
              <w:lastRenderedPageBreak/>
              <w:t xml:space="preserve">Information collectée au fur et mesure et </w:t>
            </w:r>
            <w:r w:rsidRPr="00C4683F">
              <w:rPr>
                <w:b w:val="0"/>
              </w:rPr>
              <w:lastRenderedPageBreak/>
              <w:t>consignée dans les rapports</w:t>
            </w:r>
          </w:p>
        </w:tc>
        <w:tc>
          <w:tcPr>
            <w:tcW w:w="2319" w:type="dxa"/>
            <w:gridSpan w:val="2"/>
            <w:vMerge w:val="restart"/>
            <w:shd w:val="clear" w:color="auto" w:fill="auto"/>
            <w:vAlign w:val="center"/>
          </w:tcPr>
          <w:p w14:paraId="2144EF24" w14:textId="77777777" w:rsidR="00006C7E" w:rsidRPr="00C4683F" w:rsidRDefault="00006C7E" w:rsidP="00006C7E">
            <w:pPr>
              <w:spacing w:after="0" w:line="240" w:lineRule="auto"/>
              <w:rPr>
                <w:b w:val="0"/>
              </w:rPr>
            </w:pPr>
            <w:r w:rsidRPr="00C4683F">
              <w:rPr>
                <w:b w:val="0"/>
              </w:rPr>
              <w:lastRenderedPageBreak/>
              <w:t>Sonder les acteurs et cibles du projet</w:t>
            </w:r>
          </w:p>
        </w:tc>
        <w:tc>
          <w:tcPr>
            <w:tcW w:w="2313" w:type="dxa"/>
            <w:vMerge w:val="restart"/>
            <w:shd w:val="clear" w:color="auto" w:fill="C9C9C9" w:themeFill="accent3" w:themeFillTint="99"/>
            <w:vAlign w:val="center"/>
          </w:tcPr>
          <w:p w14:paraId="6C96FE22" w14:textId="77777777" w:rsidR="00006C7E" w:rsidRPr="00C4683F" w:rsidRDefault="00006C7E" w:rsidP="00006C7E">
            <w:pPr>
              <w:spacing w:after="0" w:line="240" w:lineRule="auto"/>
              <w:rPr>
                <w:b w:val="0"/>
              </w:rPr>
            </w:pPr>
            <w:r w:rsidRPr="00C4683F">
              <w:rPr>
                <w:b w:val="0"/>
              </w:rPr>
              <w:t>!!!!!!!!!!!</w:t>
            </w:r>
          </w:p>
        </w:tc>
      </w:tr>
      <w:tr w:rsidR="00006C7E" w:rsidRPr="00C4683F" w14:paraId="0877D04A" w14:textId="77777777" w:rsidTr="00006C7E">
        <w:tc>
          <w:tcPr>
            <w:tcW w:w="627" w:type="dxa"/>
            <w:shd w:val="clear" w:color="auto" w:fill="D9D9D9" w:themeFill="background1" w:themeFillShade="D9"/>
            <w:vAlign w:val="center"/>
          </w:tcPr>
          <w:p w14:paraId="5D63EA66" w14:textId="77777777" w:rsidR="00006C7E" w:rsidRPr="00C4683F" w:rsidRDefault="00006C7E" w:rsidP="00006C7E">
            <w:pPr>
              <w:spacing w:after="0" w:line="240" w:lineRule="auto"/>
              <w:rPr>
                <w:b w:val="0"/>
              </w:rPr>
            </w:pPr>
          </w:p>
        </w:tc>
        <w:tc>
          <w:tcPr>
            <w:tcW w:w="2399" w:type="dxa"/>
            <w:vMerge/>
            <w:vAlign w:val="center"/>
          </w:tcPr>
          <w:p w14:paraId="5D243779" w14:textId="77777777" w:rsidR="00006C7E" w:rsidRPr="00C4683F" w:rsidRDefault="00006C7E" w:rsidP="00006C7E">
            <w:pPr>
              <w:spacing w:after="0" w:line="240" w:lineRule="auto"/>
              <w:rPr>
                <w:b w:val="0"/>
              </w:rPr>
            </w:pPr>
          </w:p>
        </w:tc>
        <w:tc>
          <w:tcPr>
            <w:tcW w:w="1110" w:type="dxa"/>
            <w:vMerge/>
          </w:tcPr>
          <w:p w14:paraId="517116CA" w14:textId="77777777" w:rsidR="00006C7E" w:rsidRPr="00C4683F" w:rsidRDefault="00006C7E" w:rsidP="00006C7E">
            <w:pPr>
              <w:spacing w:after="0" w:line="240" w:lineRule="auto"/>
              <w:rPr>
                <w:b w:val="0"/>
              </w:rPr>
            </w:pPr>
          </w:p>
        </w:tc>
        <w:tc>
          <w:tcPr>
            <w:tcW w:w="1110" w:type="dxa"/>
            <w:gridSpan w:val="2"/>
            <w:vMerge/>
          </w:tcPr>
          <w:p w14:paraId="7A842A8E" w14:textId="77777777" w:rsidR="00006C7E" w:rsidRPr="00C4683F" w:rsidRDefault="00006C7E" w:rsidP="00006C7E">
            <w:pPr>
              <w:spacing w:after="0" w:line="240" w:lineRule="auto"/>
              <w:rPr>
                <w:b w:val="0"/>
              </w:rPr>
            </w:pPr>
          </w:p>
        </w:tc>
        <w:tc>
          <w:tcPr>
            <w:tcW w:w="1134" w:type="dxa"/>
            <w:vMerge/>
          </w:tcPr>
          <w:p w14:paraId="3B618E5C" w14:textId="77777777" w:rsidR="00006C7E" w:rsidRPr="00C4683F" w:rsidRDefault="00006C7E" w:rsidP="00006C7E">
            <w:pPr>
              <w:spacing w:after="0" w:line="240" w:lineRule="auto"/>
              <w:rPr>
                <w:b w:val="0"/>
              </w:rPr>
            </w:pPr>
          </w:p>
        </w:tc>
        <w:tc>
          <w:tcPr>
            <w:tcW w:w="945" w:type="dxa"/>
            <w:vMerge/>
            <w:shd w:val="clear" w:color="auto" w:fill="C9C9C9" w:themeFill="accent3" w:themeFillTint="99"/>
          </w:tcPr>
          <w:p w14:paraId="289F342B" w14:textId="77777777" w:rsidR="00006C7E" w:rsidRPr="00C4683F" w:rsidRDefault="00006C7E" w:rsidP="00006C7E">
            <w:pPr>
              <w:spacing w:after="0" w:line="240" w:lineRule="auto"/>
              <w:rPr>
                <w:b w:val="0"/>
              </w:rPr>
            </w:pPr>
          </w:p>
        </w:tc>
        <w:tc>
          <w:tcPr>
            <w:tcW w:w="2233" w:type="dxa"/>
            <w:gridSpan w:val="2"/>
            <w:vMerge/>
            <w:vAlign w:val="center"/>
          </w:tcPr>
          <w:p w14:paraId="7EA119CD" w14:textId="77777777" w:rsidR="00006C7E" w:rsidRPr="00C4683F" w:rsidRDefault="00006C7E" w:rsidP="00006C7E">
            <w:pPr>
              <w:numPr>
                <w:ilvl w:val="0"/>
                <w:numId w:val="9"/>
              </w:numPr>
              <w:spacing w:after="0" w:line="240" w:lineRule="auto"/>
              <w:rPr>
                <w:b w:val="0"/>
              </w:rPr>
            </w:pPr>
          </w:p>
        </w:tc>
        <w:tc>
          <w:tcPr>
            <w:tcW w:w="1923" w:type="dxa"/>
            <w:vMerge/>
            <w:vAlign w:val="center"/>
          </w:tcPr>
          <w:p w14:paraId="0567D8EB" w14:textId="77777777" w:rsidR="00006C7E" w:rsidRPr="00C4683F" w:rsidRDefault="00006C7E" w:rsidP="00006C7E">
            <w:pPr>
              <w:spacing w:after="0" w:line="240" w:lineRule="auto"/>
              <w:rPr>
                <w:b w:val="0"/>
              </w:rPr>
            </w:pPr>
          </w:p>
        </w:tc>
        <w:tc>
          <w:tcPr>
            <w:tcW w:w="2319" w:type="dxa"/>
            <w:gridSpan w:val="2"/>
            <w:vMerge/>
            <w:shd w:val="clear" w:color="auto" w:fill="auto"/>
            <w:vAlign w:val="center"/>
          </w:tcPr>
          <w:p w14:paraId="7BF96431" w14:textId="77777777" w:rsidR="00006C7E" w:rsidRPr="00C4683F" w:rsidRDefault="00006C7E" w:rsidP="00006C7E">
            <w:pPr>
              <w:spacing w:after="0" w:line="240" w:lineRule="auto"/>
              <w:rPr>
                <w:b w:val="0"/>
              </w:rPr>
            </w:pPr>
          </w:p>
        </w:tc>
        <w:tc>
          <w:tcPr>
            <w:tcW w:w="2313" w:type="dxa"/>
            <w:vMerge/>
            <w:shd w:val="clear" w:color="auto" w:fill="C9C9C9" w:themeFill="accent3" w:themeFillTint="99"/>
            <w:vAlign w:val="center"/>
          </w:tcPr>
          <w:p w14:paraId="2985AE2D" w14:textId="77777777" w:rsidR="00006C7E" w:rsidRPr="00C4683F" w:rsidRDefault="00006C7E" w:rsidP="00006C7E">
            <w:pPr>
              <w:spacing w:after="0" w:line="240" w:lineRule="auto"/>
              <w:rPr>
                <w:b w:val="0"/>
              </w:rPr>
            </w:pPr>
          </w:p>
        </w:tc>
      </w:tr>
      <w:tr w:rsidR="00006C7E" w:rsidRPr="00C4683F" w14:paraId="5E2EFAF8" w14:textId="77777777" w:rsidTr="00006C7E">
        <w:tc>
          <w:tcPr>
            <w:tcW w:w="627" w:type="dxa"/>
            <w:shd w:val="clear" w:color="auto" w:fill="D9D9D9" w:themeFill="background1" w:themeFillShade="D9"/>
            <w:vAlign w:val="center"/>
          </w:tcPr>
          <w:p w14:paraId="777E557C" w14:textId="77777777" w:rsidR="00006C7E" w:rsidRPr="00C4683F" w:rsidRDefault="00006C7E" w:rsidP="00006C7E">
            <w:pPr>
              <w:spacing w:after="0" w:line="240" w:lineRule="auto"/>
              <w:rPr>
                <w:b w:val="0"/>
              </w:rPr>
            </w:pPr>
            <w:r w:rsidRPr="00C4683F">
              <w:rPr>
                <w:b w:val="0"/>
              </w:rPr>
              <w:lastRenderedPageBreak/>
              <w:t>2.2.3.</w:t>
            </w:r>
          </w:p>
        </w:tc>
        <w:tc>
          <w:tcPr>
            <w:tcW w:w="2399" w:type="dxa"/>
            <w:vMerge/>
            <w:vAlign w:val="center"/>
          </w:tcPr>
          <w:p w14:paraId="44A27580" w14:textId="77777777" w:rsidR="00006C7E" w:rsidRPr="00C4683F" w:rsidRDefault="00006C7E" w:rsidP="00006C7E">
            <w:pPr>
              <w:spacing w:after="0" w:line="240" w:lineRule="auto"/>
              <w:rPr>
                <w:b w:val="0"/>
              </w:rPr>
            </w:pPr>
          </w:p>
        </w:tc>
        <w:tc>
          <w:tcPr>
            <w:tcW w:w="1110" w:type="dxa"/>
            <w:vMerge/>
            <w:vAlign w:val="center"/>
          </w:tcPr>
          <w:p w14:paraId="2782884B" w14:textId="77777777" w:rsidR="00006C7E" w:rsidRPr="00C4683F" w:rsidRDefault="00006C7E" w:rsidP="00006C7E">
            <w:pPr>
              <w:spacing w:after="0" w:line="240" w:lineRule="auto"/>
              <w:rPr>
                <w:b w:val="0"/>
              </w:rPr>
            </w:pPr>
          </w:p>
        </w:tc>
        <w:tc>
          <w:tcPr>
            <w:tcW w:w="1110" w:type="dxa"/>
            <w:gridSpan w:val="2"/>
            <w:vMerge/>
            <w:vAlign w:val="center"/>
          </w:tcPr>
          <w:p w14:paraId="55B36216" w14:textId="77777777" w:rsidR="00006C7E" w:rsidRPr="00C4683F" w:rsidRDefault="00006C7E" w:rsidP="00006C7E">
            <w:pPr>
              <w:spacing w:after="0" w:line="240" w:lineRule="auto"/>
              <w:rPr>
                <w:b w:val="0"/>
              </w:rPr>
            </w:pPr>
          </w:p>
        </w:tc>
        <w:tc>
          <w:tcPr>
            <w:tcW w:w="1134" w:type="dxa"/>
            <w:vMerge/>
            <w:vAlign w:val="center"/>
          </w:tcPr>
          <w:p w14:paraId="5DC6D2B6" w14:textId="77777777" w:rsidR="00006C7E" w:rsidRPr="00C4683F" w:rsidRDefault="00006C7E" w:rsidP="00006C7E">
            <w:pPr>
              <w:spacing w:after="0" w:line="240" w:lineRule="auto"/>
              <w:rPr>
                <w:b w:val="0"/>
              </w:rPr>
            </w:pPr>
          </w:p>
        </w:tc>
        <w:tc>
          <w:tcPr>
            <w:tcW w:w="945" w:type="dxa"/>
            <w:vMerge/>
            <w:shd w:val="clear" w:color="auto" w:fill="C9C9C9" w:themeFill="accent3" w:themeFillTint="99"/>
            <w:vAlign w:val="center"/>
          </w:tcPr>
          <w:p w14:paraId="2F8E7F76" w14:textId="77777777" w:rsidR="00006C7E" w:rsidRPr="00C4683F" w:rsidRDefault="00006C7E" w:rsidP="00006C7E">
            <w:pPr>
              <w:spacing w:after="0" w:line="240" w:lineRule="auto"/>
              <w:rPr>
                <w:b w:val="0"/>
              </w:rPr>
            </w:pPr>
          </w:p>
        </w:tc>
        <w:tc>
          <w:tcPr>
            <w:tcW w:w="2233" w:type="dxa"/>
            <w:gridSpan w:val="2"/>
            <w:vMerge/>
            <w:vAlign w:val="center"/>
          </w:tcPr>
          <w:p w14:paraId="08BCA890" w14:textId="77777777" w:rsidR="00006C7E" w:rsidRPr="00C4683F" w:rsidRDefault="00006C7E" w:rsidP="00006C7E">
            <w:pPr>
              <w:numPr>
                <w:ilvl w:val="0"/>
                <w:numId w:val="9"/>
              </w:numPr>
              <w:spacing w:after="0" w:line="240" w:lineRule="auto"/>
              <w:rPr>
                <w:b w:val="0"/>
              </w:rPr>
            </w:pPr>
          </w:p>
        </w:tc>
        <w:tc>
          <w:tcPr>
            <w:tcW w:w="1923" w:type="dxa"/>
            <w:vMerge/>
            <w:vAlign w:val="center"/>
          </w:tcPr>
          <w:p w14:paraId="489B55DB" w14:textId="77777777" w:rsidR="00006C7E" w:rsidRPr="00C4683F" w:rsidRDefault="00006C7E" w:rsidP="00006C7E">
            <w:pPr>
              <w:spacing w:after="0" w:line="240" w:lineRule="auto"/>
              <w:rPr>
                <w:b w:val="0"/>
              </w:rPr>
            </w:pPr>
          </w:p>
        </w:tc>
        <w:tc>
          <w:tcPr>
            <w:tcW w:w="2319" w:type="dxa"/>
            <w:gridSpan w:val="2"/>
            <w:vMerge/>
            <w:vAlign w:val="center"/>
          </w:tcPr>
          <w:p w14:paraId="0A399F95" w14:textId="77777777" w:rsidR="00006C7E" w:rsidRPr="00C4683F" w:rsidRDefault="00006C7E" w:rsidP="00006C7E">
            <w:pPr>
              <w:spacing w:after="0" w:line="240" w:lineRule="auto"/>
              <w:rPr>
                <w:b w:val="0"/>
              </w:rPr>
            </w:pPr>
          </w:p>
        </w:tc>
        <w:tc>
          <w:tcPr>
            <w:tcW w:w="2313" w:type="dxa"/>
            <w:vMerge/>
            <w:shd w:val="clear" w:color="auto" w:fill="C9C9C9" w:themeFill="accent3" w:themeFillTint="99"/>
            <w:vAlign w:val="center"/>
          </w:tcPr>
          <w:p w14:paraId="5FABD59E" w14:textId="77777777" w:rsidR="00006C7E" w:rsidRPr="00C4683F" w:rsidRDefault="00006C7E" w:rsidP="00006C7E">
            <w:pPr>
              <w:spacing w:after="0" w:line="240" w:lineRule="auto"/>
              <w:rPr>
                <w:b w:val="0"/>
              </w:rPr>
            </w:pPr>
          </w:p>
        </w:tc>
      </w:tr>
      <w:tr w:rsidR="00006C7E" w:rsidRPr="00C4683F" w14:paraId="285DA4E4" w14:textId="77777777" w:rsidTr="00006C7E">
        <w:tc>
          <w:tcPr>
            <w:tcW w:w="627" w:type="dxa"/>
            <w:shd w:val="clear" w:color="auto" w:fill="D9D9D9" w:themeFill="background1" w:themeFillShade="D9"/>
            <w:vAlign w:val="center"/>
          </w:tcPr>
          <w:p w14:paraId="4B5EDD80" w14:textId="77777777" w:rsidR="00006C7E" w:rsidRPr="00C4683F" w:rsidRDefault="00006C7E" w:rsidP="00006C7E">
            <w:pPr>
              <w:spacing w:after="0" w:line="240" w:lineRule="auto"/>
              <w:rPr>
                <w:b w:val="0"/>
              </w:rPr>
            </w:pPr>
            <w:r w:rsidRPr="00C4683F">
              <w:rPr>
                <w:b w:val="0"/>
              </w:rPr>
              <w:t>2.2.4.</w:t>
            </w:r>
          </w:p>
        </w:tc>
        <w:tc>
          <w:tcPr>
            <w:tcW w:w="2399" w:type="dxa"/>
            <w:vMerge/>
            <w:vAlign w:val="center"/>
          </w:tcPr>
          <w:p w14:paraId="11645670" w14:textId="77777777" w:rsidR="00006C7E" w:rsidRPr="00C4683F" w:rsidRDefault="00006C7E" w:rsidP="00006C7E">
            <w:pPr>
              <w:spacing w:after="0" w:line="240" w:lineRule="auto"/>
              <w:rPr>
                <w:b w:val="0"/>
              </w:rPr>
            </w:pPr>
          </w:p>
        </w:tc>
        <w:tc>
          <w:tcPr>
            <w:tcW w:w="1110" w:type="dxa"/>
            <w:vMerge/>
            <w:vAlign w:val="center"/>
          </w:tcPr>
          <w:p w14:paraId="5154BF7B" w14:textId="77777777" w:rsidR="00006C7E" w:rsidRPr="00C4683F" w:rsidRDefault="00006C7E" w:rsidP="00006C7E">
            <w:pPr>
              <w:spacing w:after="0" w:line="240" w:lineRule="auto"/>
              <w:rPr>
                <w:b w:val="0"/>
              </w:rPr>
            </w:pPr>
          </w:p>
        </w:tc>
        <w:tc>
          <w:tcPr>
            <w:tcW w:w="1110" w:type="dxa"/>
            <w:gridSpan w:val="2"/>
            <w:vMerge/>
            <w:vAlign w:val="center"/>
          </w:tcPr>
          <w:p w14:paraId="3B42C5C0" w14:textId="77777777" w:rsidR="00006C7E" w:rsidRPr="00C4683F" w:rsidRDefault="00006C7E" w:rsidP="00006C7E">
            <w:pPr>
              <w:spacing w:after="0" w:line="240" w:lineRule="auto"/>
              <w:rPr>
                <w:b w:val="0"/>
              </w:rPr>
            </w:pPr>
          </w:p>
        </w:tc>
        <w:tc>
          <w:tcPr>
            <w:tcW w:w="1134" w:type="dxa"/>
            <w:vMerge/>
            <w:vAlign w:val="center"/>
          </w:tcPr>
          <w:p w14:paraId="0BA91817" w14:textId="77777777" w:rsidR="00006C7E" w:rsidRPr="00C4683F" w:rsidRDefault="00006C7E" w:rsidP="00006C7E">
            <w:pPr>
              <w:spacing w:after="0" w:line="240" w:lineRule="auto"/>
              <w:rPr>
                <w:b w:val="0"/>
              </w:rPr>
            </w:pPr>
          </w:p>
        </w:tc>
        <w:tc>
          <w:tcPr>
            <w:tcW w:w="945" w:type="dxa"/>
            <w:vMerge/>
            <w:shd w:val="clear" w:color="auto" w:fill="C9C9C9" w:themeFill="accent3" w:themeFillTint="99"/>
            <w:vAlign w:val="center"/>
          </w:tcPr>
          <w:p w14:paraId="710DECD0" w14:textId="77777777" w:rsidR="00006C7E" w:rsidRPr="00C4683F" w:rsidRDefault="00006C7E" w:rsidP="00006C7E">
            <w:pPr>
              <w:spacing w:after="0" w:line="240" w:lineRule="auto"/>
              <w:rPr>
                <w:b w:val="0"/>
              </w:rPr>
            </w:pPr>
          </w:p>
        </w:tc>
        <w:tc>
          <w:tcPr>
            <w:tcW w:w="2233" w:type="dxa"/>
            <w:gridSpan w:val="2"/>
            <w:vMerge/>
            <w:vAlign w:val="center"/>
          </w:tcPr>
          <w:p w14:paraId="3E42EC30" w14:textId="77777777" w:rsidR="00006C7E" w:rsidRPr="00C4683F" w:rsidRDefault="00006C7E" w:rsidP="00006C7E">
            <w:pPr>
              <w:numPr>
                <w:ilvl w:val="0"/>
                <w:numId w:val="9"/>
              </w:numPr>
              <w:spacing w:after="0" w:line="240" w:lineRule="auto"/>
              <w:rPr>
                <w:b w:val="0"/>
              </w:rPr>
            </w:pPr>
          </w:p>
        </w:tc>
        <w:tc>
          <w:tcPr>
            <w:tcW w:w="1923" w:type="dxa"/>
            <w:vMerge/>
            <w:vAlign w:val="center"/>
          </w:tcPr>
          <w:p w14:paraId="286BB465" w14:textId="77777777" w:rsidR="00006C7E" w:rsidRPr="00C4683F" w:rsidRDefault="00006C7E" w:rsidP="00006C7E">
            <w:pPr>
              <w:spacing w:after="0" w:line="240" w:lineRule="auto"/>
              <w:rPr>
                <w:b w:val="0"/>
              </w:rPr>
            </w:pPr>
          </w:p>
        </w:tc>
        <w:tc>
          <w:tcPr>
            <w:tcW w:w="2319" w:type="dxa"/>
            <w:gridSpan w:val="2"/>
            <w:vMerge/>
            <w:vAlign w:val="center"/>
          </w:tcPr>
          <w:p w14:paraId="46F4610E" w14:textId="77777777" w:rsidR="00006C7E" w:rsidRPr="00C4683F" w:rsidRDefault="00006C7E" w:rsidP="00006C7E">
            <w:pPr>
              <w:spacing w:after="0" w:line="240" w:lineRule="auto"/>
              <w:rPr>
                <w:b w:val="0"/>
              </w:rPr>
            </w:pPr>
          </w:p>
        </w:tc>
        <w:tc>
          <w:tcPr>
            <w:tcW w:w="2313" w:type="dxa"/>
            <w:vMerge/>
            <w:shd w:val="clear" w:color="auto" w:fill="C9C9C9" w:themeFill="accent3" w:themeFillTint="99"/>
            <w:vAlign w:val="center"/>
          </w:tcPr>
          <w:p w14:paraId="283C322D" w14:textId="77777777" w:rsidR="00006C7E" w:rsidRPr="00C4683F" w:rsidRDefault="00006C7E" w:rsidP="00006C7E">
            <w:pPr>
              <w:spacing w:after="0" w:line="240" w:lineRule="auto"/>
              <w:rPr>
                <w:b w:val="0"/>
              </w:rPr>
            </w:pPr>
          </w:p>
        </w:tc>
      </w:tr>
    </w:tbl>
    <w:p w14:paraId="2B8B8FAD" w14:textId="77777777" w:rsidR="00BA3DC6" w:rsidRPr="00006C7E" w:rsidRDefault="00BA3DC6" w:rsidP="00006C7E">
      <w:pPr>
        <w:spacing w:after="0" w:line="240" w:lineRule="auto"/>
      </w:pPr>
    </w:p>
    <w:p w14:paraId="2413B950" w14:textId="77777777" w:rsidR="00BA3DC6" w:rsidRPr="00006C7E" w:rsidRDefault="00BA3DC6" w:rsidP="00006C7E">
      <w:pPr>
        <w:pStyle w:val="Titre2"/>
        <w:spacing w:before="0"/>
        <w:rPr>
          <w:b w:val="0"/>
          <w:color w:val="auto"/>
        </w:rPr>
      </w:pPr>
    </w:p>
    <w:p w14:paraId="23B90742" w14:textId="77777777" w:rsidR="00BA3DC6" w:rsidRPr="00006C7E" w:rsidRDefault="00BA3DC6" w:rsidP="00006C7E">
      <w:pPr>
        <w:spacing w:after="0" w:line="240" w:lineRule="auto"/>
      </w:pPr>
    </w:p>
    <w:p w14:paraId="0C58369D" w14:textId="77777777" w:rsidR="00BA3DC6" w:rsidRPr="00006C7E" w:rsidRDefault="00BA3DC6" w:rsidP="00006C7E">
      <w:pPr>
        <w:spacing w:after="0" w:line="240" w:lineRule="auto"/>
        <w:rPr>
          <w:rFonts w:ascii="Cambria" w:eastAsia="Times New Roman" w:hAnsi="Cambria"/>
          <w:bCs/>
          <w:sz w:val="26"/>
          <w:szCs w:val="26"/>
        </w:rPr>
      </w:pPr>
    </w:p>
    <w:p w14:paraId="2F33CB06" w14:textId="77777777" w:rsidR="00BA3DC6" w:rsidRPr="00006C7E" w:rsidRDefault="00BA3DC6" w:rsidP="00006C7E">
      <w:pPr>
        <w:spacing w:after="0" w:line="240" w:lineRule="auto"/>
        <w:rPr>
          <w:rFonts w:ascii="Cambria" w:eastAsia="Times New Roman" w:hAnsi="Cambria"/>
          <w:bCs/>
          <w:sz w:val="26"/>
          <w:szCs w:val="26"/>
        </w:rPr>
        <w:sectPr w:rsidR="00BA3DC6" w:rsidRPr="00006C7E" w:rsidSect="003C6847">
          <w:footnotePr>
            <w:numRestart w:val="eachPage"/>
          </w:footnotePr>
          <w:pgSz w:w="16838" w:h="11906" w:orient="landscape"/>
          <w:pgMar w:top="1418" w:right="1418" w:bottom="1418" w:left="1418" w:header="709" w:footer="709" w:gutter="0"/>
          <w:cols w:space="708"/>
          <w:docGrid w:linePitch="360"/>
        </w:sectPr>
      </w:pPr>
    </w:p>
    <w:p w14:paraId="7100828A" w14:textId="77777777" w:rsidR="00BA3DC6" w:rsidRPr="006B309F" w:rsidRDefault="00BA3DC6" w:rsidP="00B04B1D">
      <w:pPr>
        <w:pStyle w:val="Titre2"/>
        <w:numPr>
          <w:ilvl w:val="0"/>
          <w:numId w:val="144"/>
        </w:numPr>
        <w:spacing w:before="0"/>
        <w:rPr>
          <w:rFonts w:ascii="Times New Roman" w:hAnsi="Times New Roman"/>
          <w:color w:val="auto"/>
          <w:sz w:val="24"/>
          <w:szCs w:val="24"/>
        </w:rPr>
      </w:pPr>
      <w:bookmarkStart w:id="164" w:name="_Toc499211635"/>
      <w:bookmarkStart w:id="165" w:name="_Toc499213909"/>
      <w:r w:rsidRPr="006B309F">
        <w:rPr>
          <w:rFonts w:ascii="Times New Roman" w:hAnsi="Times New Roman"/>
          <w:color w:val="auto"/>
          <w:sz w:val="24"/>
          <w:szCs w:val="24"/>
        </w:rPr>
        <w:lastRenderedPageBreak/>
        <w:t>Bibliographie</w:t>
      </w:r>
      <w:bookmarkEnd w:id="164"/>
      <w:bookmarkEnd w:id="165"/>
    </w:p>
    <w:p w14:paraId="3B9CCE69" w14:textId="77777777" w:rsidR="00006C7E" w:rsidRDefault="00006C7E" w:rsidP="00B96F0F">
      <w:pPr>
        <w:spacing w:after="0" w:line="240" w:lineRule="auto"/>
        <w:rPr>
          <w:sz w:val="24"/>
          <w:szCs w:val="24"/>
        </w:rPr>
      </w:pPr>
    </w:p>
    <w:p w14:paraId="09A769BD" w14:textId="77777777" w:rsidR="00006C7E" w:rsidRPr="00721F7C" w:rsidRDefault="00006C7E" w:rsidP="00D76EFA">
      <w:pPr>
        <w:numPr>
          <w:ilvl w:val="0"/>
          <w:numId w:val="137"/>
        </w:numPr>
        <w:spacing w:after="0" w:line="240" w:lineRule="auto"/>
        <w:jc w:val="both"/>
        <w:rPr>
          <w:rFonts w:ascii="Times New Roman" w:hAnsi="Times New Roman"/>
          <w:sz w:val="24"/>
          <w:szCs w:val="24"/>
        </w:rPr>
      </w:pPr>
      <w:r w:rsidRPr="00721F7C">
        <w:rPr>
          <w:rFonts w:ascii="Times New Roman" w:hAnsi="Times New Roman"/>
          <w:sz w:val="24"/>
          <w:szCs w:val="24"/>
        </w:rPr>
        <w:t>PNUD-Mali, Programme Pays 2015-2019</w:t>
      </w:r>
    </w:p>
    <w:p w14:paraId="76903818" w14:textId="77777777" w:rsidR="00006C7E" w:rsidRPr="00721F7C" w:rsidRDefault="00721F7C" w:rsidP="00D76EFA">
      <w:pPr>
        <w:numPr>
          <w:ilvl w:val="0"/>
          <w:numId w:val="137"/>
        </w:numPr>
        <w:spacing w:after="0" w:line="240" w:lineRule="auto"/>
        <w:jc w:val="both"/>
        <w:rPr>
          <w:rFonts w:ascii="Times New Roman" w:hAnsi="Times New Roman"/>
          <w:sz w:val="24"/>
          <w:szCs w:val="24"/>
        </w:rPr>
      </w:pPr>
      <w:r w:rsidRPr="00721F7C">
        <w:rPr>
          <w:rFonts w:ascii="Times New Roman" w:hAnsi="Times New Roman"/>
          <w:sz w:val="24"/>
          <w:szCs w:val="24"/>
        </w:rPr>
        <w:t>SNU-Mali, Cadre des Nations Unies pour l’Assistance au Développement UNDAF+ 2015-2019</w:t>
      </w:r>
    </w:p>
    <w:p w14:paraId="15C4F904" w14:textId="77777777" w:rsidR="00721F7C" w:rsidRPr="00721F7C" w:rsidRDefault="00721F7C" w:rsidP="00D76EFA">
      <w:pPr>
        <w:numPr>
          <w:ilvl w:val="0"/>
          <w:numId w:val="137"/>
        </w:numPr>
        <w:spacing w:after="0" w:line="240" w:lineRule="auto"/>
        <w:jc w:val="both"/>
        <w:rPr>
          <w:rFonts w:ascii="Times New Roman" w:hAnsi="Times New Roman"/>
          <w:sz w:val="24"/>
          <w:szCs w:val="24"/>
        </w:rPr>
      </w:pPr>
      <w:r w:rsidRPr="00721F7C">
        <w:rPr>
          <w:rFonts w:ascii="Times New Roman" w:hAnsi="Times New Roman"/>
          <w:sz w:val="24"/>
          <w:szCs w:val="24"/>
        </w:rPr>
        <w:t>République du Mali, Bamako, Plan pour la Relance Durable du Mali PRED 2013-2014</w:t>
      </w:r>
    </w:p>
    <w:p w14:paraId="4091D184" w14:textId="77777777" w:rsidR="00721F7C" w:rsidRDefault="00721F7C" w:rsidP="00D76EFA">
      <w:pPr>
        <w:numPr>
          <w:ilvl w:val="0"/>
          <w:numId w:val="137"/>
        </w:numPr>
        <w:spacing w:after="0" w:line="240" w:lineRule="auto"/>
        <w:jc w:val="both"/>
        <w:rPr>
          <w:rFonts w:ascii="Times New Roman" w:hAnsi="Times New Roman"/>
          <w:sz w:val="24"/>
          <w:szCs w:val="24"/>
        </w:rPr>
      </w:pPr>
      <w:r w:rsidRPr="00721F7C">
        <w:rPr>
          <w:rFonts w:ascii="Times New Roman" w:hAnsi="Times New Roman"/>
          <w:sz w:val="24"/>
          <w:szCs w:val="24"/>
        </w:rPr>
        <w:t>République du Mali, Bamako, Cadre Stratégique pour la Croissance et la Réduction de la Pauvreté CSCRP (2012-2017)</w:t>
      </w:r>
    </w:p>
    <w:p w14:paraId="351F7E3C" w14:textId="77777777" w:rsidR="00BB4A05" w:rsidRPr="00721F7C" w:rsidRDefault="00BB4A05" w:rsidP="00D76EFA">
      <w:pPr>
        <w:numPr>
          <w:ilvl w:val="0"/>
          <w:numId w:val="137"/>
        </w:numPr>
        <w:spacing w:after="0" w:line="240" w:lineRule="auto"/>
        <w:jc w:val="both"/>
        <w:rPr>
          <w:rFonts w:ascii="Times New Roman" w:hAnsi="Times New Roman"/>
          <w:sz w:val="24"/>
          <w:szCs w:val="24"/>
        </w:rPr>
      </w:pPr>
      <w:r w:rsidRPr="00721F7C">
        <w:rPr>
          <w:rFonts w:ascii="Times New Roman" w:hAnsi="Times New Roman"/>
          <w:sz w:val="24"/>
          <w:szCs w:val="24"/>
        </w:rPr>
        <w:t xml:space="preserve">République du Mali, Bamako, </w:t>
      </w:r>
      <w:r>
        <w:rPr>
          <w:rFonts w:ascii="Times New Roman" w:hAnsi="Times New Roman"/>
          <w:sz w:val="24"/>
          <w:szCs w:val="24"/>
        </w:rPr>
        <w:t xml:space="preserve">Documents de revue annuelle 2017 du </w:t>
      </w:r>
      <w:r w:rsidRPr="00721F7C">
        <w:rPr>
          <w:rFonts w:ascii="Times New Roman" w:hAnsi="Times New Roman"/>
          <w:sz w:val="24"/>
          <w:szCs w:val="24"/>
        </w:rPr>
        <w:t>Cadre Stratégique pour la Croissance et la Réduction de la Pauvreté CSCRP (2012-2017)</w:t>
      </w:r>
    </w:p>
    <w:p w14:paraId="143A9000" w14:textId="77777777" w:rsidR="00721F7C" w:rsidRPr="00721F7C" w:rsidRDefault="00721F7C" w:rsidP="00D76EFA">
      <w:pPr>
        <w:pStyle w:val="Paragraphedeliste"/>
        <w:numPr>
          <w:ilvl w:val="0"/>
          <w:numId w:val="137"/>
        </w:numPr>
        <w:spacing w:after="0" w:line="240" w:lineRule="auto"/>
        <w:jc w:val="both"/>
        <w:rPr>
          <w:rFonts w:ascii="Times New Roman" w:hAnsi="Times New Roman"/>
          <w:sz w:val="24"/>
          <w:szCs w:val="24"/>
        </w:rPr>
      </w:pPr>
      <w:r w:rsidRPr="00721F7C">
        <w:rPr>
          <w:rFonts w:ascii="Times New Roman" w:hAnsi="Times New Roman"/>
          <w:sz w:val="24"/>
          <w:szCs w:val="24"/>
        </w:rPr>
        <w:t>République du Mali, Bamako, Programme d’Action du Gouvernement, PAG (2013-2018)</w:t>
      </w:r>
    </w:p>
    <w:p w14:paraId="25B31F6D" w14:textId="77777777" w:rsidR="00721F7C" w:rsidRPr="00721F7C" w:rsidRDefault="00721F7C" w:rsidP="00D76EFA">
      <w:pPr>
        <w:pStyle w:val="Paragraphedeliste"/>
        <w:numPr>
          <w:ilvl w:val="0"/>
          <w:numId w:val="137"/>
        </w:numPr>
        <w:spacing w:after="0" w:line="240" w:lineRule="auto"/>
        <w:jc w:val="both"/>
        <w:rPr>
          <w:rFonts w:ascii="Times New Roman" w:hAnsi="Times New Roman"/>
          <w:sz w:val="24"/>
          <w:szCs w:val="24"/>
        </w:rPr>
      </w:pPr>
      <w:r w:rsidRPr="00721F7C">
        <w:rPr>
          <w:rFonts w:ascii="Times New Roman" w:hAnsi="Times New Roman"/>
          <w:sz w:val="24"/>
          <w:szCs w:val="24"/>
        </w:rPr>
        <w:t xml:space="preserve">République du Mali, Bamako, Programme de Développement Accéléré des Régions du Nord PDARN, APRM Juin 2014, </w:t>
      </w:r>
    </w:p>
    <w:p w14:paraId="63C960C0" w14:textId="77777777" w:rsidR="00721F7C" w:rsidRPr="00721F7C" w:rsidRDefault="00721F7C" w:rsidP="00D76EFA">
      <w:pPr>
        <w:numPr>
          <w:ilvl w:val="0"/>
          <w:numId w:val="137"/>
        </w:numPr>
        <w:spacing w:after="0" w:line="240" w:lineRule="auto"/>
        <w:jc w:val="both"/>
        <w:rPr>
          <w:rFonts w:ascii="Times New Roman" w:hAnsi="Times New Roman"/>
          <w:sz w:val="24"/>
          <w:szCs w:val="24"/>
        </w:rPr>
      </w:pPr>
      <w:r w:rsidRPr="00721F7C">
        <w:rPr>
          <w:rFonts w:ascii="Times New Roman" w:hAnsi="Times New Roman"/>
          <w:sz w:val="24"/>
          <w:szCs w:val="24"/>
        </w:rPr>
        <w:t>République du Mali, Bamako, Cadre Stratégique pour la Relance Economique et le Développement Durable du Mali CREDD 2016-2018</w:t>
      </w:r>
    </w:p>
    <w:p w14:paraId="3F91A2E1" w14:textId="77777777" w:rsidR="00006C7E" w:rsidRPr="00721F7C" w:rsidRDefault="00006C7E" w:rsidP="00D76EFA">
      <w:pPr>
        <w:numPr>
          <w:ilvl w:val="0"/>
          <w:numId w:val="137"/>
        </w:numPr>
        <w:spacing w:after="0" w:line="240" w:lineRule="auto"/>
        <w:jc w:val="both"/>
        <w:rPr>
          <w:rFonts w:ascii="Times New Roman" w:hAnsi="Times New Roman"/>
          <w:sz w:val="24"/>
          <w:szCs w:val="24"/>
        </w:rPr>
      </w:pPr>
      <w:r w:rsidRPr="00721F7C">
        <w:rPr>
          <w:rFonts w:ascii="Times New Roman" w:hAnsi="Times New Roman"/>
          <w:sz w:val="24"/>
          <w:szCs w:val="24"/>
        </w:rPr>
        <w:t>Bureau du Coordinateur Résident, Note d’information sur les Programmes Conjoints au Mali, « unis dans l’action » à travers les Programmes Conjoints, juin 2016 ;</w:t>
      </w:r>
    </w:p>
    <w:p w14:paraId="5122789D" w14:textId="77777777" w:rsidR="00006C7E" w:rsidRPr="00721F7C" w:rsidRDefault="00006C7E" w:rsidP="00D76EFA">
      <w:pPr>
        <w:numPr>
          <w:ilvl w:val="0"/>
          <w:numId w:val="137"/>
        </w:numPr>
        <w:spacing w:after="0" w:line="240" w:lineRule="auto"/>
        <w:jc w:val="both"/>
        <w:rPr>
          <w:rFonts w:ascii="Times New Roman" w:hAnsi="Times New Roman"/>
          <w:sz w:val="24"/>
          <w:szCs w:val="24"/>
        </w:rPr>
      </w:pPr>
      <w:r w:rsidRPr="00721F7C">
        <w:rPr>
          <w:rFonts w:ascii="Times New Roman" w:hAnsi="Times New Roman"/>
          <w:sz w:val="24"/>
          <w:szCs w:val="24"/>
        </w:rPr>
        <w:t>Commissariat à la Sécurité Alimentaire, Bilan de la mise en œuvre du Plan National de Réponse 2015, Mars 2016 ;</w:t>
      </w:r>
    </w:p>
    <w:p w14:paraId="327A07F0" w14:textId="77777777" w:rsidR="00006C7E" w:rsidRPr="00721F7C" w:rsidRDefault="00006C7E" w:rsidP="00D76EFA">
      <w:pPr>
        <w:numPr>
          <w:ilvl w:val="0"/>
          <w:numId w:val="137"/>
        </w:numPr>
        <w:spacing w:after="0" w:line="240" w:lineRule="auto"/>
        <w:jc w:val="both"/>
        <w:rPr>
          <w:rFonts w:ascii="Times New Roman" w:hAnsi="Times New Roman"/>
          <w:sz w:val="24"/>
          <w:szCs w:val="24"/>
        </w:rPr>
      </w:pPr>
      <w:r w:rsidRPr="00721F7C">
        <w:rPr>
          <w:rFonts w:ascii="Times New Roman" w:hAnsi="Times New Roman"/>
          <w:sz w:val="24"/>
          <w:szCs w:val="24"/>
        </w:rPr>
        <w:t>CPS/Ministère de la Justice et des Droits de l’Homme, Programme d’Urgence pour le Renforcement du Système Judiciaire et de Mise en Œuvre de l’Accord pour la Paix et la Réconciliation au Mali issu du Processus d’Alger : Etat d’exécution et du Programme, Mai 2017 ;</w:t>
      </w:r>
    </w:p>
    <w:p w14:paraId="0E8F410E" w14:textId="77777777" w:rsidR="00006C7E" w:rsidRPr="00721F7C" w:rsidRDefault="00006C7E" w:rsidP="00D76EFA">
      <w:pPr>
        <w:numPr>
          <w:ilvl w:val="0"/>
          <w:numId w:val="137"/>
        </w:numPr>
        <w:spacing w:after="0" w:line="240" w:lineRule="auto"/>
        <w:jc w:val="both"/>
        <w:rPr>
          <w:rFonts w:ascii="Times New Roman" w:hAnsi="Times New Roman"/>
          <w:sz w:val="24"/>
          <w:szCs w:val="24"/>
        </w:rPr>
      </w:pPr>
      <w:r w:rsidRPr="00721F7C">
        <w:rPr>
          <w:rFonts w:ascii="Times New Roman" w:hAnsi="Times New Roman"/>
          <w:sz w:val="24"/>
          <w:szCs w:val="24"/>
        </w:rPr>
        <w:t>Fonds National Climat (Ministère de l’Environnement et de l’Assainissement), Document de Projet : Appui à l’Amélioration de la Productivité Agricole, Animale, Piscicole pour la Réduction de la Vulnérabilité aux Changements Climatiques des Petites Exploitations Agricoles Familiales dans le Cercle de Kita, Mars 2017 ;</w:t>
      </w:r>
    </w:p>
    <w:p w14:paraId="28BF78C6" w14:textId="77777777" w:rsidR="00006C7E" w:rsidRPr="00721F7C" w:rsidRDefault="00006C7E" w:rsidP="00D76EFA">
      <w:pPr>
        <w:numPr>
          <w:ilvl w:val="0"/>
          <w:numId w:val="137"/>
        </w:numPr>
        <w:spacing w:after="0" w:line="240" w:lineRule="auto"/>
        <w:jc w:val="both"/>
        <w:rPr>
          <w:rFonts w:ascii="Times New Roman" w:hAnsi="Times New Roman"/>
          <w:sz w:val="24"/>
          <w:szCs w:val="24"/>
        </w:rPr>
      </w:pPr>
      <w:r w:rsidRPr="00721F7C">
        <w:rPr>
          <w:rFonts w:ascii="Times New Roman" w:hAnsi="Times New Roman"/>
          <w:sz w:val="24"/>
          <w:szCs w:val="24"/>
        </w:rPr>
        <w:t xml:space="preserve">Loi N°2016-046 du 23 septembre 2016 Portant loi organique fixant l’organisation, les règles de fonctionnement de la cour suprême et la procédure suivie devant elle ; </w:t>
      </w:r>
    </w:p>
    <w:p w14:paraId="548910BB" w14:textId="77777777" w:rsidR="00006C7E" w:rsidRPr="00721F7C" w:rsidRDefault="00006C7E" w:rsidP="00D76EFA">
      <w:pPr>
        <w:numPr>
          <w:ilvl w:val="0"/>
          <w:numId w:val="137"/>
        </w:numPr>
        <w:spacing w:after="0" w:line="240" w:lineRule="auto"/>
        <w:jc w:val="both"/>
        <w:rPr>
          <w:rFonts w:ascii="Times New Roman" w:hAnsi="Times New Roman"/>
          <w:sz w:val="24"/>
          <w:szCs w:val="24"/>
        </w:rPr>
      </w:pPr>
      <w:r w:rsidRPr="00721F7C">
        <w:rPr>
          <w:rFonts w:ascii="Times New Roman" w:hAnsi="Times New Roman"/>
          <w:sz w:val="24"/>
          <w:szCs w:val="24"/>
        </w:rPr>
        <w:t>Ministère de l’Economie et des Finances, Cadre Stratégique de Croissance et de Réduction de la Pauvreté (CSCRP), 2012-2017 ;</w:t>
      </w:r>
    </w:p>
    <w:p w14:paraId="2953B6BE" w14:textId="77777777" w:rsidR="00006C7E" w:rsidRPr="00721F7C" w:rsidRDefault="00006C7E" w:rsidP="00D76EFA">
      <w:pPr>
        <w:numPr>
          <w:ilvl w:val="0"/>
          <w:numId w:val="137"/>
        </w:numPr>
        <w:spacing w:after="0" w:line="240" w:lineRule="auto"/>
        <w:jc w:val="both"/>
        <w:rPr>
          <w:rFonts w:ascii="Times New Roman" w:hAnsi="Times New Roman"/>
          <w:sz w:val="24"/>
          <w:szCs w:val="24"/>
        </w:rPr>
      </w:pPr>
      <w:r w:rsidRPr="00721F7C">
        <w:rPr>
          <w:rFonts w:ascii="Times New Roman" w:hAnsi="Times New Roman"/>
          <w:sz w:val="24"/>
          <w:szCs w:val="24"/>
        </w:rPr>
        <w:t>Ministère de l’Economie et des Finances, Cadre Stratégique pour la Relance de l’Economie et du Développement Durable, 2016-2018, Avril 2016 ;</w:t>
      </w:r>
    </w:p>
    <w:p w14:paraId="0B966494" w14:textId="77777777" w:rsidR="00006C7E" w:rsidRPr="00721F7C" w:rsidRDefault="00006C7E" w:rsidP="00D76EFA">
      <w:pPr>
        <w:numPr>
          <w:ilvl w:val="0"/>
          <w:numId w:val="137"/>
        </w:numPr>
        <w:spacing w:after="0" w:line="240" w:lineRule="auto"/>
        <w:jc w:val="both"/>
        <w:rPr>
          <w:rFonts w:ascii="Times New Roman" w:hAnsi="Times New Roman"/>
          <w:sz w:val="24"/>
          <w:szCs w:val="24"/>
        </w:rPr>
      </w:pPr>
      <w:r w:rsidRPr="00721F7C">
        <w:rPr>
          <w:rFonts w:ascii="Times New Roman" w:hAnsi="Times New Roman"/>
          <w:sz w:val="24"/>
          <w:szCs w:val="24"/>
        </w:rPr>
        <w:t xml:space="preserve">Ministère de la Décentralisation et de la Réforme de l’Etat, Document Cadre de la Politique Nationale de Décentralisation, 2015-2024 ; </w:t>
      </w:r>
    </w:p>
    <w:p w14:paraId="239D352B" w14:textId="77777777" w:rsidR="00006C7E" w:rsidRPr="00721F7C" w:rsidRDefault="00006C7E" w:rsidP="00D76EFA">
      <w:pPr>
        <w:numPr>
          <w:ilvl w:val="0"/>
          <w:numId w:val="137"/>
        </w:numPr>
        <w:spacing w:after="0" w:line="240" w:lineRule="auto"/>
        <w:jc w:val="both"/>
        <w:rPr>
          <w:rFonts w:ascii="Times New Roman" w:hAnsi="Times New Roman"/>
          <w:sz w:val="24"/>
          <w:szCs w:val="24"/>
        </w:rPr>
      </w:pPr>
      <w:r w:rsidRPr="00721F7C">
        <w:rPr>
          <w:rFonts w:ascii="Times New Roman" w:hAnsi="Times New Roman"/>
          <w:sz w:val="24"/>
          <w:szCs w:val="24"/>
        </w:rPr>
        <w:t>Ministère de la Justice et des Droits de l’Homme, Document de Projet de réforme de la justice, de l’administration pénitentiaire et de l’éducation surveillée au Mali, Novembre 2014 ;</w:t>
      </w:r>
    </w:p>
    <w:p w14:paraId="610D7D53" w14:textId="77777777" w:rsidR="00006C7E" w:rsidRPr="00721F7C" w:rsidRDefault="00006C7E" w:rsidP="00D76EFA">
      <w:pPr>
        <w:numPr>
          <w:ilvl w:val="0"/>
          <w:numId w:val="137"/>
        </w:numPr>
        <w:spacing w:after="0" w:line="240" w:lineRule="auto"/>
        <w:jc w:val="both"/>
        <w:rPr>
          <w:rFonts w:ascii="Times New Roman" w:hAnsi="Times New Roman"/>
          <w:sz w:val="24"/>
          <w:szCs w:val="24"/>
        </w:rPr>
      </w:pPr>
      <w:r w:rsidRPr="00721F7C">
        <w:rPr>
          <w:rFonts w:ascii="Times New Roman" w:hAnsi="Times New Roman"/>
          <w:sz w:val="24"/>
          <w:szCs w:val="24"/>
        </w:rPr>
        <w:t>ODHD : Bulletin N°009 du Développement Humain Durable, Juillet-Décembre 2016 ;</w:t>
      </w:r>
    </w:p>
    <w:p w14:paraId="5D8DB6A9" w14:textId="77777777" w:rsidR="00006C7E" w:rsidRPr="00721F7C" w:rsidRDefault="00006C7E" w:rsidP="00D76EFA">
      <w:pPr>
        <w:numPr>
          <w:ilvl w:val="0"/>
          <w:numId w:val="137"/>
        </w:numPr>
        <w:spacing w:after="0" w:line="240" w:lineRule="auto"/>
        <w:jc w:val="both"/>
        <w:rPr>
          <w:rFonts w:ascii="Times New Roman" w:hAnsi="Times New Roman"/>
          <w:sz w:val="24"/>
          <w:szCs w:val="24"/>
        </w:rPr>
      </w:pPr>
      <w:r w:rsidRPr="00721F7C">
        <w:rPr>
          <w:rFonts w:ascii="Times New Roman" w:hAnsi="Times New Roman"/>
          <w:sz w:val="24"/>
          <w:szCs w:val="24"/>
        </w:rPr>
        <w:t>PNUD/AEDD, Document de Projet : Programme d’Appui à l’Adaptation aux changements climatiques dans les communes le plus vulnérables des régions de Mopti et de Tombouctou, Décembre 2015 ;</w:t>
      </w:r>
    </w:p>
    <w:p w14:paraId="20A5659C" w14:textId="77777777" w:rsidR="00006C7E" w:rsidRPr="00721F7C" w:rsidRDefault="00006C7E" w:rsidP="00D76EFA">
      <w:pPr>
        <w:numPr>
          <w:ilvl w:val="0"/>
          <w:numId w:val="137"/>
        </w:numPr>
        <w:spacing w:after="0" w:line="240" w:lineRule="auto"/>
        <w:jc w:val="both"/>
        <w:rPr>
          <w:rFonts w:ascii="Times New Roman" w:hAnsi="Times New Roman"/>
          <w:sz w:val="24"/>
          <w:szCs w:val="24"/>
        </w:rPr>
      </w:pPr>
      <w:r w:rsidRPr="00721F7C">
        <w:rPr>
          <w:rFonts w:ascii="Times New Roman" w:hAnsi="Times New Roman"/>
          <w:sz w:val="24"/>
          <w:szCs w:val="24"/>
        </w:rPr>
        <w:t>PNUD/AEDD, Document de Projet : Programme de Réduction des effets néfastes des changements climatiques dans le Delta intérieur du Niger (PRENCC), Décembre 2016 ;</w:t>
      </w:r>
    </w:p>
    <w:p w14:paraId="0437E0F3" w14:textId="77777777" w:rsidR="00006C7E" w:rsidRPr="00721F7C" w:rsidRDefault="00006C7E" w:rsidP="00D76EFA">
      <w:pPr>
        <w:numPr>
          <w:ilvl w:val="0"/>
          <w:numId w:val="137"/>
        </w:numPr>
        <w:spacing w:after="0" w:line="240" w:lineRule="auto"/>
        <w:jc w:val="both"/>
        <w:rPr>
          <w:rFonts w:ascii="Times New Roman" w:hAnsi="Times New Roman"/>
          <w:sz w:val="24"/>
          <w:szCs w:val="24"/>
        </w:rPr>
      </w:pPr>
      <w:r w:rsidRPr="00721F7C">
        <w:rPr>
          <w:rFonts w:ascii="Times New Roman" w:hAnsi="Times New Roman"/>
          <w:sz w:val="24"/>
          <w:szCs w:val="24"/>
        </w:rPr>
        <w:t>PNUD/Ministère de l’Environnement et de l’Assainissement, Document de Projet : Appui à l’Amélioration de l’Environnement à travers les actions communautaires, Août 2010 ;</w:t>
      </w:r>
    </w:p>
    <w:p w14:paraId="6EBD847E" w14:textId="77777777" w:rsidR="00006C7E" w:rsidRPr="00721F7C" w:rsidRDefault="00006C7E" w:rsidP="00D76EFA">
      <w:pPr>
        <w:numPr>
          <w:ilvl w:val="0"/>
          <w:numId w:val="137"/>
        </w:numPr>
        <w:spacing w:after="0" w:line="240" w:lineRule="auto"/>
        <w:jc w:val="both"/>
        <w:rPr>
          <w:rFonts w:ascii="Times New Roman" w:hAnsi="Times New Roman"/>
          <w:sz w:val="24"/>
          <w:szCs w:val="24"/>
        </w:rPr>
      </w:pPr>
      <w:r w:rsidRPr="00721F7C">
        <w:rPr>
          <w:rFonts w:ascii="Times New Roman" w:hAnsi="Times New Roman"/>
          <w:sz w:val="24"/>
          <w:szCs w:val="24"/>
        </w:rPr>
        <w:t>PNUD/Ministère de l’Environnement, de l’Assainissement et du Développement Durable, Document de Projet : Programme d’Appui à la mise en œuvre de la stratégie nationale du Mali sur les changements climatiques, Juillet 2016</w:t>
      </w:r>
    </w:p>
    <w:p w14:paraId="7790DB25" w14:textId="77777777" w:rsidR="00006C7E" w:rsidRPr="00721F7C" w:rsidRDefault="00006C7E" w:rsidP="00D76EFA">
      <w:pPr>
        <w:numPr>
          <w:ilvl w:val="0"/>
          <w:numId w:val="137"/>
        </w:numPr>
        <w:spacing w:after="0" w:line="240" w:lineRule="auto"/>
        <w:jc w:val="both"/>
        <w:rPr>
          <w:rFonts w:ascii="Times New Roman" w:hAnsi="Times New Roman"/>
          <w:sz w:val="24"/>
          <w:szCs w:val="24"/>
        </w:rPr>
      </w:pPr>
      <w:r w:rsidRPr="00721F7C">
        <w:rPr>
          <w:rFonts w:ascii="Times New Roman" w:hAnsi="Times New Roman"/>
          <w:sz w:val="24"/>
          <w:szCs w:val="24"/>
        </w:rPr>
        <w:lastRenderedPageBreak/>
        <w:t>PNUD-Mali, Audits des projets NIM : Appui au Renforcement de la cohésion sociale et au Dialogue National : situation au 31 décembre 2016, Février 2017 ;</w:t>
      </w:r>
    </w:p>
    <w:p w14:paraId="0B340092" w14:textId="77777777" w:rsidR="00006C7E" w:rsidRPr="00721F7C" w:rsidRDefault="00006C7E" w:rsidP="00D76EFA">
      <w:pPr>
        <w:numPr>
          <w:ilvl w:val="0"/>
          <w:numId w:val="137"/>
        </w:numPr>
        <w:spacing w:after="0" w:line="240" w:lineRule="auto"/>
        <w:jc w:val="both"/>
        <w:rPr>
          <w:rFonts w:ascii="Times New Roman" w:hAnsi="Times New Roman"/>
          <w:sz w:val="24"/>
          <w:szCs w:val="24"/>
        </w:rPr>
      </w:pPr>
      <w:r w:rsidRPr="00721F7C">
        <w:rPr>
          <w:rFonts w:ascii="Times New Roman" w:hAnsi="Times New Roman"/>
          <w:sz w:val="24"/>
          <w:szCs w:val="24"/>
        </w:rPr>
        <w:t>PNUD-Mali, Document de Projet pour les projets financés par le FPMA du FEM exécutés au niveau national, octobre 2016 ;</w:t>
      </w:r>
    </w:p>
    <w:p w14:paraId="6506AAB1" w14:textId="77777777" w:rsidR="00006C7E" w:rsidRPr="00721F7C" w:rsidRDefault="00006C7E" w:rsidP="00D76EFA">
      <w:pPr>
        <w:numPr>
          <w:ilvl w:val="0"/>
          <w:numId w:val="137"/>
        </w:numPr>
        <w:spacing w:after="0" w:line="240" w:lineRule="auto"/>
        <w:jc w:val="both"/>
        <w:rPr>
          <w:rFonts w:ascii="Times New Roman" w:hAnsi="Times New Roman"/>
          <w:sz w:val="24"/>
          <w:szCs w:val="24"/>
        </w:rPr>
      </w:pPr>
      <w:r w:rsidRPr="00721F7C">
        <w:rPr>
          <w:rFonts w:ascii="Times New Roman" w:hAnsi="Times New Roman"/>
          <w:sz w:val="24"/>
          <w:szCs w:val="24"/>
        </w:rPr>
        <w:t>PNUD-Mali, Document de Projet : Améliorer la capacité d’adaptation et de résilience face aux changements climatiques dans le secteur Agricole, juin 2010 ;</w:t>
      </w:r>
    </w:p>
    <w:p w14:paraId="4BCF3758" w14:textId="77777777" w:rsidR="00006C7E" w:rsidRPr="00721F7C" w:rsidRDefault="00006C7E" w:rsidP="00D76EFA">
      <w:pPr>
        <w:numPr>
          <w:ilvl w:val="0"/>
          <w:numId w:val="137"/>
        </w:numPr>
        <w:spacing w:after="0" w:line="240" w:lineRule="auto"/>
        <w:jc w:val="both"/>
        <w:rPr>
          <w:rFonts w:ascii="Times New Roman" w:hAnsi="Times New Roman"/>
          <w:sz w:val="24"/>
          <w:szCs w:val="24"/>
        </w:rPr>
      </w:pPr>
      <w:r w:rsidRPr="00721F7C">
        <w:rPr>
          <w:rFonts w:ascii="Times New Roman" w:hAnsi="Times New Roman"/>
          <w:sz w:val="24"/>
          <w:szCs w:val="24"/>
        </w:rPr>
        <w:t>PNUD-Mali, Programme Pays (CPD) pour le Mali, 2015-2019 ;</w:t>
      </w:r>
    </w:p>
    <w:p w14:paraId="678B0C26" w14:textId="77777777" w:rsidR="00006C7E" w:rsidRPr="00721F7C" w:rsidRDefault="00006C7E" w:rsidP="00D76EFA">
      <w:pPr>
        <w:numPr>
          <w:ilvl w:val="0"/>
          <w:numId w:val="137"/>
        </w:numPr>
        <w:spacing w:after="0" w:line="240" w:lineRule="auto"/>
        <w:jc w:val="both"/>
        <w:rPr>
          <w:rFonts w:ascii="Times New Roman" w:hAnsi="Times New Roman"/>
          <w:sz w:val="24"/>
          <w:szCs w:val="24"/>
        </w:rPr>
      </w:pPr>
      <w:r w:rsidRPr="00721F7C">
        <w:rPr>
          <w:rFonts w:ascii="Times New Roman" w:hAnsi="Times New Roman"/>
          <w:sz w:val="24"/>
          <w:szCs w:val="24"/>
        </w:rPr>
        <w:t xml:space="preserve">PNUD-Mali, Promotion, Production et Utilisation de l’Huile de Pourghère : Annuals Work Plan 2012, 2014, 2016 ; </w:t>
      </w:r>
    </w:p>
    <w:p w14:paraId="5C5DFE32" w14:textId="77777777" w:rsidR="00006C7E" w:rsidRPr="00721F7C" w:rsidRDefault="00006C7E" w:rsidP="00D76EFA">
      <w:pPr>
        <w:numPr>
          <w:ilvl w:val="0"/>
          <w:numId w:val="137"/>
        </w:numPr>
        <w:spacing w:after="0" w:line="240" w:lineRule="auto"/>
        <w:jc w:val="both"/>
        <w:rPr>
          <w:rFonts w:ascii="Times New Roman" w:hAnsi="Times New Roman"/>
          <w:sz w:val="24"/>
          <w:szCs w:val="24"/>
          <w:lang w:val="en-US"/>
        </w:rPr>
      </w:pPr>
      <w:r w:rsidRPr="00721F7C">
        <w:rPr>
          <w:rFonts w:ascii="Times New Roman" w:hAnsi="Times New Roman"/>
          <w:sz w:val="24"/>
          <w:szCs w:val="24"/>
          <w:lang w:val="en-US"/>
        </w:rPr>
        <w:t>PNUD-Mali, Results Oriented Annual Report, 2015 ;</w:t>
      </w:r>
    </w:p>
    <w:p w14:paraId="1CEDAFB0" w14:textId="77777777" w:rsidR="00006C7E" w:rsidRDefault="00006C7E" w:rsidP="00D76EFA">
      <w:pPr>
        <w:numPr>
          <w:ilvl w:val="0"/>
          <w:numId w:val="137"/>
        </w:numPr>
        <w:spacing w:after="0" w:line="240" w:lineRule="auto"/>
        <w:jc w:val="both"/>
        <w:rPr>
          <w:rFonts w:ascii="Times New Roman" w:hAnsi="Times New Roman"/>
          <w:sz w:val="24"/>
          <w:szCs w:val="24"/>
          <w:lang w:val="en-US"/>
        </w:rPr>
      </w:pPr>
      <w:r w:rsidRPr="00721F7C">
        <w:rPr>
          <w:rFonts w:ascii="Times New Roman" w:hAnsi="Times New Roman"/>
          <w:sz w:val="24"/>
          <w:szCs w:val="24"/>
          <w:lang w:val="en-US"/>
        </w:rPr>
        <w:t>PNUD-Mali, Results Oriented Annual Report, 2016 ;</w:t>
      </w:r>
    </w:p>
    <w:p w14:paraId="6579BF83" w14:textId="77777777" w:rsidR="00971306" w:rsidRPr="00721F7C" w:rsidRDefault="00971306" w:rsidP="00D76EFA">
      <w:pPr>
        <w:numPr>
          <w:ilvl w:val="0"/>
          <w:numId w:val="137"/>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PNUD-NY, Plan </w:t>
      </w:r>
      <w:r w:rsidRPr="00971306">
        <w:rPr>
          <w:rFonts w:ascii="Times New Roman" w:hAnsi="Times New Roman"/>
          <w:sz w:val="24"/>
          <w:szCs w:val="24"/>
        </w:rPr>
        <w:t>Stratégique</w:t>
      </w:r>
      <w:r>
        <w:rPr>
          <w:rFonts w:ascii="Times New Roman" w:hAnsi="Times New Roman"/>
          <w:sz w:val="24"/>
          <w:szCs w:val="24"/>
          <w:lang w:val="en-US"/>
        </w:rPr>
        <w:t xml:space="preserve"> 2018-2021 </w:t>
      </w:r>
    </w:p>
    <w:p w14:paraId="0AB4F6DC" w14:textId="77777777" w:rsidR="00006C7E" w:rsidRPr="00721F7C" w:rsidRDefault="00006C7E" w:rsidP="00D76EFA">
      <w:pPr>
        <w:numPr>
          <w:ilvl w:val="0"/>
          <w:numId w:val="137"/>
        </w:numPr>
        <w:spacing w:after="0" w:line="240" w:lineRule="auto"/>
        <w:jc w:val="both"/>
        <w:rPr>
          <w:rFonts w:ascii="Times New Roman" w:hAnsi="Times New Roman"/>
          <w:sz w:val="24"/>
          <w:szCs w:val="24"/>
        </w:rPr>
      </w:pPr>
      <w:r w:rsidRPr="00721F7C">
        <w:rPr>
          <w:rFonts w:ascii="Times New Roman" w:hAnsi="Times New Roman"/>
          <w:sz w:val="24"/>
          <w:szCs w:val="24"/>
        </w:rPr>
        <w:t>Secrétariat de l’Harmonisation de l’Aide (SHA) du Ministère de l’Economie et des Finances, Rapport sur le Cadre des Ressources Externes à Moyen-Terme : Analyse des décaissements de 2015 et des prévisions sur la période 2015-2019, Juin 2017 ;</w:t>
      </w:r>
    </w:p>
    <w:p w14:paraId="5B6F0979" w14:textId="77777777" w:rsidR="00006C7E" w:rsidRPr="00721F7C" w:rsidRDefault="00006C7E" w:rsidP="00D76EFA">
      <w:pPr>
        <w:numPr>
          <w:ilvl w:val="0"/>
          <w:numId w:val="137"/>
        </w:numPr>
        <w:spacing w:after="0" w:line="240" w:lineRule="auto"/>
        <w:jc w:val="both"/>
        <w:rPr>
          <w:rFonts w:ascii="Times New Roman" w:hAnsi="Times New Roman"/>
          <w:sz w:val="24"/>
          <w:szCs w:val="24"/>
        </w:rPr>
      </w:pPr>
      <w:r w:rsidRPr="00721F7C">
        <w:rPr>
          <w:rFonts w:ascii="Times New Roman" w:hAnsi="Times New Roman"/>
          <w:sz w:val="24"/>
          <w:szCs w:val="24"/>
        </w:rPr>
        <w:t>Secrétariat de l’Harmonisation de l’Aide (SHA) du Ministère de l’Economie et des Finances, Rapport sur le Cadre des Ressources Externes à Moyen-Terme (CRMT) : Analyse des décaissements d’aides extérieures en 2011 et 2012 et prévisions pour 2013-2016, 2013 ;</w:t>
      </w:r>
    </w:p>
    <w:p w14:paraId="4DCB3F99" w14:textId="77777777" w:rsidR="00006C7E" w:rsidRPr="00721F7C" w:rsidRDefault="00006C7E" w:rsidP="00D76EFA">
      <w:pPr>
        <w:numPr>
          <w:ilvl w:val="0"/>
          <w:numId w:val="137"/>
        </w:numPr>
        <w:spacing w:after="0" w:line="240" w:lineRule="auto"/>
        <w:jc w:val="both"/>
        <w:rPr>
          <w:rFonts w:ascii="Times New Roman" w:hAnsi="Times New Roman"/>
          <w:sz w:val="24"/>
          <w:szCs w:val="24"/>
        </w:rPr>
      </w:pPr>
      <w:r w:rsidRPr="00721F7C">
        <w:rPr>
          <w:rFonts w:ascii="Times New Roman" w:hAnsi="Times New Roman"/>
          <w:sz w:val="24"/>
          <w:szCs w:val="24"/>
        </w:rPr>
        <w:t xml:space="preserve">Secrétariat Général du Ministère de la Réconciliation Nationale, Rapport d’étape du Projet d’Appui au Renforcement de la Cohésion sociale (Financement PNUD), janvier 2017 ; </w:t>
      </w:r>
    </w:p>
    <w:p w14:paraId="0953A5DB" w14:textId="77777777" w:rsidR="00006C7E" w:rsidRPr="00721F7C" w:rsidRDefault="00006C7E" w:rsidP="00D76EFA">
      <w:pPr>
        <w:numPr>
          <w:ilvl w:val="0"/>
          <w:numId w:val="137"/>
        </w:numPr>
        <w:spacing w:after="0" w:line="240" w:lineRule="auto"/>
        <w:jc w:val="both"/>
        <w:rPr>
          <w:rFonts w:ascii="Times New Roman" w:hAnsi="Times New Roman"/>
          <w:sz w:val="24"/>
          <w:szCs w:val="24"/>
        </w:rPr>
      </w:pPr>
      <w:r w:rsidRPr="00721F7C">
        <w:rPr>
          <w:rFonts w:ascii="Times New Roman" w:hAnsi="Times New Roman"/>
          <w:sz w:val="24"/>
          <w:szCs w:val="24"/>
        </w:rPr>
        <w:t xml:space="preserve">Secrétariat Général du Ministère de la Réconciliation Nationale, Rapport technique et financier du Projet d’Appui au Renforcement de la Cohésion sociale (Financement PNUD), Mars 2016 ; </w:t>
      </w:r>
    </w:p>
    <w:p w14:paraId="690E6ACB" w14:textId="77777777" w:rsidR="00006C7E" w:rsidRPr="00721F7C" w:rsidRDefault="00006C7E" w:rsidP="00D76EFA">
      <w:pPr>
        <w:numPr>
          <w:ilvl w:val="0"/>
          <w:numId w:val="137"/>
        </w:numPr>
        <w:spacing w:after="0" w:line="240" w:lineRule="auto"/>
        <w:jc w:val="both"/>
        <w:rPr>
          <w:rFonts w:ascii="Times New Roman" w:hAnsi="Times New Roman"/>
          <w:sz w:val="24"/>
          <w:szCs w:val="24"/>
        </w:rPr>
      </w:pPr>
      <w:r w:rsidRPr="00721F7C">
        <w:rPr>
          <w:rFonts w:ascii="Times New Roman" w:hAnsi="Times New Roman"/>
          <w:sz w:val="24"/>
          <w:szCs w:val="24"/>
        </w:rPr>
        <w:t>Secrétariat Général du Ministère de la Réconciliation Nationale, Projet d’Appui au Renforcement de la Cohésion sociale (Financement PNUD) : Bilan des Réalisations 2015-2016, Février 2017 ;</w:t>
      </w:r>
    </w:p>
    <w:p w14:paraId="6923DC57" w14:textId="77777777" w:rsidR="00006C7E" w:rsidRDefault="00BA3DC6" w:rsidP="00B96F0F">
      <w:pPr>
        <w:spacing w:after="0" w:line="240" w:lineRule="auto"/>
        <w:rPr>
          <w:sz w:val="24"/>
          <w:szCs w:val="24"/>
        </w:rPr>
      </w:pPr>
      <w:r w:rsidRPr="00006C7E">
        <w:rPr>
          <w:sz w:val="24"/>
          <w:szCs w:val="24"/>
        </w:rPr>
        <w:t xml:space="preserve">  </w:t>
      </w:r>
    </w:p>
    <w:p w14:paraId="1FC8D358" w14:textId="77777777" w:rsidR="00AC6BA8" w:rsidRPr="00006C7E" w:rsidRDefault="00BA3DC6" w:rsidP="00B96F0F">
      <w:pPr>
        <w:spacing w:after="0" w:line="240" w:lineRule="auto"/>
        <w:rPr>
          <w:sz w:val="24"/>
          <w:szCs w:val="24"/>
        </w:rPr>
      </w:pPr>
      <w:r w:rsidRPr="00006C7E">
        <w:rPr>
          <w:sz w:val="24"/>
          <w:szCs w:val="24"/>
        </w:rPr>
        <w:t xml:space="preserve">     </w:t>
      </w:r>
    </w:p>
    <w:p w14:paraId="7660935C" w14:textId="77777777" w:rsidR="00596DD8" w:rsidRPr="00006C7E" w:rsidRDefault="00596DD8" w:rsidP="00B04B1D">
      <w:pPr>
        <w:pStyle w:val="Titre2"/>
        <w:numPr>
          <w:ilvl w:val="0"/>
          <w:numId w:val="144"/>
        </w:numPr>
        <w:spacing w:before="0"/>
        <w:rPr>
          <w:rFonts w:ascii="Times New Roman" w:hAnsi="Times New Roman"/>
          <w:b w:val="0"/>
          <w:color w:val="auto"/>
          <w:sz w:val="24"/>
          <w:szCs w:val="24"/>
        </w:rPr>
        <w:sectPr w:rsidR="00596DD8" w:rsidRPr="00006C7E" w:rsidSect="00632A47">
          <w:footnotePr>
            <w:numRestart w:val="eachPage"/>
          </w:footnotePr>
          <w:pgSz w:w="11906" w:h="16838"/>
          <w:pgMar w:top="1418" w:right="1418" w:bottom="1418" w:left="1418" w:header="709" w:footer="709" w:gutter="0"/>
          <w:cols w:space="708"/>
          <w:docGrid w:linePitch="360"/>
        </w:sectPr>
      </w:pPr>
    </w:p>
    <w:p w14:paraId="720219B2" w14:textId="77777777" w:rsidR="00BA3DC6" w:rsidRPr="006B309F" w:rsidRDefault="00BA3DC6" w:rsidP="00B026AE">
      <w:pPr>
        <w:pStyle w:val="Titre2"/>
        <w:numPr>
          <w:ilvl w:val="0"/>
          <w:numId w:val="7"/>
        </w:numPr>
        <w:spacing w:before="0"/>
        <w:rPr>
          <w:rFonts w:ascii="Times New Roman" w:hAnsi="Times New Roman"/>
          <w:color w:val="auto"/>
          <w:sz w:val="24"/>
          <w:szCs w:val="24"/>
        </w:rPr>
      </w:pPr>
      <w:bookmarkStart w:id="166" w:name="_Toc499211636"/>
      <w:bookmarkStart w:id="167" w:name="_Toc499213910"/>
      <w:r w:rsidRPr="006B309F">
        <w:rPr>
          <w:rFonts w:ascii="Times New Roman" w:hAnsi="Times New Roman"/>
          <w:color w:val="auto"/>
          <w:sz w:val="24"/>
          <w:szCs w:val="24"/>
        </w:rPr>
        <w:lastRenderedPageBreak/>
        <w:t>Liste des personnes rencontré</w:t>
      </w:r>
      <w:bookmarkEnd w:id="166"/>
      <w:bookmarkEnd w:id="167"/>
    </w:p>
    <w:p w14:paraId="55A0A372" w14:textId="77777777" w:rsidR="00596DD8" w:rsidRPr="006B309F" w:rsidRDefault="00596DD8" w:rsidP="00596DD8"/>
    <w:tbl>
      <w:tblPr>
        <w:tblW w:w="14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3402"/>
        <w:gridCol w:w="4678"/>
        <w:gridCol w:w="2399"/>
      </w:tblGrid>
      <w:tr w:rsidR="004E4F08" w:rsidRPr="004E4F08" w14:paraId="08E53309" w14:textId="77777777" w:rsidTr="004E4F08">
        <w:trPr>
          <w:jc w:val="center"/>
        </w:trPr>
        <w:tc>
          <w:tcPr>
            <w:tcW w:w="3566" w:type="dxa"/>
            <w:shd w:val="clear" w:color="auto" w:fill="auto"/>
            <w:vAlign w:val="center"/>
          </w:tcPr>
          <w:p w14:paraId="0EAB27E8"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
                <w:bCs/>
                <w:sz w:val="20"/>
                <w:szCs w:val="20"/>
              </w:rPr>
              <w:t>Date</w:t>
            </w:r>
          </w:p>
        </w:tc>
        <w:tc>
          <w:tcPr>
            <w:tcW w:w="3402" w:type="dxa"/>
            <w:shd w:val="clear" w:color="auto" w:fill="auto"/>
            <w:vAlign w:val="center"/>
          </w:tcPr>
          <w:p w14:paraId="57269A70"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
                <w:bCs/>
                <w:sz w:val="20"/>
                <w:szCs w:val="20"/>
              </w:rPr>
              <w:t>Structures</w:t>
            </w:r>
          </w:p>
        </w:tc>
        <w:tc>
          <w:tcPr>
            <w:tcW w:w="4678" w:type="dxa"/>
            <w:shd w:val="clear" w:color="auto" w:fill="auto"/>
            <w:vAlign w:val="center"/>
          </w:tcPr>
          <w:p w14:paraId="7EFFAC80"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
                <w:bCs/>
                <w:sz w:val="20"/>
                <w:szCs w:val="20"/>
              </w:rPr>
              <w:t>Personnes rencontrées</w:t>
            </w:r>
          </w:p>
        </w:tc>
        <w:tc>
          <w:tcPr>
            <w:tcW w:w="2399" w:type="dxa"/>
            <w:shd w:val="clear" w:color="auto" w:fill="auto"/>
            <w:vAlign w:val="center"/>
          </w:tcPr>
          <w:p w14:paraId="3189A755"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
                <w:bCs/>
                <w:sz w:val="20"/>
                <w:szCs w:val="20"/>
              </w:rPr>
              <w:t>Fonctions</w:t>
            </w:r>
          </w:p>
        </w:tc>
      </w:tr>
      <w:tr w:rsidR="004E4F08" w:rsidRPr="004E4F08" w14:paraId="6F8468C4" w14:textId="77777777" w:rsidTr="004E4F08">
        <w:trPr>
          <w:jc w:val="center"/>
        </w:trPr>
        <w:tc>
          <w:tcPr>
            <w:tcW w:w="3566" w:type="dxa"/>
            <w:shd w:val="clear" w:color="auto" w:fill="auto"/>
            <w:vAlign w:val="center"/>
          </w:tcPr>
          <w:p w14:paraId="5BE39ADD"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Cs/>
                <w:sz w:val="20"/>
                <w:szCs w:val="20"/>
              </w:rPr>
              <w:t>11/09/2017</w:t>
            </w:r>
          </w:p>
        </w:tc>
        <w:tc>
          <w:tcPr>
            <w:tcW w:w="3402" w:type="dxa"/>
            <w:shd w:val="clear" w:color="auto" w:fill="auto"/>
            <w:vAlign w:val="center"/>
          </w:tcPr>
          <w:p w14:paraId="45B8EBC6"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Cluster Gouvernance démocratique/PNUD</w:t>
            </w:r>
          </w:p>
        </w:tc>
        <w:tc>
          <w:tcPr>
            <w:tcW w:w="4678" w:type="dxa"/>
            <w:shd w:val="clear" w:color="auto" w:fill="auto"/>
            <w:vAlign w:val="center"/>
          </w:tcPr>
          <w:p w14:paraId="6239DC73" w14:textId="77777777" w:rsidR="004E4F08" w:rsidRPr="004E4F08" w:rsidRDefault="004E4F08" w:rsidP="004E4F08">
            <w:pPr>
              <w:spacing w:after="0" w:line="240" w:lineRule="auto"/>
              <w:jc w:val="center"/>
              <w:rPr>
                <w:rFonts w:ascii="Times New Roman" w:hAnsi="Times New Roman"/>
                <w:sz w:val="20"/>
                <w:szCs w:val="20"/>
              </w:rPr>
            </w:pPr>
            <w:r>
              <w:rPr>
                <w:rFonts w:ascii="Times New Roman" w:hAnsi="Times New Roman"/>
                <w:sz w:val="20"/>
                <w:szCs w:val="20"/>
              </w:rPr>
              <w:t>Mme OSSAD</w:t>
            </w:r>
            <w:r w:rsidR="004F261E">
              <w:rPr>
                <w:rFonts w:ascii="Times New Roman" w:hAnsi="Times New Roman"/>
                <w:sz w:val="20"/>
                <w:szCs w:val="20"/>
              </w:rPr>
              <w:t>E</w:t>
            </w:r>
            <w:r>
              <w:rPr>
                <w:rFonts w:ascii="Times New Roman" w:hAnsi="Times New Roman"/>
                <w:sz w:val="20"/>
                <w:szCs w:val="20"/>
              </w:rPr>
              <w:t xml:space="preserve"> F</w:t>
            </w:r>
            <w:r w:rsidRPr="004E4F08">
              <w:rPr>
                <w:rFonts w:ascii="Times New Roman" w:hAnsi="Times New Roman"/>
                <w:sz w:val="20"/>
                <w:szCs w:val="20"/>
              </w:rPr>
              <w:t>atimata TRAORE</w:t>
            </w:r>
          </w:p>
          <w:p w14:paraId="60CB1997"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 xml:space="preserve">Charles </w:t>
            </w:r>
          </w:p>
          <w:p w14:paraId="6AA1B2AF"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Patrick</w:t>
            </w:r>
          </w:p>
          <w:p w14:paraId="5850D4F1"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Maïna</w:t>
            </w:r>
          </w:p>
        </w:tc>
        <w:tc>
          <w:tcPr>
            <w:tcW w:w="2399" w:type="dxa"/>
            <w:shd w:val="clear" w:color="auto" w:fill="auto"/>
            <w:vAlign w:val="center"/>
          </w:tcPr>
          <w:p w14:paraId="3005F493" w14:textId="77777777" w:rsidR="004E4F08" w:rsidRPr="004E4F08" w:rsidRDefault="004E4F08" w:rsidP="004E4F08">
            <w:pPr>
              <w:spacing w:after="0" w:line="240" w:lineRule="auto"/>
              <w:jc w:val="center"/>
              <w:rPr>
                <w:rFonts w:ascii="Times New Roman" w:hAnsi="Times New Roman"/>
                <w:sz w:val="20"/>
                <w:szCs w:val="20"/>
              </w:rPr>
            </w:pPr>
            <w:r>
              <w:rPr>
                <w:rFonts w:ascii="Times New Roman" w:hAnsi="Times New Roman"/>
                <w:sz w:val="20"/>
                <w:szCs w:val="20"/>
              </w:rPr>
              <w:t>Team Leader</w:t>
            </w:r>
          </w:p>
        </w:tc>
      </w:tr>
      <w:tr w:rsidR="004E4F08" w:rsidRPr="004E4F08" w14:paraId="49D6275C" w14:textId="77777777" w:rsidTr="004E4F08">
        <w:trPr>
          <w:jc w:val="center"/>
        </w:trPr>
        <w:tc>
          <w:tcPr>
            <w:tcW w:w="3566" w:type="dxa"/>
            <w:shd w:val="clear" w:color="auto" w:fill="auto"/>
            <w:vAlign w:val="center"/>
          </w:tcPr>
          <w:p w14:paraId="45B41E57"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Cs/>
                <w:sz w:val="20"/>
                <w:szCs w:val="20"/>
              </w:rPr>
              <w:t>12/09/2017</w:t>
            </w:r>
          </w:p>
        </w:tc>
        <w:tc>
          <w:tcPr>
            <w:tcW w:w="3402" w:type="dxa"/>
            <w:shd w:val="clear" w:color="auto" w:fill="auto"/>
            <w:vAlign w:val="center"/>
          </w:tcPr>
          <w:p w14:paraId="29FCC241"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Ecole de Maintien de la Paix ABB</w:t>
            </w:r>
          </w:p>
        </w:tc>
        <w:tc>
          <w:tcPr>
            <w:tcW w:w="4678" w:type="dxa"/>
            <w:shd w:val="clear" w:color="auto" w:fill="auto"/>
            <w:vAlign w:val="center"/>
          </w:tcPr>
          <w:p w14:paraId="60B4F880"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Lt Colonel Boubacar OUOLOGUEM</w:t>
            </w:r>
          </w:p>
        </w:tc>
        <w:tc>
          <w:tcPr>
            <w:tcW w:w="2399" w:type="dxa"/>
            <w:shd w:val="clear" w:color="auto" w:fill="auto"/>
            <w:vAlign w:val="center"/>
          </w:tcPr>
          <w:p w14:paraId="19AE2BE1"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Directeur Ad et financier</w:t>
            </w:r>
          </w:p>
        </w:tc>
      </w:tr>
      <w:tr w:rsidR="004E4F08" w:rsidRPr="004E4F08" w14:paraId="3F0B56B9" w14:textId="77777777" w:rsidTr="004E4F08">
        <w:trPr>
          <w:jc w:val="center"/>
        </w:trPr>
        <w:tc>
          <w:tcPr>
            <w:tcW w:w="3566" w:type="dxa"/>
            <w:shd w:val="clear" w:color="auto" w:fill="auto"/>
            <w:vAlign w:val="center"/>
          </w:tcPr>
          <w:p w14:paraId="37B0DF58"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Cs/>
                <w:sz w:val="20"/>
                <w:szCs w:val="20"/>
              </w:rPr>
              <w:t>12/09/2017</w:t>
            </w:r>
          </w:p>
        </w:tc>
        <w:tc>
          <w:tcPr>
            <w:tcW w:w="3402" w:type="dxa"/>
            <w:shd w:val="clear" w:color="auto" w:fill="auto"/>
            <w:vAlign w:val="center"/>
          </w:tcPr>
          <w:p w14:paraId="17751487"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Cluster  Environnement, changements climatiques, développement durable inclusif/PNUD</w:t>
            </w:r>
          </w:p>
        </w:tc>
        <w:tc>
          <w:tcPr>
            <w:tcW w:w="4678" w:type="dxa"/>
            <w:shd w:val="clear" w:color="auto" w:fill="auto"/>
            <w:vAlign w:val="center"/>
          </w:tcPr>
          <w:p w14:paraId="01A1458E"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Oumar TAMBOURA</w:t>
            </w:r>
          </w:p>
          <w:p w14:paraId="22F60924"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Mariam KEITA</w:t>
            </w:r>
          </w:p>
          <w:p w14:paraId="53C97887"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Abdou DICKO</w:t>
            </w:r>
          </w:p>
          <w:p w14:paraId="7321BF33"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Yak</w:t>
            </w:r>
            <w:r w:rsidR="004F261E">
              <w:rPr>
                <w:rFonts w:ascii="Times New Roman" w:hAnsi="Times New Roman"/>
                <w:sz w:val="20"/>
                <w:szCs w:val="20"/>
              </w:rPr>
              <w:t>h</w:t>
            </w:r>
            <w:r w:rsidRPr="004E4F08">
              <w:rPr>
                <w:rFonts w:ascii="Times New Roman" w:hAnsi="Times New Roman"/>
                <w:sz w:val="20"/>
                <w:szCs w:val="20"/>
              </w:rPr>
              <w:t>ya Aïcha DIAGNE</w:t>
            </w:r>
          </w:p>
          <w:p w14:paraId="70B0FC1D"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Haoua O MAIGA</w:t>
            </w:r>
          </w:p>
          <w:p w14:paraId="50C4D6A6"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Adame COULIBALY</w:t>
            </w:r>
          </w:p>
        </w:tc>
        <w:tc>
          <w:tcPr>
            <w:tcW w:w="2399" w:type="dxa"/>
            <w:shd w:val="clear" w:color="auto" w:fill="auto"/>
            <w:vAlign w:val="center"/>
          </w:tcPr>
          <w:p w14:paraId="2A6B90B9"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Chef Cluster</w:t>
            </w:r>
          </w:p>
          <w:p w14:paraId="7B9BCAB1"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Associé Programme</w:t>
            </w:r>
          </w:p>
          <w:p w14:paraId="22BBDF10"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Coordinateur</w:t>
            </w:r>
          </w:p>
          <w:p w14:paraId="1C693EE8"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CTP</w:t>
            </w:r>
          </w:p>
          <w:p w14:paraId="0C9F18CF"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Stagiaire</w:t>
            </w:r>
          </w:p>
          <w:p w14:paraId="4E877E76"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Conseillère</w:t>
            </w:r>
          </w:p>
        </w:tc>
      </w:tr>
      <w:tr w:rsidR="004E4F08" w:rsidRPr="004E4F08" w14:paraId="3F64B590" w14:textId="77777777" w:rsidTr="004E4F08">
        <w:trPr>
          <w:jc w:val="center"/>
        </w:trPr>
        <w:tc>
          <w:tcPr>
            <w:tcW w:w="3566" w:type="dxa"/>
            <w:shd w:val="clear" w:color="auto" w:fill="auto"/>
            <w:vAlign w:val="center"/>
          </w:tcPr>
          <w:p w14:paraId="310AD997"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Cs/>
                <w:sz w:val="20"/>
                <w:szCs w:val="20"/>
              </w:rPr>
              <w:t>12/09/2017</w:t>
            </w:r>
          </w:p>
        </w:tc>
        <w:tc>
          <w:tcPr>
            <w:tcW w:w="3402" w:type="dxa"/>
            <w:shd w:val="clear" w:color="auto" w:fill="auto"/>
            <w:vAlign w:val="center"/>
          </w:tcPr>
          <w:p w14:paraId="084A3C4B"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PNUD</w:t>
            </w:r>
          </w:p>
        </w:tc>
        <w:tc>
          <w:tcPr>
            <w:tcW w:w="4678" w:type="dxa"/>
            <w:shd w:val="clear" w:color="auto" w:fill="auto"/>
            <w:vAlign w:val="center"/>
          </w:tcPr>
          <w:p w14:paraId="22F7B2D5"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Abou</w:t>
            </w:r>
            <w:r>
              <w:rPr>
                <w:rFonts w:ascii="Times New Roman" w:hAnsi="Times New Roman"/>
                <w:sz w:val="20"/>
                <w:szCs w:val="20"/>
              </w:rPr>
              <w:t>bacar TOURE</w:t>
            </w:r>
          </w:p>
        </w:tc>
        <w:tc>
          <w:tcPr>
            <w:tcW w:w="2399" w:type="dxa"/>
            <w:shd w:val="clear" w:color="auto" w:fill="auto"/>
            <w:vAlign w:val="center"/>
          </w:tcPr>
          <w:p w14:paraId="139467F4"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Direction opérations</w:t>
            </w:r>
          </w:p>
        </w:tc>
      </w:tr>
      <w:tr w:rsidR="004E4F08" w:rsidRPr="004E4F08" w14:paraId="74EA95BB" w14:textId="77777777" w:rsidTr="004E4F08">
        <w:trPr>
          <w:jc w:val="center"/>
        </w:trPr>
        <w:tc>
          <w:tcPr>
            <w:tcW w:w="3566" w:type="dxa"/>
            <w:shd w:val="clear" w:color="auto" w:fill="auto"/>
            <w:vAlign w:val="center"/>
          </w:tcPr>
          <w:p w14:paraId="15961873"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Cs/>
                <w:sz w:val="20"/>
                <w:szCs w:val="20"/>
              </w:rPr>
              <w:t>13/09/2017</w:t>
            </w:r>
          </w:p>
        </w:tc>
        <w:tc>
          <w:tcPr>
            <w:tcW w:w="3402" w:type="dxa"/>
            <w:shd w:val="clear" w:color="auto" w:fill="auto"/>
            <w:vAlign w:val="center"/>
          </w:tcPr>
          <w:p w14:paraId="3A34C407"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PNUD</w:t>
            </w:r>
          </w:p>
        </w:tc>
        <w:tc>
          <w:tcPr>
            <w:tcW w:w="4678" w:type="dxa"/>
            <w:shd w:val="clear" w:color="auto" w:fill="auto"/>
            <w:vAlign w:val="center"/>
          </w:tcPr>
          <w:p w14:paraId="155108A0"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Maleye DIOP</w:t>
            </w:r>
          </w:p>
        </w:tc>
        <w:tc>
          <w:tcPr>
            <w:tcW w:w="2399" w:type="dxa"/>
            <w:shd w:val="clear" w:color="auto" w:fill="auto"/>
            <w:vAlign w:val="center"/>
          </w:tcPr>
          <w:p w14:paraId="60C4B1EC"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Directeur Pays</w:t>
            </w:r>
          </w:p>
        </w:tc>
      </w:tr>
      <w:tr w:rsidR="004E4F08" w:rsidRPr="004E4F08" w14:paraId="714036D2" w14:textId="77777777" w:rsidTr="004E4F08">
        <w:trPr>
          <w:jc w:val="center"/>
        </w:trPr>
        <w:tc>
          <w:tcPr>
            <w:tcW w:w="3566" w:type="dxa"/>
            <w:shd w:val="clear" w:color="auto" w:fill="auto"/>
            <w:vAlign w:val="center"/>
          </w:tcPr>
          <w:p w14:paraId="667F0F75"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Cs/>
                <w:sz w:val="20"/>
                <w:szCs w:val="20"/>
              </w:rPr>
              <w:t>13/09/2017</w:t>
            </w:r>
          </w:p>
        </w:tc>
        <w:tc>
          <w:tcPr>
            <w:tcW w:w="3402" w:type="dxa"/>
            <w:shd w:val="clear" w:color="auto" w:fill="auto"/>
            <w:vAlign w:val="center"/>
          </w:tcPr>
          <w:p w14:paraId="3380E454"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Politiques et stratégies/PNUD</w:t>
            </w:r>
          </w:p>
          <w:p w14:paraId="72C448C6" w14:textId="77777777" w:rsidR="004E4F08" w:rsidRPr="004E4F08" w:rsidRDefault="004E4F08" w:rsidP="004E4F08">
            <w:pPr>
              <w:spacing w:after="0" w:line="240" w:lineRule="auto"/>
              <w:jc w:val="center"/>
              <w:rPr>
                <w:rFonts w:ascii="Times New Roman" w:hAnsi="Times New Roman"/>
                <w:sz w:val="20"/>
                <w:szCs w:val="20"/>
              </w:rPr>
            </w:pPr>
          </w:p>
        </w:tc>
        <w:tc>
          <w:tcPr>
            <w:tcW w:w="4678" w:type="dxa"/>
            <w:shd w:val="clear" w:color="auto" w:fill="auto"/>
            <w:vAlign w:val="center"/>
          </w:tcPr>
          <w:p w14:paraId="6F28C119" w14:textId="77777777" w:rsidR="004E4F08" w:rsidRPr="004E4F08" w:rsidRDefault="004F261E" w:rsidP="004E4F08">
            <w:pPr>
              <w:spacing w:after="0" w:line="240" w:lineRule="auto"/>
              <w:jc w:val="center"/>
              <w:rPr>
                <w:rFonts w:ascii="Times New Roman" w:hAnsi="Times New Roman"/>
                <w:sz w:val="20"/>
                <w:szCs w:val="20"/>
              </w:rPr>
            </w:pPr>
            <w:r>
              <w:rPr>
                <w:rFonts w:ascii="Times New Roman" w:hAnsi="Times New Roman"/>
                <w:sz w:val="20"/>
                <w:szCs w:val="20"/>
              </w:rPr>
              <w:t>Bec</w:t>
            </w:r>
            <w:r w:rsidR="004E4F08" w:rsidRPr="004E4F08">
              <w:rPr>
                <w:rFonts w:ascii="Times New Roman" w:hAnsi="Times New Roman"/>
                <w:sz w:val="20"/>
                <w:szCs w:val="20"/>
              </w:rPr>
              <w:t>aye DIARRA</w:t>
            </w:r>
          </w:p>
          <w:p w14:paraId="0984CEF3"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Alassane BAH</w:t>
            </w:r>
          </w:p>
        </w:tc>
        <w:tc>
          <w:tcPr>
            <w:tcW w:w="2399" w:type="dxa"/>
            <w:shd w:val="clear" w:color="auto" w:fill="auto"/>
            <w:vAlign w:val="center"/>
          </w:tcPr>
          <w:p w14:paraId="47040549"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Economiste Principal</w:t>
            </w:r>
          </w:p>
          <w:p w14:paraId="004BA687"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Economiste National</w:t>
            </w:r>
          </w:p>
        </w:tc>
      </w:tr>
      <w:tr w:rsidR="004E4F08" w:rsidRPr="004E4F08" w14:paraId="448BF22D" w14:textId="77777777" w:rsidTr="004E4F08">
        <w:trPr>
          <w:jc w:val="center"/>
        </w:trPr>
        <w:tc>
          <w:tcPr>
            <w:tcW w:w="3566" w:type="dxa"/>
            <w:shd w:val="clear" w:color="auto" w:fill="auto"/>
            <w:vAlign w:val="center"/>
          </w:tcPr>
          <w:p w14:paraId="478415D1"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Cs/>
                <w:sz w:val="20"/>
                <w:szCs w:val="20"/>
              </w:rPr>
              <w:t>14/09/2017</w:t>
            </w:r>
          </w:p>
        </w:tc>
        <w:tc>
          <w:tcPr>
            <w:tcW w:w="3402" w:type="dxa"/>
            <w:shd w:val="clear" w:color="auto" w:fill="auto"/>
            <w:vAlign w:val="center"/>
          </w:tcPr>
          <w:p w14:paraId="3145E0FF"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Agence des énergies renouvelables (AER)</w:t>
            </w:r>
          </w:p>
        </w:tc>
        <w:tc>
          <w:tcPr>
            <w:tcW w:w="4678" w:type="dxa"/>
            <w:shd w:val="clear" w:color="auto" w:fill="auto"/>
            <w:vAlign w:val="center"/>
          </w:tcPr>
          <w:p w14:paraId="60D569F5"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Souleymane BERTHE</w:t>
            </w:r>
          </w:p>
        </w:tc>
        <w:tc>
          <w:tcPr>
            <w:tcW w:w="2399" w:type="dxa"/>
            <w:shd w:val="clear" w:color="auto" w:fill="auto"/>
            <w:vAlign w:val="center"/>
          </w:tcPr>
          <w:p w14:paraId="764EB53E"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Directeur Général</w:t>
            </w:r>
          </w:p>
        </w:tc>
      </w:tr>
      <w:tr w:rsidR="004E4F08" w:rsidRPr="004E4F08" w14:paraId="7B15F7D7" w14:textId="77777777" w:rsidTr="004E4F08">
        <w:trPr>
          <w:jc w:val="center"/>
        </w:trPr>
        <w:tc>
          <w:tcPr>
            <w:tcW w:w="3566" w:type="dxa"/>
            <w:shd w:val="clear" w:color="auto" w:fill="auto"/>
            <w:vAlign w:val="center"/>
          </w:tcPr>
          <w:p w14:paraId="47D67C7E"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Cs/>
                <w:sz w:val="20"/>
                <w:szCs w:val="20"/>
              </w:rPr>
              <w:t>15/09/2017</w:t>
            </w:r>
          </w:p>
        </w:tc>
        <w:tc>
          <w:tcPr>
            <w:tcW w:w="3402" w:type="dxa"/>
            <w:shd w:val="clear" w:color="auto" w:fill="auto"/>
            <w:vAlign w:val="center"/>
          </w:tcPr>
          <w:p w14:paraId="0A72C6F1"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Office pour la Mise en Valeur du Système Faguibine</w:t>
            </w:r>
          </w:p>
        </w:tc>
        <w:tc>
          <w:tcPr>
            <w:tcW w:w="4678" w:type="dxa"/>
            <w:shd w:val="clear" w:color="auto" w:fill="auto"/>
            <w:vAlign w:val="center"/>
          </w:tcPr>
          <w:p w14:paraId="7046C4DE"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Abacar Alzouma Maïga</w:t>
            </w:r>
          </w:p>
        </w:tc>
        <w:tc>
          <w:tcPr>
            <w:tcW w:w="2399" w:type="dxa"/>
            <w:shd w:val="clear" w:color="auto" w:fill="auto"/>
            <w:vAlign w:val="center"/>
          </w:tcPr>
          <w:p w14:paraId="65FB7720"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Directeur Général</w:t>
            </w:r>
          </w:p>
        </w:tc>
      </w:tr>
      <w:tr w:rsidR="004E4F08" w:rsidRPr="004E4F08" w14:paraId="6C905276" w14:textId="77777777" w:rsidTr="004E4F08">
        <w:trPr>
          <w:jc w:val="center"/>
        </w:trPr>
        <w:tc>
          <w:tcPr>
            <w:tcW w:w="3566" w:type="dxa"/>
            <w:shd w:val="clear" w:color="auto" w:fill="auto"/>
            <w:vAlign w:val="center"/>
          </w:tcPr>
          <w:p w14:paraId="14D1DE8E"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Cs/>
                <w:sz w:val="20"/>
                <w:szCs w:val="20"/>
              </w:rPr>
              <w:t>15/09/2017</w:t>
            </w:r>
          </w:p>
        </w:tc>
        <w:tc>
          <w:tcPr>
            <w:tcW w:w="3402" w:type="dxa"/>
            <w:shd w:val="clear" w:color="auto" w:fill="auto"/>
            <w:vAlign w:val="center"/>
          </w:tcPr>
          <w:p w14:paraId="5253B358"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Agence Pour l’Environnement et le Développement durable(AEDD)</w:t>
            </w:r>
          </w:p>
        </w:tc>
        <w:tc>
          <w:tcPr>
            <w:tcW w:w="4678" w:type="dxa"/>
            <w:shd w:val="clear" w:color="auto" w:fill="auto"/>
            <w:vAlign w:val="center"/>
          </w:tcPr>
          <w:p w14:paraId="701414ED"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Boureima Camara</w:t>
            </w:r>
          </w:p>
        </w:tc>
        <w:tc>
          <w:tcPr>
            <w:tcW w:w="2399" w:type="dxa"/>
            <w:shd w:val="clear" w:color="auto" w:fill="auto"/>
            <w:vAlign w:val="center"/>
          </w:tcPr>
          <w:p w14:paraId="4D73BFC2"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Directeur National</w:t>
            </w:r>
          </w:p>
        </w:tc>
      </w:tr>
      <w:tr w:rsidR="004E4F08" w:rsidRPr="004E4F08" w14:paraId="225322D4" w14:textId="77777777" w:rsidTr="004E4F08">
        <w:trPr>
          <w:jc w:val="center"/>
        </w:trPr>
        <w:tc>
          <w:tcPr>
            <w:tcW w:w="3566" w:type="dxa"/>
            <w:shd w:val="clear" w:color="auto" w:fill="auto"/>
            <w:vAlign w:val="center"/>
          </w:tcPr>
          <w:p w14:paraId="77B862AA"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Cs/>
                <w:sz w:val="20"/>
                <w:szCs w:val="20"/>
              </w:rPr>
              <w:t>18/09/2017</w:t>
            </w:r>
          </w:p>
        </w:tc>
        <w:tc>
          <w:tcPr>
            <w:tcW w:w="3402" w:type="dxa"/>
            <w:shd w:val="clear" w:color="auto" w:fill="auto"/>
            <w:vAlign w:val="center"/>
          </w:tcPr>
          <w:p w14:paraId="77ADFFE0"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Bureau de la Coordination Résidente/MINUSMA</w:t>
            </w:r>
          </w:p>
        </w:tc>
        <w:tc>
          <w:tcPr>
            <w:tcW w:w="4678" w:type="dxa"/>
            <w:shd w:val="clear" w:color="auto" w:fill="auto"/>
            <w:vAlign w:val="center"/>
          </w:tcPr>
          <w:p w14:paraId="693E38C5"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NEGUE Francis</w:t>
            </w:r>
          </w:p>
        </w:tc>
        <w:tc>
          <w:tcPr>
            <w:tcW w:w="2399" w:type="dxa"/>
            <w:shd w:val="clear" w:color="auto" w:fill="auto"/>
            <w:vAlign w:val="center"/>
          </w:tcPr>
          <w:p w14:paraId="1314DC46"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Chef du bureau du Coordinateur résident</w:t>
            </w:r>
          </w:p>
        </w:tc>
      </w:tr>
      <w:tr w:rsidR="004E4F08" w:rsidRPr="004E4F08" w14:paraId="3C4D0640" w14:textId="77777777" w:rsidTr="004E4F08">
        <w:trPr>
          <w:jc w:val="center"/>
        </w:trPr>
        <w:tc>
          <w:tcPr>
            <w:tcW w:w="3566" w:type="dxa"/>
            <w:shd w:val="clear" w:color="auto" w:fill="auto"/>
            <w:vAlign w:val="center"/>
          </w:tcPr>
          <w:p w14:paraId="6A6BD7BC"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Cs/>
                <w:sz w:val="20"/>
                <w:szCs w:val="20"/>
              </w:rPr>
              <w:t>19/09/2017</w:t>
            </w:r>
          </w:p>
        </w:tc>
        <w:tc>
          <w:tcPr>
            <w:tcW w:w="3402" w:type="dxa"/>
            <w:shd w:val="clear" w:color="auto" w:fill="auto"/>
            <w:vAlign w:val="center"/>
          </w:tcPr>
          <w:p w14:paraId="46403464"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Observatoire du Développement Humain Durable (ODHD)</w:t>
            </w:r>
          </w:p>
        </w:tc>
        <w:tc>
          <w:tcPr>
            <w:tcW w:w="4678" w:type="dxa"/>
            <w:shd w:val="clear" w:color="auto" w:fill="auto"/>
            <w:vAlign w:val="center"/>
          </w:tcPr>
          <w:p w14:paraId="2826CC27" w14:textId="77777777" w:rsidR="004E4F08" w:rsidRPr="004E4F08" w:rsidRDefault="004E4F08" w:rsidP="004E4F08">
            <w:pPr>
              <w:spacing w:after="0" w:line="240" w:lineRule="auto"/>
              <w:jc w:val="center"/>
              <w:rPr>
                <w:rFonts w:ascii="Times New Roman" w:hAnsi="Times New Roman"/>
                <w:sz w:val="20"/>
                <w:szCs w:val="20"/>
                <w:lang w:val="en-US"/>
              </w:rPr>
            </w:pPr>
            <w:r w:rsidRPr="004E4F08">
              <w:rPr>
                <w:rFonts w:ascii="Times New Roman" w:hAnsi="Times New Roman"/>
                <w:sz w:val="20"/>
                <w:szCs w:val="20"/>
                <w:lang w:val="en-US"/>
              </w:rPr>
              <w:t>Bourema Fassery Ballo</w:t>
            </w:r>
          </w:p>
          <w:p w14:paraId="7372B640" w14:textId="77777777" w:rsidR="004E4F08" w:rsidRPr="004E4F08" w:rsidRDefault="004E4F08" w:rsidP="004E4F08">
            <w:pPr>
              <w:spacing w:after="0" w:line="240" w:lineRule="auto"/>
              <w:jc w:val="center"/>
              <w:rPr>
                <w:rFonts w:ascii="Times New Roman" w:hAnsi="Times New Roman"/>
                <w:sz w:val="20"/>
                <w:szCs w:val="20"/>
                <w:lang w:val="en-US"/>
              </w:rPr>
            </w:pPr>
          </w:p>
          <w:p w14:paraId="12C6BD66" w14:textId="77777777" w:rsidR="004E4F08" w:rsidRPr="004E4F08" w:rsidRDefault="004E4F08" w:rsidP="004E4F08">
            <w:pPr>
              <w:spacing w:after="0" w:line="240" w:lineRule="auto"/>
              <w:jc w:val="center"/>
              <w:rPr>
                <w:rFonts w:ascii="Times New Roman" w:hAnsi="Times New Roman"/>
                <w:sz w:val="20"/>
                <w:szCs w:val="20"/>
                <w:lang w:val="en-US"/>
              </w:rPr>
            </w:pPr>
            <w:r w:rsidRPr="004E4F08">
              <w:rPr>
                <w:rFonts w:ascii="Times New Roman" w:hAnsi="Times New Roman"/>
                <w:sz w:val="20"/>
                <w:szCs w:val="20"/>
                <w:lang w:val="en-US"/>
              </w:rPr>
              <w:t>Mody SIMPARA</w:t>
            </w:r>
          </w:p>
        </w:tc>
        <w:tc>
          <w:tcPr>
            <w:tcW w:w="2399" w:type="dxa"/>
            <w:shd w:val="clear" w:color="auto" w:fill="auto"/>
            <w:vAlign w:val="center"/>
          </w:tcPr>
          <w:p w14:paraId="6D5CA72D"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DGA/Directeur Général P.i</w:t>
            </w:r>
          </w:p>
          <w:p w14:paraId="1686613C"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Chef de l’unité statistique</w:t>
            </w:r>
          </w:p>
        </w:tc>
      </w:tr>
      <w:tr w:rsidR="004E4F08" w:rsidRPr="004E4F08" w14:paraId="1760CC48" w14:textId="77777777" w:rsidTr="004E4F08">
        <w:trPr>
          <w:jc w:val="center"/>
        </w:trPr>
        <w:tc>
          <w:tcPr>
            <w:tcW w:w="3566" w:type="dxa"/>
            <w:shd w:val="clear" w:color="auto" w:fill="auto"/>
            <w:vAlign w:val="center"/>
          </w:tcPr>
          <w:p w14:paraId="71F59BB7"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Cs/>
                <w:sz w:val="20"/>
                <w:szCs w:val="20"/>
              </w:rPr>
              <w:t>19/09/2017</w:t>
            </w:r>
          </w:p>
        </w:tc>
        <w:tc>
          <w:tcPr>
            <w:tcW w:w="3402" w:type="dxa"/>
            <w:shd w:val="clear" w:color="auto" w:fill="auto"/>
            <w:vAlign w:val="center"/>
          </w:tcPr>
          <w:p w14:paraId="7663ACD8"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UNCDF</w:t>
            </w:r>
          </w:p>
        </w:tc>
        <w:tc>
          <w:tcPr>
            <w:tcW w:w="4678" w:type="dxa"/>
            <w:shd w:val="clear" w:color="auto" w:fill="auto"/>
            <w:vAlign w:val="center"/>
          </w:tcPr>
          <w:p w14:paraId="68EAD3ED"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Mme CISSE Safiatou DIARRA</w:t>
            </w:r>
          </w:p>
          <w:p w14:paraId="13D115E0" w14:textId="77777777" w:rsidR="004E4F08" w:rsidRPr="004E4F08" w:rsidRDefault="004E4F08" w:rsidP="004E4F08">
            <w:pPr>
              <w:spacing w:after="0" w:line="240" w:lineRule="auto"/>
              <w:jc w:val="center"/>
              <w:rPr>
                <w:rFonts w:ascii="Times New Roman" w:hAnsi="Times New Roman"/>
                <w:sz w:val="20"/>
                <w:szCs w:val="20"/>
              </w:rPr>
            </w:pPr>
          </w:p>
          <w:p w14:paraId="5740DFA1" w14:textId="77777777" w:rsidR="004E4F08" w:rsidRPr="004E4F08" w:rsidRDefault="004E4F08" w:rsidP="004E4F08">
            <w:pPr>
              <w:spacing w:after="0" w:line="240" w:lineRule="auto"/>
              <w:jc w:val="center"/>
              <w:rPr>
                <w:rFonts w:ascii="Times New Roman" w:hAnsi="Times New Roman"/>
                <w:sz w:val="20"/>
                <w:szCs w:val="20"/>
              </w:rPr>
            </w:pPr>
          </w:p>
          <w:p w14:paraId="6ED01899" w14:textId="77777777" w:rsidR="004E4F08" w:rsidRPr="004E4F08" w:rsidRDefault="004E4F08" w:rsidP="004E4F08">
            <w:pPr>
              <w:spacing w:after="0" w:line="240" w:lineRule="auto"/>
              <w:jc w:val="center"/>
              <w:rPr>
                <w:rFonts w:ascii="Times New Roman" w:hAnsi="Times New Roman"/>
                <w:sz w:val="20"/>
                <w:szCs w:val="20"/>
              </w:rPr>
            </w:pPr>
          </w:p>
          <w:p w14:paraId="404CA21D"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Maïmoussa Katiéla</w:t>
            </w:r>
          </w:p>
        </w:tc>
        <w:tc>
          <w:tcPr>
            <w:tcW w:w="2399" w:type="dxa"/>
            <w:shd w:val="clear" w:color="auto" w:fill="auto"/>
            <w:vAlign w:val="center"/>
          </w:tcPr>
          <w:p w14:paraId="56F4082D"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Conseillère Technique Sécurité Alimentaire/LoCAL</w:t>
            </w:r>
          </w:p>
          <w:p w14:paraId="6AEA97C9" w14:textId="77777777" w:rsidR="004E4F08" w:rsidRPr="004E4F08" w:rsidRDefault="004E4F08" w:rsidP="004E4F08">
            <w:pPr>
              <w:spacing w:after="0" w:line="240" w:lineRule="auto"/>
              <w:jc w:val="center"/>
              <w:rPr>
                <w:rFonts w:ascii="Times New Roman" w:hAnsi="Times New Roman"/>
                <w:sz w:val="20"/>
                <w:szCs w:val="20"/>
              </w:rPr>
            </w:pPr>
          </w:p>
          <w:p w14:paraId="44CDFA5F" w14:textId="77777777" w:rsid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Resp Programme Securité Alimentaire UNCDF Dakar</w:t>
            </w:r>
          </w:p>
          <w:p w14:paraId="2D0AEE32" w14:textId="77777777" w:rsidR="004F261E" w:rsidRPr="004E4F08" w:rsidRDefault="004F261E" w:rsidP="004E4F08">
            <w:pPr>
              <w:spacing w:after="0" w:line="240" w:lineRule="auto"/>
              <w:jc w:val="center"/>
              <w:rPr>
                <w:rFonts w:ascii="Times New Roman" w:hAnsi="Times New Roman"/>
                <w:sz w:val="20"/>
                <w:szCs w:val="20"/>
              </w:rPr>
            </w:pPr>
          </w:p>
        </w:tc>
      </w:tr>
      <w:tr w:rsidR="004E4F08" w:rsidRPr="004E4F08" w14:paraId="3A5118CF" w14:textId="77777777" w:rsidTr="004E4F08">
        <w:trPr>
          <w:jc w:val="center"/>
        </w:trPr>
        <w:tc>
          <w:tcPr>
            <w:tcW w:w="3566" w:type="dxa"/>
            <w:shd w:val="clear" w:color="auto" w:fill="auto"/>
            <w:vAlign w:val="center"/>
          </w:tcPr>
          <w:p w14:paraId="7789B102"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Cs/>
                <w:sz w:val="20"/>
                <w:szCs w:val="20"/>
              </w:rPr>
              <w:lastRenderedPageBreak/>
              <w:t>20/09/2017</w:t>
            </w:r>
          </w:p>
        </w:tc>
        <w:tc>
          <w:tcPr>
            <w:tcW w:w="3402" w:type="dxa"/>
            <w:shd w:val="clear" w:color="auto" w:fill="auto"/>
            <w:vAlign w:val="center"/>
          </w:tcPr>
          <w:p w14:paraId="7858852C"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Ministère de l’Agriculture</w:t>
            </w:r>
          </w:p>
        </w:tc>
        <w:tc>
          <w:tcPr>
            <w:tcW w:w="4678" w:type="dxa"/>
            <w:shd w:val="clear" w:color="auto" w:fill="auto"/>
            <w:vAlign w:val="center"/>
          </w:tcPr>
          <w:p w14:paraId="76F9D51A"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Paul COULIBALY</w:t>
            </w:r>
          </w:p>
        </w:tc>
        <w:tc>
          <w:tcPr>
            <w:tcW w:w="2399" w:type="dxa"/>
            <w:shd w:val="clear" w:color="auto" w:fill="auto"/>
            <w:vAlign w:val="center"/>
          </w:tcPr>
          <w:p w14:paraId="69714AD7"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Conseiller Technique en charge des infrastructures</w:t>
            </w:r>
          </w:p>
        </w:tc>
      </w:tr>
      <w:tr w:rsidR="004E4F08" w:rsidRPr="004E4F08" w14:paraId="32781A17" w14:textId="77777777" w:rsidTr="004E4F08">
        <w:trPr>
          <w:jc w:val="center"/>
        </w:trPr>
        <w:tc>
          <w:tcPr>
            <w:tcW w:w="3566" w:type="dxa"/>
            <w:shd w:val="clear" w:color="auto" w:fill="auto"/>
            <w:vAlign w:val="center"/>
          </w:tcPr>
          <w:p w14:paraId="54319CF5"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Cs/>
                <w:sz w:val="20"/>
                <w:szCs w:val="20"/>
              </w:rPr>
              <w:t>20/09/2017</w:t>
            </w:r>
          </w:p>
        </w:tc>
        <w:tc>
          <w:tcPr>
            <w:tcW w:w="3402" w:type="dxa"/>
            <w:shd w:val="clear" w:color="auto" w:fill="auto"/>
            <w:vAlign w:val="center"/>
          </w:tcPr>
          <w:p w14:paraId="0E5F4217"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BIT</w:t>
            </w:r>
          </w:p>
        </w:tc>
        <w:tc>
          <w:tcPr>
            <w:tcW w:w="4678" w:type="dxa"/>
            <w:shd w:val="clear" w:color="auto" w:fill="auto"/>
            <w:vAlign w:val="center"/>
          </w:tcPr>
          <w:p w14:paraId="77773316"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Hamidou CISSE</w:t>
            </w:r>
          </w:p>
        </w:tc>
        <w:tc>
          <w:tcPr>
            <w:tcW w:w="2399" w:type="dxa"/>
            <w:shd w:val="clear" w:color="auto" w:fill="auto"/>
            <w:vAlign w:val="center"/>
          </w:tcPr>
          <w:p w14:paraId="32EFBED1"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Coordinateur du Projet conjoint Jeunesse résilience</w:t>
            </w:r>
          </w:p>
        </w:tc>
      </w:tr>
      <w:tr w:rsidR="004E4F08" w:rsidRPr="004E4F08" w14:paraId="0E0F3B8F" w14:textId="77777777" w:rsidTr="004E4F08">
        <w:trPr>
          <w:jc w:val="center"/>
        </w:trPr>
        <w:tc>
          <w:tcPr>
            <w:tcW w:w="3566" w:type="dxa"/>
            <w:shd w:val="clear" w:color="auto" w:fill="auto"/>
            <w:vAlign w:val="center"/>
          </w:tcPr>
          <w:p w14:paraId="448DA6BE"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Cs/>
                <w:sz w:val="20"/>
                <w:szCs w:val="20"/>
              </w:rPr>
              <w:t>20/09/2017</w:t>
            </w:r>
          </w:p>
        </w:tc>
        <w:tc>
          <w:tcPr>
            <w:tcW w:w="3402" w:type="dxa"/>
            <w:shd w:val="clear" w:color="auto" w:fill="auto"/>
            <w:vAlign w:val="center"/>
          </w:tcPr>
          <w:p w14:paraId="09429E52"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FAO</w:t>
            </w:r>
          </w:p>
        </w:tc>
        <w:tc>
          <w:tcPr>
            <w:tcW w:w="4678" w:type="dxa"/>
            <w:shd w:val="clear" w:color="auto" w:fill="auto"/>
            <w:vAlign w:val="center"/>
          </w:tcPr>
          <w:p w14:paraId="5BC0545A"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Gabriel Hategekimana</w:t>
            </w:r>
          </w:p>
          <w:p w14:paraId="7C70F31C" w14:textId="77777777" w:rsidR="004E4F08" w:rsidRPr="004E4F08" w:rsidRDefault="004E4F08" w:rsidP="004E4F08">
            <w:pPr>
              <w:spacing w:after="0" w:line="240" w:lineRule="auto"/>
              <w:jc w:val="center"/>
              <w:rPr>
                <w:rFonts w:ascii="Times New Roman" w:hAnsi="Times New Roman"/>
                <w:sz w:val="20"/>
                <w:szCs w:val="20"/>
              </w:rPr>
            </w:pPr>
          </w:p>
          <w:p w14:paraId="142B6107" w14:textId="77777777" w:rsidR="004E4F08" w:rsidRPr="004E4F08" w:rsidRDefault="004E4F08" w:rsidP="004E4F08">
            <w:pPr>
              <w:spacing w:after="0" w:line="240" w:lineRule="auto"/>
              <w:jc w:val="center"/>
              <w:rPr>
                <w:rFonts w:ascii="Times New Roman" w:hAnsi="Times New Roman"/>
                <w:sz w:val="20"/>
                <w:szCs w:val="20"/>
              </w:rPr>
            </w:pPr>
          </w:p>
          <w:p w14:paraId="5F35F3BA"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Kader HAIDARA</w:t>
            </w:r>
          </w:p>
        </w:tc>
        <w:tc>
          <w:tcPr>
            <w:tcW w:w="2399" w:type="dxa"/>
            <w:shd w:val="clear" w:color="auto" w:fill="auto"/>
            <w:vAlign w:val="center"/>
          </w:tcPr>
          <w:p w14:paraId="33D40A87"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Chargé des opérations</w:t>
            </w:r>
          </w:p>
          <w:p w14:paraId="68A49C5B"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Chargé de suivi-évaluation</w:t>
            </w:r>
          </w:p>
        </w:tc>
      </w:tr>
      <w:tr w:rsidR="004E4F08" w:rsidRPr="004E4F08" w14:paraId="7DC5A16A" w14:textId="77777777" w:rsidTr="004E4F08">
        <w:trPr>
          <w:jc w:val="center"/>
        </w:trPr>
        <w:tc>
          <w:tcPr>
            <w:tcW w:w="3566" w:type="dxa"/>
            <w:shd w:val="clear" w:color="auto" w:fill="auto"/>
            <w:vAlign w:val="center"/>
          </w:tcPr>
          <w:p w14:paraId="796C9105"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Cs/>
                <w:sz w:val="20"/>
                <w:szCs w:val="20"/>
              </w:rPr>
              <w:t>21/09/2017</w:t>
            </w:r>
          </w:p>
        </w:tc>
        <w:tc>
          <w:tcPr>
            <w:tcW w:w="3402" w:type="dxa"/>
            <w:shd w:val="clear" w:color="auto" w:fill="auto"/>
            <w:vAlign w:val="center"/>
          </w:tcPr>
          <w:p w14:paraId="5504763C"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PNUD</w:t>
            </w:r>
          </w:p>
        </w:tc>
        <w:tc>
          <w:tcPr>
            <w:tcW w:w="4678" w:type="dxa"/>
            <w:shd w:val="clear" w:color="auto" w:fill="auto"/>
            <w:vAlign w:val="center"/>
          </w:tcPr>
          <w:p w14:paraId="2738BABC"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Abdou wahab Ba</w:t>
            </w:r>
          </w:p>
        </w:tc>
        <w:tc>
          <w:tcPr>
            <w:tcW w:w="2399" w:type="dxa"/>
            <w:shd w:val="clear" w:color="auto" w:fill="auto"/>
            <w:vAlign w:val="center"/>
          </w:tcPr>
          <w:p w14:paraId="46607718"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Chef Cluster décentralisation PNUD</w:t>
            </w:r>
          </w:p>
        </w:tc>
      </w:tr>
      <w:tr w:rsidR="004E4F08" w:rsidRPr="004E4F08" w14:paraId="6E4E4F8C" w14:textId="77777777" w:rsidTr="004E4F08">
        <w:trPr>
          <w:jc w:val="center"/>
        </w:trPr>
        <w:tc>
          <w:tcPr>
            <w:tcW w:w="3566" w:type="dxa"/>
            <w:shd w:val="clear" w:color="auto" w:fill="auto"/>
            <w:vAlign w:val="center"/>
          </w:tcPr>
          <w:p w14:paraId="21CE6D93"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Cs/>
                <w:sz w:val="20"/>
                <w:szCs w:val="20"/>
              </w:rPr>
              <w:t>21/09/2017</w:t>
            </w:r>
          </w:p>
        </w:tc>
        <w:tc>
          <w:tcPr>
            <w:tcW w:w="3402" w:type="dxa"/>
            <w:shd w:val="clear" w:color="auto" w:fill="auto"/>
            <w:vAlign w:val="center"/>
          </w:tcPr>
          <w:p w14:paraId="074E62DE"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Direction Nationale de la Jeunesse</w:t>
            </w:r>
          </w:p>
        </w:tc>
        <w:tc>
          <w:tcPr>
            <w:tcW w:w="4678" w:type="dxa"/>
            <w:shd w:val="clear" w:color="auto" w:fill="auto"/>
            <w:vAlign w:val="center"/>
          </w:tcPr>
          <w:p w14:paraId="6533968B"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Sina Dembélé</w:t>
            </w:r>
          </w:p>
        </w:tc>
        <w:tc>
          <w:tcPr>
            <w:tcW w:w="2399" w:type="dxa"/>
            <w:shd w:val="clear" w:color="auto" w:fill="auto"/>
            <w:vAlign w:val="center"/>
          </w:tcPr>
          <w:p w14:paraId="07233FAC"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Directeur National de la jeunesse</w:t>
            </w:r>
          </w:p>
        </w:tc>
      </w:tr>
      <w:tr w:rsidR="004E4F08" w:rsidRPr="004E4F08" w14:paraId="112C34B3" w14:textId="77777777" w:rsidTr="004E4F08">
        <w:trPr>
          <w:jc w:val="center"/>
        </w:trPr>
        <w:tc>
          <w:tcPr>
            <w:tcW w:w="3566" w:type="dxa"/>
            <w:shd w:val="clear" w:color="auto" w:fill="auto"/>
            <w:vAlign w:val="center"/>
          </w:tcPr>
          <w:p w14:paraId="4D4E9230"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Cs/>
                <w:sz w:val="20"/>
                <w:szCs w:val="20"/>
              </w:rPr>
              <w:t>25/09/2017</w:t>
            </w:r>
          </w:p>
        </w:tc>
        <w:tc>
          <w:tcPr>
            <w:tcW w:w="3402" w:type="dxa"/>
            <w:shd w:val="clear" w:color="auto" w:fill="auto"/>
            <w:vAlign w:val="center"/>
          </w:tcPr>
          <w:p w14:paraId="5A4B1DAB"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PNUD</w:t>
            </w:r>
          </w:p>
        </w:tc>
        <w:tc>
          <w:tcPr>
            <w:tcW w:w="4678" w:type="dxa"/>
            <w:shd w:val="clear" w:color="auto" w:fill="auto"/>
            <w:vAlign w:val="center"/>
          </w:tcPr>
          <w:p w14:paraId="0EBE07FC"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Frederic AKKA</w:t>
            </w:r>
          </w:p>
        </w:tc>
        <w:tc>
          <w:tcPr>
            <w:tcW w:w="2399" w:type="dxa"/>
            <w:shd w:val="clear" w:color="auto" w:fill="auto"/>
            <w:vAlign w:val="center"/>
          </w:tcPr>
          <w:p w14:paraId="2B450060"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Chef Cluster décentralisation PNUD</w:t>
            </w:r>
          </w:p>
        </w:tc>
      </w:tr>
      <w:tr w:rsidR="004E4F08" w:rsidRPr="004E4F08" w14:paraId="388A976F" w14:textId="77777777" w:rsidTr="004E4F08">
        <w:trPr>
          <w:jc w:val="center"/>
        </w:trPr>
        <w:tc>
          <w:tcPr>
            <w:tcW w:w="3566" w:type="dxa"/>
            <w:shd w:val="clear" w:color="auto" w:fill="auto"/>
            <w:vAlign w:val="center"/>
          </w:tcPr>
          <w:p w14:paraId="67EE77FD"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Cs/>
                <w:sz w:val="20"/>
                <w:szCs w:val="20"/>
              </w:rPr>
              <w:t>25/09/2017</w:t>
            </w:r>
          </w:p>
        </w:tc>
        <w:tc>
          <w:tcPr>
            <w:tcW w:w="3402" w:type="dxa"/>
            <w:shd w:val="clear" w:color="auto" w:fill="auto"/>
            <w:vAlign w:val="center"/>
          </w:tcPr>
          <w:p w14:paraId="427E1142"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Ambassade Japon</w:t>
            </w:r>
          </w:p>
        </w:tc>
        <w:tc>
          <w:tcPr>
            <w:tcW w:w="4678" w:type="dxa"/>
            <w:shd w:val="clear" w:color="auto" w:fill="auto"/>
            <w:vAlign w:val="center"/>
          </w:tcPr>
          <w:p w14:paraId="7968DD7A"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Hitomi ISHIDA</w:t>
            </w:r>
          </w:p>
        </w:tc>
        <w:tc>
          <w:tcPr>
            <w:tcW w:w="2399" w:type="dxa"/>
            <w:shd w:val="clear" w:color="auto" w:fill="auto"/>
            <w:vAlign w:val="center"/>
          </w:tcPr>
          <w:p w14:paraId="47057C9E"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Attaché</w:t>
            </w:r>
          </w:p>
        </w:tc>
      </w:tr>
      <w:tr w:rsidR="004E4F08" w:rsidRPr="004E4F08" w14:paraId="609BB33C" w14:textId="77777777" w:rsidTr="004E4F08">
        <w:trPr>
          <w:jc w:val="center"/>
        </w:trPr>
        <w:tc>
          <w:tcPr>
            <w:tcW w:w="3566" w:type="dxa"/>
            <w:shd w:val="clear" w:color="auto" w:fill="auto"/>
            <w:vAlign w:val="center"/>
          </w:tcPr>
          <w:p w14:paraId="37E05597"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Cs/>
                <w:sz w:val="20"/>
                <w:szCs w:val="20"/>
              </w:rPr>
              <w:t>25/09/2017</w:t>
            </w:r>
          </w:p>
        </w:tc>
        <w:tc>
          <w:tcPr>
            <w:tcW w:w="3402" w:type="dxa"/>
            <w:shd w:val="clear" w:color="auto" w:fill="auto"/>
            <w:vAlign w:val="center"/>
          </w:tcPr>
          <w:p w14:paraId="34405AA6"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Programme Fonds Mondial/PNUD</w:t>
            </w:r>
          </w:p>
        </w:tc>
        <w:tc>
          <w:tcPr>
            <w:tcW w:w="4678" w:type="dxa"/>
            <w:shd w:val="clear" w:color="auto" w:fill="auto"/>
            <w:vAlign w:val="center"/>
          </w:tcPr>
          <w:p w14:paraId="23E24F26"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Dr Abdoulaye BAGNOU</w:t>
            </w:r>
          </w:p>
        </w:tc>
        <w:tc>
          <w:tcPr>
            <w:tcW w:w="2399" w:type="dxa"/>
            <w:shd w:val="clear" w:color="auto" w:fill="auto"/>
            <w:vAlign w:val="center"/>
          </w:tcPr>
          <w:p w14:paraId="3C032B2A"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Coordonnateur Unité de gestion programme fonds mondial</w:t>
            </w:r>
          </w:p>
        </w:tc>
      </w:tr>
      <w:tr w:rsidR="004E4F08" w:rsidRPr="004E4F08" w14:paraId="567C915C" w14:textId="77777777" w:rsidTr="004E4F08">
        <w:trPr>
          <w:jc w:val="center"/>
        </w:trPr>
        <w:tc>
          <w:tcPr>
            <w:tcW w:w="3566" w:type="dxa"/>
            <w:shd w:val="clear" w:color="auto" w:fill="auto"/>
            <w:vAlign w:val="center"/>
          </w:tcPr>
          <w:p w14:paraId="503801DA"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Cs/>
                <w:sz w:val="20"/>
                <w:szCs w:val="20"/>
              </w:rPr>
              <w:t>26/09/2017</w:t>
            </w:r>
          </w:p>
        </w:tc>
        <w:tc>
          <w:tcPr>
            <w:tcW w:w="3402" w:type="dxa"/>
            <w:shd w:val="clear" w:color="auto" w:fill="auto"/>
            <w:vAlign w:val="center"/>
          </w:tcPr>
          <w:p w14:paraId="0FABE81B"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Ecole Nationale de Police</w:t>
            </w:r>
          </w:p>
        </w:tc>
        <w:tc>
          <w:tcPr>
            <w:tcW w:w="4678" w:type="dxa"/>
            <w:shd w:val="clear" w:color="auto" w:fill="auto"/>
            <w:vAlign w:val="center"/>
          </w:tcPr>
          <w:p w14:paraId="50F41A77" w14:textId="77777777" w:rsidR="004E4F08" w:rsidRPr="004E4F08" w:rsidRDefault="004E4F08" w:rsidP="004E4F08">
            <w:pPr>
              <w:spacing w:after="0" w:line="240" w:lineRule="auto"/>
              <w:jc w:val="center"/>
              <w:rPr>
                <w:rFonts w:ascii="Times New Roman" w:hAnsi="Times New Roman"/>
                <w:sz w:val="20"/>
                <w:szCs w:val="20"/>
              </w:rPr>
            </w:pPr>
          </w:p>
          <w:p w14:paraId="3FA82C16"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Mamy SYLLA</w:t>
            </w:r>
          </w:p>
          <w:p w14:paraId="31B00E34"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Mahamadou TANGARA</w:t>
            </w:r>
          </w:p>
          <w:p w14:paraId="4A1D9BEF"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Seydou DIARRA</w:t>
            </w:r>
          </w:p>
        </w:tc>
        <w:tc>
          <w:tcPr>
            <w:tcW w:w="2399" w:type="dxa"/>
            <w:shd w:val="clear" w:color="auto" w:fill="auto"/>
            <w:vAlign w:val="center"/>
          </w:tcPr>
          <w:p w14:paraId="6CF3FEC2" w14:textId="77777777" w:rsidR="004E4F08" w:rsidRPr="004E4F08" w:rsidRDefault="004E4F08" w:rsidP="004E4F08">
            <w:pPr>
              <w:spacing w:after="0" w:line="240" w:lineRule="auto"/>
              <w:jc w:val="center"/>
              <w:rPr>
                <w:rFonts w:ascii="Times New Roman" w:hAnsi="Times New Roman"/>
                <w:sz w:val="20"/>
                <w:szCs w:val="20"/>
              </w:rPr>
            </w:pPr>
          </w:p>
          <w:p w14:paraId="678137A2"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Directeur</w:t>
            </w:r>
          </w:p>
          <w:p w14:paraId="63403610"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RAF</w:t>
            </w:r>
          </w:p>
          <w:p w14:paraId="3166F973" w14:textId="77777777" w:rsidR="004E4F08" w:rsidRPr="004E4F08" w:rsidRDefault="004E4F08" w:rsidP="004E4F08">
            <w:pPr>
              <w:spacing w:after="0" w:line="240" w:lineRule="auto"/>
              <w:rPr>
                <w:rFonts w:ascii="Times New Roman" w:hAnsi="Times New Roman"/>
                <w:sz w:val="20"/>
                <w:szCs w:val="20"/>
              </w:rPr>
            </w:pPr>
            <w:r w:rsidRPr="004E4F08">
              <w:rPr>
                <w:rFonts w:ascii="Times New Roman" w:hAnsi="Times New Roman"/>
                <w:sz w:val="20"/>
                <w:szCs w:val="20"/>
              </w:rPr>
              <w:t>Directeur des études</w:t>
            </w:r>
          </w:p>
        </w:tc>
      </w:tr>
      <w:tr w:rsidR="004E4F08" w:rsidRPr="004E4F08" w14:paraId="2DD1969A" w14:textId="77777777" w:rsidTr="004E4F08">
        <w:trPr>
          <w:jc w:val="center"/>
        </w:trPr>
        <w:tc>
          <w:tcPr>
            <w:tcW w:w="3566" w:type="dxa"/>
            <w:shd w:val="clear" w:color="auto" w:fill="auto"/>
            <w:vAlign w:val="center"/>
          </w:tcPr>
          <w:p w14:paraId="03E1556F"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Cs/>
                <w:sz w:val="20"/>
                <w:szCs w:val="20"/>
              </w:rPr>
              <w:t>26/09/2017</w:t>
            </w:r>
          </w:p>
        </w:tc>
        <w:tc>
          <w:tcPr>
            <w:tcW w:w="3402" w:type="dxa"/>
            <w:shd w:val="clear" w:color="auto" w:fill="auto"/>
            <w:vAlign w:val="center"/>
          </w:tcPr>
          <w:p w14:paraId="76974316"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Cellule Technique des Réformes du Climat des Affaires (CTRCA)</w:t>
            </w:r>
          </w:p>
        </w:tc>
        <w:tc>
          <w:tcPr>
            <w:tcW w:w="4678" w:type="dxa"/>
            <w:shd w:val="clear" w:color="auto" w:fill="auto"/>
            <w:vAlign w:val="center"/>
          </w:tcPr>
          <w:p w14:paraId="23F592F0"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Mme KEITA Zeinabou Sacko</w:t>
            </w:r>
          </w:p>
        </w:tc>
        <w:tc>
          <w:tcPr>
            <w:tcW w:w="2399" w:type="dxa"/>
            <w:shd w:val="clear" w:color="auto" w:fill="auto"/>
            <w:vAlign w:val="center"/>
          </w:tcPr>
          <w:p w14:paraId="1F12C30D"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Chef de la cellule technique  des reformes du climat des affaires</w:t>
            </w:r>
          </w:p>
        </w:tc>
      </w:tr>
      <w:tr w:rsidR="004E4F08" w:rsidRPr="004E4F08" w14:paraId="0B52EA82" w14:textId="77777777" w:rsidTr="004E4F08">
        <w:trPr>
          <w:jc w:val="center"/>
        </w:trPr>
        <w:tc>
          <w:tcPr>
            <w:tcW w:w="3566" w:type="dxa"/>
            <w:shd w:val="clear" w:color="auto" w:fill="auto"/>
            <w:vAlign w:val="center"/>
          </w:tcPr>
          <w:p w14:paraId="5C8B535B"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Cs/>
                <w:sz w:val="20"/>
                <w:szCs w:val="20"/>
              </w:rPr>
              <w:t>26/09/2017</w:t>
            </w:r>
          </w:p>
        </w:tc>
        <w:tc>
          <w:tcPr>
            <w:tcW w:w="3402" w:type="dxa"/>
            <w:shd w:val="clear" w:color="auto" w:fill="auto"/>
            <w:vAlign w:val="center"/>
          </w:tcPr>
          <w:p w14:paraId="6809B9D9"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OMS</w:t>
            </w:r>
          </w:p>
        </w:tc>
        <w:tc>
          <w:tcPr>
            <w:tcW w:w="4678" w:type="dxa"/>
            <w:shd w:val="clear" w:color="auto" w:fill="auto"/>
            <w:vAlign w:val="center"/>
          </w:tcPr>
          <w:p w14:paraId="582BBA55"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Dr Kouadio Théodore Yao</w:t>
            </w:r>
          </w:p>
        </w:tc>
        <w:tc>
          <w:tcPr>
            <w:tcW w:w="2399" w:type="dxa"/>
            <w:shd w:val="clear" w:color="auto" w:fill="auto"/>
            <w:vAlign w:val="center"/>
          </w:tcPr>
          <w:p w14:paraId="20983C6D"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Expert International en Systèmes de Santé</w:t>
            </w:r>
          </w:p>
        </w:tc>
      </w:tr>
      <w:tr w:rsidR="004E4F08" w:rsidRPr="004E4F08" w14:paraId="35B3AAA7" w14:textId="77777777" w:rsidTr="004E4F08">
        <w:trPr>
          <w:jc w:val="center"/>
        </w:trPr>
        <w:tc>
          <w:tcPr>
            <w:tcW w:w="3566" w:type="dxa"/>
            <w:shd w:val="clear" w:color="auto" w:fill="auto"/>
            <w:vAlign w:val="center"/>
          </w:tcPr>
          <w:p w14:paraId="06FB2697"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Cs/>
                <w:sz w:val="20"/>
                <w:szCs w:val="20"/>
              </w:rPr>
              <w:t>26/09/2017</w:t>
            </w:r>
          </w:p>
        </w:tc>
        <w:tc>
          <w:tcPr>
            <w:tcW w:w="3402" w:type="dxa"/>
            <w:shd w:val="clear" w:color="auto" w:fill="auto"/>
            <w:vAlign w:val="center"/>
          </w:tcPr>
          <w:p w14:paraId="6C042C85"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Cellule Technique du Cadre Stratégique de Lutte contre la Pauvreté</w:t>
            </w:r>
          </w:p>
        </w:tc>
        <w:tc>
          <w:tcPr>
            <w:tcW w:w="4678" w:type="dxa"/>
            <w:shd w:val="clear" w:color="auto" w:fill="auto"/>
            <w:vAlign w:val="center"/>
          </w:tcPr>
          <w:p w14:paraId="772CD6F6"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Mahamadou Zibo MAIGA</w:t>
            </w:r>
          </w:p>
        </w:tc>
        <w:tc>
          <w:tcPr>
            <w:tcW w:w="2399" w:type="dxa"/>
            <w:shd w:val="clear" w:color="auto" w:fill="auto"/>
            <w:vAlign w:val="center"/>
          </w:tcPr>
          <w:p w14:paraId="0E3F83E5"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 xml:space="preserve">Coordonnateur </w:t>
            </w:r>
          </w:p>
        </w:tc>
      </w:tr>
      <w:tr w:rsidR="004E4F08" w:rsidRPr="004E4F08" w14:paraId="4412EB9A" w14:textId="77777777" w:rsidTr="004E4F08">
        <w:trPr>
          <w:jc w:val="center"/>
        </w:trPr>
        <w:tc>
          <w:tcPr>
            <w:tcW w:w="3566" w:type="dxa"/>
            <w:shd w:val="clear" w:color="auto" w:fill="auto"/>
            <w:vAlign w:val="center"/>
          </w:tcPr>
          <w:p w14:paraId="48A6A6ED"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Cs/>
                <w:sz w:val="20"/>
                <w:szCs w:val="20"/>
              </w:rPr>
              <w:t>26/09/2017</w:t>
            </w:r>
          </w:p>
        </w:tc>
        <w:tc>
          <w:tcPr>
            <w:tcW w:w="3402" w:type="dxa"/>
            <w:shd w:val="clear" w:color="auto" w:fill="auto"/>
            <w:vAlign w:val="center"/>
          </w:tcPr>
          <w:p w14:paraId="3C5EBF45"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PNUD</w:t>
            </w:r>
          </w:p>
        </w:tc>
        <w:tc>
          <w:tcPr>
            <w:tcW w:w="4678" w:type="dxa"/>
            <w:shd w:val="clear" w:color="auto" w:fill="auto"/>
            <w:vAlign w:val="center"/>
          </w:tcPr>
          <w:p w14:paraId="19DC867F"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Tsagao TRAORE</w:t>
            </w:r>
          </w:p>
        </w:tc>
        <w:tc>
          <w:tcPr>
            <w:tcW w:w="2399" w:type="dxa"/>
            <w:shd w:val="clear" w:color="auto" w:fill="auto"/>
            <w:vAlign w:val="center"/>
          </w:tcPr>
          <w:p w14:paraId="3C20741A"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Expert droit de l’homme</w:t>
            </w:r>
          </w:p>
        </w:tc>
      </w:tr>
      <w:tr w:rsidR="004E4F08" w:rsidRPr="004E4F08" w14:paraId="2AB6FE34" w14:textId="77777777" w:rsidTr="004E4F08">
        <w:trPr>
          <w:jc w:val="center"/>
        </w:trPr>
        <w:tc>
          <w:tcPr>
            <w:tcW w:w="3566" w:type="dxa"/>
            <w:shd w:val="clear" w:color="auto" w:fill="auto"/>
            <w:vAlign w:val="center"/>
          </w:tcPr>
          <w:p w14:paraId="24E54AD7"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Cs/>
                <w:sz w:val="20"/>
                <w:szCs w:val="20"/>
              </w:rPr>
              <w:t>27/09/2017</w:t>
            </w:r>
          </w:p>
        </w:tc>
        <w:tc>
          <w:tcPr>
            <w:tcW w:w="3402" w:type="dxa"/>
            <w:shd w:val="clear" w:color="auto" w:fill="auto"/>
            <w:vAlign w:val="center"/>
          </w:tcPr>
          <w:p w14:paraId="0B74D00F"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Direction Générale des Collectivités Territoriales</w:t>
            </w:r>
          </w:p>
        </w:tc>
        <w:tc>
          <w:tcPr>
            <w:tcW w:w="4678" w:type="dxa"/>
            <w:shd w:val="clear" w:color="auto" w:fill="auto"/>
            <w:vAlign w:val="center"/>
          </w:tcPr>
          <w:p w14:paraId="1B5E7A89"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Abdrhamane CISSE</w:t>
            </w:r>
          </w:p>
        </w:tc>
        <w:tc>
          <w:tcPr>
            <w:tcW w:w="2399" w:type="dxa"/>
            <w:shd w:val="clear" w:color="auto" w:fill="auto"/>
            <w:vAlign w:val="center"/>
          </w:tcPr>
          <w:p w14:paraId="128F9E42"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Directeur Général</w:t>
            </w:r>
          </w:p>
        </w:tc>
      </w:tr>
      <w:tr w:rsidR="004E4F08" w:rsidRPr="004E4F08" w14:paraId="57BC6675" w14:textId="77777777" w:rsidTr="004E4F08">
        <w:trPr>
          <w:jc w:val="center"/>
        </w:trPr>
        <w:tc>
          <w:tcPr>
            <w:tcW w:w="3566" w:type="dxa"/>
            <w:shd w:val="clear" w:color="auto" w:fill="auto"/>
            <w:vAlign w:val="center"/>
          </w:tcPr>
          <w:p w14:paraId="4942DB85"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Cs/>
                <w:sz w:val="20"/>
                <w:szCs w:val="20"/>
              </w:rPr>
              <w:t>27/09/2017</w:t>
            </w:r>
          </w:p>
        </w:tc>
        <w:tc>
          <w:tcPr>
            <w:tcW w:w="3402" w:type="dxa"/>
            <w:shd w:val="clear" w:color="auto" w:fill="auto"/>
            <w:vAlign w:val="center"/>
          </w:tcPr>
          <w:p w14:paraId="24EC53DC"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Ministère des Affaires étrangères et de la Coopération internationale</w:t>
            </w:r>
          </w:p>
        </w:tc>
        <w:tc>
          <w:tcPr>
            <w:tcW w:w="4678" w:type="dxa"/>
            <w:shd w:val="clear" w:color="auto" w:fill="auto"/>
            <w:vAlign w:val="center"/>
          </w:tcPr>
          <w:p w14:paraId="1959F0E5"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Modibo TRAORE</w:t>
            </w:r>
          </w:p>
        </w:tc>
        <w:tc>
          <w:tcPr>
            <w:tcW w:w="2399" w:type="dxa"/>
            <w:shd w:val="clear" w:color="auto" w:fill="auto"/>
            <w:vAlign w:val="center"/>
          </w:tcPr>
          <w:p w14:paraId="2A7B5018"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Directeur de la Cooperation Multilatérale</w:t>
            </w:r>
          </w:p>
        </w:tc>
      </w:tr>
      <w:tr w:rsidR="004E4F08" w:rsidRPr="004E4F08" w14:paraId="61B4A941" w14:textId="77777777" w:rsidTr="004E4F08">
        <w:trPr>
          <w:jc w:val="center"/>
        </w:trPr>
        <w:tc>
          <w:tcPr>
            <w:tcW w:w="3566" w:type="dxa"/>
            <w:shd w:val="clear" w:color="auto" w:fill="auto"/>
            <w:vAlign w:val="center"/>
          </w:tcPr>
          <w:p w14:paraId="71B38A1E"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Cs/>
                <w:sz w:val="20"/>
                <w:szCs w:val="20"/>
              </w:rPr>
              <w:t>27/09/2017</w:t>
            </w:r>
          </w:p>
        </w:tc>
        <w:tc>
          <w:tcPr>
            <w:tcW w:w="3402" w:type="dxa"/>
            <w:shd w:val="clear" w:color="auto" w:fill="auto"/>
            <w:vAlign w:val="center"/>
          </w:tcPr>
          <w:p w14:paraId="0FC68528"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Ministère de la réconciliation nationale</w:t>
            </w:r>
          </w:p>
        </w:tc>
        <w:tc>
          <w:tcPr>
            <w:tcW w:w="4678" w:type="dxa"/>
            <w:shd w:val="clear" w:color="auto" w:fill="auto"/>
            <w:vAlign w:val="center"/>
          </w:tcPr>
          <w:p w14:paraId="4DEF0481"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Bassidy COULIBALY</w:t>
            </w:r>
          </w:p>
        </w:tc>
        <w:tc>
          <w:tcPr>
            <w:tcW w:w="2399" w:type="dxa"/>
            <w:shd w:val="clear" w:color="auto" w:fill="auto"/>
            <w:vAlign w:val="center"/>
          </w:tcPr>
          <w:p w14:paraId="658CB2CF"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CT/Expert Gouvernance</w:t>
            </w:r>
          </w:p>
        </w:tc>
      </w:tr>
      <w:tr w:rsidR="004E4F08" w:rsidRPr="004E4F08" w14:paraId="1EF90264" w14:textId="77777777" w:rsidTr="004E4F08">
        <w:trPr>
          <w:jc w:val="center"/>
        </w:trPr>
        <w:tc>
          <w:tcPr>
            <w:tcW w:w="3566" w:type="dxa"/>
            <w:shd w:val="clear" w:color="auto" w:fill="auto"/>
            <w:vAlign w:val="center"/>
          </w:tcPr>
          <w:p w14:paraId="6ACE1EB1"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Cs/>
                <w:sz w:val="20"/>
                <w:szCs w:val="20"/>
              </w:rPr>
              <w:t>27/09/2017</w:t>
            </w:r>
          </w:p>
        </w:tc>
        <w:tc>
          <w:tcPr>
            <w:tcW w:w="3402" w:type="dxa"/>
            <w:shd w:val="clear" w:color="auto" w:fill="auto"/>
            <w:vAlign w:val="center"/>
          </w:tcPr>
          <w:p w14:paraId="007C64B7"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Cellule de Planification et de Statistique/Ministère de la Justice</w:t>
            </w:r>
          </w:p>
        </w:tc>
        <w:tc>
          <w:tcPr>
            <w:tcW w:w="4678" w:type="dxa"/>
            <w:shd w:val="clear" w:color="auto" w:fill="auto"/>
            <w:vAlign w:val="center"/>
          </w:tcPr>
          <w:p w14:paraId="3F30700F"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Mme BA Haoua TOUMAGNON</w:t>
            </w:r>
          </w:p>
        </w:tc>
        <w:tc>
          <w:tcPr>
            <w:tcW w:w="2399" w:type="dxa"/>
            <w:shd w:val="clear" w:color="auto" w:fill="auto"/>
            <w:vAlign w:val="center"/>
          </w:tcPr>
          <w:p w14:paraId="4047D667"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Directrice</w:t>
            </w:r>
          </w:p>
        </w:tc>
      </w:tr>
      <w:tr w:rsidR="004E4F08" w:rsidRPr="004E4F08" w14:paraId="2FEB0425" w14:textId="77777777" w:rsidTr="004E4F08">
        <w:trPr>
          <w:jc w:val="center"/>
        </w:trPr>
        <w:tc>
          <w:tcPr>
            <w:tcW w:w="3566" w:type="dxa"/>
            <w:shd w:val="clear" w:color="auto" w:fill="auto"/>
            <w:vAlign w:val="center"/>
          </w:tcPr>
          <w:p w14:paraId="51DD690E"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Cs/>
                <w:sz w:val="20"/>
                <w:szCs w:val="20"/>
              </w:rPr>
              <w:lastRenderedPageBreak/>
              <w:t>27/09/2017</w:t>
            </w:r>
          </w:p>
        </w:tc>
        <w:tc>
          <w:tcPr>
            <w:tcW w:w="3402" w:type="dxa"/>
            <w:shd w:val="clear" w:color="auto" w:fill="auto"/>
            <w:vAlign w:val="center"/>
          </w:tcPr>
          <w:p w14:paraId="361416CD"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UNFPA</w:t>
            </w:r>
          </w:p>
        </w:tc>
        <w:tc>
          <w:tcPr>
            <w:tcW w:w="4678" w:type="dxa"/>
            <w:shd w:val="clear" w:color="auto" w:fill="auto"/>
            <w:vAlign w:val="center"/>
          </w:tcPr>
          <w:p w14:paraId="3BBB92B6"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Sadou DOUMBO</w:t>
            </w:r>
          </w:p>
          <w:p w14:paraId="25F81A99" w14:textId="77777777" w:rsidR="004E4F08" w:rsidRPr="004E4F08" w:rsidRDefault="004E4F08" w:rsidP="004E4F08">
            <w:pPr>
              <w:spacing w:after="0" w:line="240" w:lineRule="auto"/>
              <w:jc w:val="center"/>
              <w:rPr>
                <w:rFonts w:ascii="Times New Roman" w:hAnsi="Times New Roman"/>
                <w:sz w:val="20"/>
                <w:szCs w:val="20"/>
              </w:rPr>
            </w:pPr>
          </w:p>
          <w:p w14:paraId="3A212830"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Faye Nana Mouneissa TOURE</w:t>
            </w:r>
          </w:p>
          <w:p w14:paraId="250F93A7" w14:textId="77777777" w:rsidR="004E4F08" w:rsidRPr="004E4F08" w:rsidRDefault="004E4F08" w:rsidP="004E4F08">
            <w:pPr>
              <w:spacing w:after="0" w:line="240" w:lineRule="auto"/>
              <w:jc w:val="center"/>
              <w:rPr>
                <w:rFonts w:ascii="Times New Roman" w:hAnsi="Times New Roman"/>
                <w:sz w:val="20"/>
                <w:szCs w:val="20"/>
              </w:rPr>
            </w:pPr>
          </w:p>
          <w:p w14:paraId="61A03BD1"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Raymond BERTHE</w:t>
            </w:r>
          </w:p>
        </w:tc>
        <w:tc>
          <w:tcPr>
            <w:tcW w:w="2399" w:type="dxa"/>
            <w:shd w:val="clear" w:color="auto" w:fill="auto"/>
            <w:vAlign w:val="center"/>
          </w:tcPr>
          <w:p w14:paraId="5B23AC12"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Chargé de Programme</w:t>
            </w:r>
          </w:p>
          <w:p w14:paraId="028D2501" w14:textId="77777777" w:rsidR="004E4F08" w:rsidRPr="004E4F08" w:rsidRDefault="004E4F08" w:rsidP="004E4F08">
            <w:pPr>
              <w:spacing w:after="0" w:line="240" w:lineRule="auto"/>
              <w:jc w:val="center"/>
              <w:rPr>
                <w:rFonts w:ascii="Times New Roman" w:hAnsi="Times New Roman"/>
                <w:sz w:val="20"/>
                <w:szCs w:val="20"/>
              </w:rPr>
            </w:pPr>
          </w:p>
          <w:p w14:paraId="7BD15181"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Coordinatrice Genre</w:t>
            </w:r>
          </w:p>
          <w:p w14:paraId="2830C045" w14:textId="77777777" w:rsidR="004E4F08" w:rsidRPr="004E4F08" w:rsidRDefault="004E4F08" w:rsidP="004E4F08">
            <w:pPr>
              <w:spacing w:after="0" w:line="240" w:lineRule="auto"/>
              <w:jc w:val="center"/>
              <w:rPr>
                <w:rFonts w:ascii="Times New Roman" w:hAnsi="Times New Roman"/>
                <w:sz w:val="20"/>
                <w:szCs w:val="20"/>
              </w:rPr>
            </w:pPr>
          </w:p>
          <w:p w14:paraId="714CF1F4"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Resp suivi - évaluation</w:t>
            </w:r>
          </w:p>
        </w:tc>
      </w:tr>
      <w:tr w:rsidR="004E4F08" w:rsidRPr="004E4F08" w14:paraId="03BD9111" w14:textId="77777777" w:rsidTr="004E4F08">
        <w:trPr>
          <w:jc w:val="center"/>
        </w:trPr>
        <w:tc>
          <w:tcPr>
            <w:tcW w:w="3566" w:type="dxa"/>
            <w:shd w:val="clear" w:color="auto" w:fill="auto"/>
            <w:vAlign w:val="center"/>
          </w:tcPr>
          <w:p w14:paraId="660AC57F"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Cs/>
                <w:sz w:val="20"/>
                <w:szCs w:val="20"/>
              </w:rPr>
              <w:t>27/09/2017</w:t>
            </w:r>
          </w:p>
        </w:tc>
        <w:tc>
          <w:tcPr>
            <w:tcW w:w="3402" w:type="dxa"/>
            <w:shd w:val="clear" w:color="auto" w:fill="auto"/>
            <w:vAlign w:val="center"/>
          </w:tcPr>
          <w:p w14:paraId="464792F8"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ONIDO</w:t>
            </w:r>
          </w:p>
        </w:tc>
        <w:tc>
          <w:tcPr>
            <w:tcW w:w="4678" w:type="dxa"/>
            <w:shd w:val="clear" w:color="auto" w:fill="auto"/>
            <w:vAlign w:val="center"/>
          </w:tcPr>
          <w:p w14:paraId="42DE1B45"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Haby SOW TRAORE</w:t>
            </w:r>
          </w:p>
        </w:tc>
        <w:tc>
          <w:tcPr>
            <w:tcW w:w="2399" w:type="dxa"/>
            <w:shd w:val="clear" w:color="auto" w:fill="auto"/>
            <w:vAlign w:val="center"/>
          </w:tcPr>
          <w:p w14:paraId="5DC90479"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Chargé des opérations</w:t>
            </w:r>
          </w:p>
        </w:tc>
      </w:tr>
      <w:tr w:rsidR="004E4F08" w:rsidRPr="004E4F08" w14:paraId="4BDA4F53" w14:textId="77777777" w:rsidTr="004E4F08">
        <w:trPr>
          <w:jc w:val="center"/>
        </w:trPr>
        <w:tc>
          <w:tcPr>
            <w:tcW w:w="3566" w:type="dxa"/>
            <w:shd w:val="clear" w:color="auto" w:fill="auto"/>
            <w:vAlign w:val="center"/>
          </w:tcPr>
          <w:p w14:paraId="1A72FD5D"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Cs/>
                <w:sz w:val="20"/>
                <w:szCs w:val="20"/>
              </w:rPr>
              <w:t>28/09/2017</w:t>
            </w:r>
          </w:p>
        </w:tc>
        <w:tc>
          <w:tcPr>
            <w:tcW w:w="3402" w:type="dxa"/>
            <w:shd w:val="clear" w:color="auto" w:fill="auto"/>
            <w:vAlign w:val="center"/>
          </w:tcPr>
          <w:p w14:paraId="486E9780"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UNICEF</w:t>
            </w:r>
          </w:p>
        </w:tc>
        <w:tc>
          <w:tcPr>
            <w:tcW w:w="4678" w:type="dxa"/>
            <w:shd w:val="clear" w:color="auto" w:fill="auto"/>
            <w:vAlign w:val="center"/>
          </w:tcPr>
          <w:p w14:paraId="55B6E49D"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Alessandra DENTICE</w:t>
            </w:r>
          </w:p>
        </w:tc>
        <w:tc>
          <w:tcPr>
            <w:tcW w:w="2399" w:type="dxa"/>
            <w:shd w:val="clear" w:color="auto" w:fill="auto"/>
            <w:vAlign w:val="center"/>
          </w:tcPr>
          <w:p w14:paraId="646D3014"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Deputy Representative</w:t>
            </w:r>
          </w:p>
        </w:tc>
      </w:tr>
      <w:tr w:rsidR="004E4F08" w:rsidRPr="004E4F08" w14:paraId="68A32862" w14:textId="77777777" w:rsidTr="004E4F08">
        <w:trPr>
          <w:jc w:val="center"/>
        </w:trPr>
        <w:tc>
          <w:tcPr>
            <w:tcW w:w="3566" w:type="dxa"/>
            <w:shd w:val="clear" w:color="auto" w:fill="auto"/>
            <w:vAlign w:val="center"/>
          </w:tcPr>
          <w:p w14:paraId="1121F7C0"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Cs/>
                <w:sz w:val="20"/>
                <w:szCs w:val="20"/>
              </w:rPr>
              <w:t>28/09/2017</w:t>
            </w:r>
          </w:p>
        </w:tc>
        <w:tc>
          <w:tcPr>
            <w:tcW w:w="3402" w:type="dxa"/>
            <w:shd w:val="clear" w:color="auto" w:fill="auto"/>
            <w:vAlign w:val="center"/>
          </w:tcPr>
          <w:p w14:paraId="5F2A36FF"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Ambassade Pays Bas</w:t>
            </w:r>
          </w:p>
        </w:tc>
        <w:tc>
          <w:tcPr>
            <w:tcW w:w="4678" w:type="dxa"/>
            <w:shd w:val="clear" w:color="auto" w:fill="auto"/>
            <w:vAlign w:val="center"/>
          </w:tcPr>
          <w:p w14:paraId="718CC1F4"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Mamadou BA</w:t>
            </w:r>
          </w:p>
        </w:tc>
        <w:tc>
          <w:tcPr>
            <w:tcW w:w="2399" w:type="dxa"/>
            <w:shd w:val="clear" w:color="auto" w:fill="auto"/>
            <w:vAlign w:val="center"/>
          </w:tcPr>
          <w:p w14:paraId="3FF9AE5E"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Chargé de Politique et Gouvernance</w:t>
            </w:r>
          </w:p>
        </w:tc>
      </w:tr>
      <w:tr w:rsidR="004E4F08" w:rsidRPr="004E4F08" w14:paraId="6BF4D800" w14:textId="77777777" w:rsidTr="004E4F08">
        <w:trPr>
          <w:jc w:val="center"/>
        </w:trPr>
        <w:tc>
          <w:tcPr>
            <w:tcW w:w="3566" w:type="dxa"/>
            <w:shd w:val="clear" w:color="auto" w:fill="auto"/>
            <w:vAlign w:val="center"/>
          </w:tcPr>
          <w:p w14:paraId="56512871"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Cs/>
                <w:sz w:val="20"/>
                <w:szCs w:val="20"/>
              </w:rPr>
              <w:t>28/09/2017</w:t>
            </w:r>
          </w:p>
        </w:tc>
        <w:tc>
          <w:tcPr>
            <w:tcW w:w="3402" w:type="dxa"/>
            <w:shd w:val="clear" w:color="auto" w:fill="auto"/>
            <w:vAlign w:val="center"/>
          </w:tcPr>
          <w:p w14:paraId="02896606"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UNESCO</w:t>
            </w:r>
          </w:p>
        </w:tc>
        <w:tc>
          <w:tcPr>
            <w:tcW w:w="4678" w:type="dxa"/>
            <w:shd w:val="clear" w:color="auto" w:fill="auto"/>
            <w:vAlign w:val="center"/>
          </w:tcPr>
          <w:p w14:paraId="6C1BA807"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Pierre SAYE</w:t>
            </w:r>
          </w:p>
          <w:p w14:paraId="7C0A090E"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Hawa TRAORE</w:t>
            </w:r>
          </w:p>
        </w:tc>
        <w:tc>
          <w:tcPr>
            <w:tcW w:w="2399" w:type="dxa"/>
            <w:shd w:val="clear" w:color="auto" w:fill="auto"/>
            <w:vAlign w:val="center"/>
          </w:tcPr>
          <w:p w14:paraId="280A603D"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Chargé de programme</w:t>
            </w:r>
          </w:p>
          <w:p w14:paraId="311ACB45"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Assistante</w:t>
            </w:r>
          </w:p>
        </w:tc>
      </w:tr>
      <w:tr w:rsidR="004E4F08" w:rsidRPr="004E4F08" w14:paraId="4293841D" w14:textId="77777777" w:rsidTr="004E4F08">
        <w:trPr>
          <w:jc w:val="center"/>
        </w:trPr>
        <w:tc>
          <w:tcPr>
            <w:tcW w:w="3566" w:type="dxa"/>
            <w:shd w:val="clear" w:color="auto" w:fill="auto"/>
            <w:vAlign w:val="center"/>
          </w:tcPr>
          <w:p w14:paraId="2B0F7236"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Cs/>
                <w:sz w:val="20"/>
                <w:szCs w:val="20"/>
              </w:rPr>
              <w:t>28/09/2017</w:t>
            </w:r>
          </w:p>
        </w:tc>
        <w:tc>
          <w:tcPr>
            <w:tcW w:w="3402" w:type="dxa"/>
            <w:shd w:val="clear" w:color="auto" w:fill="auto"/>
            <w:vAlign w:val="center"/>
          </w:tcPr>
          <w:p w14:paraId="0A9D3EFD"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 xml:space="preserve">Section des Comptes/Cour suprême </w:t>
            </w:r>
          </w:p>
        </w:tc>
        <w:tc>
          <w:tcPr>
            <w:tcW w:w="4678" w:type="dxa"/>
            <w:shd w:val="clear" w:color="auto" w:fill="auto"/>
            <w:vAlign w:val="center"/>
          </w:tcPr>
          <w:p w14:paraId="4D861A52"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Kloussama GOITA</w:t>
            </w:r>
          </w:p>
          <w:p w14:paraId="2CAC8E49"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Moctar KONE</w:t>
            </w:r>
          </w:p>
          <w:p w14:paraId="72DB5FD5"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Smaïla DOUYON</w:t>
            </w:r>
          </w:p>
        </w:tc>
        <w:tc>
          <w:tcPr>
            <w:tcW w:w="2399" w:type="dxa"/>
            <w:shd w:val="clear" w:color="auto" w:fill="auto"/>
            <w:vAlign w:val="center"/>
          </w:tcPr>
          <w:p w14:paraId="64F85BFF"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Président de la section</w:t>
            </w:r>
          </w:p>
          <w:p w14:paraId="26EE3BF3"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Président de chambre section</w:t>
            </w:r>
          </w:p>
          <w:p w14:paraId="1C7EABDA"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Conseiller section</w:t>
            </w:r>
          </w:p>
        </w:tc>
      </w:tr>
      <w:tr w:rsidR="004E4F08" w:rsidRPr="004E4F08" w14:paraId="6D15A7E6" w14:textId="77777777" w:rsidTr="004E4F08">
        <w:trPr>
          <w:jc w:val="center"/>
        </w:trPr>
        <w:tc>
          <w:tcPr>
            <w:tcW w:w="3566" w:type="dxa"/>
            <w:shd w:val="clear" w:color="auto" w:fill="auto"/>
            <w:vAlign w:val="center"/>
          </w:tcPr>
          <w:p w14:paraId="30403609"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Cs/>
                <w:sz w:val="20"/>
                <w:szCs w:val="20"/>
              </w:rPr>
              <w:t>29/09/2017</w:t>
            </w:r>
          </w:p>
        </w:tc>
        <w:tc>
          <w:tcPr>
            <w:tcW w:w="3402" w:type="dxa"/>
            <w:shd w:val="clear" w:color="auto" w:fill="auto"/>
            <w:vAlign w:val="center"/>
          </w:tcPr>
          <w:p w14:paraId="2A65C785"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VNU/PNUD</w:t>
            </w:r>
          </w:p>
        </w:tc>
        <w:tc>
          <w:tcPr>
            <w:tcW w:w="4678" w:type="dxa"/>
            <w:shd w:val="clear" w:color="auto" w:fill="auto"/>
            <w:vAlign w:val="center"/>
          </w:tcPr>
          <w:p w14:paraId="1DA40166"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Pauline Deneufbourg</w:t>
            </w:r>
          </w:p>
          <w:p w14:paraId="37D675DB"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Michael ZONGO</w:t>
            </w:r>
          </w:p>
        </w:tc>
        <w:tc>
          <w:tcPr>
            <w:tcW w:w="2399" w:type="dxa"/>
            <w:shd w:val="clear" w:color="auto" w:fill="auto"/>
            <w:vAlign w:val="center"/>
          </w:tcPr>
          <w:p w14:paraId="39741732"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Coordinatrice de programme VNU</w:t>
            </w:r>
          </w:p>
          <w:p w14:paraId="35AA9B54"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Progamme Officer</w:t>
            </w:r>
          </w:p>
        </w:tc>
      </w:tr>
      <w:tr w:rsidR="004E4F08" w:rsidRPr="004E4F08" w14:paraId="4C22A237" w14:textId="77777777" w:rsidTr="004E4F08">
        <w:trPr>
          <w:jc w:val="center"/>
        </w:trPr>
        <w:tc>
          <w:tcPr>
            <w:tcW w:w="3566" w:type="dxa"/>
            <w:shd w:val="clear" w:color="auto" w:fill="auto"/>
            <w:vAlign w:val="center"/>
          </w:tcPr>
          <w:p w14:paraId="72D72035"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Cs/>
                <w:sz w:val="20"/>
                <w:szCs w:val="20"/>
              </w:rPr>
              <w:t>29/09/2017</w:t>
            </w:r>
          </w:p>
        </w:tc>
        <w:tc>
          <w:tcPr>
            <w:tcW w:w="3402" w:type="dxa"/>
            <w:shd w:val="clear" w:color="auto" w:fill="auto"/>
            <w:vAlign w:val="center"/>
          </w:tcPr>
          <w:p w14:paraId="41FB829F"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Unité Suivi-évaluation (PMSU)/PNUD</w:t>
            </w:r>
          </w:p>
        </w:tc>
        <w:tc>
          <w:tcPr>
            <w:tcW w:w="4678" w:type="dxa"/>
            <w:shd w:val="clear" w:color="auto" w:fill="auto"/>
            <w:vAlign w:val="center"/>
          </w:tcPr>
          <w:p w14:paraId="68CEE0DB"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Cheick Magassouba</w:t>
            </w:r>
          </w:p>
          <w:p w14:paraId="63951C41"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Safia GUINDO</w:t>
            </w:r>
          </w:p>
        </w:tc>
        <w:tc>
          <w:tcPr>
            <w:tcW w:w="2399" w:type="dxa"/>
            <w:shd w:val="clear" w:color="auto" w:fill="auto"/>
            <w:vAlign w:val="center"/>
          </w:tcPr>
          <w:p w14:paraId="6A69DCA0"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Chef d’unité</w:t>
            </w:r>
          </w:p>
          <w:p w14:paraId="7A41DF5B" w14:textId="77777777" w:rsidR="004E4F08" w:rsidRPr="004E4F08" w:rsidRDefault="004E4F08" w:rsidP="004E4F08">
            <w:pPr>
              <w:spacing w:after="0" w:line="240" w:lineRule="auto"/>
              <w:jc w:val="center"/>
              <w:rPr>
                <w:rFonts w:ascii="Times New Roman" w:hAnsi="Times New Roman"/>
                <w:sz w:val="20"/>
                <w:szCs w:val="20"/>
              </w:rPr>
            </w:pPr>
            <w:r>
              <w:rPr>
                <w:rFonts w:ascii="Times New Roman" w:hAnsi="Times New Roman"/>
                <w:sz w:val="20"/>
                <w:szCs w:val="20"/>
              </w:rPr>
              <w:t>PMSU</w:t>
            </w:r>
          </w:p>
        </w:tc>
      </w:tr>
      <w:tr w:rsidR="004E4F08" w:rsidRPr="004E4F08" w14:paraId="4C5CC435" w14:textId="77777777" w:rsidTr="004E4F08">
        <w:trPr>
          <w:jc w:val="center"/>
        </w:trPr>
        <w:tc>
          <w:tcPr>
            <w:tcW w:w="3566" w:type="dxa"/>
            <w:shd w:val="clear" w:color="auto" w:fill="auto"/>
            <w:vAlign w:val="center"/>
          </w:tcPr>
          <w:p w14:paraId="67B5F111"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Cs/>
                <w:sz w:val="20"/>
                <w:szCs w:val="20"/>
              </w:rPr>
              <w:t>29/09/2017</w:t>
            </w:r>
          </w:p>
        </w:tc>
        <w:tc>
          <w:tcPr>
            <w:tcW w:w="3402" w:type="dxa"/>
            <w:shd w:val="clear" w:color="auto" w:fill="auto"/>
            <w:vAlign w:val="center"/>
          </w:tcPr>
          <w:p w14:paraId="49EE1841"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ONU FEMMES</w:t>
            </w:r>
          </w:p>
        </w:tc>
        <w:tc>
          <w:tcPr>
            <w:tcW w:w="4678" w:type="dxa"/>
            <w:shd w:val="clear" w:color="auto" w:fill="auto"/>
            <w:vAlign w:val="center"/>
          </w:tcPr>
          <w:p w14:paraId="4E2551D9" w14:textId="77777777" w:rsidR="004E4F08" w:rsidRPr="004E4F08" w:rsidRDefault="004E4F08" w:rsidP="004E4F08">
            <w:pPr>
              <w:spacing w:after="0" w:line="240" w:lineRule="auto"/>
              <w:jc w:val="center"/>
              <w:rPr>
                <w:rFonts w:ascii="Times New Roman" w:hAnsi="Times New Roman"/>
                <w:sz w:val="20"/>
                <w:szCs w:val="20"/>
                <w:lang w:val="en-US"/>
              </w:rPr>
            </w:pPr>
            <w:r w:rsidRPr="004E4F08">
              <w:rPr>
                <w:rFonts w:ascii="Times New Roman" w:hAnsi="Times New Roman"/>
                <w:sz w:val="20"/>
                <w:szCs w:val="20"/>
                <w:lang w:val="en-US"/>
              </w:rPr>
              <w:t>M. Maxime Houinato</w:t>
            </w:r>
          </w:p>
          <w:p w14:paraId="08C1E2AD" w14:textId="77777777" w:rsidR="004E4F08" w:rsidRPr="004E4F08" w:rsidRDefault="004E4F08" w:rsidP="004E4F08">
            <w:pPr>
              <w:spacing w:after="0" w:line="240" w:lineRule="auto"/>
              <w:jc w:val="center"/>
              <w:rPr>
                <w:rFonts w:ascii="Times New Roman" w:hAnsi="Times New Roman"/>
                <w:sz w:val="20"/>
                <w:szCs w:val="20"/>
                <w:lang w:val="en-US"/>
              </w:rPr>
            </w:pPr>
            <w:r w:rsidRPr="004E4F08">
              <w:rPr>
                <w:rFonts w:ascii="Times New Roman" w:hAnsi="Times New Roman"/>
                <w:sz w:val="20"/>
                <w:szCs w:val="20"/>
                <w:lang w:val="en-US"/>
              </w:rPr>
              <w:t>Anna KONATE</w:t>
            </w:r>
          </w:p>
        </w:tc>
        <w:tc>
          <w:tcPr>
            <w:tcW w:w="2399" w:type="dxa"/>
            <w:shd w:val="clear" w:color="auto" w:fill="auto"/>
            <w:vAlign w:val="center"/>
          </w:tcPr>
          <w:p w14:paraId="1121CF75"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Rep Résident</w:t>
            </w:r>
          </w:p>
          <w:p w14:paraId="59206F5A" w14:textId="77777777" w:rsidR="004E4F08" w:rsidRPr="004E4F08" w:rsidRDefault="004E4F08" w:rsidP="004E4F08">
            <w:pPr>
              <w:spacing w:after="0" w:line="240" w:lineRule="auto"/>
              <w:rPr>
                <w:rFonts w:ascii="Times New Roman" w:hAnsi="Times New Roman"/>
                <w:sz w:val="20"/>
                <w:szCs w:val="20"/>
              </w:rPr>
            </w:pPr>
            <w:r w:rsidRPr="004E4F08">
              <w:rPr>
                <w:rFonts w:ascii="Times New Roman" w:hAnsi="Times New Roman"/>
                <w:sz w:val="20"/>
                <w:szCs w:val="20"/>
              </w:rPr>
              <w:t>Directrice des Opérations</w:t>
            </w:r>
          </w:p>
        </w:tc>
      </w:tr>
      <w:tr w:rsidR="004E4F08" w:rsidRPr="004E4F08" w14:paraId="3B6E3F29" w14:textId="77777777" w:rsidTr="004E4F08">
        <w:trPr>
          <w:jc w:val="center"/>
        </w:trPr>
        <w:tc>
          <w:tcPr>
            <w:tcW w:w="3566" w:type="dxa"/>
            <w:shd w:val="clear" w:color="auto" w:fill="auto"/>
            <w:vAlign w:val="center"/>
          </w:tcPr>
          <w:p w14:paraId="1DE01067"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Cs/>
                <w:sz w:val="20"/>
                <w:szCs w:val="20"/>
              </w:rPr>
              <w:t>29/09/2017</w:t>
            </w:r>
          </w:p>
        </w:tc>
        <w:tc>
          <w:tcPr>
            <w:tcW w:w="3402" w:type="dxa"/>
            <w:shd w:val="clear" w:color="auto" w:fill="auto"/>
            <w:vAlign w:val="center"/>
          </w:tcPr>
          <w:p w14:paraId="37E20F84"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MINUSMA</w:t>
            </w:r>
          </w:p>
        </w:tc>
        <w:tc>
          <w:tcPr>
            <w:tcW w:w="4678" w:type="dxa"/>
            <w:shd w:val="clear" w:color="auto" w:fill="auto"/>
            <w:vAlign w:val="center"/>
          </w:tcPr>
          <w:p w14:paraId="767A1B75"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Mme Loubna Benhayoune</w:t>
            </w:r>
          </w:p>
          <w:p w14:paraId="457C55E8"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Raphael DIARRA</w:t>
            </w:r>
          </w:p>
        </w:tc>
        <w:tc>
          <w:tcPr>
            <w:tcW w:w="2399" w:type="dxa"/>
            <w:shd w:val="clear" w:color="auto" w:fill="auto"/>
            <w:vAlign w:val="center"/>
          </w:tcPr>
          <w:p w14:paraId="4DF88F9B" w14:textId="77777777" w:rsidR="004E4F08" w:rsidRPr="004E4F08" w:rsidRDefault="004E4F08" w:rsidP="004E4F08">
            <w:pPr>
              <w:spacing w:after="0" w:line="240" w:lineRule="auto"/>
              <w:rPr>
                <w:rFonts w:ascii="Times New Roman" w:hAnsi="Times New Roman"/>
                <w:sz w:val="20"/>
                <w:szCs w:val="20"/>
              </w:rPr>
            </w:pPr>
            <w:r w:rsidRPr="004E4F08">
              <w:rPr>
                <w:rFonts w:ascii="Times New Roman" w:hAnsi="Times New Roman"/>
                <w:sz w:val="20"/>
                <w:szCs w:val="20"/>
              </w:rPr>
              <w:t xml:space="preserve">Directrice de la section Stabilisation et relèvement </w:t>
            </w:r>
          </w:p>
          <w:p w14:paraId="53A9FD7B" w14:textId="77777777" w:rsidR="004E4F08" w:rsidRPr="004E4F08" w:rsidRDefault="004E4F08" w:rsidP="004E4F08">
            <w:pPr>
              <w:spacing w:after="0" w:line="240" w:lineRule="auto"/>
              <w:rPr>
                <w:rFonts w:ascii="Times New Roman" w:hAnsi="Times New Roman"/>
                <w:sz w:val="20"/>
                <w:szCs w:val="20"/>
              </w:rPr>
            </w:pPr>
            <w:r w:rsidRPr="004E4F08">
              <w:rPr>
                <w:rFonts w:ascii="Times New Roman" w:hAnsi="Times New Roman"/>
                <w:sz w:val="20"/>
                <w:szCs w:val="20"/>
              </w:rPr>
              <w:t>Chargé des relations extérieur</w:t>
            </w:r>
          </w:p>
        </w:tc>
      </w:tr>
      <w:tr w:rsidR="004E4F08" w:rsidRPr="004E4F08" w14:paraId="7685C707" w14:textId="77777777" w:rsidTr="004E4F08">
        <w:trPr>
          <w:jc w:val="center"/>
        </w:trPr>
        <w:tc>
          <w:tcPr>
            <w:tcW w:w="3566" w:type="dxa"/>
            <w:shd w:val="clear" w:color="auto" w:fill="auto"/>
            <w:vAlign w:val="center"/>
          </w:tcPr>
          <w:p w14:paraId="0F79DBD1"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Cs/>
                <w:sz w:val="20"/>
                <w:szCs w:val="20"/>
              </w:rPr>
              <w:t>29/09/2017</w:t>
            </w:r>
          </w:p>
        </w:tc>
        <w:tc>
          <w:tcPr>
            <w:tcW w:w="3402" w:type="dxa"/>
            <w:shd w:val="clear" w:color="auto" w:fill="auto"/>
            <w:vAlign w:val="center"/>
          </w:tcPr>
          <w:p w14:paraId="50F2A52F"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OCHA</w:t>
            </w:r>
          </w:p>
        </w:tc>
        <w:tc>
          <w:tcPr>
            <w:tcW w:w="4678" w:type="dxa"/>
            <w:shd w:val="clear" w:color="auto" w:fill="auto"/>
            <w:vAlign w:val="center"/>
          </w:tcPr>
          <w:p w14:paraId="07B7E820"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Mme Soraya</w:t>
            </w:r>
          </w:p>
        </w:tc>
        <w:tc>
          <w:tcPr>
            <w:tcW w:w="2399" w:type="dxa"/>
            <w:shd w:val="clear" w:color="auto" w:fill="auto"/>
            <w:vAlign w:val="center"/>
          </w:tcPr>
          <w:p w14:paraId="3550C441" w14:textId="77777777" w:rsidR="004E4F08" w:rsidRPr="004E4F08" w:rsidRDefault="004E4F08" w:rsidP="004E4F08">
            <w:pPr>
              <w:spacing w:after="0" w:line="240" w:lineRule="auto"/>
              <w:rPr>
                <w:rFonts w:ascii="Times New Roman" w:hAnsi="Times New Roman"/>
                <w:sz w:val="20"/>
                <w:szCs w:val="20"/>
              </w:rPr>
            </w:pPr>
            <w:r w:rsidRPr="004E4F08">
              <w:rPr>
                <w:rFonts w:ascii="Times New Roman" w:hAnsi="Times New Roman"/>
                <w:sz w:val="20"/>
                <w:szCs w:val="20"/>
              </w:rPr>
              <w:t xml:space="preserve">Adjointe au Chef de Bureau OCHA </w:t>
            </w:r>
          </w:p>
        </w:tc>
      </w:tr>
      <w:tr w:rsidR="004E4F08" w:rsidRPr="004E4F08" w14:paraId="6935641E" w14:textId="77777777" w:rsidTr="004E4F08">
        <w:trPr>
          <w:jc w:val="center"/>
        </w:trPr>
        <w:tc>
          <w:tcPr>
            <w:tcW w:w="3566" w:type="dxa"/>
            <w:shd w:val="clear" w:color="auto" w:fill="auto"/>
            <w:vAlign w:val="center"/>
          </w:tcPr>
          <w:p w14:paraId="05315A72"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Cs/>
                <w:sz w:val="20"/>
                <w:szCs w:val="20"/>
              </w:rPr>
              <w:t>29/09/2017</w:t>
            </w:r>
          </w:p>
        </w:tc>
        <w:tc>
          <w:tcPr>
            <w:tcW w:w="3402" w:type="dxa"/>
            <w:shd w:val="clear" w:color="auto" w:fill="auto"/>
            <w:vAlign w:val="center"/>
          </w:tcPr>
          <w:p w14:paraId="5167877A"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Secrétariat pour l’Harmonisation de l’Aide</w:t>
            </w:r>
          </w:p>
        </w:tc>
        <w:tc>
          <w:tcPr>
            <w:tcW w:w="4678" w:type="dxa"/>
            <w:shd w:val="clear" w:color="auto" w:fill="auto"/>
            <w:vAlign w:val="center"/>
          </w:tcPr>
          <w:p w14:paraId="0BC538C7"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Drissa SIDIBE</w:t>
            </w:r>
          </w:p>
        </w:tc>
        <w:tc>
          <w:tcPr>
            <w:tcW w:w="2399" w:type="dxa"/>
            <w:shd w:val="clear" w:color="auto" w:fill="auto"/>
            <w:vAlign w:val="center"/>
          </w:tcPr>
          <w:p w14:paraId="281FDB86" w14:textId="77777777" w:rsidR="004E4F08" w:rsidRPr="004E4F08" w:rsidRDefault="004E4F08" w:rsidP="004E4F08">
            <w:pPr>
              <w:spacing w:after="0" w:line="240" w:lineRule="auto"/>
              <w:rPr>
                <w:rFonts w:ascii="Times New Roman" w:hAnsi="Times New Roman"/>
                <w:sz w:val="20"/>
                <w:szCs w:val="20"/>
              </w:rPr>
            </w:pPr>
            <w:r w:rsidRPr="004E4F08">
              <w:rPr>
                <w:rFonts w:ascii="Times New Roman" w:hAnsi="Times New Roman"/>
                <w:sz w:val="20"/>
                <w:szCs w:val="20"/>
              </w:rPr>
              <w:t xml:space="preserve">Adjoint au Chef de Bureau </w:t>
            </w:r>
          </w:p>
        </w:tc>
      </w:tr>
      <w:tr w:rsidR="004E4F08" w:rsidRPr="004E4F08" w14:paraId="420A3BDA" w14:textId="77777777" w:rsidTr="004E4F08">
        <w:trPr>
          <w:jc w:val="center"/>
        </w:trPr>
        <w:tc>
          <w:tcPr>
            <w:tcW w:w="3566" w:type="dxa"/>
            <w:shd w:val="clear" w:color="auto" w:fill="auto"/>
            <w:vAlign w:val="center"/>
          </w:tcPr>
          <w:p w14:paraId="404EB4D4" w14:textId="77777777" w:rsidR="004E4F08" w:rsidRPr="004E4F08" w:rsidRDefault="004E4F08" w:rsidP="004E4F08">
            <w:pPr>
              <w:spacing w:after="0" w:line="240" w:lineRule="auto"/>
              <w:jc w:val="center"/>
              <w:rPr>
                <w:rFonts w:ascii="Times New Roman" w:hAnsi="Times New Roman"/>
                <w:b/>
                <w:bCs/>
                <w:sz w:val="20"/>
                <w:szCs w:val="20"/>
              </w:rPr>
            </w:pPr>
            <w:r w:rsidRPr="004E4F08">
              <w:rPr>
                <w:rFonts w:ascii="Times New Roman" w:hAnsi="Times New Roman"/>
                <w:bCs/>
                <w:sz w:val="20"/>
                <w:szCs w:val="20"/>
              </w:rPr>
              <w:t>29/09/2017</w:t>
            </w:r>
          </w:p>
        </w:tc>
        <w:tc>
          <w:tcPr>
            <w:tcW w:w="3402" w:type="dxa"/>
            <w:shd w:val="clear" w:color="auto" w:fill="auto"/>
            <w:vAlign w:val="center"/>
          </w:tcPr>
          <w:p w14:paraId="267C125E"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Pool Technique des PTF</w:t>
            </w:r>
          </w:p>
        </w:tc>
        <w:tc>
          <w:tcPr>
            <w:tcW w:w="4678" w:type="dxa"/>
            <w:shd w:val="clear" w:color="auto" w:fill="auto"/>
            <w:vAlign w:val="center"/>
          </w:tcPr>
          <w:p w14:paraId="00D96277"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Pierre Nébié</w:t>
            </w:r>
          </w:p>
        </w:tc>
        <w:tc>
          <w:tcPr>
            <w:tcW w:w="2399" w:type="dxa"/>
            <w:shd w:val="clear" w:color="auto" w:fill="auto"/>
            <w:vAlign w:val="center"/>
          </w:tcPr>
          <w:p w14:paraId="2EA31931" w14:textId="77777777" w:rsidR="004E4F08" w:rsidRPr="004E4F08" w:rsidRDefault="004E4F08" w:rsidP="004E4F08">
            <w:pPr>
              <w:spacing w:after="0" w:line="240" w:lineRule="auto"/>
              <w:rPr>
                <w:rFonts w:ascii="Times New Roman" w:hAnsi="Times New Roman"/>
                <w:sz w:val="20"/>
                <w:szCs w:val="20"/>
              </w:rPr>
            </w:pPr>
            <w:r w:rsidRPr="004E4F08">
              <w:rPr>
                <w:rFonts w:ascii="Times New Roman" w:hAnsi="Times New Roman"/>
                <w:sz w:val="20"/>
                <w:szCs w:val="20"/>
                <w:lang w:val="en-US"/>
              </w:rPr>
              <w:t>Coordonnateur</w:t>
            </w:r>
          </w:p>
        </w:tc>
      </w:tr>
      <w:tr w:rsidR="004E4F08" w:rsidRPr="004E4F08" w14:paraId="4B808830" w14:textId="77777777" w:rsidTr="004E4F08">
        <w:trPr>
          <w:jc w:val="center"/>
        </w:trPr>
        <w:tc>
          <w:tcPr>
            <w:tcW w:w="3566" w:type="dxa"/>
            <w:shd w:val="clear" w:color="auto" w:fill="auto"/>
            <w:vAlign w:val="center"/>
          </w:tcPr>
          <w:p w14:paraId="1DA6F160" w14:textId="77777777" w:rsidR="004E4F08" w:rsidRPr="004E4F08" w:rsidRDefault="004E4F08" w:rsidP="004E4F08">
            <w:pPr>
              <w:spacing w:after="0" w:line="240" w:lineRule="auto"/>
              <w:jc w:val="center"/>
              <w:rPr>
                <w:rFonts w:ascii="Times New Roman" w:hAnsi="Times New Roman"/>
                <w:bCs/>
                <w:sz w:val="20"/>
                <w:szCs w:val="20"/>
              </w:rPr>
            </w:pPr>
            <w:r w:rsidRPr="004E4F08">
              <w:rPr>
                <w:rFonts w:ascii="Times New Roman" w:hAnsi="Times New Roman"/>
                <w:bCs/>
                <w:sz w:val="20"/>
                <w:szCs w:val="20"/>
              </w:rPr>
              <w:t>03 septembre 2017</w:t>
            </w:r>
          </w:p>
        </w:tc>
        <w:tc>
          <w:tcPr>
            <w:tcW w:w="3402" w:type="dxa"/>
            <w:shd w:val="clear" w:color="auto" w:fill="auto"/>
            <w:vAlign w:val="center"/>
          </w:tcPr>
          <w:p w14:paraId="2886C37F"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Ambassade</w:t>
            </w:r>
          </w:p>
          <w:p w14:paraId="5506ADE3" w14:textId="77777777" w:rsidR="004E4F08" w:rsidRPr="004E4F08" w:rsidRDefault="004F261E" w:rsidP="004E4F08">
            <w:pPr>
              <w:spacing w:after="0" w:line="240" w:lineRule="auto"/>
              <w:jc w:val="center"/>
              <w:rPr>
                <w:rFonts w:ascii="Times New Roman" w:hAnsi="Times New Roman"/>
                <w:sz w:val="20"/>
                <w:szCs w:val="20"/>
              </w:rPr>
            </w:pPr>
            <w:r w:rsidRPr="004E4F08">
              <w:rPr>
                <w:rFonts w:ascii="Times New Roman" w:hAnsi="Times New Roman"/>
                <w:sz w:val="20"/>
                <w:szCs w:val="20"/>
              </w:rPr>
              <w:t>Norvège</w:t>
            </w:r>
          </w:p>
        </w:tc>
        <w:tc>
          <w:tcPr>
            <w:tcW w:w="4678" w:type="dxa"/>
            <w:shd w:val="clear" w:color="auto" w:fill="auto"/>
            <w:vAlign w:val="center"/>
          </w:tcPr>
          <w:p w14:paraId="7C49B3A1" w14:textId="77777777" w:rsidR="004E4F08" w:rsidRPr="004E4F08" w:rsidRDefault="004F261E" w:rsidP="004E4F08">
            <w:pPr>
              <w:spacing w:after="0" w:line="240" w:lineRule="auto"/>
              <w:jc w:val="center"/>
              <w:rPr>
                <w:rFonts w:ascii="Times New Roman" w:hAnsi="Times New Roman"/>
                <w:sz w:val="20"/>
                <w:szCs w:val="20"/>
              </w:rPr>
            </w:pPr>
            <w:r>
              <w:rPr>
                <w:rFonts w:ascii="Times New Roman" w:hAnsi="Times New Roman"/>
                <w:sz w:val="20"/>
                <w:szCs w:val="20"/>
              </w:rPr>
              <w:t>Anne Stand</w:t>
            </w:r>
          </w:p>
          <w:p w14:paraId="327D2359" w14:textId="77777777" w:rsidR="004E4F08" w:rsidRPr="004E4F08" w:rsidRDefault="004E4F08" w:rsidP="004E4F08">
            <w:pPr>
              <w:spacing w:after="0" w:line="240" w:lineRule="auto"/>
              <w:jc w:val="center"/>
              <w:rPr>
                <w:rFonts w:ascii="Times New Roman" w:hAnsi="Times New Roman"/>
                <w:sz w:val="20"/>
                <w:szCs w:val="20"/>
              </w:rPr>
            </w:pPr>
          </w:p>
        </w:tc>
        <w:tc>
          <w:tcPr>
            <w:tcW w:w="2399" w:type="dxa"/>
            <w:shd w:val="clear" w:color="auto" w:fill="auto"/>
            <w:vAlign w:val="center"/>
          </w:tcPr>
          <w:p w14:paraId="05C1CA8D"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Conseillère d’Ambassade</w:t>
            </w:r>
          </w:p>
          <w:p w14:paraId="7684460E" w14:textId="77777777" w:rsidR="004E4F08" w:rsidRPr="004E4F08" w:rsidRDefault="004F261E" w:rsidP="004E4F08">
            <w:pPr>
              <w:spacing w:after="0" w:line="240" w:lineRule="auto"/>
              <w:jc w:val="center"/>
              <w:rPr>
                <w:rFonts w:ascii="Times New Roman" w:hAnsi="Times New Roman"/>
                <w:sz w:val="20"/>
                <w:szCs w:val="20"/>
                <w:lang w:val="en-US"/>
              </w:rPr>
            </w:pPr>
            <w:r w:rsidRPr="004E4F08">
              <w:rPr>
                <w:rFonts w:ascii="Times New Roman" w:hAnsi="Times New Roman"/>
                <w:sz w:val="20"/>
                <w:szCs w:val="20"/>
              </w:rPr>
              <w:t>Norvège</w:t>
            </w:r>
          </w:p>
        </w:tc>
      </w:tr>
      <w:tr w:rsidR="004E4F08" w:rsidRPr="004E4F08" w14:paraId="506B86C2" w14:textId="77777777" w:rsidTr="004E4F08">
        <w:trPr>
          <w:jc w:val="center"/>
        </w:trPr>
        <w:tc>
          <w:tcPr>
            <w:tcW w:w="3566" w:type="dxa"/>
            <w:shd w:val="clear" w:color="auto" w:fill="auto"/>
            <w:vAlign w:val="center"/>
          </w:tcPr>
          <w:p w14:paraId="1CF57215" w14:textId="77777777" w:rsidR="004E4F08" w:rsidRPr="004E4F08" w:rsidRDefault="004E4F08" w:rsidP="004E4F08">
            <w:pPr>
              <w:spacing w:after="0" w:line="240" w:lineRule="auto"/>
              <w:jc w:val="center"/>
              <w:rPr>
                <w:rFonts w:ascii="Times New Roman" w:hAnsi="Times New Roman"/>
                <w:bCs/>
                <w:sz w:val="20"/>
                <w:szCs w:val="20"/>
              </w:rPr>
            </w:pPr>
            <w:r w:rsidRPr="004E4F08">
              <w:rPr>
                <w:rFonts w:ascii="Times New Roman" w:hAnsi="Times New Roman"/>
                <w:bCs/>
                <w:sz w:val="20"/>
                <w:szCs w:val="20"/>
              </w:rPr>
              <w:t>03 septembre 2017</w:t>
            </w:r>
          </w:p>
        </w:tc>
        <w:tc>
          <w:tcPr>
            <w:tcW w:w="3402" w:type="dxa"/>
            <w:shd w:val="clear" w:color="auto" w:fill="auto"/>
            <w:vAlign w:val="center"/>
          </w:tcPr>
          <w:p w14:paraId="0F263E8A" w14:textId="77777777" w:rsidR="004E4F08" w:rsidRPr="004E4F08" w:rsidRDefault="004E4F08" w:rsidP="004E4F08">
            <w:pPr>
              <w:spacing w:after="0" w:line="240" w:lineRule="auto"/>
              <w:jc w:val="center"/>
              <w:rPr>
                <w:rFonts w:ascii="Times New Roman" w:hAnsi="Times New Roman"/>
                <w:sz w:val="20"/>
                <w:szCs w:val="20"/>
              </w:rPr>
            </w:pPr>
            <w:r w:rsidRPr="004E4F08">
              <w:rPr>
                <w:rFonts w:ascii="Times New Roman" w:hAnsi="Times New Roman"/>
                <w:sz w:val="20"/>
                <w:szCs w:val="20"/>
              </w:rPr>
              <w:t>PNUD</w:t>
            </w:r>
          </w:p>
        </w:tc>
        <w:tc>
          <w:tcPr>
            <w:tcW w:w="4678" w:type="dxa"/>
            <w:shd w:val="clear" w:color="auto" w:fill="auto"/>
            <w:vAlign w:val="center"/>
          </w:tcPr>
          <w:p w14:paraId="4939DC5E" w14:textId="77777777" w:rsidR="004E4F08" w:rsidRPr="004E4F08" w:rsidRDefault="004F261E" w:rsidP="004E4F08">
            <w:pPr>
              <w:spacing w:after="0" w:line="240" w:lineRule="auto"/>
              <w:jc w:val="center"/>
              <w:rPr>
                <w:rFonts w:ascii="Times New Roman" w:hAnsi="Times New Roman"/>
                <w:sz w:val="20"/>
                <w:szCs w:val="20"/>
              </w:rPr>
            </w:pPr>
            <w:r>
              <w:rPr>
                <w:rFonts w:ascii="Times New Roman" w:hAnsi="Times New Roman"/>
                <w:sz w:val="20"/>
                <w:szCs w:val="20"/>
              </w:rPr>
              <w:t>Adam MAIGA</w:t>
            </w:r>
          </w:p>
        </w:tc>
        <w:tc>
          <w:tcPr>
            <w:tcW w:w="2399" w:type="dxa"/>
            <w:shd w:val="clear" w:color="auto" w:fill="auto"/>
            <w:vAlign w:val="center"/>
          </w:tcPr>
          <w:p w14:paraId="4BC7F0BE" w14:textId="77777777" w:rsidR="004E4F08" w:rsidRPr="004E4F08" w:rsidRDefault="004E4F08" w:rsidP="004E4F08">
            <w:pPr>
              <w:spacing w:after="0" w:line="240" w:lineRule="auto"/>
              <w:rPr>
                <w:rFonts w:ascii="Times New Roman" w:hAnsi="Times New Roman"/>
                <w:sz w:val="20"/>
                <w:szCs w:val="20"/>
              </w:rPr>
            </w:pPr>
            <w:r w:rsidRPr="004E4F08">
              <w:rPr>
                <w:rFonts w:ascii="Times New Roman" w:hAnsi="Times New Roman"/>
                <w:sz w:val="20"/>
                <w:szCs w:val="20"/>
              </w:rPr>
              <w:t xml:space="preserve">Responsable de l’Unité Communication du </w:t>
            </w:r>
          </w:p>
        </w:tc>
      </w:tr>
    </w:tbl>
    <w:p w14:paraId="481DA33B" w14:textId="77777777" w:rsidR="00596DD8" w:rsidRPr="006B309F" w:rsidRDefault="00596DD8" w:rsidP="00B04B1D">
      <w:pPr>
        <w:pStyle w:val="Titre2"/>
        <w:numPr>
          <w:ilvl w:val="0"/>
          <w:numId w:val="144"/>
        </w:numPr>
        <w:spacing w:before="0"/>
        <w:rPr>
          <w:rFonts w:ascii="Times New Roman" w:hAnsi="Times New Roman"/>
          <w:color w:val="auto"/>
          <w:sz w:val="24"/>
          <w:szCs w:val="24"/>
        </w:rPr>
        <w:sectPr w:rsidR="00596DD8" w:rsidRPr="006B309F" w:rsidSect="00596DD8">
          <w:footnotePr>
            <w:numRestart w:val="eachPage"/>
          </w:footnotePr>
          <w:pgSz w:w="16838" w:h="11906" w:orient="landscape"/>
          <w:pgMar w:top="1418" w:right="1418" w:bottom="1418" w:left="1418" w:header="709" w:footer="709" w:gutter="0"/>
          <w:cols w:space="708"/>
          <w:docGrid w:linePitch="360"/>
        </w:sectPr>
      </w:pPr>
    </w:p>
    <w:p w14:paraId="340BF7B5" w14:textId="77777777" w:rsidR="00BA3DC6" w:rsidRPr="006B309F" w:rsidRDefault="00BA3DC6" w:rsidP="00B026AE">
      <w:pPr>
        <w:pStyle w:val="Titre2"/>
        <w:numPr>
          <w:ilvl w:val="0"/>
          <w:numId w:val="7"/>
        </w:numPr>
        <w:spacing w:before="0"/>
        <w:rPr>
          <w:rFonts w:ascii="Times New Roman" w:hAnsi="Times New Roman"/>
          <w:color w:val="auto"/>
          <w:sz w:val="24"/>
          <w:szCs w:val="24"/>
        </w:rPr>
      </w:pPr>
      <w:bookmarkStart w:id="168" w:name="_Toc499211637"/>
      <w:bookmarkStart w:id="169" w:name="_Toc499213911"/>
      <w:r w:rsidRPr="006B309F">
        <w:rPr>
          <w:rFonts w:ascii="Times New Roman" w:hAnsi="Times New Roman"/>
          <w:color w:val="auto"/>
          <w:sz w:val="24"/>
          <w:szCs w:val="24"/>
        </w:rPr>
        <w:lastRenderedPageBreak/>
        <w:t>Termes de référence de la mission</w:t>
      </w:r>
      <w:bookmarkEnd w:id="168"/>
      <w:bookmarkEnd w:id="169"/>
    </w:p>
    <w:p w14:paraId="4A2ABC76" w14:textId="77777777" w:rsidR="00BA3DC6" w:rsidRPr="006B309F" w:rsidRDefault="00BA3DC6" w:rsidP="00B96F0F">
      <w:pPr>
        <w:pStyle w:val="Corpsdetexte"/>
        <w:rPr>
          <w:b/>
          <w:sz w:val="20"/>
          <w:szCs w:val="20"/>
        </w:rPr>
      </w:pPr>
    </w:p>
    <w:p w14:paraId="648CCF4F" w14:textId="77777777" w:rsidR="00091457" w:rsidRDefault="00091457" w:rsidP="00091457">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9070"/>
      </w:tblGrid>
      <w:tr w:rsidR="00091457" w:rsidRPr="001C0774" w14:paraId="6CC636E6" w14:textId="77777777" w:rsidTr="00091457">
        <w:tc>
          <w:tcPr>
            <w:tcW w:w="0" w:type="auto"/>
            <w:shd w:val="clear" w:color="auto" w:fill="auto"/>
            <w:hideMark/>
          </w:tcPr>
          <w:p w14:paraId="08F9FEBE" w14:textId="77777777" w:rsidR="00091457" w:rsidRPr="001C0774" w:rsidRDefault="00091457" w:rsidP="00091457">
            <w:pPr>
              <w:spacing w:after="0" w:line="240" w:lineRule="auto"/>
              <w:rPr>
                <w:rFonts w:ascii="Times New Roman" w:hAnsi="Times New Roman"/>
                <w:b/>
                <w:sz w:val="20"/>
                <w:szCs w:val="20"/>
              </w:rPr>
            </w:pPr>
            <w:r w:rsidRPr="001C0774">
              <w:rPr>
                <w:rFonts w:ascii="Times New Roman" w:hAnsi="Times New Roman"/>
                <w:b/>
                <w:sz w:val="20"/>
                <w:szCs w:val="20"/>
              </w:rPr>
              <w:br/>
            </w:r>
          </w:p>
          <w:p w14:paraId="79AE67DB" w14:textId="77777777" w:rsidR="00091457" w:rsidRPr="001C0774" w:rsidRDefault="00091457" w:rsidP="00091457">
            <w:pPr>
              <w:pStyle w:val="Titre5"/>
              <w:spacing w:before="0" w:line="240" w:lineRule="auto"/>
              <w:textAlignment w:val="baseline"/>
              <w:rPr>
                <w:rFonts w:ascii="Times New Roman" w:hAnsi="Times New Roman" w:cs="Times New Roman"/>
                <w:b/>
                <w:color w:val="auto"/>
                <w:sz w:val="20"/>
                <w:szCs w:val="20"/>
              </w:rPr>
            </w:pPr>
            <w:r w:rsidRPr="001C0774">
              <w:rPr>
                <w:rFonts w:ascii="Times New Roman" w:hAnsi="Times New Roman" w:cs="Times New Roman"/>
                <w:b/>
                <w:color w:val="auto"/>
                <w:sz w:val="20"/>
                <w:szCs w:val="20"/>
              </w:rPr>
              <w:t>Historique</w:t>
            </w:r>
          </w:p>
          <w:p w14:paraId="32D33C8A" w14:textId="77777777" w:rsidR="00091457" w:rsidRPr="001C0774" w:rsidRDefault="00091457" w:rsidP="00091457">
            <w:pPr>
              <w:spacing w:after="0" w:line="240" w:lineRule="auto"/>
              <w:rPr>
                <w:rFonts w:ascii="Times New Roman" w:hAnsi="Times New Roman"/>
                <w:b/>
                <w:sz w:val="20"/>
                <w:szCs w:val="20"/>
              </w:rPr>
            </w:pPr>
          </w:p>
        </w:tc>
      </w:tr>
      <w:tr w:rsidR="00091457" w:rsidRPr="00091457" w14:paraId="1D831F40" w14:textId="77777777" w:rsidTr="00091457">
        <w:tc>
          <w:tcPr>
            <w:tcW w:w="0" w:type="auto"/>
            <w:shd w:val="clear" w:color="auto" w:fill="auto"/>
            <w:hideMark/>
          </w:tcPr>
          <w:p w14:paraId="0B34FB50" w14:textId="77777777" w:rsidR="00091457" w:rsidRPr="00091457" w:rsidRDefault="00091457" w:rsidP="00091457">
            <w:pPr>
              <w:pStyle w:val="NormalWeb"/>
              <w:jc w:val="both"/>
              <w:textAlignment w:val="baseline"/>
              <w:rPr>
                <w:sz w:val="20"/>
                <w:szCs w:val="20"/>
              </w:rPr>
            </w:pPr>
            <w:r w:rsidRPr="00091457">
              <w:rPr>
                <w:sz w:val="20"/>
                <w:szCs w:val="20"/>
              </w:rPr>
              <w:t>La vision du PNUD en République du Mali est d’accompagner le gouvernement et les autres parties prenantes, tout en restant un partenaire au développement fiable qui œuvre pour la promotion, la restauration, le maintien, la consolidation de la paix et de la sécurité à travers le renforcement de la bonne gouvernance et la réduction de la pauvreté. Les interventions du Programme des Nations Unies pour le développement (PNUD) s’inscrivent dans le cadre de la mise en œuvre du plan stratégique du PNUD pour la période 2014-2017.</w:t>
            </w:r>
            <w:r w:rsidRPr="00091457">
              <w:rPr>
                <w:sz w:val="20"/>
                <w:szCs w:val="20"/>
              </w:rPr>
              <w:br/>
              <w:t>Le Plan Cadre d’Assistance des Nations Unies pour l’Aide au Développement (UNDAF) au Mali en cours de mise en œuvre porte sur la période 2015-2019. En référence aux modalités de suivi et évaluation contenues dans le document de l’UNDAF+, il est prévu sous la responsabilité des chefs d’agences et en concertation avec le gouvernement, la société civile et les autres partenaires au développement, une revue annuelle, une évaluation à mi-parcours et une évaluation finale de l’UNDAF+.</w:t>
            </w:r>
          </w:p>
          <w:p w14:paraId="0A99D2F4" w14:textId="77777777" w:rsidR="00091457" w:rsidRPr="00091457" w:rsidRDefault="00091457" w:rsidP="00091457">
            <w:pPr>
              <w:pStyle w:val="NormalWeb"/>
              <w:jc w:val="both"/>
              <w:textAlignment w:val="baseline"/>
              <w:rPr>
                <w:sz w:val="20"/>
                <w:szCs w:val="20"/>
              </w:rPr>
            </w:pPr>
            <w:r w:rsidRPr="00091457">
              <w:rPr>
                <w:sz w:val="20"/>
                <w:szCs w:val="20"/>
              </w:rPr>
              <w:t>L’évaluation à mi-parcours de l’UNDAF+ prévue au courant du dernier trimestre de l’année 2017 devra permettre au Système des Nations Unies dont la MINUSMA d’assurer sa contribution effective au processus d’évaluation prochaine du Cadre Stratégique pour la Relance Economique et le Développement Durable (CREDD). L’UNDAF+ est aligné sur les axes stratégiques du CREDD à savoir : 1) la Croissance économique inclusive et durable ; 2) l’Accès aux services sociaux de base ; 3) le Développement institutionnel et la gouvernance.</w:t>
            </w:r>
            <w:r w:rsidRPr="00091457">
              <w:rPr>
                <w:sz w:val="20"/>
                <w:szCs w:val="20"/>
              </w:rPr>
              <w:br/>
              <w:t>Les effets escomptés au terme du cycle d’exécution par l’UNDAF+ sont :</w:t>
            </w:r>
          </w:p>
          <w:p w14:paraId="4A3E9888" w14:textId="77777777" w:rsidR="00091457" w:rsidRPr="00091457" w:rsidRDefault="00091457" w:rsidP="00D76EFA">
            <w:pPr>
              <w:numPr>
                <w:ilvl w:val="0"/>
                <w:numId w:val="115"/>
              </w:numPr>
              <w:spacing w:after="0" w:line="240" w:lineRule="auto"/>
              <w:ind w:left="576"/>
              <w:jc w:val="both"/>
              <w:textAlignment w:val="baseline"/>
              <w:rPr>
                <w:rFonts w:ascii="Times New Roman" w:hAnsi="Times New Roman"/>
                <w:sz w:val="20"/>
                <w:szCs w:val="20"/>
              </w:rPr>
            </w:pPr>
            <w:r w:rsidRPr="00091457">
              <w:rPr>
                <w:rFonts w:ascii="Times New Roman" w:hAnsi="Times New Roman"/>
                <w:sz w:val="20"/>
                <w:szCs w:val="20"/>
              </w:rPr>
              <w:t>Effet 1 : La paix et la stabilisation sont assurées à travers un dialogue politique inclusif et une réforme démocratique des institutions concernées, et la promotion d’une coexistence pacifique et le respect des droits humains ;</w:t>
            </w:r>
          </w:p>
          <w:p w14:paraId="5E6E7498" w14:textId="77777777" w:rsidR="00091457" w:rsidRPr="00091457" w:rsidRDefault="00091457" w:rsidP="00D76EFA">
            <w:pPr>
              <w:numPr>
                <w:ilvl w:val="0"/>
                <w:numId w:val="115"/>
              </w:numPr>
              <w:spacing w:after="0" w:line="240" w:lineRule="auto"/>
              <w:ind w:left="576"/>
              <w:jc w:val="both"/>
              <w:textAlignment w:val="baseline"/>
              <w:rPr>
                <w:rFonts w:ascii="Times New Roman" w:hAnsi="Times New Roman"/>
                <w:sz w:val="20"/>
                <w:szCs w:val="20"/>
              </w:rPr>
            </w:pPr>
            <w:r w:rsidRPr="00091457">
              <w:rPr>
                <w:rFonts w:ascii="Times New Roman" w:hAnsi="Times New Roman"/>
                <w:sz w:val="20"/>
                <w:szCs w:val="20"/>
              </w:rPr>
              <w:t>Effet 2 : D’ici 2019, la cohésion sociale est facilitée par la justice transitionnelle, le dialogue communautaire inclusif, la culture et l’éducation pour la paix ;</w:t>
            </w:r>
          </w:p>
          <w:p w14:paraId="4E7BC73B" w14:textId="77777777" w:rsidR="00091457" w:rsidRPr="00091457" w:rsidRDefault="00091457" w:rsidP="00D76EFA">
            <w:pPr>
              <w:numPr>
                <w:ilvl w:val="0"/>
                <w:numId w:val="115"/>
              </w:numPr>
              <w:spacing w:after="0" w:line="240" w:lineRule="auto"/>
              <w:ind w:left="576"/>
              <w:jc w:val="both"/>
              <w:textAlignment w:val="baseline"/>
              <w:rPr>
                <w:rFonts w:ascii="Times New Roman" w:hAnsi="Times New Roman"/>
                <w:sz w:val="20"/>
                <w:szCs w:val="20"/>
              </w:rPr>
            </w:pPr>
            <w:r w:rsidRPr="00091457">
              <w:rPr>
                <w:rFonts w:ascii="Times New Roman" w:hAnsi="Times New Roman"/>
                <w:sz w:val="20"/>
                <w:szCs w:val="20"/>
              </w:rPr>
              <w:t>Effet 3 : Les institutions étatiques, nationales et locales, exercent de manière plus efficace leurs missions de service public et les acteurs non étatiques participent et assurent le contrôle citoyen en conformité avec les principes de bonne gouvernance et d’Etat de droit ;</w:t>
            </w:r>
          </w:p>
          <w:p w14:paraId="7D96FE5E" w14:textId="77777777" w:rsidR="00091457" w:rsidRPr="00091457" w:rsidRDefault="00091457" w:rsidP="00D76EFA">
            <w:pPr>
              <w:numPr>
                <w:ilvl w:val="0"/>
                <w:numId w:val="115"/>
              </w:numPr>
              <w:spacing w:after="0" w:line="240" w:lineRule="auto"/>
              <w:ind w:left="576"/>
              <w:jc w:val="both"/>
              <w:textAlignment w:val="baseline"/>
              <w:rPr>
                <w:rFonts w:ascii="Times New Roman" w:hAnsi="Times New Roman"/>
                <w:sz w:val="20"/>
                <w:szCs w:val="20"/>
              </w:rPr>
            </w:pPr>
            <w:r w:rsidRPr="00091457">
              <w:rPr>
                <w:rFonts w:ascii="Times New Roman" w:hAnsi="Times New Roman"/>
                <w:sz w:val="20"/>
                <w:szCs w:val="20"/>
              </w:rPr>
              <w:t>Effet 4 : D’ici 2019, les populations, en particulier les femmes et les enfants les plus vulnérables et celles affectées par les crises, ont un accès accru et équitable et utilisent les SSB de qualité ;</w:t>
            </w:r>
          </w:p>
          <w:p w14:paraId="24A9577B" w14:textId="77777777" w:rsidR="00091457" w:rsidRPr="00091457" w:rsidRDefault="00091457" w:rsidP="00D76EFA">
            <w:pPr>
              <w:numPr>
                <w:ilvl w:val="0"/>
                <w:numId w:val="115"/>
              </w:numPr>
              <w:spacing w:after="0" w:line="240" w:lineRule="auto"/>
              <w:ind w:left="576"/>
              <w:jc w:val="both"/>
              <w:textAlignment w:val="baseline"/>
              <w:rPr>
                <w:rFonts w:ascii="Times New Roman" w:hAnsi="Times New Roman"/>
                <w:sz w:val="20"/>
                <w:szCs w:val="20"/>
              </w:rPr>
            </w:pPr>
            <w:r w:rsidRPr="00091457">
              <w:rPr>
                <w:rFonts w:ascii="Times New Roman" w:hAnsi="Times New Roman"/>
                <w:sz w:val="20"/>
                <w:szCs w:val="20"/>
              </w:rPr>
              <w:t>Effet 5 : Les populations défavorisées particulièrement les femmes et les jeunes, bénéficient de capacités et d’opportunités productives accrues, dans un environnement sain et durable, favorable à la réduction de la pauvreté.</w:t>
            </w:r>
          </w:p>
          <w:p w14:paraId="0F8DE2ED" w14:textId="77777777" w:rsidR="00091457" w:rsidRPr="00091457" w:rsidRDefault="00091457" w:rsidP="00091457">
            <w:pPr>
              <w:pStyle w:val="NormalWeb"/>
              <w:jc w:val="both"/>
              <w:textAlignment w:val="baseline"/>
              <w:rPr>
                <w:sz w:val="20"/>
                <w:szCs w:val="20"/>
              </w:rPr>
            </w:pPr>
            <w:r w:rsidRPr="00091457">
              <w:rPr>
                <w:sz w:val="20"/>
                <w:szCs w:val="20"/>
              </w:rPr>
              <w:t>Etant donné que l’UNDAF+ est aligné sur le CREDD, l’exercice devra offrir un cadre permettant d’engager une réflexion sur l’impact de la contribution des interventions des agences du SNU au regard des grands défis nationaux et aux enjeux liés à la paix et à l’accélération de l’atteinte des objectifs du développement durable (ODD).</w:t>
            </w:r>
          </w:p>
          <w:p w14:paraId="51475E63" w14:textId="77777777" w:rsidR="00091457" w:rsidRPr="00091457" w:rsidRDefault="00091457" w:rsidP="00091457">
            <w:pPr>
              <w:pStyle w:val="NormalWeb"/>
              <w:jc w:val="both"/>
              <w:textAlignment w:val="baseline"/>
              <w:rPr>
                <w:sz w:val="20"/>
                <w:szCs w:val="20"/>
              </w:rPr>
            </w:pPr>
            <w:r w:rsidRPr="00091457">
              <w:rPr>
                <w:sz w:val="20"/>
                <w:szCs w:val="20"/>
              </w:rPr>
              <w:t>Le PNUD envisage de contribuer de manière substantive à cet exercice de revue de l’UNDAF+ et pour ce faire, envisage de procéder à l’évaluation à mi-parcours de son Programme Pays pour la période 2015-2019. L’évaluation à mi-parcours du programme pays du PNUD permettra d’apprécier sa mise en œuvre, les progrès réalisés, les difficultés rencontrées et les ajustements nécessaires pour atteindre les objectifs fixés et de juger de sa pertinence et de sa cohérence par rapport aux priorités nationales telles que déclinées dans le CREDD.</w:t>
            </w:r>
            <w:r w:rsidRPr="00091457">
              <w:rPr>
                <w:sz w:val="20"/>
                <w:szCs w:val="20"/>
              </w:rPr>
              <w:br/>
              <w:t>Le Programme Pays du PNUD Mali a été approuvée en décembre 2014 et a pour objectif principal de contribuer à la réalisation des effets de l’UNDAF ci-après :</w:t>
            </w:r>
          </w:p>
          <w:p w14:paraId="39FCCFF6" w14:textId="77777777" w:rsidR="00091457" w:rsidRPr="00091457" w:rsidRDefault="00091457" w:rsidP="00D76EFA">
            <w:pPr>
              <w:numPr>
                <w:ilvl w:val="0"/>
                <w:numId w:val="116"/>
              </w:numPr>
              <w:spacing w:after="0" w:line="240" w:lineRule="auto"/>
              <w:ind w:left="576"/>
              <w:jc w:val="both"/>
              <w:textAlignment w:val="baseline"/>
              <w:rPr>
                <w:rFonts w:ascii="Times New Roman" w:hAnsi="Times New Roman"/>
                <w:sz w:val="20"/>
                <w:szCs w:val="20"/>
              </w:rPr>
            </w:pPr>
            <w:r w:rsidRPr="00091457">
              <w:rPr>
                <w:rFonts w:ascii="Times New Roman" w:hAnsi="Times New Roman"/>
                <w:sz w:val="20"/>
                <w:szCs w:val="20"/>
              </w:rPr>
              <w:t>Effet 1: D’ici 2019, la cohésion sociale est facilitée par la justice transitionnelle, le dialogue communautaire inclusif, la culture et l’éducation pour la paix ;</w:t>
            </w:r>
          </w:p>
          <w:p w14:paraId="32C2DB99" w14:textId="77777777" w:rsidR="00091457" w:rsidRPr="00091457" w:rsidRDefault="00091457" w:rsidP="00D76EFA">
            <w:pPr>
              <w:numPr>
                <w:ilvl w:val="0"/>
                <w:numId w:val="116"/>
              </w:numPr>
              <w:spacing w:after="0" w:line="240" w:lineRule="auto"/>
              <w:ind w:left="576"/>
              <w:jc w:val="both"/>
              <w:textAlignment w:val="baseline"/>
              <w:rPr>
                <w:rFonts w:ascii="Times New Roman" w:hAnsi="Times New Roman"/>
                <w:sz w:val="20"/>
                <w:szCs w:val="20"/>
              </w:rPr>
            </w:pPr>
            <w:r w:rsidRPr="00091457">
              <w:rPr>
                <w:rFonts w:ascii="Times New Roman" w:hAnsi="Times New Roman"/>
                <w:sz w:val="20"/>
                <w:szCs w:val="20"/>
              </w:rPr>
              <w:t>Effet 2 : Les populations défavorisées particulièrement les femmes et les jeunes, bénéficient de capacités et d’opportunités productives accrues, dans un environnement sain et durable, favorable à la réduction de la pauvreté ;</w:t>
            </w:r>
          </w:p>
          <w:p w14:paraId="786F3E24" w14:textId="77777777" w:rsidR="00091457" w:rsidRPr="00091457" w:rsidRDefault="00091457" w:rsidP="00D76EFA">
            <w:pPr>
              <w:numPr>
                <w:ilvl w:val="0"/>
                <w:numId w:val="116"/>
              </w:numPr>
              <w:spacing w:after="0" w:line="240" w:lineRule="auto"/>
              <w:ind w:left="576"/>
              <w:jc w:val="both"/>
              <w:textAlignment w:val="baseline"/>
              <w:rPr>
                <w:rFonts w:ascii="Times New Roman" w:hAnsi="Times New Roman"/>
                <w:sz w:val="20"/>
                <w:szCs w:val="20"/>
              </w:rPr>
            </w:pPr>
            <w:r w:rsidRPr="00091457">
              <w:rPr>
                <w:rFonts w:ascii="Times New Roman" w:hAnsi="Times New Roman"/>
                <w:sz w:val="20"/>
                <w:szCs w:val="20"/>
              </w:rPr>
              <w:t>Effet 3: Les institutions étatiques, nationales et locales, exercent de manière plus efficace leurs missions de service public et les acteurs non étatiques participent et assurent le contrôle citoyen en conformité avec les principes de bonne gouvernance et d’Etat de droit ;</w:t>
            </w:r>
          </w:p>
          <w:p w14:paraId="5EAFE8CE" w14:textId="77777777" w:rsidR="00091457" w:rsidRPr="00091457" w:rsidRDefault="00091457" w:rsidP="00D76EFA">
            <w:pPr>
              <w:numPr>
                <w:ilvl w:val="0"/>
                <w:numId w:val="116"/>
              </w:numPr>
              <w:spacing w:after="0" w:line="240" w:lineRule="auto"/>
              <w:ind w:left="576"/>
              <w:jc w:val="both"/>
              <w:textAlignment w:val="baseline"/>
              <w:rPr>
                <w:rFonts w:ascii="Times New Roman" w:hAnsi="Times New Roman"/>
                <w:sz w:val="20"/>
                <w:szCs w:val="20"/>
              </w:rPr>
            </w:pPr>
            <w:r w:rsidRPr="00091457">
              <w:rPr>
                <w:rFonts w:ascii="Times New Roman" w:hAnsi="Times New Roman"/>
                <w:sz w:val="20"/>
                <w:szCs w:val="20"/>
              </w:rPr>
              <w:t>Effet 4: D’ici 2019, les communautés, en particulier les plus vulnérables et celles touchées par la crise, pourront accéder à des soins de santé de base de qualité et en bénéficier plus facilement et sur un pied d’égalité.</w:t>
            </w:r>
          </w:p>
        </w:tc>
      </w:tr>
      <w:tr w:rsidR="00091457" w:rsidRPr="00091457" w14:paraId="2204B57D" w14:textId="77777777" w:rsidTr="00091457">
        <w:tc>
          <w:tcPr>
            <w:tcW w:w="0" w:type="auto"/>
            <w:shd w:val="clear" w:color="auto" w:fill="auto"/>
            <w:hideMark/>
          </w:tcPr>
          <w:p w14:paraId="4A5289C1" w14:textId="77777777" w:rsidR="00091457" w:rsidRPr="00091457" w:rsidRDefault="00091457" w:rsidP="00091457">
            <w:pPr>
              <w:spacing w:after="0" w:line="240" w:lineRule="auto"/>
              <w:rPr>
                <w:rFonts w:ascii="Times New Roman" w:hAnsi="Times New Roman"/>
                <w:b/>
                <w:sz w:val="20"/>
                <w:szCs w:val="20"/>
              </w:rPr>
            </w:pPr>
            <w:r w:rsidRPr="00091457">
              <w:rPr>
                <w:rFonts w:ascii="Times New Roman" w:hAnsi="Times New Roman"/>
                <w:b/>
                <w:sz w:val="20"/>
                <w:szCs w:val="20"/>
              </w:rPr>
              <w:br/>
            </w:r>
          </w:p>
          <w:p w14:paraId="5B7B9118" w14:textId="77777777" w:rsidR="00091457" w:rsidRPr="00091457" w:rsidRDefault="00091457" w:rsidP="00091457">
            <w:pPr>
              <w:pStyle w:val="Titre5"/>
              <w:spacing w:before="0" w:line="240" w:lineRule="auto"/>
              <w:textAlignment w:val="baseline"/>
              <w:rPr>
                <w:rFonts w:ascii="Times New Roman" w:hAnsi="Times New Roman" w:cs="Times New Roman"/>
                <w:b/>
                <w:color w:val="auto"/>
                <w:sz w:val="20"/>
                <w:szCs w:val="20"/>
              </w:rPr>
            </w:pPr>
            <w:r w:rsidRPr="00091457">
              <w:rPr>
                <w:rFonts w:ascii="Times New Roman" w:hAnsi="Times New Roman" w:cs="Times New Roman"/>
                <w:b/>
                <w:color w:val="auto"/>
                <w:sz w:val="20"/>
                <w:szCs w:val="20"/>
              </w:rPr>
              <w:lastRenderedPageBreak/>
              <w:t>Devoirs et responsabilités</w:t>
            </w:r>
          </w:p>
          <w:p w14:paraId="2E7A39B6" w14:textId="77777777" w:rsidR="00091457" w:rsidRPr="00091457" w:rsidRDefault="00091457" w:rsidP="00091457">
            <w:pPr>
              <w:spacing w:after="0" w:line="240" w:lineRule="auto"/>
              <w:rPr>
                <w:rFonts w:ascii="Times New Roman" w:hAnsi="Times New Roman"/>
                <w:b/>
                <w:sz w:val="20"/>
                <w:szCs w:val="20"/>
              </w:rPr>
            </w:pPr>
          </w:p>
        </w:tc>
      </w:tr>
      <w:tr w:rsidR="00091457" w:rsidRPr="00091457" w14:paraId="1EFFA927" w14:textId="77777777" w:rsidTr="00091457">
        <w:tc>
          <w:tcPr>
            <w:tcW w:w="0" w:type="auto"/>
            <w:shd w:val="clear" w:color="auto" w:fill="auto"/>
            <w:hideMark/>
          </w:tcPr>
          <w:p w14:paraId="29B342FF" w14:textId="77777777" w:rsidR="00091457" w:rsidRPr="00091457" w:rsidRDefault="00091457" w:rsidP="00091457">
            <w:pPr>
              <w:pStyle w:val="NormalWeb"/>
              <w:textAlignment w:val="baseline"/>
              <w:rPr>
                <w:sz w:val="20"/>
                <w:szCs w:val="20"/>
              </w:rPr>
            </w:pPr>
            <w:r w:rsidRPr="00091457">
              <w:rPr>
                <w:rStyle w:val="lev"/>
                <w:sz w:val="20"/>
                <w:szCs w:val="20"/>
                <w:bdr w:val="none" w:sz="0" w:space="0" w:color="auto" w:frame="1"/>
              </w:rPr>
              <w:lastRenderedPageBreak/>
              <w:t>Justification de l’évaluation:</w:t>
            </w:r>
          </w:p>
          <w:p w14:paraId="5D1DE828" w14:textId="77777777" w:rsidR="00091457" w:rsidRPr="00091457" w:rsidRDefault="00091457" w:rsidP="00D76EFA">
            <w:pPr>
              <w:numPr>
                <w:ilvl w:val="0"/>
                <w:numId w:val="117"/>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En conformité avec la politique d’évaluation du PNUD, la réalisation d’une évaluation à mi-parcours des effets du CPD est mandataire et donc obligatoire pour mesurer les progrès vers les résultats.</w:t>
            </w:r>
          </w:p>
          <w:p w14:paraId="5F603739" w14:textId="77777777" w:rsidR="00091457" w:rsidRPr="00091457" w:rsidRDefault="00091457" w:rsidP="00091457">
            <w:pPr>
              <w:pStyle w:val="NormalWeb"/>
              <w:textAlignment w:val="baseline"/>
              <w:rPr>
                <w:sz w:val="20"/>
                <w:szCs w:val="20"/>
              </w:rPr>
            </w:pPr>
            <w:r w:rsidRPr="00091457">
              <w:rPr>
                <w:rStyle w:val="lev"/>
                <w:sz w:val="20"/>
                <w:szCs w:val="20"/>
                <w:bdr w:val="none" w:sz="0" w:space="0" w:color="auto" w:frame="1"/>
              </w:rPr>
              <w:t>Portée de l’évaluation et ses principaux Objectifs:</w:t>
            </w:r>
            <w:r w:rsidRPr="00091457">
              <w:rPr>
                <w:sz w:val="20"/>
                <w:szCs w:val="20"/>
              </w:rPr>
              <w:br/>
            </w:r>
            <w:r w:rsidRPr="00091457">
              <w:rPr>
                <w:rStyle w:val="lev"/>
                <w:sz w:val="20"/>
                <w:szCs w:val="20"/>
                <w:bdr w:val="none" w:sz="0" w:space="0" w:color="auto" w:frame="1"/>
              </w:rPr>
              <w:t>Objectif global de l’évaluation à mi-parcours:</w:t>
            </w:r>
          </w:p>
          <w:p w14:paraId="093366BE" w14:textId="77777777" w:rsidR="00091457" w:rsidRPr="00091457" w:rsidRDefault="00091457" w:rsidP="00D76EFA">
            <w:pPr>
              <w:numPr>
                <w:ilvl w:val="0"/>
                <w:numId w:val="118"/>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L’évaluation à mi-parcours du Programme Pays est destinée à préparer la contribution du PNUD à l’évaluation de l’UNDAF+ 2015-2019 qui doit démarrer au quatrième trimestre de 2017; et à une éventuelle revue du Cadre Stratégique pour la Relance Economique et le Développement (CREDD) qui se termine en 201;</w:t>
            </w:r>
          </w:p>
          <w:p w14:paraId="13F9431E" w14:textId="77777777" w:rsidR="00091457" w:rsidRPr="00091457" w:rsidRDefault="00091457" w:rsidP="00D76EFA">
            <w:pPr>
              <w:numPr>
                <w:ilvl w:val="0"/>
                <w:numId w:val="118"/>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Son objectif est de dresser un bilan des réalisations obtenues et des contraintes rencontrées lors de la mise en œuvre du Programme Pays.</w:t>
            </w:r>
          </w:p>
          <w:p w14:paraId="5C90A34C" w14:textId="77777777" w:rsidR="00091457" w:rsidRPr="00091457" w:rsidRDefault="00091457" w:rsidP="00D76EFA">
            <w:pPr>
              <w:numPr>
                <w:ilvl w:val="0"/>
                <w:numId w:val="118"/>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L’évaluation à mi-parcours devrait permettre de mieux aligner le programme sur les priorités nationales telles que définies dans le CREDD;</w:t>
            </w:r>
          </w:p>
          <w:p w14:paraId="33D58CCD" w14:textId="77777777" w:rsidR="00091457" w:rsidRPr="00091457" w:rsidRDefault="00091457" w:rsidP="00D76EFA">
            <w:pPr>
              <w:numPr>
                <w:ilvl w:val="0"/>
                <w:numId w:val="118"/>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Elle devra aussi permettre d’apprécier la contribution du Programme Pays du PNUD à la mise en œuvre de l’Accord de Paix et de Réconciliation Nationale dans les thématiques qui relèvent du mandat du PNUD (Cohésion sociale, Décentralisation, Relèvement, etc…).</w:t>
            </w:r>
          </w:p>
          <w:p w14:paraId="2287676C" w14:textId="77777777" w:rsidR="00091457" w:rsidRPr="00091457" w:rsidRDefault="00091457" w:rsidP="00D76EFA">
            <w:pPr>
              <w:numPr>
                <w:ilvl w:val="0"/>
                <w:numId w:val="118"/>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Il s’agira également de mieux prendre en compte l’évolution de l’environnement socio-économique et institutionnel du pays et certains thèmes émergents de portée stratégique (Genre, Droits Humains, Renforcement des Capacités, Objectifs du Développement Durable, Gestion Axée sur les Résultats, Résilience, Nexus Humanitaire-Développement, etc…);</w:t>
            </w:r>
          </w:p>
          <w:p w14:paraId="3F9750A2" w14:textId="77777777" w:rsidR="00091457" w:rsidRPr="00091457" w:rsidRDefault="00091457" w:rsidP="00D76EFA">
            <w:pPr>
              <w:numPr>
                <w:ilvl w:val="0"/>
                <w:numId w:val="118"/>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Ces thèmes constituent aussi les principes programmatiques des Nations Unies.</w:t>
            </w:r>
          </w:p>
          <w:p w14:paraId="2AFD2BBF" w14:textId="77777777" w:rsidR="00091457" w:rsidRPr="00091457" w:rsidRDefault="00091457" w:rsidP="00D76EFA">
            <w:pPr>
              <w:numPr>
                <w:ilvl w:val="0"/>
                <w:numId w:val="118"/>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Cette évaluation à mi-parcours des effets du programme permettra d’apprécier les progrès réalisés dans l’atteinte de ces effets mais aussi et de tirer les leçons en vue d’améliorer la mise en œuvre pour les deux dernières années de la mise en œuvre du programme pays (2018-2019);</w:t>
            </w:r>
          </w:p>
          <w:p w14:paraId="4D841082" w14:textId="77777777" w:rsidR="00091457" w:rsidRPr="00091457" w:rsidRDefault="00091457" w:rsidP="00D76EFA">
            <w:pPr>
              <w:numPr>
                <w:ilvl w:val="0"/>
                <w:numId w:val="118"/>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La couverture géographique est à l’échelle nationale.</w:t>
            </w:r>
          </w:p>
          <w:p w14:paraId="5E7A2810" w14:textId="77777777" w:rsidR="00091457" w:rsidRPr="00091457" w:rsidRDefault="00091457" w:rsidP="00091457">
            <w:pPr>
              <w:pStyle w:val="NormalWeb"/>
              <w:textAlignment w:val="baseline"/>
              <w:rPr>
                <w:sz w:val="20"/>
                <w:szCs w:val="20"/>
              </w:rPr>
            </w:pPr>
            <w:r w:rsidRPr="00091457">
              <w:rPr>
                <w:rStyle w:val="lev"/>
                <w:sz w:val="20"/>
                <w:szCs w:val="20"/>
                <w:bdr w:val="none" w:sz="0" w:space="0" w:color="auto" w:frame="1"/>
              </w:rPr>
              <w:t>Objectifs Spécifiques de l’évaluation à mi-parcours:</w:t>
            </w:r>
            <w:r w:rsidRPr="00091457">
              <w:rPr>
                <w:sz w:val="20"/>
                <w:szCs w:val="20"/>
              </w:rPr>
              <w:br/>
            </w:r>
            <w:r w:rsidRPr="00091457">
              <w:rPr>
                <w:rStyle w:val="lev"/>
                <w:sz w:val="20"/>
                <w:szCs w:val="20"/>
                <w:bdr w:val="none" w:sz="0" w:space="0" w:color="auto" w:frame="1"/>
              </w:rPr>
              <w:t>Les objectifs spécifiques de la présente évaluation à mi-parcours sont les suivants:</w:t>
            </w:r>
          </w:p>
          <w:p w14:paraId="0F5FC9AE" w14:textId="77777777" w:rsidR="00091457" w:rsidRPr="00091457" w:rsidRDefault="00091457" w:rsidP="00D76EFA">
            <w:pPr>
              <w:numPr>
                <w:ilvl w:val="0"/>
                <w:numId w:val="119"/>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Apprécier l’alignement des priorités du Programme Pays sur les priorités de l’UNDAF+ et du CREDD;</w:t>
            </w:r>
          </w:p>
          <w:p w14:paraId="68C8BFD9" w14:textId="77777777" w:rsidR="00091457" w:rsidRPr="00091457" w:rsidRDefault="00091457" w:rsidP="00D76EFA">
            <w:pPr>
              <w:numPr>
                <w:ilvl w:val="0"/>
                <w:numId w:val="119"/>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Apprécier la pertinence et la cohérence des programmes et projets mis en œuvre (pertinence par rapport aux effets UNDAF+ retenus, aux priorités nationales telles qu’énoncées dans le CREDD) et l’adéquation des interventions du PNUD;</w:t>
            </w:r>
          </w:p>
          <w:p w14:paraId="7874C50A" w14:textId="77777777" w:rsidR="00091457" w:rsidRPr="00091457" w:rsidRDefault="00091457" w:rsidP="00D76EFA">
            <w:pPr>
              <w:numPr>
                <w:ilvl w:val="0"/>
                <w:numId w:val="119"/>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Apprécier les progrès réalisés vers l’atteinte des résultats attendus tels qu’énoncés dans la matrice des résultats du CPD (réalisations, ressources utilisées, gap de financement par secteur, difficultés opérationnelles rencontrées, risques);</w:t>
            </w:r>
          </w:p>
          <w:p w14:paraId="32B80F56" w14:textId="77777777" w:rsidR="00091457" w:rsidRPr="00091457" w:rsidRDefault="00091457" w:rsidP="00D76EFA">
            <w:pPr>
              <w:numPr>
                <w:ilvl w:val="0"/>
                <w:numId w:val="119"/>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Procéder à l’évaluation du Programme Pays par rapport à la matrice des résultats de l’UNDAF+ et le cadre des mesures et des indicateurs de suivi du CREDD;</w:t>
            </w:r>
          </w:p>
          <w:p w14:paraId="5A313613" w14:textId="77777777" w:rsidR="00091457" w:rsidRPr="00091457" w:rsidRDefault="00091457" w:rsidP="00D76EFA">
            <w:pPr>
              <w:numPr>
                <w:ilvl w:val="0"/>
                <w:numId w:val="119"/>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Apprécier la prise en compte des priorités émergentes survenues en cours du cycle et comment ces priorités ont influencé les résultats obtenus et leurs impacts sur les résultats attendus de l’UNDAF+ et du CPD initialement fixés;</w:t>
            </w:r>
          </w:p>
          <w:p w14:paraId="2CF45CF5" w14:textId="77777777" w:rsidR="00091457" w:rsidRPr="00091457" w:rsidRDefault="00091457" w:rsidP="00D76EFA">
            <w:pPr>
              <w:numPr>
                <w:ilvl w:val="0"/>
                <w:numId w:val="119"/>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Apprécier la contribution du PNUD dans la mise en œuvre de l’UNDAF+, y compris  les mécanismes de coordination (Comité Programme, OMT, Groupe Communication, Groupes Thématiques) et la stratégie de communication conjointe (actions réalisées, difficultés et contraintes);</w:t>
            </w:r>
          </w:p>
          <w:p w14:paraId="359EE59E" w14:textId="77777777" w:rsidR="00091457" w:rsidRPr="00091457" w:rsidRDefault="00091457" w:rsidP="00D76EFA">
            <w:pPr>
              <w:numPr>
                <w:ilvl w:val="0"/>
                <w:numId w:val="119"/>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Apprécier la contribution du PNUD dans la mise en œuvre de l’Accord de Paix, notamment à travers les axes liés à ses domaines de Coopération tels que la Cohésion Sociale, la Décentralisation et le Relèvement post-conflits ;</w:t>
            </w:r>
          </w:p>
          <w:p w14:paraId="2BDBA43C" w14:textId="77777777" w:rsidR="00091457" w:rsidRPr="00091457" w:rsidRDefault="00091457" w:rsidP="00D76EFA">
            <w:pPr>
              <w:numPr>
                <w:ilvl w:val="0"/>
                <w:numId w:val="119"/>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Evaluer le degré d’implication des partenaires (Gouvernement, PTFs, Société Civile/ONGs, Secteur Privé, collectivités locales) dans la mise en œuvre du CPD;</w:t>
            </w:r>
          </w:p>
          <w:p w14:paraId="2438505D" w14:textId="77777777" w:rsidR="00091457" w:rsidRPr="00091457" w:rsidRDefault="00091457" w:rsidP="00D76EFA">
            <w:pPr>
              <w:numPr>
                <w:ilvl w:val="0"/>
                <w:numId w:val="119"/>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Faire une évaluation de la mobilisation des ressources  et des efforts de partenariats développés par le PNUD dans un contexte d’aide publique au développement en pleine mutation Post-Déclaration de Paris, Plan d’action d’Accra et Accord de Partenariat de Busan. En particulier, apprécier le niveau d’engagement du PNUD dans l’architecture de l’aide pour la mise en œuvre du CREDD au Mali (Cadre Sectoriel de Dialogue, Groupes Thématiques, GEC et TROÏKA) ;</w:t>
            </w:r>
          </w:p>
          <w:p w14:paraId="1F6FCCF7" w14:textId="77777777" w:rsidR="00091457" w:rsidRPr="00091457" w:rsidRDefault="00091457" w:rsidP="00D76EFA">
            <w:pPr>
              <w:numPr>
                <w:ilvl w:val="0"/>
                <w:numId w:val="119"/>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Evaluer l’impact sur les groupes cibles et les institutions, des activités du programme,  en termes de développement des capacités et de durabilité des interventions;</w:t>
            </w:r>
          </w:p>
          <w:p w14:paraId="1F16D6A8" w14:textId="77777777" w:rsidR="00091457" w:rsidRPr="00091457" w:rsidRDefault="00091457" w:rsidP="00D76EFA">
            <w:pPr>
              <w:numPr>
                <w:ilvl w:val="0"/>
                <w:numId w:val="119"/>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Evaluer dans quelle mesure, les arrangements de gestion et le mécanisme de suivi  et évaluation ont effectivement facilité l’atteinte ou non des résultats et leur durabilité ;</w:t>
            </w:r>
          </w:p>
          <w:p w14:paraId="4A35A3FA" w14:textId="77777777" w:rsidR="00091457" w:rsidRPr="00091457" w:rsidRDefault="00091457" w:rsidP="00D76EFA">
            <w:pPr>
              <w:numPr>
                <w:ilvl w:val="0"/>
                <w:numId w:val="119"/>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lastRenderedPageBreak/>
              <w:t>Apprécier les mécanismes et stratégie de communication autour du programme (actions réalisées, difficultés et contraintes) ;</w:t>
            </w:r>
          </w:p>
          <w:p w14:paraId="06E08976" w14:textId="77777777" w:rsidR="00091457" w:rsidRPr="00091457" w:rsidRDefault="00091457" w:rsidP="00D76EFA">
            <w:pPr>
              <w:numPr>
                <w:ilvl w:val="0"/>
                <w:numId w:val="119"/>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Apprécier la cohérence entre les mécanismes de coordination et de mise en œuvre du CPD (Comités de Pilotage des Projets), ceux de l’UNDAF+ et les mécanismes nationaux existants: pertinence, forces et faiblesses ;</w:t>
            </w:r>
          </w:p>
          <w:p w14:paraId="6F062CF6" w14:textId="77777777" w:rsidR="00091457" w:rsidRPr="00091457" w:rsidRDefault="00091457" w:rsidP="00D76EFA">
            <w:pPr>
              <w:numPr>
                <w:ilvl w:val="0"/>
                <w:numId w:val="119"/>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Apprécier la durabilité des résultats en rapport avec les priorités nationales de développement ;</w:t>
            </w:r>
          </w:p>
          <w:p w14:paraId="5AF7C2F1" w14:textId="77777777" w:rsidR="00091457" w:rsidRPr="00091457" w:rsidRDefault="00091457" w:rsidP="00D76EFA">
            <w:pPr>
              <w:numPr>
                <w:ilvl w:val="0"/>
                <w:numId w:val="119"/>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Identifier les leçons apprises et capitaliser les bonnes pratiques ;</w:t>
            </w:r>
          </w:p>
          <w:p w14:paraId="6DFE6ED7" w14:textId="77777777" w:rsidR="00091457" w:rsidRPr="00091457" w:rsidRDefault="00091457" w:rsidP="00D76EFA">
            <w:pPr>
              <w:numPr>
                <w:ilvl w:val="0"/>
                <w:numId w:val="119"/>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Formuler des recommandations pour la 2eme phase du cycle de programmation;</w:t>
            </w:r>
          </w:p>
          <w:p w14:paraId="54EF1F65" w14:textId="77777777" w:rsidR="00091457" w:rsidRPr="00091457" w:rsidRDefault="00091457" w:rsidP="00D76EFA">
            <w:pPr>
              <w:numPr>
                <w:ilvl w:val="0"/>
                <w:numId w:val="119"/>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Questions de l’évaluation;</w:t>
            </w:r>
          </w:p>
          <w:p w14:paraId="7494581B" w14:textId="77777777" w:rsidR="00091457" w:rsidRPr="00091457" w:rsidRDefault="00091457" w:rsidP="00D76EFA">
            <w:pPr>
              <w:numPr>
                <w:ilvl w:val="0"/>
                <w:numId w:val="119"/>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L’évaluation devra répondre aux questions suivantes réparties suivant les cinq critères d’évaluation que sont : la pertinence, l’efficacité, l’efficience, la durabilité et l’impact.</w:t>
            </w:r>
          </w:p>
          <w:p w14:paraId="7A04EBA8" w14:textId="77777777" w:rsidR="00091457" w:rsidRPr="00091457" w:rsidRDefault="00091457" w:rsidP="00091457">
            <w:pPr>
              <w:pStyle w:val="NormalWeb"/>
              <w:textAlignment w:val="baseline"/>
              <w:rPr>
                <w:sz w:val="20"/>
                <w:szCs w:val="20"/>
              </w:rPr>
            </w:pPr>
            <w:r w:rsidRPr="00091457">
              <w:rPr>
                <w:rStyle w:val="lev"/>
                <w:sz w:val="20"/>
                <w:szCs w:val="20"/>
                <w:bdr w:val="none" w:sz="0" w:space="0" w:color="auto" w:frame="1"/>
              </w:rPr>
              <w:t>Pertinence :</w:t>
            </w:r>
          </w:p>
          <w:p w14:paraId="29D182F2" w14:textId="77777777" w:rsidR="00091457" w:rsidRPr="00091457" w:rsidRDefault="00091457" w:rsidP="00D76EFA">
            <w:pPr>
              <w:numPr>
                <w:ilvl w:val="0"/>
                <w:numId w:val="120"/>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Dans quelle mesure les effets du CPD sont-ils pertinents par rapport à l’UNDAF+ et aux priorités nationales de développement du pays;</w:t>
            </w:r>
          </w:p>
          <w:p w14:paraId="65993B94" w14:textId="77777777" w:rsidR="00091457" w:rsidRPr="00091457" w:rsidRDefault="00091457" w:rsidP="00D76EFA">
            <w:pPr>
              <w:numPr>
                <w:ilvl w:val="0"/>
                <w:numId w:val="120"/>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Les interventions du PNUD à travers les programmes et projets sont-elles pertinentes par rapport aux priorités nationales actuelles.</w:t>
            </w:r>
          </w:p>
          <w:p w14:paraId="428F8969" w14:textId="77777777" w:rsidR="00091457" w:rsidRPr="00091457" w:rsidRDefault="00091457" w:rsidP="00091457">
            <w:pPr>
              <w:pStyle w:val="NormalWeb"/>
              <w:textAlignment w:val="baseline"/>
              <w:rPr>
                <w:sz w:val="20"/>
                <w:szCs w:val="20"/>
              </w:rPr>
            </w:pPr>
            <w:r w:rsidRPr="00091457">
              <w:rPr>
                <w:rStyle w:val="lev"/>
                <w:sz w:val="20"/>
                <w:szCs w:val="20"/>
                <w:bdr w:val="none" w:sz="0" w:space="0" w:color="auto" w:frame="1"/>
              </w:rPr>
              <w:t>Efficacité :</w:t>
            </w:r>
          </w:p>
          <w:p w14:paraId="17976986" w14:textId="77777777" w:rsidR="00091457" w:rsidRPr="00091457" w:rsidRDefault="00091457" w:rsidP="00D76EFA">
            <w:pPr>
              <w:numPr>
                <w:ilvl w:val="0"/>
                <w:numId w:val="121"/>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Quels sont les niveaux de réalisation des effets du CPD 2015-2019 ? Quels sont les défis majeurs pour la réalisation de chaque effet;</w:t>
            </w:r>
          </w:p>
          <w:p w14:paraId="26B7EE22" w14:textId="77777777" w:rsidR="00091457" w:rsidRPr="00091457" w:rsidRDefault="00091457" w:rsidP="00D76EFA">
            <w:pPr>
              <w:numPr>
                <w:ilvl w:val="0"/>
                <w:numId w:val="121"/>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Dans quelle mesure les produits des projets ont-ils contribué à la réalisation des effets du CPD ;</w:t>
            </w:r>
          </w:p>
          <w:p w14:paraId="79374785" w14:textId="77777777" w:rsidR="00091457" w:rsidRPr="00091457" w:rsidRDefault="00091457" w:rsidP="00D76EFA">
            <w:pPr>
              <w:numPr>
                <w:ilvl w:val="0"/>
                <w:numId w:val="121"/>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Quelles sont les incidences en termes de renforcement des capacités  des acteurs nationaux;</w:t>
            </w:r>
          </w:p>
          <w:p w14:paraId="58BFA9DC" w14:textId="77777777" w:rsidR="00091457" w:rsidRPr="00091457" w:rsidRDefault="00091457" w:rsidP="00D76EFA">
            <w:pPr>
              <w:numPr>
                <w:ilvl w:val="0"/>
                <w:numId w:val="121"/>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Dans quelle mesure les stratégies de mobilisation des ressources, de communication, de suivi-évaluation ont-elles contribué au progrès vers les résultats.</w:t>
            </w:r>
          </w:p>
          <w:p w14:paraId="4BE4302B" w14:textId="77777777" w:rsidR="00091457" w:rsidRPr="00091457" w:rsidRDefault="00091457" w:rsidP="00091457">
            <w:pPr>
              <w:pStyle w:val="NormalWeb"/>
              <w:textAlignment w:val="baseline"/>
              <w:rPr>
                <w:sz w:val="20"/>
                <w:szCs w:val="20"/>
              </w:rPr>
            </w:pPr>
            <w:r w:rsidRPr="00091457">
              <w:rPr>
                <w:rStyle w:val="lev"/>
                <w:sz w:val="20"/>
                <w:szCs w:val="20"/>
                <w:bdr w:val="none" w:sz="0" w:space="0" w:color="auto" w:frame="1"/>
              </w:rPr>
              <w:t>Efficience et gestion des programmes :</w:t>
            </w:r>
          </w:p>
          <w:p w14:paraId="0C18B3E5" w14:textId="77777777" w:rsidR="00091457" w:rsidRPr="00091457" w:rsidRDefault="00091457" w:rsidP="00D76EFA">
            <w:pPr>
              <w:numPr>
                <w:ilvl w:val="0"/>
                <w:numId w:val="122"/>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Les projets et programmes en cours de mise en œuvre sont-ils gérés de manière efficient ? Y’a-t-il des approches ou des processus qui doivent être modifiés ou qui ont besoin d’améliorations significatives sur la période 2018-2019.</w:t>
            </w:r>
          </w:p>
          <w:p w14:paraId="2ABA1C9A" w14:textId="77777777" w:rsidR="00091457" w:rsidRPr="00091457" w:rsidRDefault="00091457" w:rsidP="00091457">
            <w:pPr>
              <w:pStyle w:val="NormalWeb"/>
              <w:textAlignment w:val="baseline"/>
              <w:rPr>
                <w:sz w:val="20"/>
                <w:szCs w:val="20"/>
              </w:rPr>
            </w:pPr>
            <w:r w:rsidRPr="00091457">
              <w:rPr>
                <w:rStyle w:val="lev"/>
                <w:sz w:val="20"/>
                <w:szCs w:val="20"/>
                <w:bdr w:val="none" w:sz="0" w:space="0" w:color="auto" w:frame="1"/>
              </w:rPr>
              <w:t>Durabilité :</w:t>
            </w:r>
          </w:p>
          <w:p w14:paraId="40E81391" w14:textId="77777777" w:rsidR="00091457" w:rsidRPr="00091457" w:rsidRDefault="00091457" w:rsidP="00D76EFA">
            <w:pPr>
              <w:numPr>
                <w:ilvl w:val="0"/>
                <w:numId w:val="123"/>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Quel est le niveau d’appropriation nationale des progrès réalisés et la durabilité des résultats obtenus;</w:t>
            </w:r>
          </w:p>
          <w:p w14:paraId="2243706D" w14:textId="77777777" w:rsidR="00091457" w:rsidRPr="00091457" w:rsidRDefault="00091457" w:rsidP="00D76EFA">
            <w:pPr>
              <w:numPr>
                <w:ilvl w:val="0"/>
                <w:numId w:val="123"/>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Y’a-t-il intégration des thématiques transversales (genre, droits humains, renforcement des capacités) dans le CPD;</w:t>
            </w:r>
          </w:p>
          <w:p w14:paraId="103CDBC5" w14:textId="77777777" w:rsidR="00091457" w:rsidRPr="00091457" w:rsidRDefault="00091457" w:rsidP="00D76EFA">
            <w:pPr>
              <w:numPr>
                <w:ilvl w:val="0"/>
                <w:numId w:val="123"/>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Dans quelle mesure le CPD a-t-il contribué à la promotion de l’égalité du genre, à l’autonomisation des femmes ? Que devons-nous mieux faire sur la période 2018-2019;</w:t>
            </w:r>
          </w:p>
          <w:p w14:paraId="09C7C3B3" w14:textId="77777777" w:rsidR="00091457" w:rsidRPr="00091457" w:rsidRDefault="00091457" w:rsidP="00D76EFA">
            <w:pPr>
              <w:numPr>
                <w:ilvl w:val="0"/>
                <w:numId w:val="123"/>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Pistes de réflexions et axes stratégiques pour la période 2018-2019 ? Quels sont les axes sur lesquels le Bureau devra se concentrer pour la période 2018-2019 afin d’atteindre les résultats escomptés.</w:t>
            </w:r>
          </w:p>
          <w:p w14:paraId="4FAB672B" w14:textId="77777777" w:rsidR="00091457" w:rsidRPr="00091457" w:rsidRDefault="00091457" w:rsidP="00091457">
            <w:pPr>
              <w:pStyle w:val="NormalWeb"/>
              <w:textAlignment w:val="baseline"/>
              <w:rPr>
                <w:sz w:val="20"/>
                <w:szCs w:val="20"/>
              </w:rPr>
            </w:pPr>
            <w:r w:rsidRPr="00091457">
              <w:rPr>
                <w:rStyle w:val="lev"/>
                <w:sz w:val="20"/>
                <w:szCs w:val="20"/>
                <w:bdr w:val="none" w:sz="0" w:space="0" w:color="auto" w:frame="1"/>
              </w:rPr>
              <w:t>Méthodologie:</w:t>
            </w:r>
          </w:p>
          <w:p w14:paraId="7DA1BED9" w14:textId="77777777" w:rsidR="00091457" w:rsidRPr="00091457" w:rsidRDefault="00091457" w:rsidP="00D76EFA">
            <w:pPr>
              <w:numPr>
                <w:ilvl w:val="0"/>
                <w:numId w:val="124"/>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L’évaluation à mi-parcours du Programme Pays sera conduite par une équipe pluridisciplinaire de consultant international et de consultants nationaux;</w:t>
            </w:r>
          </w:p>
          <w:p w14:paraId="4123900E" w14:textId="77777777" w:rsidR="00091457" w:rsidRPr="00091457" w:rsidRDefault="00091457" w:rsidP="00D76EFA">
            <w:pPr>
              <w:numPr>
                <w:ilvl w:val="0"/>
                <w:numId w:val="124"/>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L’approche sera participative impliquant toutes les parties prenantes à savoir: les partenaires nationaux, le PNUD, les agences du SNU et les partenaires au développement;</w:t>
            </w:r>
          </w:p>
          <w:p w14:paraId="0C5A416E" w14:textId="77777777" w:rsidR="00091457" w:rsidRPr="00091457" w:rsidRDefault="00091457" w:rsidP="00D76EFA">
            <w:pPr>
              <w:numPr>
                <w:ilvl w:val="0"/>
                <w:numId w:val="124"/>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Différents outils seront utilisés pour collecter et analyser les informations pertinentes pour l’exercice.</w:t>
            </w:r>
          </w:p>
          <w:p w14:paraId="7D8CD25A" w14:textId="77777777" w:rsidR="00091457" w:rsidRPr="00091457" w:rsidRDefault="00091457" w:rsidP="00091457">
            <w:pPr>
              <w:pStyle w:val="NormalWeb"/>
              <w:textAlignment w:val="baseline"/>
              <w:rPr>
                <w:sz w:val="20"/>
                <w:szCs w:val="20"/>
              </w:rPr>
            </w:pPr>
            <w:r w:rsidRPr="00091457">
              <w:rPr>
                <w:rStyle w:val="lev"/>
                <w:sz w:val="20"/>
                <w:szCs w:val="20"/>
                <w:bdr w:val="none" w:sz="0" w:space="0" w:color="auto" w:frame="1"/>
              </w:rPr>
              <w:t>En particulier, elle sera basée sur:</w:t>
            </w:r>
          </w:p>
          <w:p w14:paraId="1E6ECC25" w14:textId="77777777" w:rsidR="00091457" w:rsidRPr="00091457" w:rsidRDefault="00091457" w:rsidP="00D76EFA">
            <w:pPr>
              <w:numPr>
                <w:ilvl w:val="0"/>
                <w:numId w:val="125"/>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La revue et l’étude de la documentation clé (études, rapports de revues du CREDD);</w:t>
            </w:r>
          </w:p>
          <w:p w14:paraId="1B9A6E40" w14:textId="77777777" w:rsidR="00091457" w:rsidRPr="00091457" w:rsidRDefault="00091457" w:rsidP="00D76EFA">
            <w:pPr>
              <w:numPr>
                <w:ilvl w:val="0"/>
                <w:numId w:val="125"/>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Les rapports annuels de l’UNDAF+, matrice unifiée de l’UNDAF+, rapports annuels des programmes, rapports financiers, rapports de consultations, documents sur projets);</w:t>
            </w:r>
          </w:p>
          <w:p w14:paraId="0E8459AE" w14:textId="77777777" w:rsidR="00091457" w:rsidRPr="00091457" w:rsidRDefault="00091457" w:rsidP="00D76EFA">
            <w:pPr>
              <w:numPr>
                <w:ilvl w:val="0"/>
                <w:numId w:val="125"/>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Les rencontres et entretiens avec les acteurs concernés, les partenaires, les personnes ressources;</w:t>
            </w:r>
          </w:p>
          <w:p w14:paraId="0671262E" w14:textId="77777777" w:rsidR="00091457" w:rsidRPr="00091457" w:rsidRDefault="00091457" w:rsidP="00D76EFA">
            <w:pPr>
              <w:numPr>
                <w:ilvl w:val="0"/>
                <w:numId w:val="125"/>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Les questionnaires individuels ou de groupe;</w:t>
            </w:r>
          </w:p>
          <w:p w14:paraId="3DD26E81" w14:textId="77777777" w:rsidR="00091457" w:rsidRPr="00091457" w:rsidRDefault="00091457" w:rsidP="00D76EFA">
            <w:pPr>
              <w:numPr>
                <w:ilvl w:val="0"/>
                <w:numId w:val="125"/>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Techniques participatives ou toute méthode de collecte de l’information pertinente;</w:t>
            </w:r>
          </w:p>
          <w:p w14:paraId="4CE622C1" w14:textId="77777777" w:rsidR="00091457" w:rsidRPr="00091457" w:rsidRDefault="00091457" w:rsidP="00D76EFA">
            <w:pPr>
              <w:numPr>
                <w:ilvl w:val="0"/>
                <w:numId w:val="125"/>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L’exploitation et l’analyse des informations collectées pour la production du rapport;</w:t>
            </w:r>
          </w:p>
          <w:p w14:paraId="33D0226D" w14:textId="77777777" w:rsidR="00091457" w:rsidRPr="00091457" w:rsidRDefault="00091457" w:rsidP="00D76EFA">
            <w:pPr>
              <w:numPr>
                <w:ilvl w:val="0"/>
                <w:numId w:val="125"/>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L’analyse des données couvrira toutes les activités soutenues par le programme;</w:t>
            </w:r>
          </w:p>
          <w:p w14:paraId="52C5810B" w14:textId="77777777" w:rsidR="00091457" w:rsidRPr="00091457" w:rsidRDefault="00091457" w:rsidP="00D76EFA">
            <w:pPr>
              <w:numPr>
                <w:ilvl w:val="0"/>
                <w:numId w:val="125"/>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Sur la base de la méthodologie, un chronogramme et un plan de travail seront proposés par l’équipe au démarrage de l’évaluation.</w:t>
            </w:r>
          </w:p>
          <w:p w14:paraId="7DF46DD7" w14:textId="77777777" w:rsidR="00091457" w:rsidRPr="00091457" w:rsidRDefault="00091457" w:rsidP="00091457">
            <w:pPr>
              <w:pStyle w:val="NormalWeb"/>
              <w:textAlignment w:val="baseline"/>
              <w:rPr>
                <w:sz w:val="20"/>
                <w:szCs w:val="20"/>
              </w:rPr>
            </w:pPr>
            <w:r w:rsidRPr="00091457">
              <w:rPr>
                <w:rStyle w:val="lev"/>
                <w:sz w:val="20"/>
                <w:szCs w:val="20"/>
                <w:bdr w:val="none" w:sz="0" w:space="0" w:color="auto" w:frame="1"/>
              </w:rPr>
              <w:t>Déroulement du Processus:</w:t>
            </w:r>
          </w:p>
          <w:p w14:paraId="2526D20F" w14:textId="77777777" w:rsidR="00091457" w:rsidRPr="00091457" w:rsidRDefault="00091457" w:rsidP="00D76EFA">
            <w:pPr>
              <w:numPr>
                <w:ilvl w:val="0"/>
                <w:numId w:val="126"/>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Le processus sera coordonné par un comité technique interne de coordination et de suivi qui travaillera en concertation avec les Comités de l’UNDAF+, l’Unité d’appui à la coordination du SNU, les services du Ministère de l’Economie et des Finances (MEF), du Ministère des Affaires Etrangères, de la Coopération Internationale et de l’Intégration Africaine (MAECIIA) et des autres départements ministériels partenaires;</w:t>
            </w:r>
          </w:p>
          <w:p w14:paraId="5D555427" w14:textId="77777777" w:rsidR="00091457" w:rsidRPr="00091457" w:rsidRDefault="00091457" w:rsidP="00D76EFA">
            <w:pPr>
              <w:numPr>
                <w:ilvl w:val="0"/>
                <w:numId w:val="126"/>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lastRenderedPageBreak/>
              <w:t>Le MAECIIA et le MEF auront un rôle de facilitateurs pour une bonne implication et participation des autres ministères sectoriels et directions centrales concernés et aussi la mise à disposition des informations sur le CREDD afin d’appuyer les travaux de l’évaluation;</w:t>
            </w:r>
          </w:p>
          <w:p w14:paraId="2D8A39AE" w14:textId="77777777" w:rsidR="00091457" w:rsidRPr="00091457" w:rsidRDefault="00091457" w:rsidP="00D76EFA">
            <w:pPr>
              <w:numPr>
                <w:ilvl w:val="0"/>
                <w:numId w:val="126"/>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Une équipe pluridisciplinaire de consultants sera recrutée pour conduire cette évaluation sous la supervision du Directeur Pays et la coordination du Directeur Pays Adjoint/Programme. Les consultants vont rencontrer les acteurs selon une liste et un calendrier établis pour des échanges.   Le conseiller régional en Suivi-évaluation du Centre Régional du PNUD de Addis Abeba appuiera la mission et accompagnera le bureau du PNUD dans l’assurance qualité des résultats de la mission;</w:t>
            </w:r>
          </w:p>
          <w:p w14:paraId="2AD39610" w14:textId="77777777" w:rsidR="00091457" w:rsidRPr="00091457" w:rsidRDefault="00091457" w:rsidP="00D76EFA">
            <w:pPr>
              <w:numPr>
                <w:ilvl w:val="0"/>
                <w:numId w:val="126"/>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Une semaine après le démarrage de la mission, l’équipe de consultants présentera sa méthodologie lors d’une restitution au PNUD. Le projet de rapport sera soumis au PNUD au terme de la 4eme semaine de la mission et un atelier sera organisé pour valider le rapport final de l’évaluation.</w:t>
            </w:r>
          </w:p>
          <w:p w14:paraId="1230B317" w14:textId="77777777" w:rsidR="00091457" w:rsidRPr="00091457" w:rsidRDefault="00091457" w:rsidP="00091457">
            <w:pPr>
              <w:pStyle w:val="NormalWeb"/>
              <w:textAlignment w:val="baseline"/>
              <w:rPr>
                <w:sz w:val="20"/>
                <w:szCs w:val="20"/>
              </w:rPr>
            </w:pPr>
            <w:r w:rsidRPr="00091457">
              <w:rPr>
                <w:rStyle w:val="lev"/>
                <w:sz w:val="20"/>
                <w:szCs w:val="20"/>
                <w:bdr w:val="none" w:sz="0" w:space="0" w:color="auto" w:frame="1"/>
              </w:rPr>
              <w:t>Résultats Attendus:</w:t>
            </w:r>
          </w:p>
          <w:p w14:paraId="71533392" w14:textId="77777777" w:rsidR="00091457" w:rsidRPr="00091457" w:rsidRDefault="00091457" w:rsidP="00D76EFA">
            <w:pPr>
              <w:numPr>
                <w:ilvl w:val="0"/>
                <w:numId w:val="127"/>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Au terme de l’évaluation, les résultats suivants devront être obtenus :</w:t>
            </w:r>
          </w:p>
          <w:p w14:paraId="1FEE6D6A" w14:textId="77777777" w:rsidR="00091457" w:rsidRPr="00091457" w:rsidRDefault="00091457" w:rsidP="00D76EFA">
            <w:pPr>
              <w:numPr>
                <w:ilvl w:val="0"/>
                <w:numId w:val="127"/>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La proposition d’un meilleur alignement du CPD sur l’UNDAF+ et sur le CREDD est faite, en tenant compte des défis émergents et des enjeux de l’Aide Publique (AP) ;</w:t>
            </w:r>
          </w:p>
          <w:p w14:paraId="18E83B46" w14:textId="77777777" w:rsidR="00091457" w:rsidRPr="00091457" w:rsidRDefault="00091457" w:rsidP="00D76EFA">
            <w:pPr>
              <w:numPr>
                <w:ilvl w:val="0"/>
                <w:numId w:val="127"/>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Les résultats majeurs réalisés ou en cours de réalisation, ainsi que les contraintes de mise en œuvre devront être clairement présentés ;</w:t>
            </w:r>
          </w:p>
          <w:p w14:paraId="2036B603" w14:textId="77777777" w:rsidR="00091457" w:rsidRPr="00091457" w:rsidRDefault="00091457" w:rsidP="00D76EFA">
            <w:pPr>
              <w:numPr>
                <w:ilvl w:val="0"/>
                <w:numId w:val="127"/>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Le niveau de mobilisation des ressources atteint ainsi que les efforts additionnels nécessaires pour un meilleur financement de l’action du PNUD ;</w:t>
            </w:r>
          </w:p>
          <w:p w14:paraId="6DF152CD" w14:textId="77777777" w:rsidR="00091457" w:rsidRPr="00091457" w:rsidRDefault="00091457" w:rsidP="00D76EFA">
            <w:pPr>
              <w:numPr>
                <w:ilvl w:val="0"/>
                <w:numId w:val="127"/>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Le degré d’implication des partenaires et les mécanismes de coordination devront être discutés et des propositions claires formulées ;</w:t>
            </w:r>
          </w:p>
          <w:p w14:paraId="5E0267C6" w14:textId="77777777" w:rsidR="00091457" w:rsidRPr="00091457" w:rsidRDefault="00091457" w:rsidP="00D76EFA">
            <w:pPr>
              <w:numPr>
                <w:ilvl w:val="0"/>
                <w:numId w:val="127"/>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Une déclinaison des ajustements nécessaires afin de permettre au PNUD de s’adapter à l’approche intégrée et la nouvelle dynamique du nexus Humanitaire-Développement.</w:t>
            </w:r>
          </w:p>
          <w:p w14:paraId="1D5406F3" w14:textId="77777777" w:rsidR="00091457" w:rsidRPr="00091457" w:rsidRDefault="00091457" w:rsidP="00091457">
            <w:pPr>
              <w:pStyle w:val="NormalWeb"/>
              <w:textAlignment w:val="baseline"/>
              <w:rPr>
                <w:sz w:val="20"/>
                <w:szCs w:val="20"/>
              </w:rPr>
            </w:pPr>
            <w:r w:rsidRPr="00091457">
              <w:rPr>
                <w:rStyle w:val="lev"/>
                <w:sz w:val="20"/>
                <w:szCs w:val="20"/>
                <w:bdr w:val="none" w:sz="0" w:space="0" w:color="auto" w:frame="1"/>
              </w:rPr>
              <w:t>Livrables:</w:t>
            </w:r>
          </w:p>
          <w:p w14:paraId="3B9B60F5" w14:textId="77777777" w:rsidR="00091457" w:rsidRPr="00091457" w:rsidRDefault="00091457" w:rsidP="00D76EFA">
            <w:pPr>
              <w:numPr>
                <w:ilvl w:val="0"/>
                <w:numId w:val="128"/>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Deux principaux résultats sont attendus;</w:t>
            </w:r>
          </w:p>
          <w:p w14:paraId="52E3782F" w14:textId="77777777" w:rsidR="00091457" w:rsidRPr="00091457" w:rsidRDefault="00091457" w:rsidP="00D76EFA">
            <w:pPr>
              <w:numPr>
                <w:ilvl w:val="0"/>
                <w:numId w:val="128"/>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Un rapport initial (Inception Report) détaillant la méthodologie de l’évaluation incluant la collecte de données et autres outils et méthodes qui seront utilisés dans le cadre de l’évaluation. Il comportera le chronogramme détaillé. Le rapport initial offre, entre autre, une opportunité de vérifier que les consultants partagent la même compréhension de l’évaluation que le commanditaire;</w:t>
            </w:r>
          </w:p>
          <w:p w14:paraId="7B869377" w14:textId="77777777" w:rsidR="00091457" w:rsidRPr="00091457" w:rsidRDefault="00091457" w:rsidP="00D76EFA">
            <w:pPr>
              <w:numPr>
                <w:ilvl w:val="0"/>
                <w:numId w:val="128"/>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Un rapport provisoire de l’évaluation couvrant tous les aspects clés mentionnés dans la section objectifs spécifiques ainsi que des recommandations (progrès accomplis, difficultés, leçons apprises, recommandations);</w:t>
            </w:r>
          </w:p>
          <w:p w14:paraId="74D427C0" w14:textId="77777777" w:rsidR="00091457" w:rsidRPr="00091457" w:rsidRDefault="00091457" w:rsidP="00D76EFA">
            <w:pPr>
              <w:numPr>
                <w:ilvl w:val="0"/>
                <w:numId w:val="128"/>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Un rapport final découlant du rapport provisoire, intégrant les commentaires de toutes les parties prenantes avec un résumé synthétique (executive summary) et une présentation des principales conclusions et recommandations de la revue;</w:t>
            </w:r>
          </w:p>
          <w:p w14:paraId="0A05E3C5" w14:textId="77777777" w:rsidR="00091457" w:rsidRPr="00091457" w:rsidRDefault="00091457" w:rsidP="00D76EFA">
            <w:pPr>
              <w:numPr>
                <w:ilvl w:val="0"/>
                <w:numId w:val="128"/>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L’équipe de consultants devra faire une présentation PowerPoint en français résumant les principaux constats et recommandations issus du rapport d’évaluation pour la réunion de restitution avec le senior management et le gouvernement;</w:t>
            </w:r>
          </w:p>
        </w:tc>
      </w:tr>
      <w:tr w:rsidR="00091457" w:rsidRPr="00091457" w14:paraId="2058712A" w14:textId="77777777" w:rsidTr="00091457">
        <w:tc>
          <w:tcPr>
            <w:tcW w:w="0" w:type="auto"/>
            <w:shd w:val="clear" w:color="auto" w:fill="auto"/>
            <w:hideMark/>
          </w:tcPr>
          <w:p w14:paraId="5108F391" w14:textId="77777777" w:rsidR="00091457" w:rsidRPr="00091457" w:rsidRDefault="00091457" w:rsidP="00091457">
            <w:pPr>
              <w:spacing w:after="0" w:line="240" w:lineRule="auto"/>
              <w:rPr>
                <w:rFonts w:ascii="Times New Roman" w:hAnsi="Times New Roman"/>
                <w:b/>
                <w:sz w:val="20"/>
                <w:szCs w:val="20"/>
              </w:rPr>
            </w:pPr>
            <w:r w:rsidRPr="00091457">
              <w:rPr>
                <w:rFonts w:ascii="Times New Roman" w:hAnsi="Times New Roman"/>
                <w:b/>
                <w:sz w:val="20"/>
                <w:szCs w:val="20"/>
              </w:rPr>
              <w:lastRenderedPageBreak/>
              <w:br/>
              <w:t>Compétences</w:t>
            </w:r>
          </w:p>
          <w:p w14:paraId="5F74D691" w14:textId="77777777" w:rsidR="00091457" w:rsidRPr="00091457" w:rsidRDefault="00091457" w:rsidP="00091457">
            <w:pPr>
              <w:spacing w:after="0" w:line="240" w:lineRule="auto"/>
              <w:rPr>
                <w:rFonts w:ascii="Times New Roman" w:hAnsi="Times New Roman"/>
                <w:b/>
                <w:sz w:val="20"/>
                <w:szCs w:val="20"/>
              </w:rPr>
            </w:pPr>
          </w:p>
        </w:tc>
      </w:tr>
      <w:tr w:rsidR="00091457" w:rsidRPr="00091457" w14:paraId="136D304D" w14:textId="77777777" w:rsidTr="00091457">
        <w:tc>
          <w:tcPr>
            <w:tcW w:w="0" w:type="auto"/>
            <w:shd w:val="clear" w:color="auto" w:fill="auto"/>
            <w:hideMark/>
          </w:tcPr>
          <w:p w14:paraId="7BFA0EBA" w14:textId="77777777" w:rsidR="00091457" w:rsidRPr="00091457" w:rsidRDefault="00091457" w:rsidP="00091457">
            <w:pPr>
              <w:pStyle w:val="NormalWeb"/>
              <w:textAlignment w:val="baseline"/>
              <w:rPr>
                <w:sz w:val="20"/>
                <w:szCs w:val="20"/>
              </w:rPr>
            </w:pPr>
            <w:r w:rsidRPr="00091457">
              <w:rPr>
                <w:rStyle w:val="lev"/>
                <w:sz w:val="20"/>
                <w:szCs w:val="20"/>
                <w:bdr w:val="none" w:sz="0" w:space="0" w:color="auto" w:frame="1"/>
              </w:rPr>
              <w:t>Compétences Organisationnelles :    </w:t>
            </w:r>
          </w:p>
          <w:p w14:paraId="4313F7CC" w14:textId="77777777" w:rsidR="00091457" w:rsidRPr="00091457" w:rsidRDefault="00091457" w:rsidP="00D76EFA">
            <w:pPr>
              <w:numPr>
                <w:ilvl w:val="0"/>
                <w:numId w:val="129"/>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Intégrité en accord avec les valeurs et les normes éthiques de l’ONU ;</w:t>
            </w:r>
          </w:p>
          <w:p w14:paraId="70161B42" w14:textId="77777777" w:rsidR="00091457" w:rsidRPr="00091457" w:rsidRDefault="00091457" w:rsidP="00D76EFA">
            <w:pPr>
              <w:numPr>
                <w:ilvl w:val="0"/>
                <w:numId w:val="129"/>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Fait le plaidoyer pour la vision, la mission, et les buts stratégiques des Nations Unies ;</w:t>
            </w:r>
          </w:p>
          <w:p w14:paraId="1B209E20" w14:textId="77777777" w:rsidR="00091457" w:rsidRPr="00091457" w:rsidRDefault="00091457" w:rsidP="00D76EFA">
            <w:pPr>
              <w:numPr>
                <w:ilvl w:val="0"/>
                <w:numId w:val="129"/>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Flexibilité et une adaptabilité aux aspects culturels, de genre, de religion, de race, de nationalité et d’âge.</w:t>
            </w:r>
          </w:p>
          <w:p w14:paraId="4D5F01DF" w14:textId="77777777" w:rsidR="00091457" w:rsidRPr="00091457" w:rsidRDefault="00091457" w:rsidP="00091457">
            <w:pPr>
              <w:pStyle w:val="NormalWeb"/>
              <w:textAlignment w:val="baseline"/>
              <w:rPr>
                <w:sz w:val="20"/>
                <w:szCs w:val="20"/>
              </w:rPr>
            </w:pPr>
            <w:r w:rsidRPr="00091457">
              <w:rPr>
                <w:rStyle w:val="lev"/>
                <w:sz w:val="20"/>
                <w:szCs w:val="20"/>
                <w:bdr w:val="none" w:sz="0" w:space="0" w:color="auto" w:frame="1"/>
              </w:rPr>
              <w:t>Compétences Fonctionnelles :</w:t>
            </w:r>
          </w:p>
          <w:p w14:paraId="50D7B675" w14:textId="77777777" w:rsidR="00091457" w:rsidRPr="00091457" w:rsidRDefault="00091457" w:rsidP="00D76EFA">
            <w:pPr>
              <w:numPr>
                <w:ilvl w:val="0"/>
                <w:numId w:val="130"/>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Développement et efficacité opérationnelle ;</w:t>
            </w:r>
          </w:p>
          <w:p w14:paraId="7E7F764D" w14:textId="77777777" w:rsidR="00091457" w:rsidRPr="00091457" w:rsidRDefault="00091457" w:rsidP="00D76EFA">
            <w:pPr>
              <w:numPr>
                <w:ilvl w:val="0"/>
                <w:numId w:val="130"/>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Capacité d’appuyer l’identification, la formulation, la mise en œuvre des programmes et projets de développement, y compris en contexte instable ;</w:t>
            </w:r>
          </w:p>
          <w:p w14:paraId="7AEA52F8" w14:textId="77777777" w:rsidR="00091457" w:rsidRPr="00091457" w:rsidRDefault="00091457" w:rsidP="00D76EFA">
            <w:pPr>
              <w:numPr>
                <w:ilvl w:val="0"/>
                <w:numId w:val="130"/>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Capacité de communication avec les différents partenaires, agences du SNU, OSC, le gouvernement.</w:t>
            </w:r>
          </w:p>
          <w:p w14:paraId="0A7DDC9F" w14:textId="77777777" w:rsidR="00091457" w:rsidRPr="00091457" w:rsidRDefault="00091457" w:rsidP="00091457">
            <w:pPr>
              <w:pStyle w:val="NormalWeb"/>
              <w:textAlignment w:val="baseline"/>
              <w:rPr>
                <w:sz w:val="20"/>
                <w:szCs w:val="20"/>
              </w:rPr>
            </w:pPr>
            <w:r w:rsidRPr="00091457">
              <w:rPr>
                <w:rStyle w:val="lev"/>
                <w:sz w:val="20"/>
                <w:szCs w:val="20"/>
                <w:bdr w:val="none" w:sz="0" w:space="0" w:color="auto" w:frame="1"/>
              </w:rPr>
              <w:t>Gestion et leadership :</w:t>
            </w:r>
          </w:p>
          <w:p w14:paraId="1985823A" w14:textId="77777777" w:rsidR="00091457" w:rsidRPr="00091457" w:rsidRDefault="00091457" w:rsidP="00D76EFA">
            <w:pPr>
              <w:numPr>
                <w:ilvl w:val="0"/>
                <w:numId w:val="131"/>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Focalisé sur les résultats ;</w:t>
            </w:r>
          </w:p>
          <w:p w14:paraId="31E1A2F8" w14:textId="77777777" w:rsidR="00091457" w:rsidRPr="00091457" w:rsidRDefault="00091457" w:rsidP="00D76EFA">
            <w:pPr>
              <w:numPr>
                <w:ilvl w:val="0"/>
                <w:numId w:val="131"/>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Répond de manière constructive aux appréciations ;</w:t>
            </w:r>
          </w:p>
          <w:p w14:paraId="3835CAE7" w14:textId="77777777" w:rsidR="00091457" w:rsidRPr="00091457" w:rsidRDefault="00091457" w:rsidP="00D76EFA">
            <w:pPr>
              <w:numPr>
                <w:ilvl w:val="0"/>
                <w:numId w:val="131"/>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Aborde constamment le travail avec énergie et ponctualité, ainsi qu’avec une attitude positive et constructive ;</w:t>
            </w:r>
          </w:p>
          <w:p w14:paraId="02B5CC59" w14:textId="77777777" w:rsidR="00091457" w:rsidRPr="00091457" w:rsidRDefault="00091457" w:rsidP="00D76EFA">
            <w:pPr>
              <w:numPr>
                <w:ilvl w:val="0"/>
                <w:numId w:val="131"/>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Démontre de solides compétences en communication orale et écrite.</w:t>
            </w:r>
          </w:p>
        </w:tc>
      </w:tr>
      <w:tr w:rsidR="00091457" w:rsidRPr="00091457" w14:paraId="4E6D39C9" w14:textId="77777777" w:rsidTr="00091457">
        <w:tc>
          <w:tcPr>
            <w:tcW w:w="0" w:type="auto"/>
            <w:shd w:val="clear" w:color="auto" w:fill="auto"/>
            <w:hideMark/>
          </w:tcPr>
          <w:p w14:paraId="5EE2B5C4" w14:textId="77777777" w:rsidR="00091457" w:rsidRPr="00091457" w:rsidRDefault="00091457" w:rsidP="00091457">
            <w:pPr>
              <w:spacing w:after="0" w:line="240" w:lineRule="auto"/>
              <w:rPr>
                <w:rFonts w:ascii="Times New Roman" w:hAnsi="Times New Roman"/>
                <w:b/>
                <w:sz w:val="20"/>
                <w:szCs w:val="20"/>
              </w:rPr>
            </w:pPr>
            <w:r w:rsidRPr="00091457">
              <w:rPr>
                <w:rFonts w:ascii="Times New Roman" w:hAnsi="Times New Roman"/>
                <w:b/>
                <w:sz w:val="20"/>
                <w:szCs w:val="20"/>
              </w:rPr>
              <w:br/>
            </w:r>
          </w:p>
          <w:p w14:paraId="3A640F19" w14:textId="77777777" w:rsidR="00091457" w:rsidRPr="00091457" w:rsidRDefault="00091457" w:rsidP="00091457">
            <w:pPr>
              <w:pStyle w:val="Titre5"/>
              <w:spacing w:before="0" w:line="240" w:lineRule="auto"/>
              <w:textAlignment w:val="baseline"/>
              <w:rPr>
                <w:rFonts w:ascii="Times New Roman" w:hAnsi="Times New Roman" w:cs="Times New Roman"/>
                <w:b/>
                <w:color w:val="auto"/>
                <w:sz w:val="20"/>
                <w:szCs w:val="20"/>
              </w:rPr>
            </w:pPr>
            <w:r w:rsidRPr="00091457">
              <w:rPr>
                <w:rFonts w:ascii="Times New Roman" w:hAnsi="Times New Roman" w:cs="Times New Roman"/>
                <w:b/>
                <w:color w:val="auto"/>
                <w:sz w:val="20"/>
                <w:szCs w:val="20"/>
              </w:rPr>
              <w:lastRenderedPageBreak/>
              <w:t>Qualifications et expériences requises</w:t>
            </w:r>
          </w:p>
          <w:p w14:paraId="2BA40554" w14:textId="77777777" w:rsidR="00091457" w:rsidRPr="00091457" w:rsidRDefault="00091457" w:rsidP="00091457">
            <w:pPr>
              <w:spacing w:after="0" w:line="240" w:lineRule="auto"/>
              <w:rPr>
                <w:rFonts w:ascii="Times New Roman" w:hAnsi="Times New Roman"/>
                <w:b/>
                <w:sz w:val="20"/>
                <w:szCs w:val="20"/>
              </w:rPr>
            </w:pPr>
          </w:p>
        </w:tc>
      </w:tr>
      <w:tr w:rsidR="00091457" w:rsidRPr="00091457" w14:paraId="5CFA0019" w14:textId="77777777" w:rsidTr="00091457">
        <w:tc>
          <w:tcPr>
            <w:tcW w:w="0" w:type="auto"/>
            <w:shd w:val="clear" w:color="auto" w:fill="auto"/>
            <w:hideMark/>
          </w:tcPr>
          <w:p w14:paraId="4F4EBECB" w14:textId="77777777" w:rsidR="00091457" w:rsidRPr="00091457" w:rsidRDefault="00091457" w:rsidP="00091457">
            <w:pPr>
              <w:pStyle w:val="NormalWeb"/>
              <w:textAlignment w:val="baseline"/>
              <w:rPr>
                <w:sz w:val="20"/>
                <w:szCs w:val="20"/>
              </w:rPr>
            </w:pPr>
            <w:r w:rsidRPr="00091457">
              <w:rPr>
                <w:rStyle w:val="lev"/>
                <w:sz w:val="20"/>
                <w:szCs w:val="20"/>
                <w:bdr w:val="none" w:sz="0" w:space="0" w:color="auto" w:frame="1"/>
              </w:rPr>
              <w:lastRenderedPageBreak/>
              <w:t>Education:</w:t>
            </w:r>
          </w:p>
          <w:p w14:paraId="1AFA455E" w14:textId="77777777" w:rsidR="00091457" w:rsidRPr="00091457" w:rsidRDefault="00091457" w:rsidP="00D76EFA">
            <w:pPr>
              <w:numPr>
                <w:ilvl w:val="0"/>
                <w:numId w:val="132"/>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Le /la consultant (e) international (e) jouera le chef de mission, devra être titulaire d’un diplôme de 3ème cycle en sciences politiques, Administration publique, Gestion ou tout autre domaine équivalent.</w:t>
            </w:r>
          </w:p>
          <w:p w14:paraId="0E43F5E7" w14:textId="77777777" w:rsidR="00091457" w:rsidRPr="00091457" w:rsidRDefault="00091457" w:rsidP="00091457">
            <w:pPr>
              <w:pStyle w:val="NormalWeb"/>
              <w:textAlignment w:val="baseline"/>
              <w:rPr>
                <w:sz w:val="20"/>
                <w:szCs w:val="20"/>
              </w:rPr>
            </w:pPr>
            <w:r w:rsidRPr="00091457">
              <w:rPr>
                <w:rStyle w:val="lev"/>
                <w:sz w:val="20"/>
                <w:szCs w:val="20"/>
                <w:bdr w:val="none" w:sz="0" w:space="0" w:color="auto" w:frame="1"/>
              </w:rPr>
              <w:t>Experience:</w:t>
            </w:r>
          </w:p>
          <w:p w14:paraId="603D4EB8" w14:textId="77777777" w:rsidR="00091457" w:rsidRPr="00091457" w:rsidRDefault="00091457" w:rsidP="00D76EFA">
            <w:pPr>
              <w:numPr>
                <w:ilvl w:val="0"/>
                <w:numId w:val="133"/>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 Avoir au moins 15 ans d’expérience en matière de gestion du développement et notamment l’évaluation de programmes et projets de développement;</w:t>
            </w:r>
          </w:p>
          <w:p w14:paraId="2B01E4B4" w14:textId="77777777" w:rsidR="00091457" w:rsidRPr="00091457" w:rsidRDefault="00091457" w:rsidP="00D76EFA">
            <w:pPr>
              <w:numPr>
                <w:ilvl w:val="0"/>
                <w:numId w:val="133"/>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Son rôle principal sera de superviser l’équipe, d’assurer la qualité des résultats de l’évaluation afin de délivrer dans le temps imparti tous les produits attendus;</w:t>
            </w:r>
          </w:p>
          <w:p w14:paraId="02AF8A89" w14:textId="77777777" w:rsidR="00091457" w:rsidRPr="00091457" w:rsidRDefault="00091457" w:rsidP="00D76EFA">
            <w:pPr>
              <w:numPr>
                <w:ilvl w:val="0"/>
                <w:numId w:val="133"/>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Le consultant international devra avoir une solide expertise liée à l’un des effets, notamment sur les questions liées aux liens pauvreté ou la gouvernance;</w:t>
            </w:r>
          </w:p>
          <w:p w14:paraId="236265A4" w14:textId="77777777" w:rsidR="00091457" w:rsidRPr="00091457" w:rsidRDefault="00091457" w:rsidP="00D76EFA">
            <w:pPr>
              <w:numPr>
                <w:ilvl w:val="0"/>
                <w:numId w:val="133"/>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En outre, il/elle devra  être très au fait du processus de programmation du PNUD et du SNU, et avoir une bonne connaissance de la région;</w:t>
            </w:r>
          </w:p>
          <w:p w14:paraId="10E1FD14" w14:textId="77777777" w:rsidR="00091457" w:rsidRPr="00091457" w:rsidRDefault="00091457" w:rsidP="00D76EFA">
            <w:pPr>
              <w:numPr>
                <w:ilvl w:val="0"/>
                <w:numId w:val="133"/>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La connaissance du Mali serait un atout.</w:t>
            </w:r>
          </w:p>
          <w:p w14:paraId="48B6B119" w14:textId="77777777" w:rsidR="00091457" w:rsidRPr="00091457" w:rsidRDefault="00091457" w:rsidP="00091457">
            <w:pPr>
              <w:pStyle w:val="NormalWeb"/>
              <w:textAlignment w:val="baseline"/>
              <w:rPr>
                <w:sz w:val="20"/>
                <w:szCs w:val="20"/>
              </w:rPr>
            </w:pPr>
            <w:r w:rsidRPr="00091457">
              <w:rPr>
                <w:rStyle w:val="lev"/>
                <w:sz w:val="20"/>
                <w:szCs w:val="20"/>
                <w:bdr w:val="none" w:sz="0" w:space="0" w:color="auto" w:frame="1"/>
              </w:rPr>
              <w:t>Langue:</w:t>
            </w:r>
          </w:p>
          <w:p w14:paraId="23B4D4D7" w14:textId="77777777" w:rsidR="00091457" w:rsidRPr="00091457" w:rsidRDefault="00091457" w:rsidP="00D76EFA">
            <w:pPr>
              <w:numPr>
                <w:ilvl w:val="0"/>
                <w:numId w:val="134"/>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Le /la Consultant (e) éligible devrait avoir une très bonne connaissance (expression orale et écrite) du français et disposer d’une bonne capacité rédactionnelle;</w:t>
            </w:r>
          </w:p>
          <w:p w14:paraId="6B55FDE4" w14:textId="77777777" w:rsidR="00091457" w:rsidRPr="00091457" w:rsidRDefault="00091457" w:rsidP="00D76EFA">
            <w:pPr>
              <w:numPr>
                <w:ilvl w:val="0"/>
                <w:numId w:val="134"/>
              </w:numPr>
              <w:spacing w:after="0" w:line="240" w:lineRule="auto"/>
              <w:ind w:left="576"/>
              <w:textAlignment w:val="baseline"/>
              <w:rPr>
                <w:rFonts w:ascii="Times New Roman" w:hAnsi="Times New Roman"/>
                <w:sz w:val="20"/>
                <w:szCs w:val="20"/>
              </w:rPr>
            </w:pPr>
            <w:r w:rsidRPr="00091457">
              <w:rPr>
                <w:rFonts w:ascii="Times New Roman" w:hAnsi="Times New Roman"/>
                <w:sz w:val="20"/>
                <w:szCs w:val="20"/>
              </w:rPr>
              <w:t>Une connaissance de l’anglais serait un atout.</w:t>
            </w:r>
          </w:p>
        </w:tc>
      </w:tr>
    </w:tbl>
    <w:p w14:paraId="7DE2AB0D" w14:textId="77777777" w:rsidR="00091457" w:rsidRPr="00E95998" w:rsidRDefault="00091457" w:rsidP="00091457"/>
    <w:p w14:paraId="7BC9081B" w14:textId="77777777" w:rsidR="00BA3DC6" w:rsidRDefault="00BA3DC6" w:rsidP="00B96F0F">
      <w:pPr>
        <w:spacing w:after="0" w:line="240" w:lineRule="auto"/>
        <w:jc w:val="both"/>
        <w:rPr>
          <w:rFonts w:eastAsia="Times New Roman"/>
          <w:b/>
          <w:sz w:val="24"/>
          <w:szCs w:val="24"/>
          <w:u w:val="single"/>
          <w:lang w:eastAsia="rw-RW"/>
        </w:rPr>
      </w:pPr>
    </w:p>
    <w:p w14:paraId="6A48F3B5" w14:textId="77777777" w:rsidR="00BA3DC6" w:rsidRPr="00E97790" w:rsidRDefault="00BA3DC6" w:rsidP="00B96F0F">
      <w:pPr>
        <w:pStyle w:val="Corpsdetexte"/>
        <w:rPr>
          <w:sz w:val="22"/>
          <w:szCs w:val="22"/>
        </w:rPr>
      </w:pPr>
    </w:p>
    <w:p w14:paraId="0BBA695C" w14:textId="77777777" w:rsidR="00AB0F81" w:rsidRDefault="00AB0F81" w:rsidP="00B96F0F">
      <w:pPr>
        <w:spacing w:after="0" w:line="240" w:lineRule="auto"/>
      </w:pPr>
    </w:p>
    <w:sectPr w:rsidR="00AB0F81" w:rsidSect="00632A47">
      <w:footnotePr>
        <w:numRestart w:val="eachPage"/>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A28CF" w14:textId="77777777" w:rsidR="004F261E" w:rsidRDefault="004F261E" w:rsidP="00BA3DC6">
      <w:pPr>
        <w:spacing w:after="0" w:line="240" w:lineRule="auto"/>
      </w:pPr>
      <w:r>
        <w:separator/>
      </w:r>
    </w:p>
  </w:endnote>
  <w:endnote w:type="continuationSeparator" w:id="0">
    <w:p w14:paraId="21F7290E" w14:textId="77777777" w:rsidR="004F261E" w:rsidRDefault="004F261E" w:rsidP="00BA3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50002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5270"/>
      <w:docPartObj>
        <w:docPartGallery w:val="Page Numbers (Bottom of Page)"/>
        <w:docPartUnique/>
      </w:docPartObj>
    </w:sdtPr>
    <w:sdtContent>
      <w:p w14:paraId="5E04A8A3" w14:textId="4448ED3F" w:rsidR="004F261E" w:rsidRDefault="004F261E">
        <w:pPr>
          <w:pStyle w:val="Pieddepage"/>
          <w:jc w:val="center"/>
        </w:pPr>
        <w:r>
          <w:fldChar w:fldCharType="begin"/>
        </w:r>
        <w:r>
          <w:instrText xml:space="preserve"> PAGE   \* MERGEFORMAT </w:instrText>
        </w:r>
        <w:r>
          <w:fldChar w:fldCharType="separate"/>
        </w:r>
        <w:r w:rsidR="00403E22">
          <w:rPr>
            <w:noProof/>
          </w:rPr>
          <w:t>1</w:t>
        </w:r>
        <w:r>
          <w:rPr>
            <w:noProof/>
          </w:rPr>
          <w:fldChar w:fldCharType="end"/>
        </w:r>
      </w:p>
    </w:sdtContent>
  </w:sdt>
  <w:p w14:paraId="73C65E30" w14:textId="77777777" w:rsidR="004F261E" w:rsidRDefault="004F26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41055" w14:textId="77777777" w:rsidR="004F261E" w:rsidRDefault="004F261E" w:rsidP="00BA3DC6">
      <w:pPr>
        <w:spacing w:after="0" w:line="240" w:lineRule="auto"/>
      </w:pPr>
      <w:r>
        <w:separator/>
      </w:r>
    </w:p>
  </w:footnote>
  <w:footnote w:type="continuationSeparator" w:id="0">
    <w:p w14:paraId="11567CC0" w14:textId="77777777" w:rsidR="004F261E" w:rsidRDefault="004F261E" w:rsidP="00BA3DC6">
      <w:pPr>
        <w:spacing w:after="0" w:line="240" w:lineRule="auto"/>
      </w:pPr>
      <w:r>
        <w:continuationSeparator/>
      </w:r>
    </w:p>
  </w:footnote>
  <w:footnote w:id="1">
    <w:p w14:paraId="7190FFD4" w14:textId="77777777" w:rsidR="004F261E" w:rsidRDefault="004F261E" w:rsidP="00490991">
      <w:pPr>
        <w:pStyle w:val="Notedebasdepage"/>
      </w:pPr>
      <w:r>
        <w:rPr>
          <w:rStyle w:val="Appelnotedebasdep"/>
        </w:rPr>
        <w:footnoteRef/>
      </w:r>
      <w:r>
        <w:t xml:space="preserve"> Cadre Stratégique pour Relance Economique et de Développement Durable (2016 – 2018) </w:t>
      </w:r>
    </w:p>
  </w:footnote>
  <w:footnote w:id="2">
    <w:p w14:paraId="62B36BAA" w14:textId="77777777" w:rsidR="004F261E" w:rsidRPr="00490991" w:rsidRDefault="004F261E" w:rsidP="00490991">
      <w:pPr>
        <w:rPr>
          <w:rFonts w:ascii="Times New Roman" w:hAnsi="Times New Roman"/>
          <w:sz w:val="20"/>
          <w:szCs w:val="20"/>
        </w:rPr>
      </w:pPr>
      <w:r w:rsidRPr="00490991">
        <w:rPr>
          <w:rStyle w:val="Appelnotedebasdep"/>
          <w:rFonts w:ascii="Times New Roman" w:hAnsi="Times New Roman"/>
          <w:sz w:val="20"/>
          <w:szCs w:val="20"/>
        </w:rPr>
        <w:footnoteRef/>
      </w:r>
      <w:r w:rsidRPr="00490991">
        <w:rPr>
          <w:rFonts w:ascii="Times New Roman" w:hAnsi="Times New Roman"/>
          <w:sz w:val="20"/>
          <w:szCs w:val="20"/>
        </w:rPr>
        <w:t xml:space="preserve"> Rapport de Synthèse - Enquête Nationale Sur La Sécurité</w:t>
      </w:r>
      <w:r w:rsidRPr="00490991">
        <w:rPr>
          <w:rStyle w:val="Appelnotedebasdep"/>
          <w:rFonts w:ascii="Times New Roman" w:hAnsi="Times New Roman"/>
          <w:sz w:val="20"/>
          <w:szCs w:val="20"/>
        </w:rPr>
        <w:footnoteRef/>
      </w:r>
      <w:r w:rsidRPr="00490991">
        <w:rPr>
          <w:rFonts w:ascii="Times New Roman" w:hAnsi="Times New Roman"/>
          <w:sz w:val="20"/>
          <w:szCs w:val="20"/>
        </w:rPr>
        <w:t xml:space="preserve"> Alimentaire Et Nutritionnelle, Février 2017 (ENSAN Mali)</w:t>
      </w:r>
    </w:p>
    <w:p w14:paraId="18363825" w14:textId="77777777" w:rsidR="004F261E" w:rsidRDefault="004F261E" w:rsidP="00490991">
      <w:pPr>
        <w:pStyle w:val="Notedebasdepage"/>
      </w:pPr>
    </w:p>
  </w:footnote>
  <w:footnote w:id="3">
    <w:p w14:paraId="73149FAE" w14:textId="77777777" w:rsidR="004F261E" w:rsidRDefault="004F261E">
      <w:pPr>
        <w:pStyle w:val="Notedebasdepage"/>
      </w:pPr>
      <w:r w:rsidRPr="004F261E">
        <w:rPr>
          <w:rStyle w:val="Appelnotedebasdep"/>
        </w:rPr>
        <w:footnoteRef/>
      </w:r>
      <w:r w:rsidRPr="004F261E">
        <w:t xml:space="preserve"> </w:t>
      </w:r>
      <w:r w:rsidRPr="004F261E">
        <w:rPr>
          <w:sz w:val="16"/>
          <w:szCs w:val="16"/>
        </w:rPr>
        <w:t>Néanmoins, les autres activités menées contribuant à la stabilisation et l’amélioration des conditions de vie dans ces régions constituent également des facteurs contribuant au retour des déplacés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9EF"/>
    <w:multiLevelType w:val="hybridMultilevel"/>
    <w:tmpl w:val="F9F4908C"/>
    <w:lvl w:ilvl="0" w:tplc="613CC1A6">
      <w:numFmt w:val="bullet"/>
      <w:lvlText w:val=""/>
      <w:lvlJc w:val="left"/>
      <w:pPr>
        <w:ind w:left="360" w:hanging="360"/>
      </w:pPr>
      <w:rPr>
        <w:rFonts w:ascii="Symbol" w:eastAsia="Times New Roman" w:hAnsi="Symbol" w:hint="default"/>
        <w:b w:val="0"/>
        <w:bCs w:val="0"/>
        <w:i/>
        <w:iCs/>
        <w:color w:val="auto"/>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E94DEF"/>
    <w:multiLevelType w:val="multilevel"/>
    <w:tmpl w:val="2B20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7F5C7F"/>
    <w:multiLevelType w:val="hybridMultilevel"/>
    <w:tmpl w:val="FB64C18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3836C54"/>
    <w:multiLevelType w:val="multilevel"/>
    <w:tmpl w:val="501E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DF2B3A"/>
    <w:multiLevelType w:val="hybridMultilevel"/>
    <w:tmpl w:val="7E342E62"/>
    <w:lvl w:ilvl="0" w:tplc="1152BEC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43E7FEF"/>
    <w:multiLevelType w:val="hybridMultilevel"/>
    <w:tmpl w:val="C08C462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48878CA"/>
    <w:multiLevelType w:val="hybridMultilevel"/>
    <w:tmpl w:val="588C6ABE"/>
    <w:lvl w:ilvl="0" w:tplc="3EB891F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4C05EFD"/>
    <w:multiLevelType w:val="hybridMultilevel"/>
    <w:tmpl w:val="9DB4B368"/>
    <w:lvl w:ilvl="0" w:tplc="613CC1A6">
      <w:numFmt w:val="bullet"/>
      <w:lvlText w:val=""/>
      <w:lvlJc w:val="left"/>
      <w:pPr>
        <w:ind w:left="360" w:hanging="360"/>
      </w:pPr>
      <w:rPr>
        <w:rFonts w:ascii="Symbol" w:eastAsia="Times New Roman" w:hAnsi="Symbol" w:hint="default"/>
        <w:b w:val="0"/>
        <w:bCs w:val="0"/>
        <w:i/>
        <w:iCs/>
        <w:color w:val="auto"/>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6FB7DB0"/>
    <w:multiLevelType w:val="hybridMultilevel"/>
    <w:tmpl w:val="473C5EBA"/>
    <w:lvl w:ilvl="0" w:tplc="613CC1A6">
      <w:numFmt w:val="bullet"/>
      <w:lvlText w:val=""/>
      <w:lvlJc w:val="left"/>
      <w:pPr>
        <w:ind w:left="360" w:hanging="360"/>
      </w:pPr>
      <w:rPr>
        <w:rFonts w:ascii="Symbol" w:eastAsia="Times New Roman" w:hAnsi="Symbol" w:hint="default"/>
        <w:b w:val="0"/>
        <w:bCs w:val="0"/>
        <w:i/>
        <w:iCs/>
        <w:color w:val="auto"/>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71568A0"/>
    <w:multiLevelType w:val="multilevel"/>
    <w:tmpl w:val="136A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7266FE7"/>
    <w:multiLevelType w:val="hybridMultilevel"/>
    <w:tmpl w:val="8324602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08F373E7"/>
    <w:multiLevelType w:val="hybridMultilevel"/>
    <w:tmpl w:val="85EAE4BA"/>
    <w:lvl w:ilvl="0" w:tplc="613CC1A6">
      <w:numFmt w:val="bullet"/>
      <w:lvlText w:val=""/>
      <w:lvlJc w:val="left"/>
      <w:pPr>
        <w:ind w:left="360" w:hanging="360"/>
      </w:pPr>
      <w:rPr>
        <w:rFonts w:ascii="Symbol" w:eastAsia="Times New Roman" w:hAnsi="Symbol" w:hint="default"/>
        <w:b w:val="0"/>
        <w:bCs w:val="0"/>
        <w:i/>
        <w:iCs/>
        <w:color w:val="auto"/>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A312A25"/>
    <w:multiLevelType w:val="hybridMultilevel"/>
    <w:tmpl w:val="1422A1EE"/>
    <w:lvl w:ilvl="0" w:tplc="3EB891F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AE40FF9"/>
    <w:multiLevelType w:val="hybridMultilevel"/>
    <w:tmpl w:val="FC70033E"/>
    <w:lvl w:ilvl="0" w:tplc="613CC1A6">
      <w:numFmt w:val="bullet"/>
      <w:lvlText w:val=""/>
      <w:lvlJc w:val="left"/>
      <w:pPr>
        <w:ind w:left="360" w:hanging="360"/>
      </w:pPr>
      <w:rPr>
        <w:rFonts w:ascii="Symbol" w:eastAsia="Times New Roman" w:hAnsi="Symbol" w:hint="default"/>
        <w:b w:val="0"/>
        <w:bCs w:val="0"/>
        <w:i/>
        <w:iCs/>
        <w:color w:val="auto"/>
        <w:lang w:val="fr-FR"/>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0B474B7C"/>
    <w:multiLevelType w:val="hybridMultilevel"/>
    <w:tmpl w:val="3C6C833A"/>
    <w:lvl w:ilvl="0" w:tplc="613CC1A6">
      <w:numFmt w:val="bullet"/>
      <w:lvlText w:val=""/>
      <w:lvlJc w:val="left"/>
      <w:pPr>
        <w:ind w:left="360" w:hanging="360"/>
      </w:pPr>
      <w:rPr>
        <w:rFonts w:ascii="Symbol" w:eastAsia="Times New Roman" w:hAnsi="Symbol" w:hint="default"/>
        <w:b w:val="0"/>
        <w:bCs w:val="0"/>
        <w:i/>
        <w:iCs/>
        <w:color w:val="auto"/>
        <w:lang w:val="fr-FR"/>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0BFF7975"/>
    <w:multiLevelType w:val="hybridMultilevel"/>
    <w:tmpl w:val="231C5CB6"/>
    <w:lvl w:ilvl="0" w:tplc="549E859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C096795"/>
    <w:multiLevelType w:val="hybridMultilevel"/>
    <w:tmpl w:val="F6885FBA"/>
    <w:lvl w:ilvl="0" w:tplc="613CC1A6">
      <w:numFmt w:val="bullet"/>
      <w:lvlText w:val=""/>
      <w:lvlJc w:val="left"/>
      <w:pPr>
        <w:ind w:left="360" w:hanging="360"/>
      </w:pPr>
      <w:rPr>
        <w:rFonts w:ascii="Symbol" w:eastAsia="Times New Roman" w:hAnsi="Symbol" w:hint="default"/>
        <w:b w:val="0"/>
        <w:bCs w:val="0"/>
        <w:i/>
        <w:iCs/>
        <w:color w:val="auto"/>
        <w:lang w:val="fr-FR"/>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0D787749"/>
    <w:multiLevelType w:val="hybridMultilevel"/>
    <w:tmpl w:val="20AA77A8"/>
    <w:lvl w:ilvl="0" w:tplc="3EB891F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EBC066F"/>
    <w:multiLevelType w:val="hybridMultilevel"/>
    <w:tmpl w:val="E27E7B22"/>
    <w:lvl w:ilvl="0" w:tplc="1152BE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0A25126"/>
    <w:multiLevelType w:val="hybridMultilevel"/>
    <w:tmpl w:val="B7163F1E"/>
    <w:lvl w:ilvl="0" w:tplc="613CC1A6">
      <w:numFmt w:val="bullet"/>
      <w:lvlText w:val=""/>
      <w:lvlJc w:val="left"/>
      <w:pPr>
        <w:ind w:left="360" w:hanging="360"/>
      </w:pPr>
      <w:rPr>
        <w:rFonts w:ascii="Symbol" w:eastAsia="Times New Roman" w:hAnsi="Symbol" w:hint="default"/>
        <w:b w:val="0"/>
        <w:bCs w:val="0"/>
        <w:i/>
        <w:iCs/>
        <w:color w:val="auto"/>
        <w:lang w:val="fr-FR"/>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13705279"/>
    <w:multiLevelType w:val="hybridMultilevel"/>
    <w:tmpl w:val="6DB2D146"/>
    <w:lvl w:ilvl="0" w:tplc="C4407034">
      <w:start w:val="1"/>
      <w:numFmt w:val="bullet"/>
      <w:lvlText w:val="▪"/>
      <w:lvlJc w:val="left"/>
      <w:pPr>
        <w:ind w:left="720" w:hanging="360"/>
      </w:pPr>
      <w:rPr>
        <w:rFonts w:ascii="Sylfaen" w:hAnsi="Sylfaen" w:hint="default"/>
        <w:b w:val="0"/>
        <w:bCs w:val="0"/>
        <w:i/>
        <w:iCs/>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3F00E63"/>
    <w:multiLevelType w:val="hybridMultilevel"/>
    <w:tmpl w:val="60B46074"/>
    <w:lvl w:ilvl="0" w:tplc="B1D25AD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44C54F5"/>
    <w:multiLevelType w:val="multilevel"/>
    <w:tmpl w:val="FC32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4AD6541"/>
    <w:multiLevelType w:val="hybridMultilevel"/>
    <w:tmpl w:val="6F36E2B6"/>
    <w:lvl w:ilvl="0" w:tplc="1152BEC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15DA0D1F"/>
    <w:multiLevelType w:val="hybridMultilevel"/>
    <w:tmpl w:val="38742CF4"/>
    <w:lvl w:ilvl="0" w:tplc="613CC1A6">
      <w:numFmt w:val="bullet"/>
      <w:lvlText w:val=""/>
      <w:lvlJc w:val="left"/>
      <w:pPr>
        <w:ind w:left="360" w:hanging="360"/>
      </w:pPr>
      <w:rPr>
        <w:rFonts w:ascii="Symbol" w:eastAsia="Times New Roman" w:hAnsi="Symbol" w:hint="default"/>
        <w:b w:val="0"/>
        <w:bCs w:val="0"/>
        <w:i/>
        <w:iCs/>
        <w:color w:val="auto"/>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86A427F"/>
    <w:multiLevelType w:val="hybridMultilevel"/>
    <w:tmpl w:val="640EEA6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18F63A7B"/>
    <w:multiLevelType w:val="hybridMultilevel"/>
    <w:tmpl w:val="71D0AC8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1A171BF4"/>
    <w:multiLevelType w:val="multilevel"/>
    <w:tmpl w:val="50D4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B6D50B7"/>
    <w:multiLevelType w:val="hybridMultilevel"/>
    <w:tmpl w:val="74BCC38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1C9064FB"/>
    <w:multiLevelType w:val="hybridMultilevel"/>
    <w:tmpl w:val="7B4EFE1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1CD53CC1"/>
    <w:multiLevelType w:val="multilevel"/>
    <w:tmpl w:val="DDE0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E28128F"/>
    <w:multiLevelType w:val="hybridMultilevel"/>
    <w:tmpl w:val="5C4C52E6"/>
    <w:lvl w:ilvl="0" w:tplc="1152BEC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1E74014A"/>
    <w:multiLevelType w:val="hybridMultilevel"/>
    <w:tmpl w:val="5942BA7A"/>
    <w:lvl w:ilvl="0" w:tplc="613CC1A6">
      <w:numFmt w:val="bullet"/>
      <w:lvlText w:val=""/>
      <w:lvlJc w:val="left"/>
      <w:pPr>
        <w:ind w:left="360" w:hanging="360"/>
      </w:pPr>
      <w:rPr>
        <w:rFonts w:ascii="Symbol" w:eastAsia="Times New Roman" w:hAnsi="Symbol" w:hint="default"/>
        <w:b w:val="0"/>
        <w:bCs w:val="0"/>
        <w:i/>
        <w:iCs/>
        <w:color w:val="auto"/>
        <w:lang w:val="fr-FR"/>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1E817174"/>
    <w:multiLevelType w:val="hybridMultilevel"/>
    <w:tmpl w:val="81E6FE46"/>
    <w:lvl w:ilvl="0" w:tplc="1152BEC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201876B6"/>
    <w:multiLevelType w:val="multilevel"/>
    <w:tmpl w:val="D1E6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0C314E1"/>
    <w:multiLevelType w:val="hybridMultilevel"/>
    <w:tmpl w:val="48DA40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1E17A4A"/>
    <w:multiLevelType w:val="hybridMultilevel"/>
    <w:tmpl w:val="61FA3726"/>
    <w:lvl w:ilvl="0" w:tplc="613CC1A6">
      <w:numFmt w:val="bullet"/>
      <w:lvlText w:val=""/>
      <w:lvlJc w:val="left"/>
      <w:pPr>
        <w:ind w:left="360" w:hanging="360"/>
      </w:pPr>
      <w:rPr>
        <w:rFonts w:ascii="Symbol" w:eastAsia="Times New Roman" w:hAnsi="Symbol" w:hint="default"/>
        <w:b w:val="0"/>
        <w:bCs w:val="0"/>
        <w:i/>
        <w:iCs/>
        <w:color w:val="auto"/>
        <w:lang w:val="fr-FR"/>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223511CA"/>
    <w:multiLevelType w:val="hybridMultilevel"/>
    <w:tmpl w:val="5CACB394"/>
    <w:lvl w:ilvl="0" w:tplc="3EB891F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225439D4"/>
    <w:multiLevelType w:val="hybridMultilevel"/>
    <w:tmpl w:val="54604DE2"/>
    <w:lvl w:ilvl="0" w:tplc="613CC1A6">
      <w:numFmt w:val="bullet"/>
      <w:lvlText w:val=""/>
      <w:lvlJc w:val="left"/>
      <w:pPr>
        <w:ind w:left="360" w:hanging="360"/>
      </w:pPr>
      <w:rPr>
        <w:rFonts w:ascii="Symbol" w:eastAsia="Times New Roman" w:hAnsi="Symbol" w:hint="default"/>
        <w:b w:val="0"/>
        <w:bCs w:val="0"/>
        <w:i/>
        <w:iCs/>
        <w:color w:val="auto"/>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226A76E5"/>
    <w:multiLevelType w:val="hybridMultilevel"/>
    <w:tmpl w:val="231C5CB6"/>
    <w:lvl w:ilvl="0" w:tplc="549E859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2316412C"/>
    <w:multiLevelType w:val="multilevel"/>
    <w:tmpl w:val="E6B4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435445F"/>
    <w:multiLevelType w:val="hybridMultilevel"/>
    <w:tmpl w:val="86B8D5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24CD1665"/>
    <w:multiLevelType w:val="multilevel"/>
    <w:tmpl w:val="BFC4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4F87E40"/>
    <w:multiLevelType w:val="hybridMultilevel"/>
    <w:tmpl w:val="4056B686"/>
    <w:lvl w:ilvl="0" w:tplc="7B144A30">
      <w:start w:val="1"/>
      <w:numFmt w:val="bullet"/>
      <w:lvlText w:val="-"/>
      <w:lvlJc w:val="left"/>
      <w:pPr>
        <w:ind w:left="1068" w:hanging="360"/>
      </w:pPr>
      <w:rPr>
        <w:rFonts w:ascii="Calibri" w:eastAsia="Cambria"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4" w15:restartNumberingAfterBreak="0">
    <w:nsid w:val="27EB2D58"/>
    <w:multiLevelType w:val="hybridMultilevel"/>
    <w:tmpl w:val="9E14E1B2"/>
    <w:lvl w:ilvl="0" w:tplc="65608C42">
      <w:start w:val="1"/>
      <w:numFmt w:val="decimal"/>
      <w:lvlText w:val="%1."/>
      <w:lvlJc w:val="left"/>
      <w:pPr>
        <w:tabs>
          <w:tab w:val="num" w:pos="720"/>
        </w:tabs>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28BA25FE"/>
    <w:multiLevelType w:val="hybridMultilevel"/>
    <w:tmpl w:val="98185988"/>
    <w:lvl w:ilvl="0" w:tplc="613CC1A6">
      <w:numFmt w:val="bullet"/>
      <w:lvlText w:val=""/>
      <w:lvlJc w:val="left"/>
      <w:pPr>
        <w:ind w:left="360" w:hanging="360"/>
      </w:pPr>
      <w:rPr>
        <w:rFonts w:ascii="Symbol" w:eastAsia="Times New Roman" w:hAnsi="Symbol" w:hint="default"/>
        <w:b w:val="0"/>
        <w:bCs w:val="0"/>
        <w:i/>
        <w:iCs/>
        <w:color w:val="auto"/>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28C3799A"/>
    <w:multiLevelType w:val="hybridMultilevel"/>
    <w:tmpl w:val="C19E703A"/>
    <w:lvl w:ilvl="0" w:tplc="613CC1A6">
      <w:numFmt w:val="bullet"/>
      <w:lvlText w:val=""/>
      <w:lvlJc w:val="left"/>
      <w:pPr>
        <w:ind w:left="360" w:hanging="360"/>
      </w:pPr>
      <w:rPr>
        <w:rFonts w:ascii="Symbol" w:eastAsia="Times New Roman" w:hAnsi="Symbol" w:hint="default"/>
        <w:b w:val="0"/>
        <w:bCs w:val="0"/>
        <w:i/>
        <w:iCs/>
        <w:color w:val="auto"/>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290C613A"/>
    <w:multiLevelType w:val="multilevel"/>
    <w:tmpl w:val="620E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154D77"/>
    <w:multiLevelType w:val="hybridMultilevel"/>
    <w:tmpl w:val="BA9EB2B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29C11E29"/>
    <w:multiLevelType w:val="hybridMultilevel"/>
    <w:tmpl w:val="6DCA5E3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2A79166B"/>
    <w:multiLevelType w:val="hybridMultilevel"/>
    <w:tmpl w:val="73D8A9AC"/>
    <w:lvl w:ilvl="0" w:tplc="7B144A30">
      <w:start w:val="1"/>
      <w:numFmt w:val="bullet"/>
      <w:lvlText w:val="-"/>
      <w:lvlJc w:val="left"/>
      <w:pPr>
        <w:ind w:left="1080" w:hanging="360"/>
      </w:pPr>
      <w:rPr>
        <w:rFonts w:ascii="Calibri" w:eastAsia="Cambri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1" w15:restartNumberingAfterBreak="0">
    <w:nsid w:val="2C09085D"/>
    <w:multiLevelType w:val="hybridMultilevel"/>
    <w:tmpl w:val="F6C43E44"/>
    <w:lvl w:ilvl="0" w:tplc="613CC1A6">
      <w:numFmt w:val="bullet"/>
      <w:lvlText w:val=""/>
      <w:lvlJc w:val="left"/>
      <w:pPr>
        <w:ind w:left="360" w:hanging="360"/>
      </w:pPr>
      <w:rPr>
        <w:rFonts w:ascii="Symbol" w:eastAsia="Times New Roman" w:hAnsi="Symbol" w:hint="default"/>
        <w:b w:val="0"/>
        <w:bCs w:val="0"/>
        <w:i/>
        <w:iCs/>
        <w:color w:val="auto"/>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2C8D49C5"/>
    <w:multiLevelType w:val="hybridMultilevel"/>
    <w:tmpl w:val="9976BCB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2DD86994"/>
    <w:multiLevelType w:val="hybridMultilevel"/>
    <w:tmpl w:val="4F46B9D8"/>
    <w:lvl w:ilvl="0" w:tplc="613CC1A6">
      <w:numFmt w:val="bullet"/>
      <w:lvlText w:val=""/>
      <w:lvlJc w:val="left"/>
      <w:pPr>
        <w:ind w:left="360" w:hanging="360"/>
      </w:pPr>
      <w:rPr>
        <w:rFonts w:ascii="Symbol" w:eastAsia="Times New Roman" w:hAnsi="Symbol" w:hint="default"/>
        <w:b w:val="0"/>
        <w:bCs w:val="0"/>
        <w:i/>
        <w:iCs/>
        <w:color w:val="auto"/>
        <w:lang w:val="fr-FR"/>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15:restartNumberingAfterBreak="0">
    <w:nsid w:val="2E3D1D32"/>
    <w:multiLevelType w:val="hybridMultilevel"/>
    <w:tmpl w:val="7548E1E2"/>
    <w:lvl w:ilvl="0" w:tplc="7B76C9B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2F144F3C"/>
    <w:multiLevelType w:val="hybridMultilevel"/>
    <w:tmpl w:val="C50021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2F5F09F2"/>
    <w:multiLevelType w:val="hybridMultilevel"/>
    <w:tmpl w:val="6338D2D8"/>
    <w:lvl w:ilvl="0" w:tplc="613CC1A6">
      <w:numFmt w:val="bullet"/>
      <w:lvlText w:val=""/>
      <w:lvlJc w:val="left"/>
      <w:pPr>
        <w:ind w:left="360" w:hanging="360"/>
      </w:pPr>
      <w:rPr>
        <w:rFonts w:ascii="Symbol" w:eastAsia="Times New Roman" w:hAnsi="Symbol" w:hint="default"/>
        <w:b w:val="0"/>
        <w:bCs w:val="0"/>
        <w:i/>
        <w:iCs/>
        <w:color w:val="auto"/>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2FE809DC"/>
    <w:multiLevelType w:val="hybridMultilevel"/>
    <w:tmpl w:val="DBC48A82"/>
    <w:lvl w:ilvl="0" w:tplc="613CC1A6">
      <w:numFmt w:val="bullet"/>
      <w:lvlText w:val=""/>
      <w:lvlJc w:val="left"/>
      <w:pPr>
        <w:ind w:left="360" w:hanging="360"/>
      </w:pPr>
      <w:rPr>
        <w:rFonts w:ascii="Symbol" w:eastAsia="Times New Roman" w:hAnsi="Symbol" w:hint="default"/>
        <w:b w:val="0"/>
        <w:bCs w:val="0"/>
        <w:i/>
        <w:iCs/>
        <w:color w:val="auto"/>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315B1B0C"/>
    <w:multiLevelType w:val="hybridMultilevel"/>
    <w:tmpl w:val="BC4A0D2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15:restartNumberingAfterBreak="0">
    <w:nsid w:val="318745D0"/>
    <w:multiLevelType w:val="hybridMultilevel"/>
    <w:tmpl w:val="D3A288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0" w15:restartNumberingAfterBreak="0">
    <w:nsid w:val="333F3AE5"/>
    <w:multiLevelType w:val="hybridMultilevel"/>
    <w:tmpl w:val="5C80F6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339A6598"/>
    <w:multiLevelType w:val="multilevel"/>
    <w:tmpl w:val="9A38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33DC470D"/>
    <w:multiLevelType w:val="multilevel"/>
    <w:tmpl w:val="1614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3404454F"/>
    <w:multiLevelType w:val="hybridMultilevel"/>
    <w:tmpl w:val="5ACCDC3A"/>
    <w:lvl w:ilvl="0" w:tplc="67F0FB2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34987A04"/>
    <w:multiLevelType w:val="hybridMultilevel"/>
    <w:tmpl w:val="87A2E57E"/>
    <w:lvl w:ilvl="0" w:tplc="613CC1A6">
      <w:numFmt w:val="bullet"/>
      <w:lvlText w:val=""/>
      <w:lvlJc w:val="left"/>
      <w:pPr>
        <w:ind w:left="360" w:hanging="360"/>
      </w:pPr>
      <w:rPr>
        <w:rFonts w:ascii="Symbol" w:eastAsia="Times New Roman" w:hAnsi="Symbol" w:hint="default"/>
        <w:b w:val="0"/>
        <w:bCs w:val="0"/>
        <w:i/>
        <w:iCs/>
        <w:color w:val="auto"/>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4DD3BB4"/>
    <w:multiLevelType w:val="hybridMultilevel"/>
    <w:tmpl w:val="08C4B600"/>
    <w:lvl w:ilvl="0" w:tplc="3EB891F4">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6" w15:restartNumberingAfterBreak="0">
    <w:nsid w:val="3625742E"/>
    <w:multiLevelType w:val="hybridMultilevel"/>
    <w:tmpl w:val="CBD8A16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7" w15:restartNumberingAfterBreak="0">
    <w:nsid w:val="366450EF"/>
    <w:multiLevelType w:val="hybridMultilevel"/>
    <w:tmpl w:val="689EE26C"/>
    <w:lvl w:ilvl="0" w:tplc="EAAC8116">
      <w:start w:val="1"/>
      <w:numFmt w:val="decimal"/>
      <w:pStyle w:val="Lgende"/>
      <w:lvlText w:val="%1."/>
      <w:lvlJc w:val="left"/>
      <w:pPr>
        <w:ind w:left="360" w:hanging="360"/>
      </w:pPr>
      <w:rPr>
        <w:rFonts w:hint="default"/>
        <w:i w:val="0"/>
        <w:spacing w:val="0"/>
        <w:w w:val="100"/>
        <w:kern w:val="0"/>
        <w:position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370443EB"/>
    <w:multiLevelType w:val="hybridMultilevel"/>
    <w:tmpl w:val="0E40F07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9" w15:restartNumberingAfterBreak="0">
    <w:nsid w:val="38781850"/>
    <w:multiLevelType w:val="hybridMultilevel"/>
    <w:tmpl w:val="F4169BCC"/>
    <w:lvl w:ilvl="0" w:tplc="613CC1A6">
      <w:numFmt w:val="bullet"/>
      <w:lvlText w:val=""/>
      <w:lvlJc w:val="left"/>
      <w:pPr>
        <w:ind w:left="360" w:hanging="360"/>
      </w:pPr>
      <w:rPr>
        <w:rFonts w:ascii="Symbol" w:eastAsia="Times New Roman" w:hAnsi="Symbol" w:hint="default"/>
        <w:b w:val="0"/>
        <w:bCs w:val="0"/>
        <w:i/>
        <w:iCs/>
        <w:color w:val="auto"/>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38F97575"/>
    <w:multiLevelType w:val="hybridMultilevel"/>
    <w:tmpl w:val="D24AFE86"/>
    <w:lvl w:ilvl="0" w:tplc="613CC1A6">
      <w:numFmt w:val="bullet"/>
      <w:lvlText w:val=""/>
      <w:lvlJc w:val="left"/>
      <w:pPr>
        <w:ind w:left="360" w:hanging="360"/>
      </w:pPr>
      <w:rPr>
        <w:rFonts w:ascii="Symbol" w:eastAsia="Times New Roman" w:hAnsi="Symbol" w:hint="default"/>
        <w:b w:val="0"/>
        <w:bCs w:val="0"/>
        <w:i/>
        <w:iCs/>
        <w:color w:val="auto"/>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39A07CE2"/>
    <w:multiLevelType w:val="hybridMultilevel"/>
    <w:tmpl w:val="7FC8A438"/>
    <w:lvl w:ilvl="0" w:tplc="613CC1A6">
      <w:numFmt w:val="bullet"/>
      <w:lvlText w:val=""/>
      <w:lvlJc w:val="left"/>
      <w:pPr>
        <w:ind w:left="360" w:hanging="360"/>
      </w:pPr>
      <w:rPr>
        <w:rFonts w:ascii="Symbol" w:eastAsia="Times New Roman" w:hAnsi="Symbol" w:hint="default"/>
        <w:b w:val="0"/>
        <w:bCs w:val="0"/>
        <w:i/>
        <w:iCs/>
        <w:color w:val="auto"/>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3A202E20"/>
    <w:multiLevelType w:val="hybridMultilevel"/>
    <w:tmpl w:val="66B0EAEC"/>
    <w:lvl w:ilvl="0" w:tplc="3EB891F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3A424241"/>
    <w:multiLevelType w:val="hybridMultilevel"/>
    <w:tmpl w:val="FD88E136"/>
    <w:lvl w:ilvl="0" w:tplc="7B144A30">
      <w:start w:val="1"/>
      <w:numFmt w:val="bullet"/>
      <w:lvlText w:val="-"/>
      <w:lvlJc w:val="left"/>
      <w:pPr>
        <w:ind w:left="1068" w:hanging="360"/>
      </w:pPr>
      <w:rPr>
        <w:rFonts w:ascii="Calibri" w:eastAsia="Cambria"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4" w15:restartNumberingAfterBreak="0">
    <w:nsid w:val="3B83442E"/>
    <w:multiLevelType w:val="hybridMultilevel"/>
    <w:tmpl w:val="9B0A47F6"/>
    <w:lvl w:ilvl="0" w:tplc="3EB891F4">
      <w:start w:val="1"/>
      <w:numFmt w:val="bullet"/>
      <w:lvlText w:val="-"/>
      <w:lvlJc w:val="left"/>
      <w:pPr>
        <w:ind w:left="720" w:hanging="360"/>
      </w:pPr>
      <w:rPr>
        <w:rFonts w:ascii="Times New Roman" w:eastAsiaTheme="minorHAnsi" w:hAnsi="Times New Roman" w:cs="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3CC629E9"/>
    <w:multiLevelType w:val="hybridMultilevel"/>
    <w:tmpl w:val="F062A876"/>
    <w:lvl w:ilvl="0" w:tplc="3EB891F4">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6" w15:restartNumberingAfterBreak="0">
    <w:nsid w:val="3CFC569D"/>
    <w:multiLevelType w:val="hybridMultilevel"/>
    <w:tmpl w:val="129070BC"/>
    <w:lvl w:ilvl="0" w:tplc="613CC1A6">
      <w:numFmt w:val="bullet"/>
      <w:lvlText w:val=""/>
      <w:lvlJc w:val="left"/>
      <w:pPr>
        <w:ind w:left="360" w:hanging="360"/>
      </w:pPr>
      <w:rPr>
        <w:rFonts w:ascii="Symbol" w:eastAsia="Times New Roman" w:hAnsi="Symbol" w:hint="default"/>
        <w:b w:val="0"/>
        <w:bCs w:val="0"/>
        <w:i/>
        <w:iCs/>
        <w:color w:val="auto"/>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3DD13272"/>
    <w:multiLevelType w:val="hybridMultilevel"/>
    <w:tmpl w:val="FB268864"/>
    <w:lvl w:ilvl="0" w:tplc="613CC1A6">
      <w:numFmt w:val="bullet"/>
      <w:lvlText w:val=""/>
      <w:lvlJc w:val="left"/>
      <w:pPr>
        <w:ind w:left="360" w:hanging="360"/>
      </w:pPr>
      <w:rPr>
        <w:rFonts w:ascii="Symbol" w:eastAsia="Times New Roman" w:hAnsi="Symbol" w:hint="default"/>
        <w:b w:val="0"/>
        <w:bCs w:val="0"/>
        <w:i/>
        <w:iCs/>
        <w:color w:val="auto"/>
        <w:lang w:val="fr-FR"/>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8" w15:restartNumberingAfterBreak="0">
    <w:nsid w:val="3F7A6479"/>
    <w:multiLevelType w:val="hybridMultilevel"/>
    <w:tmpl w:val="9938755C"/>
    <w:lvl w:ilvl="0" w:tplc="3EB891F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3FD921DA"/>
    <w:multiLevelType w:val="hybridMultilevel"/>
    <w:tmpl w:val="ADAC3898"/>
    <w:lvl w:ilvl="0" w:tplc="613CC1A6">
      <w:numFmt w:val="bullet"/>
      <w:lvlText w:val=""/>
      <w:lvlJc w:val="left"/>
      <w:pPr>
        <w:ind w:left="360" w:hanging="360"/>
      </w:pPr>
      <w:rPr>
        <w:rFonts w:ascii="Symbol" w:eastAsia="Times New Roman" w:hAnsi="Symbol" w:hint="default"/>
        <w:b w:val="0"/>
        <w:bCs w:val="0"/>
        <w:i/>
        <w:iCs/>
        <w:color w:val="auto"/>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413D0148"/>
    <w:multiLevelType w:val="hybridMultilevel"/>
    <w:tmpl w:val="C4EE8504"/>
    <w:lvl w:ilvl="0" w:tplc="613CC1A6">
      <w:numFmt w:val="bullet"/>
      <w:lvlText w:val=""/>
      <w:lvlJc w:val="left"/>
      <w:pPr>
        <w:ind w:left="360" w:hanging="360"/>
      </w:pPr>
      <w:rPr>
        <w:rFonts w:ascii="Symbol" w:eastAsia="Times New Roman" w:hAnsi="Symbol" w:hint="default"/>
        <w:b w:val="0"/>
        <w:bCs w:val="0"/>
        <w:i/>
        <w:iCs/>
        <w:color w:val="auto"/>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42A97D00"/>
    <w:multiLevelType w:val="hybridMultilevel"/>
    <w:tmpl w:val="5A0E4102"/>
    <w:lvl w:ilvl="0" w:tplc="613CC1A6">
      <w:numFmt w:val="bullet"/>
      <w:lvlText w:val=""/>
      <w:lvlJc w:val="left"/>
      <w:pPr>
        <w:ind w:left="360" w:hanging="360"/>
      </w:pPr>
      <w:rPr>
        <w:rFonts w:ascii="Symbol" w:eastAsia="Times New Roman" w:hAnsi="Symbol" w:hint="default"/>
        <w:b w:val="0"/>
        <w:bCs w:val="0"/>
        <w:i/>
        <w:iCs/>
        <w:color w:val="auto"/>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42B67BF5"/>
    <w:multiLevelType w:val="hybridMultilevel"/>
    <w:tmpl w:val="8474BA98"/>
    <w:lvl w:ilvl="0" w:tplc="613CC1A6">
      <w:numFmt w:val="bullet"/>
      <w:lvlText w:val=""/>
      <w:lvlJc w:val="left"/>
      <w:pPr>
        <w:ind w:left="360" w:hanging="360"/>
      </w:pPr>
      <w:rPr>
        <w:rFonts w:ascii="Symbol" w:eastAsia="Times New Roman" w:hAnsi="Symbol" w:hint="default"/>
        <w:b w:val="0"/>
        <w:bCs w:val="0"/>
        <w:i/>
        <w:iCs/>
        <w:color w:val="auto"/>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442C7FE9"/>
    <w:multiLevelType w:val="hybridMultilevel"/>
    <w:tmpl w:val="E9A2727E"/>
    <w:lvl w:ilvl="0" w:tplc="3EB891F4">
      <w:start w:val="1"/>
      <w:numFmt w:val="bullet"/>
      <w:lvlText w:val="-"/>
      <w:lvlJc w:val="left"/>
      <w:pPr>
        <w:ind w:left="720" w:hanging="360"/>
      </w:pPr>
      <w:rPr>
        <w:rFonts w:ascii="Times New Roman" w:eastAsiaTheme="minorHAnsi" w:hAnsi="Times New Roman" w:cs="Times New Roman" w:hint="default"/>
      </w:rPr>
    </w:lvl>
    <w:lvl w:ilvl="1" w:tplc="3EB891F4">
      <w:start w:val="1"/>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443B5824"/>
    <w:multiLevelType w:val="hybridMultilevel"/>
    <w:tmpl w:val="42284EB4"/>
    <w:lvl w:ilvl="0" w:tplc="613CC1A6">
      <w:numFmt w:val="bullet"/>
      <w:lvlText w:val=""/>
      <w:lvlJc w:val="left"/>
      <w:pPr>
        <w:ind w:left="360" w:hanging="360"/>
      </w:pPr>
      <w:rPr>
        <w:rFonts w:ascii="Symbol" w:eastAsia="Times New Roman" w:hAnsi="Symbol" w:hint="default"/>
        <w:b w:val="0"/>
        <w:bCs w:val="0"/>
        <w:i/>
        <w:iCs/>
        <w:color w:val="auto"/>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44A1117B"/>
    <w:multiLevelType w:val="hybridMultilevel"/>
    <w:tmpl w:val="A58A3934"/>
    <w:lvl w:ilvl="0" w:tplc="613CC1A6">
      <w:numFmt w:val="bullet"/>
      <w:lvlText w:val=""/>
      <w:lvlJc w:val="left"/>
      <w:pPr>
        <w:ind w:left="360" w:hanging="360"/>
      </w:pPr>
      <w:rPr>
        <w:rFonts w:ascii="Symbol" w:eastAsia="Times New Roman" w:hAnsi="Symbol" w:hint="default"/>
        <w:b w:val="0"/>
        <w:bCs w:val="0"/>
        <w:i/>
        <w:iCs/>
        <w:color w:val="auto"/>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44BF0564"/>
    <w:multiLevelType w:val="hybridMultilevel"/>
    <w:tmpl w:val="1DEAE5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450515EE"/>
    <w:multiLevelType w:val="multilevel"/>
    <w:tmpl w:val="8E8E62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46044556"/>
    <w:multiLevelType w:val="hybridMultilevel"/>
    <w:tmpl w:val="8F1245A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9" w15:restartNumberingAfterBreak="0">
    <w:nsid w:val="46532ADC"/>
    <w:multiLevelType w:val="hybridMultilevel"/>
    <w:tmpl w:val="B3D213E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0" w15:restartNumberingAfterBreak="0">
    <w:nsid w:val="467E0034"/>
    <w:multiLevelType w:val="hybridMultilevel"/>
    <w:tmpl w:val="E898AC7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15:restartNumberingAfterBreak="0">
    <w:nsid w:val="4AD51115"/>
    <w:multiLevelType w:val="hybridMultilevel"/>
    <w:tmpl w:val="A024320E"/>
    <w:lvl w:ilvl="0" w:tplc="6B52C46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4B5E14B6"/>
    <w:multiLevelType w:val="hybridMultilevel"/>
    <w:tmpl w:val="C51AFBAA"/>
    <w:lvl w:ilvl="0" w:tplc="0FCA153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4C8E2DDE"/>
    <w:multiLevelType w:val="hybridMultilevel"/>
    <w:tmpl w:val="AD24F190"/>
    <w:lvl w:ilvl="0" w:tplc="1152BEC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4" w15:restartNumberingAfterBreak="0">
    <w:nsid w:val="4D5752C8"/>
    <w:multiLevelType w:val="multilevel"/>
    <w:tmpl w:val="2270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4D921E63"/>
    <w:multiLevelType w:val="hybridMultilevel"/>
    <w:tmpl w:val="164E2600"/>
    <w:lvl w:ilvl="0" w:tplc="1152BEC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6" w15:restartNumberingAfterBreak="0">
    <w:nsid w:val="4EDE62CD"/>
    <w:multiLevelType w:val="hybridMultilevel"/>
    <w:tmpl w:val="3EA47860"/>
    <w:lvl w:ilvl="0" w:tplc="613CC1A6">
      <w:numFmt w:val="bullet"/>
      <w:lvlText w:val=""/>
      <w:lvlJc w:val="left"/>
      <w:pPr>
        <w:ind w:left="360" w:hanging="360"/>
      </w:pPr>
      <w:rPr>
        <w:rFonts w:ascii="Symbol" w:eastAsia="Times New Roman" w:hAnsi="Symbol" w:hint="default"/>
        <w:b w:val="0"/>
        <w:bCs w:val="0"/>
        <w:i/>
        <w:iCs/>
        <w:color w:val="auto"/>
        <w:lang w:val="fr-FR"/>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7" w15:restartNumberingAfterBreak="0">
    <w:nsid w:val="504244C7"/>
    <w:multiLevelType w:val="hybridMultilevel"/>
    <w:tmpl w:val="7676231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8" w15:restartNumberingAfterBreak="0">
    <w:nsid w:val="52222F95"/>
    <w:multiLevelType w:val="hybridMultilevel"/>
    <w:tmpl w:val="FAB46EA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9" w15:restartNumberingAfterBreak="0">
    <w:nsid w:val="53163694"/>
    <w:multiLevelType w:val="multilevel"/>
    <w:tmpl w:val="315C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53EF3133"/>
    <w:multiLevelType w:val="hybridMultilevel"/>
    <w:tmpl w:val="F0162AAE"/>
    <w:lvl w:ilvl="0" w:tplc="040C0005">
      <w:start w:val="1"/>
      <w:numFmt w:val="bullet"/>
      <w:lvlText w:val=""/>
      <w:lvlJc w:val="left"/>
      <w:pPr>
        <w:ind w:left="360" w:hanging="360"/>
      </w:pPr>
      <w:rPr>
        <w:rFonts w:ascii="Wingdings" w:hAnsi="Wingdings"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1" w15:restartNumberingAfterBreak="0">
    <w:nsid w:val="552B1E2D"/>
    <w:multiLevelType w:val="hybridMultilevel"/>
    <w:tmpl w:val="E7FC454E"/>
    <w:lvl w:ilvl="0" w:tplc="5816DF4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552D6620"/>
    <w:multiLevelType w:val="hybridMultilevel"/>
    <w:tmpl w:val="A93E1BE4"/>
    <w:lvl w:ilvl="0" w:tplc="DC0438E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15:restartNumberingAfterBreak="0">
    <w:nsid w:val="57616CD2"/>
    <w:multiLevelType w:val="hybridMultilevel"/>
    <w:tmpl w:val="186A043C"/>
    <w:lvl w:ilvl="0" w:tplc="613CC1A6">
      <w:numFmt w:val="bullet"/>
      <w:lvlText w:val=""/>
      <w:lvlJc w:val="left"/>
      <w:pPr>
        <w:ind w:left="360" w:hanging="360"/>
      </w:pPr>
      <w:rPr>
        <w:rFonts w:ascii="Symbol" w:eastAsia="Times New Roman" w:hAnsi="Symbol" w:hint="default"/>
        <w:b w:val="0"/>
        <w:bCs w:val="0"/>
        <w:i/>
        <w:iCs/>
        <w:color w:val="auto"/>
        <w:lang w:val="fr-FR"/>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4" w15:restartNumberingAfterBreak="0">
    <w:nsid w:val="577F5D9A"/>
    <w:multiLevelType w:val="hybridMultilevel"/>
    <w:tmpl w:val="6220EF6A"/>
    <w:lvl w:ilvl="0" w:tplc="3EB891F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57AA51C7"/>
    <w:multiLevelType w:val="hybridMultilevel"/>
    <w:tmpl w:val="7F1E2BFE"/>
    <w:lvl w:ilvl="0" w:tplc="FD0EBD6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5C894295"/>
    <w:multiLevelType w:val="hybridMultilevel"/>
    <w:tmpl w:val="BF1E7E72"/>
    <w:lvl w:ilvl="0" w:tplc="1152BEC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7" w15:restartNumberingAfterBreak="0">
    <w:nsid w:val="5D0C6093"/>
    <w:multiLevelType w:val="hybridMultilevel"/>
    <w:tmpl w:val="8796F99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8" w15:restartNumberingAfterBreak="0">
    <w:nsid w:val="5D357344"/>
    <w:multiLevelType w:val="hybridMultilevel"/>
    <w:tmpl w:val="9FCCFC92"/>
    <w:lvl w:ilvl="0" w:tplc="7B144A30">
      <w:start w:val="1"/>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5EB76CF6"/>
    <w:multiLevelType w:val="hybridMultilevel"/>
    <w:tmpl w:val="49FA7C4E"/>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0" w15:restartNumberingAfterBreak="0">
    <w:nsid w:val="5F1F7840"/>
    <w:multiLevelType w:val="hybridMultilevel"/>
    <w:tmpl w:val="DF4645F2"/>
    <w:lvl w:ilvl="0" w:tplc="036CB6D0">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1" w15:restartNumberingAfterBreak="0">
    <w:nsid w:val="5F644C53"/>
    <w:multiLevelType w:val="hybridMultilevel"/>
    <w:tmpl w:val="C494019C"/>
    <w:lvl w:ilvl="0" w:tplc="613CC1A6">
      <w:numFmt w:val="bullet"/>
      <w:lvlText w:val=""/>
      <w:lvlJc w:val="left"/>
      <w:pPr>
        <w:ind w:left="360" w:hanging="360"/>
      </w:pPr>
      <w:rPr>
        <w:rFonts w:ascii="Symbol" w:eastAsia="Times New Roman" w:hAnsi="Symbol" w:hint="default"/>
        <w:b w:val="0"/>
        <w:bCs w:val="0"/>
        <w:i/>
        <w:iCs/>
        <w:color w:val="auto"/>
        <w:lang w:val="fr-FR"/>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2" w15:restartNumberingAfterBreak="0">
    <w:nsid w:val="5FD6700A"/>
    <w:multiLevelType w:val="hybridMultilevel"/>
    <w:tmpl w:val="DE5C265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3" w15:restartNumberingAfterBreak="0">
    <w:nsid w:val="605B5A4D"/>
    <w:multiLevelType w:val="hybridMultilevel"/>
    <w:tmpl w:val="155827D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4" w15:restartNumberingAfterBreak="0">
    <w:nsid w:val="60E50B7B"/>
    <w:multiLevelType w:val="hybridMultilevel"/>
    <w:tmpl w:val="4566C46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5" w15:restartNumberingAfterBreak="0">
    <w:nsid w:val="61D271DA"/>
    <w:multiLevelType w:val="hybridMultilevel"/>
    <w:tmpl w:val="FEFEEE08"/>
    <w:lvl w:ilvl="0" w:tplc="69DE04F0">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15:restartNumberingAfterBreak="0">
    <w:nsid w:val="63306953"/>
    <w:multiLevelType w:val="hybridMultilevel"/>
    <w:tmpl w:val="9918B30C"/>
    <w:lvl w:ilvl="0" w:tplc="3B9A0BC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15:restartNumberingAfterBreak="0">
    <w:nsid w:val="64BD72AC"/>
    <w:multiLevelType w:val="hybridMultilevel"/>
    <w:tmpl w:val="04965660"/>
    <w:lvl w:ilvl="0" w:tplc="3EB891F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68153A3F"/>
    <w:multiLevelType w:val="hybridMultilevel"/>
    <w:tmpl w:val="9F02BE3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9" w15:restartNumberingAfterBreak="0">
    <w:nsid w:val="68A1452B"/>
    <w:multiLevelType w:val="hybridMultilevel"/>
    <w:tmpl w:val="8168FC74"/>
    <w:lvl w:ilvl="0" w:tplc="613CC1A6">
      <w:numFmt w:val="bullet"/>
      <w:lvlText w:val=""/>
      <w:lvlJc w:val="left"/>
      <w:pPr>
        <w:ind w:left="360" w:hanging="360"/>
      </w:pPr>
      <w:rPr>
        <w:rFonts w:ascii="Symbol" w:eastAsia="Times New Roman" w:hAnsi="Symbol" w:hint="default"/>
        <w:b w:val="0"/>
        <w:bCs w:val="0"/>
        <w:i/>
        <w:iCs/>
        <w:color w:val="auto"/>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69453DDC"/>
    <w:multiLevelType w:val="hybridMultilevel"/>
    <w:tmpl w:val="7548E1E2"/>
    <w:lvl w:ilvl="0" w:tplc="7B76C9B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15:restartNumberingAfterBreak="0">
    <w:nsid w:val="6D540E4A"/>
    <w:multiLevelType w:val="hybridMultilevel"/>
    <w:tmpl w:val="CE0C5F64"/>
    <w:lvl w:ilvl="0" w:tplc="613CC1A6">
      <w:numFmt w:val="bullet"/>
      <w:lvlText w:val=""/>
      <w:lvlJc w:val="left"/>
      <w:pPr>
        <w:ind w:left="360" w:hanging="360"/>
      </w:pPr>
      <w:rPr>
        <w:rFonts w:ascii="Symbol" w:eastAsia="Times New Roman" w:hAnsi="Symbol" w:hint="default"/>
        <w:b w:val="0"/>
        <w:bCs w:val="0"/>
        <w:i/>
        <w:iCs/>
        <w:color w:val="auto"/>
        <w:lang w:val="fr-FR"/>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2" w15:restartNumberingAfterBreak="0">
    <w:nsid w:val="6E1D0EBE"/>
    <w:multiLevelType w:val="hybridMultilevel"/>
    <w:tmpl w:val="5D5AC7A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3" w15:restartNumberingAfterBreak="0">
    <w:nsid w:val="6E49241E"/>
    <w:multiLevelType w:val="hybridMultilevel"/>
    <w:tmpl w:val="7842008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4" w15:restartNumberingAfterBreak="0">
    <w:nsid w:val="6E4D4F40"/>
    <w:multiLevelType w:val="hybridMultilevel"/>
    <w:tmpl w:val="25A82B08"/>
    <w:lvl w:ilvl="0" w:tplc="1152BEC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5" w15:restartNumberingAfterBreak="0">
    <w:nsid w:val="6EAB5301"/>
    <w:multiLevelType w:val="multilevel"/>
    <w:tmpl w:val="2ACA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703A2EBE"/>
    <w:multiLevelType w:val="hybridMultilevel"/>
    <w:tmpl w:val="F2ECF55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7" w15:restartNumberingAfterBreak="0">
    <w:nsid w:val="71A64E09"/>
    <w:multiLevelType w:val="hybridMultilevel"/>
    <w:tmpl w:val="B372A616"/>
    <w:lvl w:ilvl="0" w:tplc="4D1A6FBA">
      <w:start w:val="1"/>
      <w:numFmt w:val="decimal"/>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3E70AE04">
      <w:start w:val="1"/>
      <w:numFmt w:val="decimal"/>
      <w:lvlText w:val="%4."/>
      <w:lvlJc w:val="left"/>
      <w:pPr>
        <w:tabs>
          <w:tab w:val="num" w:pos="2880"/>
        </w:tabs>
        <w:ind w:left="2880" w:hanging="360"/>
      </w:pPr>
    </w:lvl>
    <w:lvl w:ilvl="4" w:tplc="1152BEC8">
      <w:numFmt w:val="bullet"/>
      <w:lvlText w:val="-"/>
      <w:lvlJc w:val="left"/>
      <w:pPr>
        <w:tabs>
          <w:tab w:val="num" w:pos="3600"/>
        </w:tabs>
        <w:ind w:left="3600" w:hanging="360"/>
      </w:pPr>
      <w:rPr>
        <w:rFonts w:ascii="Times New Roman" w:eastAsia="Times New Roman" w:hAnsi="Times New Roman"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2337001"/>
    <w:multiLevelType w:val="multilevel"/>
    <w:tmpl w:val="6F3E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726F6B5C"/>
    <w:multiLevelType w:val="multilevel"/>
    <w:tmpl w:val="D2DE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72917B1B"/>
    <w:multiLevelType w:val="hybridMultilevel"/>
    <w:tmpl w:val="0BC851F8"/>
    <w:lvl w:ilvl="0" w:tplc="EB188ECE">
      <w:start w:val="1"/>
      <w:numFmt w:val="decimal"/>
      <w:lvlText w:val="%1."/>
      <w:lvlJc w:val="left"/>
      <w:pPr>
        <w:tabs>
          <w:tab w:val="num" w:pos="720"/>
        </w:tabs>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1" w15:restartNumberingAfterBreak="0">
    <w:nsid w:val="72C41094"/>
    <w:multiLevelType w:val="multilevel"/>
    <w:tmpl w:val="5F548EA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2" w15:restartNumberingAfterBreak="0">
    <w:nsid w:val="72C53F19"/>
    <w:multiLevelType w:val="multilevel"/>
    <w:tmpl w:val="CA84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73C77379"/>
    <w:multiLevelType w:val="hybridMultilevel"/>
    <w:tmpl w:val="6FBAB9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747D34F1"/>
    <w:multiLevelType w:val="hybridMultilevel"/>
    <w:tmpl w:val="607E42F4"/>
    <w:lvl w:ilvl="0" w:tplc="1152BEC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5" w15:restartNumberingAfterBreak="0">
    <w:nsid w:val="74953E9B"/>
    <w:multiLevelType w:val="multilevel"/>
    <w:tmpl w:val="11D0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750B08AD"/>
    <w:multiLevelType w:val="hybridMultilevel"/>
    <w:tmpl w:val="0EE816AE"/>
    <w:lvl w:ilvl="0" w:tplc="613CC1A6">
      <w:numFmt w:val="bullet"/>
      <w:lvlText w:val=""/>
      <w:lvlJc w:val="left"/>
      <w:pPr>
        <w:ind w:left="360" w:hanging="360"/>
      </w:pPr>
      <w:rPr>
        <w:rFonts w:ascii="Symbol" w:eastAsia="Times New Roman" w:hAnsi="Symbol" w:hint="default"/>
        <w:b w:val="0"/>
        <w:bCs w:val="0"/>
        <w:i/>
        <w:iCs/>
        <w:color w:val="auto"/>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757428B3"/>
    <w:multiLevelType w:val="hybridMultilevel"/>
    <w:tmpl w:val="B0902D2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8" w15:restartNumberingAfterBreak="0">
    <w:nsid w:val="768650B7"/>
    <w:multiLevelType w:val="hybridMultilevel"/>
    <w:tmpl w:val="7B40C1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76E20704"/>
    <w:multiLevelType w:val="multilevel"/>
    <w:tmpl w:val="C05C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782452A9"/>
    <w:multiLevelType w:val="multilevel"/>
    <w:tmpl w:val="A6A8E5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78B45509"/>
    <w:multiLevelType w:val="hybridMultilevel"/>
    <w:tmpl w:val="ECDA0C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7A6131DC"/>
    <w:multiLevelType w:val="hybridMultilevel"/>
    <w:tmpl w:val="F0A2F6E6"/>
    <w:lvl w:ilvl="0" w:tplc="613CC1A6">
      <w:numFmt w:val="bullet"/>
      <w:lvlText w:val=""/>
      <w:lvlJc w:val="left"/>
      <w:pPr>
        <w:ind w:left="360" w:hanging="360"/>
      </w:pPr>
      <w:rPr>
        <w:rFonts w:ascii="Symbol" w:eastAsia="Times New Roman" w:hAnsi="Symbol" w:hint="default"/>
        <w:b w:val="0"/>
        <w:bCs w:val="0"/>
        <w:i/>
        <w:iCs/>
        <w:color w:val="auto"/>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7AEB6C91"/>
    <w:multiLevelType w:val="hybridMultilevel"/>
    <w:tmpl w:val="9CE21B4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4" w15:restartNumberingAfterBreak="0">
    <w:nsid w:val="7D1A1107"/>
    <w:multiLevelType w:val="hybridMultilevel"/>
    <w:tmpl w:val="FBE4EA74"/>
    <w:lvl w:ilvl="0" w:tplc="4A54C94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5" w15:restartNumberingAfterBreak="0">
    <w:nsid w:val="7EB06807"/>
    <w:multiLevelType w:val="hybridMultilevel"/>
    <w:tmpl w:val="6750CA94"/>
    <w:lvl w:ilvl="0" w:tplc="613CC1A6">
      <w:numFmt w:val="bullet"/>
      <w:lvlText w:val=""/>
      <w:lvlJc w:val="left"/>
      <w:pPr>
        <w:ind w:left="360" w:hanging="360"/>
      </w:pPr>
      <w:rPr>
        <w:rFonts w:ascii="Symbol" w:eastAsia="Times New Roman" w:hAnsi="Symbol" w:hint="default"/>
        <w:b w:val="0"/>
        <w:bCs w:val="0"/>
        <w:i/>
        <w:iCs/>
        <w:color w:val="auto"/>
        <w:lang w:val="fr-FR"/>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0"/>
  </w:num>
  <w:num w:numId="2">
    <w:abstractNumId w:val="127"/>
  </w:num>
  <w:num w:numId="3">
    <w:abstractNumId w:val="87"/>
  </w:num>
  <w:num w:numId="4">
    <w:abstractNumId w:val="131"/>
  </w:num>
  <w:num w:numId="5">
    <w:abstractNumId w:val="140"/>
  </w:num>
  <w:num w:numId="6">
    <w:abstractNumId w:val="39"/>
  </w:num>
  <w:num w:numId="7">
    <w:abstractNumId w:val="144"/>
  </w:num>
  <w:num w:numId="8">
    <w:abstractNumId w:val="116"/>
  </w:num>
  <w:num w:numId="9">
    <w:abstractNumId w:val="59"/>
  </w:num>
  <w:num w:numId="10">
    <w:abstractNumId w:val="67"/>
  </w:num>
  <w:num w:numId="11">
    <w:abstractNumId w:val="95"/>
  </w:num>
  <w:num w:numId="12">
    <w:abstractNumId w:val="92"/>
  </w:num>
  <w:num w:numId="13">
    <w:abstractNumId w:val="108"/>
  </w:num>
  <w:num w:numId="14">
    <w:abstractNumId w:val="104"/>
  </w:num>
  <w:num w:numId="15">
    <w:abstractNumId w:val="55"/>
  </w:num>
  <w:num w:numId="16">
    <w:abstractNumId w:val="141"/>
  </w:num>
  <w:num w:numId="17">
    <w:abstractNumId w:val="73"/>
  </w:num>
  <w:num w:numId="18">
    <w:abstractNumId w:val="35"/>
  </w:num>
  <w:num w:numId="19">
    <w:abstractNumId w:val="43"/>
  </w:num>
  <w:num w:numId="20">
    <w:abstractNumId w:val="50"/>
  </w:num>
  <w:num w:numId="21">
    <w:abstractNumId w:val="109"/>
  </w:num>
  <w:num w:numId="22">
    <w:abstractNumId w:val="13"/>
  </w:num>
  <w:num w:numId="23">
    <w:abstractNumId w:val="121"/>
  </w:num>
  <w:num w:numId="24">
    <w:abstractNumId w:val="53"/>
  </w:num>
  <w:num w:numId="25">
    <w:abstractNumId w:val="77"/>
  </w:num>
  <w:num w:numId="26">
    <w:abstractNumId w:val="19"/>
  </w:num>
  <w:num w:numId="27">
    <w:abstractNumId w:val="69"/>
  </w:num>
  <w:num w:numId="28">
    <w:abstractNumId w:val="8"/>
  </w:num>
  <w:num w:numId="29">
    <w:abstractNumId w:val="7"/>
  </w:num>
  <w:num w:numId="30">
    <w:abstractNumId w:val="24"/>
  </w:num>
  <w:num w:numId="31">
    <w:abstractNumId w:val="80"/>
  </w:num>
  <w:num w:numId="32">
    <w:abstractNumId w:val="71"/>
  </w:num>
  <w:num w:numId="33">
    <w:abstractNumId w:val="38"/>
  </w:num>
  <w:num w:numId="34">
    <w:abstractNumId w:val="136"/>
  </w:num>
  <w:num w:numId="35">
    <w:abstractNumId w:val="82"/>
  </w:num>
  <w:num w:numId="36">
    <w:abstractNumId w:val="81"/>
  </w:num>
  <w:num w:numId="37">
    <w:abstractNumId w:val="0"/>
  </w:num>
  <w:num w:numId="38">
    <w:abstractNumId w:val="96"/>
  </w:num>
  <w:num w:numId="39">
    <w:abstractNumId w:val="36"/>
  </w:num>
  <w:num w:numId="40">
    <w:abstractNumId w:val="111"/>
  </w:num>
  <w:num w:numId="41">
    <w:abstractNumId w:val="16"/>
  </w:num>
  <w:num w:numId="42">
    <w:abstractNumId w:val="103"/>
  </w:num>
  <w:num w:numId="43">
    <w:abstractNumId w:val="32"/>
  </w:num>
  <w:num w:numId="44">
    <w:abstractNumId w:val="145"/>
  </w:num>
  <w:num w:numId="45">
    <w:abstractNumId w:val="14"/>
  </w:num>
  <w:num w:numId="46">
    <w:abstractNumId w:val="76"/>
  </w:num>
  <w:num w:numId="47">
    <w:abstractNumId w:val="85"/>
  </w:num>
  <w:num w:numId="48">
    <w:abstractNumId w:val="45"/>
  </w:num>
  <w:num w:numId="49">
    <w:abstractNumId w:val="142"/>
  </w:num>
  <w:num w:numId="50">
    <w:abstractNumId w:val="70"/>
  </w:num>
  <w:num w:numId="51">
    <w:abstractNumId w:val="56"/>
  </w:num>
  <w:num w:numId="52">
    <w:abstractNumId w:val="46"/>
  </w:num>
  <w:num w:numId="53">
    <w:abstractNumId w:val="64"/>
  </w:num>
  <w:num w:numId="54">
    <w:abstractNumId w:val="84"/>
  </w:num>
  <w:num w:numId="55">
    <w:abstractNumId w:val="79"/>
  </w:num>
  <w:num w:numId="56">
    <w:abstractNumId w:val="51"/>
  </w:num>
  <w:num w:numId="57">
    <w:abstractNumId w:val="119"/>
  </w:num>
  <w:num w:numId="58">
    <w:abstractNumId w:val="11"/>
  </w:num>
  <w:num w:numId="59">
    <w:abstractNumId w:val="49"/>
  </w:num>
  <w:num w:numId="60">
    <w:abstractNumId w:val="2"/>
  </w:num>
  <w:num w:numId="61">
    <w:abstractNumId w:val="133"/>
  </w:num>
  <w:num w:numId="62">
    <w:abstractNumId w:val="41"/>
  </w:num>
  <w:num w:numId="63">
    <w:abstractNumId w:val="90"/>
  </w:num>
  <w:num w:numId="64">
    <w:abstractNumId w:val="91"/>
  </w:num>
  <w:num w:numId="65">
    <w:abstractNumId w:val="26"/>
  </w:num>
  <w:num w:numId="66">
    <w:abstractNumId w:val="98"/>
  </w:num>
  <w:num w:numId="67">
    <w:abstractNumId w:val="114"/>
  </w:num>
  <w:num w:numId="68">
    <w:abstractNumId w:val="68"/>
  </w:num>
  <w:num w:numId="69">
    <w:abstractNumId w:val="107"/>
  </w:num>
  <w:num w:numId="70">
    <w:abstractNumId w:val="100"/>
  </w:num>
  <w:num w:numId="71">
    <w:abstractNumId w:val="29"/>
  </w:num>
  <w:num w:numId="72">
    <w:abstractNumId w:val="122"/>
  </w:num>
  <w:num w:numId="73">
    <w:abstractNumId w:val="112"/>
  </w:num>
  <w:num w:numId="74">
    <w:abstractNumId w:val="28"/>
  </w:num>
  <w:num w:numId="75">
    <w:abstractNumId w:val="105"/>
  </w:num>
  <w:num w:numId="76">
    <w:abstractNumId w:val="17"/>
  </w:num>
  <w:num w:numId="77">
    <w:abstractNumId w:val="57"/>
  </w:num>
  <w:num w:numId="78">
    <w:abstractNumId w:val="88"/>
  </w:num>
  <w:num w:numId="79">
    <w:abstractNumId w:val="12"/>
  </w:num>
  <w:num w:numId="80">
    <w:abstractNumId w:val="118"/>
  </w:num>
  <w:num w:numId="81">
    <w:abstractNumId w:val="10"/>
  </w:num>
  <w:num w:numId="82">
    <w:abstractNumId w:val="138"/>
  </w:num>
  <w:num w:numId="83">
    <w:abstractNumId w:val="143"/>
  </w:num>
  <w:num w:numId="84">
    <w:abstractNumId w:val="58"/>
  </w:num>
  <w:num w:numId="85">
    <w:abstractNumId w:val="25"/>
  </w:num>
  <w:num w:numId="86">
    <w:abstractNumId w:val="48"/>
  </w:num>
  <w:num w:numId="87">
    <w:abstractNumId w:val="74"/>
  </w:num>
  <w:num w:numId="88">
    <w:abstractNumId w:val="52"/>
  </w:num>
  <w:num w:numId="89">
    <w:abstractNumId w:val="66"/>
  </w:num>
  <w:num w:numId="90">
    <w:abstractNumId w:val="89"/>
  </w:num>
  <w:num w:numId="91">
    <w:abstractNumId w:val="60"/>
  </w:num>
  <w:num w:numId="92">
    <w:abstractNumId w:val="5"/>
  </w:num>
  <w:num w:numId="93">
    <w:abstractNumId w:val="117"/>
  </w:num>
  <w:num w:numId="94">
    <w:abstractNumId w:val="72"/>
  </w:num>
  <w:num w:numId="95">
    <w:abstractNumId w:val="113"/>
  </w:num>
  <w:num w:numId="96">
    <w:abstractNumId w:val="83"/>
  </w:num>
  <w:num w:numId="97">
    <w:abstractNumId w:val="101"/>
  </w:num>
  <w:num w:numId="98">
    <w:abstractNumId w:val="37"/>
  </w:num>
  <w:num w:numId="99">
    <w:abstractNumId w:val="78"/>
  </w:num>
  <w:num w:numId="100">
    <w:abstractNumId w:val="97"/>
  </w:num>
  <w:num w:numId="101">
    <w:abstractNumId w:val="6"/>
  </w:num>
  <w:num w:numId="102">
    <w:abstractNumId w:val="137"/>
  </w:num>
  <w:num w:numId="103">
    <w:abstractNumId w:val="126"/>
  </w:num>
  <w:num w:numId="104">
    <w:abstractNumId w:val="21"/>
  </w:num>
  <w:num w:numId="105">
    <w:abstractNumId w:val="123"/>
  </w:num>
  <w:num w:numId="106">
    <w:abstractNumId w:val="4"/>
  </w:num>
  <w:num w:numId="107">
    <w:abstractNumId w:val="31"/>
  </w:num>
  <w:num w:numId="108">
    <w:abstractNumId w:val="33"/>
  </w:num>
  <w:num w:numId="109">
    <w:abstractNumId w:val="23"/>
  </w:num>
  <w:num w:numId="110">
    <w:abstractNumId w:val="134"/>
  </w:num>
  <w:num w:numId="111">
    <w:abstractNumId w:val="18"/>
  </w:num>
  <w:num w:numId="112">
    <w:abstractNumId w:val="124"/>
  </w:num>
  <w:num w:numId="113">
    <w:abstractNumId w:val="93"/>
  </w:num>
  <w:num w:numId="114">
    <w:abstractNumId w:val="106"/>
  </w:num>
  <w:num w:numId="115">
    <w:abstractNumId w:val="99"/>
  </w:num>
  <w:num w:numId="116">
    <w:abstractNumId w:val="61"/>
  </w:num>
  <w:num w:numId="117">
    <w:abstractNumId w:val="9"/>
  </w:num>
  <w:num w:numId="118">
    <w:abstractNumId w:val="139"/>
  </w:num>
  <w:num w:numId="119">
    <w:abstractNumId w:val="34"/>
  </w:num>
  <w:num w:numId="120">
    <w:abstractNumId w:val="40"/>
  </w:num>
  <w:num w:numId="121">
    <w:abstractNumId w:val="47"/>
  </w:num>
  <w:num w:numId="122">
    <w:abstractNumId w:val="125"/>
  </w:num>
  <w:num w:numId="123">
    <w:abstractNumId w:val="62"/>
  </w:num>
  <w:num w:numId="124">
    <w:abstractNumId w:val="94"/>
  </w:num>
  <w:num w:numId="125">
    <w:abstractNumId w:val="1"/>
  </w:num>
  <w:num w:numId="126">
    <w:abstractNumId w:val="30"/>
  </w:num>
  <w:num w:numId="127">
    <w:abstractNumId w:val="129"/>
  </w:num>
  <w:num w:numId="128">
    <w:abstractNumId w:val="128"/>
  </w:num>
  <w:num w:numId="129">
    <w:abstractNumId w:val="42"/>
  </w:num>
  <w:num w:numId="130">
    <w:abstractNumId w:val="135"/>
  </w:num>
  <w:num w:numId="131">
    <w:abstractNumId w:val="3"/>
  </w:num>
  <w:num w:numId="132">
    <w:abstractNumId w:val="22"/>
  </w:num>
  <w:num w:numId="133">
    <w:abstractNumId w:val="27"/>
  </w:num>
  <w:num w:numId="134">
    <w:abstractNumId w:val="132"/>
  </w:num>
  <w:num w:numId="135">
    <w:abstractNumId w:val="130"/>
  </w:num>
  <w:num w:numId="136">
    <w:abstractNumId w:val="120"/>
  </w:num>
  <w:num w:numId="137">
    <w:abstractNumId w:val="65"/>
  </w:num>
  <w:num w:numId="138">
    <w:abstractNumId w:val="44"/>
  </w:num>
  <w:num w:numId="139">
    <w:abstractNumId w:val="63"/>
  </w:num>
  <w:num w:numId="140">
    <w:abstractNumId w:val="102"/>
  </w:num>
  <w:num w:numId="141">
    <w:abstractNumId w:val="54"/>
  </w:num>
  <w:num w:numId="142">
    <w:abstractNumId w:val="115"/>
  </w:num>
  <w:num w:numId="143">
    <w:abstractNumId w:val="110"/>
  </w:num>
  <w:num w:numId="144">
    <w:abstractNumId w:val="15"/>
  </w:num>
  <w:num w:numId="145">
    <w:abstractNumId w:val="75"/>
  </w:num>
  <w:num w:numId="146">
    <w:abstractNumId w:val="86"/>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C6"/>
    <w:rsid w:val="000031A7"/>
    <w:rsid w:val="00006904"/>
    <w:rsid w:val="00006C7E"/>
    <w:rsid w:val="00012718"/>
    <w:rsid w:val="0001787A"/>
    <w:rsid w:val="00025197"/>
    <w:rsid w:val="00025AC1"/>
    <w:rsid w:val="000315DF"/>
    <w:rsid w:val="00031FCA"/>
    <w:rsid w:val="00033310"/>
    <w:rsid w:val="000355A5"/>
    <w:rsid w:val="00035A0E"/>
    <w:rsid w:val="00040FF5"/>
    <w:rsid w:val="000424D5"/>
    <w:rsid w:val="000431F3"/>
    <w:rsid w:val="0004399B"/>
    <w:rsid w:val="000440BA"/>
    <w:rsid w:val="000442E1"/>
    <w:rsid w:val="00046FEC"/>
    <w:rsid w:val="00056F98"/>
    <w:rsid w:val="00060697"/>
    <w:rsid w:val="00061F3D"/>
    <w:rsid w:val="0006200F"/>
    <w:rsid w:val="00063B1B"/>
    <w:rsid w:val="0006749A"/>
    <w:rsid w:val="000678C6"/>
    <w:rsid w:val="00071737"/>
    <w:rsid w:val="000731DC"/>
    <w:rsid w:val="00073A5B"/>
    <w:rsid w:val="000760E5"/>
    <w:rsid w:val="0007661E"/>
    <w:rsid w:val="00076724"/>
    <w:rsid w:val="00080C9E"/>
    <w:rsid w:val="00090973"/>
    <w:rsid w:val="00091457"/>
    <w:rsid w:val="0009467D"/>
    <w:rsid w:val="000A05E3"/>
    <w:rsid w:val="000A281A"/>
    <w:rsid w:val="000B348F"/>
    <w:rsid w:val="000B5082"/>
    <w:rsid w:val="000B60C6"/>
    <w:rsid w:val="000B63F2"/>
    <w:rsid w:val="000B6EF9"/>
    <w:rsid w:val="000B7A34"/>
    <w:rsid w:val="000C2EEE"/>
    <w:rsid w:val="000C5625"/>
    <w:rsid w:val="000C5BEE"/>
    <w:rsid w:val="000C6A77"/>
    <w:rsid w:val="000D16D1"/>
    <w:rsid w:val="000D2F88"/>
    <w:rsid w:val="000D34A2"/>
    <w:rsid w:val="000D52DE"/>
    <w:rsid w:val="000E40E5"/>
    <w:rsid w:val="000E6803"/>
    <w:rsid w:val="000E7700"/>
    <w:rsid w:val="000F048A"/>
    <w:rsid w:val="000F3C3B"/>
    <w:rsid w:val="000F4E86"/>
    <w:rsid w:val="000F6758"/>
    <w:rsid w:val="00103272"/>
    <w:rsid w:val="0011013A"/>
    <w:rsid w:val="00110195"/>
    <w:rsid w:val="00110255"/>
    <w:rsid w:val="00110A02"/>
    <w:rsid w:val="001166FD"/>
    <w:rsid w:val="00117844"/>
    <w:rsid w:val="001225E9"/>
    <w:rsid w:val="00125327"/>
    <w:rsid w:val="00125E8D"/>
    <w:rsid w:val="00133D53"/>
    <w:rsid w:val="0014187E"/>
    <w:rsid w:val="001436B7"/>
    <w:rsid w:val="0014380B"/>
    <w:rsid w:val="00144086"/>
    <w:rsid w:val="00145113"/>
    <w:rsid w:val="0014734C"/>
    <w:rsid w:val="00151319"/>
    <w:rsid w:val="00152F26"/>
    <w:rsid w:val="00157383"/>
    <w:rsid w:val="00157AB3"/>
    <w:rsid w:val="00160368"/>
    <w:rsid w:val="001612A5"/>
    <w:rsid w:val="0016412B"/>
    <w:rsid w:val="00167957"/>
    <w:rsid w:val="00171576"/>
    <w:rsid w:val="0017489B"/>
    <w:rsid w:val="001773A1"/>
    <w:rsid w:val="00184C37"/>
    <w:rsid w:val="00196F98"/>
    <w:rsid w:val="001A1105"/>
    <w:rsid w:val="001B1A09"/>
    <w:rsid w:val="001B1A2B"/>
    <w:rsid w:val="001B46B9"/>
    <w:rsid w:val="001B56C1"/>
    <w:rsid w:val="001B7004"/>
    <w:rsid w:val="001B7817"/>
    <w:rsid w:val="001C0774"/>
    <w:rsid w:val="001C4641"/>
    <w:rsid w:val="001C6361"/>
    <w:rsid w:val="001C65B3"/>
    <w:rsid w:val="001C6770"/>
    <w:rsid w:val="001D03BE"/>
    <w:rsid w:val="001D08EA"/>
    <w:rsid w:val="001D4350"/>
    <w:rsid w:val="001F0062"/>
    <w:rsid w:val="0020106F"/>
    <w:rsid w:val="002017E6"/>
    <w:rsid w:val="00205F6B"/>
    <w:rsid w:val="00206077"/>
    <w:rsid w:val="00206ACF"/>
    <w:rsid w:val="0020766A"/>
    <w:rsid w:val="00207846"/>
    <w:rsid w:val="00212539"/>
    <w:rsid w:val="00212816"/>
    <w:rsid w:val="002171EB"/>
    <w:rsid w:val="00220301"/>
    <w:rsid w:val="002209B5"/>
    <w:rsid w:val="00225015"/>
    <w:rsid w:val="0022759B"/>
    <w:rsid w:val="00231252"/>
    <w:rsid w:val="00232C75"/>
    <w:rsid w:val="002333ED"/>
    <w:rsid w:val="002340AA"/>
    <w:rsid w:val="00236BD2"/>
    <w:rsid w:val="00237D59"/>
    <w:rsid w:val="0024167E"/>
    <w:rsid w:val="00246CC6"/>
    <w:rsid w:val="0024772E"/>
    <w:rsid w:val="00256D14"/>
    <w:rsid w:val="00261813"/>
    <w:rsid w:val="002623C8"/>
    <w:rsid w:val="00264B81"/>
    <w:rsid w:val="002710D2"/>
    <w:rsid w:val="002710EA"/>
    <w:rsid w:val="00272C87"/>
    <w:rsid w:val="0027472B"/>
    <w:rsid w:val="00275BD9"/>
    <w:rsid w:val="00276856"/>
    <w:rsid w:val="00291723"/>
    <w:rsid w:val="0029202F"/>
    <w:rsid w:val="00294D37"/>
    <w:rsid w:val="002B16ED"/>
    <w:rsid w:val="002B46E9"/>
    <w:rsid w:val="002B576E"/>
    <w:rsid w:val="002B5FE6"/>
    <w:rsid w:val="002B6623"/>
    <w:rsid w:val="002B71ED"/>
    <w:rsid w:val="002C0530"/>
    <w:rsid w:val="002C521E"/>
    <w:rsid w:val="002C53E9"/>
    <w:rsid w:val="002C7DC1"/>
    <w:rsid w:val="002C7F6C"/>
    <w:rsid w:val="002D2F61"/>
    <w:rsid w:val="002D5D6C"/>
    <w:rsid w:val="002D66B5"/>
    <w:rsid w:val="002F02EC"/>
    <w:rsid w:val="002F03BA"/>
    <w:rsid w:val="002F39C4"/>
    <w:rsid w:val="00303125"/>
    <w:rsid w:val="00303E9E"/>
    <w:rsid w:val="003077BA"/>
    <w:rsid w:val="00307E16"/>
    <w:rsid w:val="00307E26"/>
    <w:rsid w:val="00322031"/>
    <w:rsid w:val="0032365E"/>
    <w:rsid w:val="00324255"/>
    <w:rsid w:val="0032464A"/>
    <w:rsid w:val="003349C0"/>
    <w:rsid w:val="00336C9C"/>
    <w:rsid w:val="00341B08"/>
    <w:rsid w:val="00347ADE"/>
    <w:rsid w:val="00350348"/>
    <w:rsid w:val="00352445"/>
    <w:rsid w:val="0035291E"/>
    <w:rsid w:val="00354CB3"/>
    <w:rsid w:val="00355A5D"/>
    <w:rsid w:val="00364E60"/>
    <w:rsid w:val="00367936"/>
    <w:rsid w:val="003726BC"/>
    <w:rsid w:val="00375964"/>
    <w:rsid w:val="00377C7C"/>
    <w:rsid w:val="0038039C"/>
    <w:rsid w:val="00381668"/>
    <w:rsid w:val="00384965"/>
    <w:rsid w:val="00385C97"/>
    <w:rsid w:val="00391AFE"/>
    <w:rsid w:val="003929F9"/>
    <w:rsid w:val="00394FF5"/>
    <w:rsid w:val="003A19A2"/>
    <w:rsid w:val="003A511B"/>
    <w:rsid w:val="003A5883"/>
    <w:rsid w:val="003A71DD"/>
    <w:rsid w:val="003B0438"/>
    <w:rsid w:val="003B41C3"/>
    <w:rsid w:val="003B6685"/>
    <w:rsid w:val="003B7F14"/>
    <w:rsid w:val="003C24CD"/>
    <w:rsid w:val="003C5F31"/>
    <w:rsid w:val="003C6847"/>
    <w:rsid w:val="003D27D8"/>
    <w:rsid w:val="003D53F5"/>
    <w:rsid w:val="003D6233"/>
    <w:rsid w:val="003E5FFA"/>
    <w:rsid w:val="003E64F4"/>
    <w:rsid w:val="004011DF"/>
    <w:rsid w:val="00402FEE"/>
    <w:rsid w:val="00403456"/>
    <w:rsid w:val="00403E22"/>
    <w:rsid w:val="00404A74"/>
    <w:rsid w:val="00406332"/>
    <w:rsid w:val="00406E61"/>
    <w:rsid w:val="00407487"/>
    <w:rsid w:val="00407F82"/>
    <w:rsid w:val="00410681"/>
    <w:rsid w:val="00412BF3"/>
    <w:rsid w:val="00414C56"/>
    <w:rsid w:val="00415BCF"/>
    <w:rsid w:val="0042175A"/>
    <w:rsid w:val="0042520E"/>
    <w:rsid w:val="004271A0"/>
    <w:rsid w:val="00427260"/>
    <w:rsid w:val="00433052"/>
    <w:rsid w:val="00434A62"/>
    <w:rsid w:val="00434F71"/>
    <w:rsid w:val="004354EF"/>
    <w:rsid w:val="0043636B"/>
    <w:rsid w:val="004375FA"/>
    <w:rsid w:val="0044009C"/>
    <w:rsid w:val="00440576"/>
    <w:rsid w:val="00443437"/>
    <w:rsid w:val="00444643"/>
    <w:rsid w:val="00445CDE"/>
    <w:rsid w:val="00450BF3"/>
    <w:rsid w:val="00452C63"/>
    <w:rsid w:val="00453322"/>
    <w:rsid w:val="00454255"/>
    <w:rsid w:val="0045466A"/>
    <w:rsid w:val="00457B45"/>
    <w:rsid w:val="00464B45"/>
    <w:rsid w:val="0047103B"/>
    <w:rsid w:val="004710A9"/>
    <w:rsid w:val="00477C5F"/>
    <w:rsid w:val="0048442F"/>
    <w:rsid w:val="00486ED6"/>
    <w:rsid w:val="004873BD"/>
    <w:rsid w:val="00490991"/>
    <w:rsid w:val="00490FF6"/>
    <w:rsid w:val="00492937"/>
    <w:rsid w:val="004A249D"/>
    <w:rsid w:val="004A4DFB"/>
    <w:rsid w:val="004A541E"/>
    <w:rsid w:val="004B20CB"/>
    <w:rsid w:val="004B5399"/>
    <w:rsid w:val="004B5B1E"/>
    <w:rsid w:val="004C5D4B"/>
    <w:rsid w:val="004D07CF"/>
    <w:rsid w:val="004D2F76"/>
    <w:rsid w:val="004D5980"/>
    <w:rsid w:val="004D5C1B"/>
    <w:rsid w:val="004E0665"/>
    <w:rsid w:val="004E4F08"/>
    <w:rsid w:val="004E6B90"/>
    <w:rsid w:val="004E7045"/>
    <w:rsid w:val="004F0F49"/>
    <w:rsid w:val="004F261E"/>
    <w:rsid w:val="004F4507"/>
    <w:rsid w:val="004F7E75"/>
    <w:rsid w:val="00502041"/>
    <w:rsid w:val="00504E8C"/>
    <w:rsid w:val="0050660A"/>
    <w:rsid w:val="00506BBC"/>
    <w:rsid w:val="005107E7"/>
    <w:rsid w:val="005127A6"/>
    <w:rsid w:val="00517167"/>
    <w:rsid w:val="00527EA3"/>
    <w:rsid w:val="0053405F"/>
    <w:rsid w:val="00541B96"/>
    <w:rsid w:val="005429D4"/>
    <w:rsid w:val="005441EE"/>
    <w:rsid w:val="005442DA"/>
    <w:rsid w:val="005506D2"/>
    <w:rsid w:val="00552A46"/>
    <w:rsid w:val="00553127"/>
    <w:rsid w:val="0055495D"/>
    <w:rsid w:val="00554B21"/>
    <w:rsid w:val="00555A71"/>
    <w:rsid w:val="0055718A"/>
    <w:rsid w:val="0056148C"/>
    <w:rsid w:val="0056355D"/>
    <w:rsid w:val="005656E5"/>
    <w:rsid w:val="00566D13"/>
    <w:rsid w:val="00570DC1"/>
    <w:rsid w:val="0057261A"/>
    <w:rsid w:val="00576527"/>
    <w:rsid w:val="005773E9"/>
    <w:rsid w:val="005801E7"/>
    <w:rsid w:val="00582EC8"/>
    <w:rsid w:val="0058575F"/>
    <w:rsid w:val="005857C5"/>
    <w:rsid w:val="00586A90"/>
    <w:rsid w:val="00586CEA"/>
    <w:rsid w:val="005918B0"/>
    <w:rsid w:val="00596DD8"/>
    <w:rsid w:val="00597409"/>
    <w:rsid w:val="005A1164"/>
    <w:rsid w:val="005B0739"/>
    <w:rsid w:val="005B1F02"/>
    <w:rsid w:val="005B5296"/>
    <w:rsid w:val="005B62C9"/>
    <w:rsid w:val="005B64AD"/>
    <w:rsid w:val="005B6C98"/>
    <w:rsid w:val="005C0B44"/>
    <w:rsid w:val="005C31C5"/>
    <w:rsid w:val="005C349C"/>
    <w:rsid w:val="005C6320"/>
    <w:rsid w:val="005D484B"/>
    <w:rsid w:val="005D5B59"/>
    <w:rsid w:val="005E0CC4"/>
    <w:rsid w:val="005E1927"/>
    <w:rsid w:val="005E247D"/>
    <w:rsid w:val="005E3852"/>
    <w:rsid w:val="005E4020"/>
    <w:rsid w:val="005E4FFE"/>
    <w:rsid w:val="005E7FF5"/>
    <w:rsid w:val="005F4C9A"/>
    <w:rsid w:val="005F555E"/>
    <w:rsid w:val="005F5FEF"/>
    <w:rsid w:val="005F6B71"/>
    <w:rsid w:val="005F714E"/>
    <w:rsid w:val="0061063D"/>
    <w:rsid w:val="006120A3"/>
    <w:rsid w:val="00615C1B"/>
    <w:rsid w:val="00615F0D"/>
    <w:rsid w:val="00616F38"/>
    <w:rsid w:val="0062455F"/>
    <w:rsid w:val="006266E5"/>
    <w:rsid w:val="00627362"/>
    <w:rsid w:val="00630BA3"/>
    <w:rsid w:val="00631E79"/>
    <w:rsid w:val="00632A47"/>
    <w:rsid w:val="0063303B"/>
    <w:rsid w:val="0063549D"/>
    <w:rsid w:val="00635DC2"/>
    <w:rsid w:val="00641ACB"/>
    <w:rsid w:val="00645AA0"/>
    <w:rsid w:val="00664267"/>
    <w:rsid w:val="00666465"/>
    <w:rsid w:val="00667B62"/>
    <w:rsid w:val="006709ED"/>
    <w:rsid w:val="00670D5D"/>
    <w:rsid w:val="00670DB1"/>
    <w:rsid w:val="006715F3"/>
    <w:rsid w:val="00673BCB"/>
    <w:rsid w:val="00675634"/>
    <w:rsid w:val="00681C88"/>
    <w:rsid w:val="00686FAE"/>
    <w:rsid w:val="006939A8"/>
    <w:rsid w:val="00695C9D"/>
    <w:rsid w:val="006A0917"/>
    <w:rsid w:val="006A214E"/>
    <w:rsid w:val="006A2303"/>
    <w:rsid w:val="006A6E5F"/>
    <w:rsid w:val="006A7221"/>
    <w:rsid w:val="006B11F8"/>
    <w:rsid w:val="006B309F"/>
    <w:rsid w:val="006B6C7E"/>
    <w:rsid w:val="006D47EF"/>
    <w:rsid w:val="006E1B2C"/>
    <w:rsid w:val="006E401D"/>
    <w:rsid w:val="006F2583"/>
    <w:rsid w:val="006F2B31"/>
    <w:rsid w:val="00703603"/>
    <w:rsid w:val="00717597"/>
    <w:rsid w:val="00721F7C"/>
    <w:rsid w:val="007253FB"/>
    <w:rsid w:val="00730311"/>
    <w:rsid w:val="00730FBF"/>
    <w:rsid w:val="00732FEA"/>
    <w:rsid w:val="007407BD"/>
    <w:rsid w:val="007431DD"/>
    <w:rsid w:val="0074645B"/>
    <w:rsid w:val="00747DFE"/>
    <w:rsid w:val="00750BAA"/>
    <w:rsid w:val="00750F44"/>
    <w:rsid w:val="007619B7"/>
    <w:rsid w:val="0076625E"/>
    <w:rsid w:val="007670EF"/>
    <w:rsid w:val="00771B89"/>
    <w:rsid w:val="00774E47"/>
    <w:rsid w:val="00775C1E"/>
    <w:rsid w:val="007762E7"/>
    <w:rsid w:val="00781AC7"/>
    <w:rsid w:val="0078208F"/>
    <w:rsid w:val="00785315"/>
    <w:rsid w:val="0078705F"/>
    <w:rsid w:val="00790B11"/>
    <w:rsid w:val="00791AAC"/>
    <w:rsid w:val="00792337"/>
    <w:rsid w:val="00793956"/>
    <w:rsid w:val="00795741"/>
    <w:rsid w:val="00796A1E"/>
    <w:rsid w:val="0079781C"/>
    <w:rsid w:val="007A2BC3"/>
    <w:rsid w:val="007A2CFA"/>
    <w:rsid w:val="007B122E"/>
    <w:rsid w:val="007B28D2"/>
    <w:rsid w:val="007B3A85"/>
    <w:rsid w:val="007B481E"/>
    <w:rsid w:val="007C5D25"/>
    <w:rsid w:val="007D213B"/>
    <w:rsid w:val="007D3410"/>
    <w:rsid w:val="007D4BA9"/>
    <w:rsid w:val="007D6BF6"/>
    <w:rsid w:val="007E0ECE"/>
    <w:rsid w:val="007E2521"/>
    <w:rsid w:val="007E5253"/>
    <w:rsid w:val="007E5430"/>
    <w:rsid w:val="007E7621"/>
    <w:rsid w:val="007F7D76"/>
    <w:rsid w:val="0081108C"/>
    <w:rsid w:val="0081434D"/>
    <w:rsid w:val="0081511C"/>
    <w:rsid w:val="0081592C"/>
    <w:rsid w:val="008160AC"/>
    <w:rsid w:val="00816493"/>
    <w:rsid w:val="00820930"/>
    <w:rsid w:val="0082359A"/>
    <w:rsid w:val="00831D0E"/>
    <w:rsid w:val="00831F80"/>
    <w:rsid w:val="00835714"/>
    <w:rsid w:val="00836FCF"/>
    <w:rsid w:val="0084190E"/>
    <w:rsid w:val="00841E28"/>
    <w:rsid w:val="008421CE"/>
    <w:rsid w:val="008427F8"/>
    <w:rsid w:val="00852537"/>
    <w:rsid w:val="00856877"/>
    <w:rsid w:val="00861A15"/>
    <w:rsid w:val="00864756"/>
    <w:rsid w:val="008656F3"/>
    <w:rsid w:val="00866FBC"/>
    <w:rsid w:val="008748B3"/>
    <w:rsid w:val="008916AA"/>
    <w:rsid w:val="00892B19"/>
    <w:rsid w:val="00892E27"/>
    <w:rsid w:val="00895006"/>
    <w:rsid w:val="00896F45"/>
    <w:rsid w:val="008A1034"/>
    <w:rsid w:val="008A1FE9"/>
    <w:rsid w:val="008B07DE"/>
    <w:rsid w:val="008B499C"/>
    <w:rsid w:val="008B5802"/>
    <w:rsid w:val="008B58A9"/>
    <w:rsid w:val="008C32A6"/>
    <w:rsid w:val="008D2232"/>
    <w:rsid w:val="008D4B00"/>
    <w:rsid w:val="008D525A"/>
    <w:rsid w:val="008D5E79"/>
    <w:rsid w:val="008D66EA"/>
    <w:rsid w:val="008E077C"/>
    <w:rsid w:val="008E2AA1"/>
    <w:rsid w:val="008E641F"/>
    <w:rsid w:val="008F7D15"/>
    <w:rsid w:val="00900592"/>
    <w:rsid w:val="0090581F"/>
    <w:rsid w:val="00906C12"/>
    <w:rsid w:val="00906CCC"/>
    <w:rsid w:val="00910F16"/>
    <w:rsid w:val="009117B4"/>
    <w:rsid w:val="0091342B"/>
    <w:rsid w:val="00920E8E"/>
    <w:rsid w:val="00921DD6"/>
    <w:rsid w:val="00930ED7"/>
    <w:rsid w:val="00936FB4"/>
    <w:rsid w:val="009406A8"/>
    <w:rsid w:val="00941FC2"/>
    <w:rsid w:val="00943CD3"/>
    <w:rsid w:val="009479FA"/>
    <w:rsid w:val="00953544"/>
    <w:rsid w:val="00956580"/>
    <w:rsid w:val="0096438F"/>
    <w:rsid w:val="00966EFE"/>
    <w:rsid w:val="00970FAE"/>
    <w:rsid w:val="00971306"/>
    <w:rsid w:val="00972907"/>
    <w:rsid w:val="009735B7"/>
    <w:rsid w:val="00977E28"/>
    <w:rsid w:val="00983AA2"/>
    <w:rsid w:val="00990E01"/>
    <w:rsid w:val="00990FC3"/>
    <w:rsid w:val="0099145C"/>
    <w:rsid w:val="00991E30"/>
    <w:rsid w:val="00993689"/>
    <w:rsid w:val="00993D73"/>
    <w:rsid w:val="009A1AFC"/>
    <w:rsid w:val="009A1BD1"/>
    <w:rsid w:val="009A48F8"/>
    <w:rsid w:val="009A6E22"/>
    <w:rsid w:val="009A77A7"/>
    <w:rsid w:val="009B19A1"/>
    <w:rsid w:val="009B4BB2"/>
    <w:rsid w:val="009B76F6"/>
    <w:rsid w:val="009B7E14"/>
    <w:rsid w:val="009C493D"/>
    <w:rsid w:val="009C517E"/>
    <w:rsid w:val="009C639F"/>
    <w:rsid w:val="009C6D9D"/>
    <w:rsid w:val="009D592C"/>
    <w:rsid w:val="009E214D"/>
    <w:rsid w:val="009E26DF"/>
    <w:rsid w:val="009E2AE7"/>
    <w:rsid w:val="009E3880"/>
    <w:rsid w:val="009E601E"/>
    <w:rsid w:val="009E769A"/>
    <w:rsid w:val="009F199C"/>
    <w:rsid w:val="009F3416"/>
    <w:rsid w:val="009F3B6B"/>
    <w:rsid w:val="009F73AA"/>
    <w:rsid w:val="009F7614"/>
    <w:rsid w:val="009F7F87"/>
    <w:rsid w:val="00A0208C"/>
    <w:rsid w:val="00A02132"/>
    <w:rsid w:val="00A04158"/>
    <w:rsid w:val="00A05C34"/>
    <w:rsid w:val="00A05D14"/>
    <w:rsid w:val="00A10DF1"/>
    <w:rsid w:val="00A117ED"/>
    <w:rsid w:val="00A118C7"/>
    <w:rsid w:val="00A138F3"/>
    <w:rsid w:val="00A148BB"/>
    <w:rsid w:val="00A14D33"/>
    <w:rsid w:val="00A2631A"/>
    <w:rsid w:val="00A267D4"/>
    <w:rsid w:val="00A26EC1"/>
    <w:rsid w:val="00A335BF"/>
    <w:rsid w:val="00A36746"/>
    <w:rsid w:val="00A36942"/>
    <w:rsid w:val="00A46E54"/>
    <w:rsid w:val="00A525B2"/>
    <w:rsid w:val="00A53071"/>
    <w:rsid w:val="00A546FC"/>
    <w:rsid w:val="00A55071"/>
    <w:rsid w:val="00A55ABE"/>
    <w:rsid w:val="00A60EE2"/>
    <w:rsid w:val="00A61092"/>
    <w:rsid w:val="00A615CD"/>
    <w:rsid w:val="00A67337"/>
    <w:rsid w:val="00A71A46"/>
    <w:rsid w:val="00A74DCB"/>
    <w:rsid w:val="00A8756A"/>
    <w:rsid w:val="00AA1C52"/>
    <w:rsid w:val="00AB0F81"/>
    <w:rsid w:val="00AB27D0"/>
    <w:rsid w:val="00AC29CD"/>
    <w:rsid w:val="00AC3DDF"/>
    <w:rsid w:val="00AC5A9A"/>
    <w:rsid w:val="00AC6BA8"/>
    <w:rsid w:val="00AD2A78"/>
    <w:rsid w:val="00AD2EA4"/>
    <w:rsid w:val="00AD6986"/>
    <w:rsid w:val="00AE0045"/>
    <w:rsid w:val="00AE1CFC"/>
    <w:rsid w:val="00AE2565"/>
    <w:rsid w:val="00AF1667"/>
    <w:rsid w:val="00AF24B5"/>
    <w:rsid w:val="00B002E3"/>
    <w:rsid w:val="00B0265C"/>
    <w:rsid w:val="00B026AE"/>
    <w:rsid w:val="00B04B1D"/>
    <w:rsid w:val="00B0551A"/>
    <w:rsid w:val="00B1113D"/>
    <w:rsid w:val="00B12E82"/>
    <w:rsid w:val="00B23DEE"/>
    <w:rsid w:val="00B251D5"/>
    <w:rsid w:val="00B31DD0"/>
    <w:rsid w:val="00B33E91"/>
    <w:rsid w:val="00B36394"/>
    <w:rsid w:val="00B42740"/>
    <w:rsid w:val="00B42CFE"/>
    <w:rsid w:val="00B43817"/>
    <w:rsid w:val="00B451C7"/>
    <w:rsid w:val="00B53B0E"/>
    <w:rsid w:val="00B54B07"/>
    <w:rsid w:val="00B5720E"/>
    <w:rsid w:val="00B62630"/>
    <w:rsid w:val="00B65785"/>
    <w:rsid w:val="00B67195"/>
    <w:rsid w:val="00B80515"/>
    <w:rsid w:val="00B871E4"/>
    <w:rsid w:val="00B87561"/>
    <w:rsid w:val="00B90C98"/>
    <w:rsid w:val="00B95E57"/>
    <w:rsid w:val="00B96F0F"/>
    <w:rsid w:val="00BA3DC6"/>
    <w:rsid w:val="00BA61EF"/>
    <w:rsid w:val="00BB02DC"/>
    <w:rsid w:val="00BB1D61"/>
    <w:rsid w:val="00BB247D"/>
    <w:rsid w:val="00BB326B"/>
    <w:rsid w:val="00BB4A05"/>
    <w:rsid w:val="00BC072C"/>
    <w:rsid w:val="00BC3D4D"/>
    <w:rsid w:val="00BD0090"/>
    <w:rsid w:val="00BD0629"/>
    <w:rsid w:val="00BD13CF"/>
    <w:rsid w:val="00BD5C78"/>
    <w:rsid w:val="00BE082B"/>
    <w:rsid w:val="00BE2B4B"/>
    <w:rsid w:val="00BE2BC7"/>
    <w:rsid w:val="00BE3EAE"/>
    <w:rsid w:val="00BE4402"/>
    <w:rsid w:val="00BE522C"/>
    <w:rsid w:val="00BE7FB1"/>
    <w:rsid w:val="00BF6D05"/>
    <w:rsid w:val="00BF79EA"/>
    <w:rsid w:val="00C02D56"/>
    <w:rsid w:val="00C16B8B"/>
    <w:rsid w:val="00C20487"/>
    <w:rsid w:val="00C23C33"/>
    <w:rsid w:val="00C23CCA"/>
    <w:rsid w:val="00C25111"/>
    <w:rsid w:val="00C25E22"/>
    <w:rsid w:val="00C32BCE"/>
    <w:rsid w:val="00C36DC5"/>
    <w:rsid w:val="00C371F5"/>
    <w:rsid w:val="00C43CCA"/>
    <w:rsid w:val="00C44525"/>
    <w:rsid w:val="00C4558F"/>
    <w:rsid w:val="00C4618F"/>
    <w:rsid w:val="00C4683F"/>
    <w:rsid w:val="00C5048E"/>
    <w:rsid w:val="00C51D0D"/>
    <w:rsid w:val="00C5461F"/>
    <w:rsid w:val="00C56FF6"/>
    <w:rsid w:val="00C61439"/>
    <w:rsid w:val="00C65972"/>
    <w:rsid w:val="00C66464"/>
    <w:rsid w:val="00C71FA9"/>
    <w:rsid w:val="00C73250"/>
    <w:rsid w:val="00C737F5"/>
    <w:rsid w:val="00C834E1"/>
    <w:rsid w:val="00C86844"/>
    <w:rsid w:val="00C9351C"/>
    <w:rsid w:val="00C9419B"/>
    <w:rsid w:val="00C94F0F"/>
    <w:rsid w:val="00CA1D81"/>
    <w:rsid w:val="00CA2C38"/>
    <w:rsid w:val="00CB0394"/>
    <w:rsid w:val="00CB7F9F"/>
    <w:rsid w:val="00CC08A5"/>
    <w:rsid w:val="00CC3017"/>
    <w:rsid w:val="00CC4EBF"/>
    <w:rsid w:val="00CC5FC1"/>
    <w:rsid w:val="00CC62FE"/>
    <w:rsid w:val="00CD38CC"/>
    <w:rsid w:val="00CD41B5"/>
    <w:rsid w:val="00CE016E"/>
    <w:rsid w:val="00CE1007"/>
    <w:rsid w:val="00CE174D"/>
    <w:rsid w:val="00CE21CE"/>
    <w:rsid w:val="00CE299E"/>
    <w:rsid w:val="00CE38A7"/>
    <w:rsid w:val="00CE410D"/>
    <w:rsid w:val="00CE64DE"/>
    <w:rsid w:val="00CF2913"/>
    <w:rsid w:val="00CF442A"/>
    <w:rsid w:val="00CF49E1"/>
    <w:rsid w:val="00CF517E"/>
    <w:rsid w:val="00CF6641"/>
    <w:rsid w:val="00D007BD"/>
    <w:rsid w:val="00D04936"/>
    <w:rsid w:val="00D120D6"/>
    <w:rsid w:val="00D12EE9"/>
    <w:rsid w:val="00D213D1"/>
    <w:rsid w:val="00D22B9D"/>
    <w:rsid w:val="00D308B7"/>
    <w:rsid w:val="00D31357"/>
    <w:rsid w:val="00D314EB"/>
    <w:rsid w:val="00D3655E"/>
    <w:rsid w:val="00D5003E"/>
    <w:rsid w:val="00D52210"/>
    <w:rsid w:val="00D5225C"/>
    <w:rsid w:val="00D52FD8"/>
    <w:rsid w:val="00D534F5"/>
    <w:rsid w:val="00D538D4"/>
    <w:rsid w:val="00D54A87"/>
    <w:rsid w:val="00D57190"/>
    <w:rsid w:val="00D57C56"/>
    <w:rsid w:val="00D6196D"/>
    <w:rsid w:val="00D63D90"/>
    <w:rsid w:val="00D704EB"/>
    <w:rsid w:val="00D73FEE"/>
    <w:rsid w:val="00D74EF2"/>
    <w:rsid w:val="00D76EFA"/>
    <w:rsid w:val="00D772C1"/>
    <w:rsid w:val="00D8064C"/>
    <w:rsid w:val="00D80AD1"/>
    <w:rsid w:val="00D81B72"/>
    <w:rsid w:val="00D909C9"/>
    <w:rsid w:val="00D9782B"/>
    <w:rsid w:val="00DA30FE"/>
    <w:rsid w:val="00DA7359"/>
    <w:rsid w:val="00DA77A6"/>
    <w:rsid w:val="00DC1CF1"/>
    <w:rsid w:val="00DC60D8"/>
    <w:rsid w:val="00DC6A98"/>
    <w:rsid w:val="00DD6289"/>
    <w:rsid w:val="00DD6C17"/>
    <w:rsid w:val="00DE0562"/>
    <w:rsid w:val="00DE08BD"/>
    <w:rsid w:val="00DE4354"/>
    <w:rsid w:val="00E01346"/>
    <w:rsid w:val="00E07470"/>
    <w:rsid w:val="00E10436"/>
    <w:rsid w:val="00E11BEB"/>
    <w:rsid w:val="00E17DC8"/>
    <w:rsid w:val="00E20EFF"/>
    <w:rsid w:val="00E30114"/>
    <w:rsid w:val="00E3237C"/>
    <w:rsid w:val="00E33618"/>
    <w:rsid w:val="00E35932"/>
    <w:rsid w:val="00E35C82"/>
    <w:rsid w:val="00E369BA"/>
    <w:rsid w:val="00E37D2E"/>
    <w:rsid w:val="00E430EB"/>
    <w:rsid w:val="00E46105"/>
    <w:rsid w:val="00E46C58"/>
    <w:rsid w:val="00E4793D"/>
    <w:rsid w:val="00E64B63"/>
    <w:rsid w:val="00E66A11"/>
    <w:rsid w:val="00E70026"/>
    <w:rsid w:val="00E7778E"/>
    <w:rsid w:val="00E77F36"/>
    <w:rsid w:val="00E97A93"/>
    <w:rsid w:val="00EA07E1"/>
    <w:rsid w:val="00EA3522"/>
    <w:rsid w:val="00EA4AA2"/>
    <w:rsid w:val="00EA52EB"/>
    <w:rsid w:val="00EA74DA"/>
    <w:rsid w:val="00EA750E"/>
    <w:rsid w:val="00EA786C"/>
    <w:rsid w:val="00EA7AD0"/>
    <w:rsid w:val="00EB03ED"/>
    <w:rsid w:val="00EB0CEE"/>
    <w:rsid w:val="00EC6E53"/>
    <w:rsid w:val="00EC6F3D"/>
    <w:rsid w:val="00ED1395"/>
    <w:rsid w:val="00ED158A"/>
    <w:rsid w:val="00ED222F"/>
    <w:rsid w:val="00ED2B13"/>
    <w:rsid w:val="00ED4908"/>
    <w:rsid w:val="00ED4CD5"/>
    <w:rsid w:val="00ED7FB6"/>
    <w:rsid w:val="00EE61B0"/>
    <w:rsid w:val="00EF1F87"/>
    <w:rsid w:val="00EF3E57"/>
    <w:rsid w:val="00EF42E2"/>
    <w:rsid w:val="00EF5143"/>
    <w:rsid w:val="00F00BED"/>
    <w:rsid w:val="00F0250A"/>
    <w:rsid w:val="00F03860"/>
    <w:rsid w:val="00F04E46"/>
    <w:rsid w:val="00F13C59"/>
    <w:rsid w:val="00F1649D"/>
    <w:rsid w:val="00F2180C"/>
    <w:rsid w:val="00F221A7"/>
    <w:rsid w:val="00F2306D"/>
    <w:rsid w:val="00F253FE"/>
    <w:rsid w:val="00F30803"/>
    <w:rsid w:val="00F31BA0"/>
    <w:rsid w:val="00F31E67"/>
    <w:rsid w:val="00F34BEC"/>
    <w:rsid w:val="00F35238"/>
    <w:rsid w:val="00F35655"/>
    <w:rsid w:val="00F40ECD"/>
    <w:rsid w:val="00F40F13"/>
    <w:rsid w:val="00F44328"/>
    <w:rsid w:val="00F51C01"/>
    <w:rsid w:val="00F52F7F"/>
    <w:rsid w:val="00F53EAB"/>
    <w:rsid w:val="00F54426"/>
    <w:rsid w:val="00F5633C"/>
    <w:rsid w:val="00F60F9A"/>
    <w:rsid w:val="00F62559"/>
    <w:rsid w:val="00F65303"/>
    <w:rsid w:val="00F67FC0"/>
    <w:rsid w:val="00F72279"/>
    <w:rsid w:val="00F74A48"/>
    <w:rsid w:val="00F74ABC"/>
    <w:rsid w:val="00F76BA2"/>
    <w:rsid w:val="00F76C58"/>
    <w:rsid w:val="00FA44EA"/>
    <w:rsid w:val="00FA4A7A"/>
    <w:rsid w:val="00FA6BA0"/>
    <w:rsid w:val="00FB1647"/>
    <w:rsid w:val="00FB2A57"/>
    <w:rsid w:val="00FC049F"/>
    <w:rsid w:val="00FC05B6"/>
    <w:rsid w:val="00FC1E36"/>
    <w:rsid w:val="00FC5D1F"/>
    <w:rsid w:val="00FC62C4"/>
    <w:rsid w:val="00FC7904"/>
    <w:rsid w:val="00FD2A8E"/>
    <w:rsid w:val="00FD7127"/>
    <w:rsid w:val="00FE0DB2"/>
    <w:rsid w:val="00FF1584"/>
    <w:rsid w:val="00FF1748"/>
    <w:rsid w:val="00FF311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egrouptable v:ext="edit">
        <o:entry new="1" old="0"/>
      </o:regrouptable>
    </o:shapelayout>
  </w:shapeDefaults>
  <w:decimalSymbol w:val=","/>
  <w:listSeparator w:val=";"/>
  <w14:docId w14:val="00093DB6"/>
  <w15:docId w15:val="{999B69AE-6E86-49B4-863A-AD6B8161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E1927"/>
    <w:pPr>
      <w:spacing w:after="200" w:line="276" w:lineRule="auto"/>
    </w:pPr>
    <w:rPr>
      <w:sz w:val="22"/>
      <w:szCs w:val="22"/>
      <w:lang w:eastAsia="en-US"/>
    </w:rPr>
  </w:style>
  <w:style w:type="paragraph" w:styleId="Titre1">
    <w:name w:val="heading 1"/>
    <w:basedOn w:val="Normal"/>
    <w:next w:val="Normal"/>
    <w:link w:val="Titre1Car"/>
    <w:uiPriority w:val="9"/>
    <w:qFormat/>
    <w:rsid w:val="00BA3DC6"/>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BA3DC6"/>
    <w:pPr>
      <w:keepNext/>
      <w:keepLines/>
      <w:spacing w:before="200" w:after="0" w:line="240" w:lineRule="auto"/>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BA3DC6"/>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
    <w:unhideWhenUsed/>
    <w:qFormat/>
    <w:rsid w:val="00BA3DC6"/>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qFormat/>
    <w:rsid w:val="006A214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BA3DC6"/>
    <w:rPr>
      <w:rFonts w:ascii="Cambria" w:eastAsia="Times New Roman" w:hAnsi="Cambria" w:cs="Times New Roman"/>
      <w:b/>
      <w:bCs/>
      <w:color w:val="365F91"/>
      <w:sz w:val="28"/>
      <w:szCs w:val="28"/>
    </w:rPr>
  </w:style>
  <w:style w:type="character" w:customStyle="1" w:styleId="Titre2Car">
    <w:name w:val="Titre 2 Car"/>
    <w:link w:val="Titre2"/>
    <w:uiPriority w:val="9"/>
    <w:rsid w:val="00BA3DC6"/>
    <w:rPr>
      <w:rFonts w:ascii="Cambria" w:eastAsia="Times New Roman" w:hAnsi="Cambria" w:cs="Times New Roman"/>
      <w:b/>
      <w:bCs/>
      <w:color w:val="4F81BD"/>
      <w:sz w:val="26"/>
      <w:szCs w:val="26"/>
    </w:rPr>
  </w:style>
  <w:style w:type="character" w:customStyle="1" w:styleId="Titre3Car">
    <w:name w:val="Titre 3 Car"/>
    <w:link w:val="Titre3"/>
    <w:uiPriority w:val="9"/>
    <w:rsid w:val="00BA3DC6"/>
    <w:rPr>
      <w:rFonts w:ascii="Cambria" w:eastAsia="Times New Roman" w:hAnsi="Cambria" w:cs="Times New Roman"/>
      <w:b/>
      <w:bCs/>
      <w:color w:val="4F81BD"/>
    </w:rPr>
  </w:style>
  <w:style w:type="character" w:customStyle="1" w:styleId="Titre4Car">
    <w:name w:val="Titre 4 Car"/>
    <w:link w:val="Titre4"/>
    <w:uiPriority w:val="9"/>
    <w:rsid w:val="00BA3DC6"/>
    <w:rPr>
      <w:rFonts w:ascii="Cambria" w:eastAsia="Times New Roman" w:hAnsi="Cambria" w:cs="Times New Roman"/>
      <w:b/>
      <w:bCs/>
      <w:i/>
      <w:iCs/>
      <w:color w:val="4F81BD"/>
    </w:rPr>
  </w:style>
  <w:style w:type="paragraph" w:styleId="Corpsdetexte">
    <w:name w:val="Body Text"/>
    <w:basedOn w:val="Normal"/>
    <w:link w:val="CorpsdetexteCar"/>
    <w:rsid w:val="00BA3DC6"/>
    <w:pPr>
      <w:spacing w:after="0" w:line="240" w:lineRule="auto"/>
      <w:jc w:val="both"/>
    </w:pPr>
    <w:rPr>
      <w:rFonts w:ascii="Times New Roman" w:eastAsia="Times New Roman" w:hAnsi="Times New Roman"/>
      <w:sz w:val="24"/>
      <w:szCs w:val="24"/>
      <w:lang w:eastAsia="fr-FR"/>
    </w:rPr>
  </w:style>
  <w:style w:type="character" w:customStyle="1" w:styleId="CorpsdetexteCar">
    <w:name w:val="Corps de texte Car"/>
    <w:link w:val="Corpsdetexte"/>
    <w:rsid w:val="00BA3DC6"/>
    <w:rPr>
      <w:rFonts w:ascii="Times New Roman" w:eastAsia="Times New Roman" w:hAnsi="Times New Roman" w:cs="Times New Roman"/>
      <w:sz w:val="24"/>
      <w:szCs w:val="24"/>
      <w:lang w:eastAsia="fr-FR"/>
    </w:rPr>
  </w:style>
  <w:style w:type="table" w:styleId="Trameclaire-Accent4">
    <w:name w:val="Light Shading Accent 4"/>
    <w:basedOn w:val="TableauNormal"/>
    <w:uiPriority w:val="60"/>
    <w:rsid w:val="00BA3DC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tedebasdepage">
    <w:name w:val="footnote text"/>
    <w:aliases w:val="Footnote Text Char2,Footnote Text Char1 Char,Footnote Text Char,Footnote Text Char Char Char1,Footnote Text Char1 Char Char Char1,Footnote Text Char1 Char1 Char,Footnote Text Char Char Char Char,fn,single space,ALTS FOOTNOTE,Car Car"/>
    <w:basedOn w:val="Normal"/>
    <w:link w:val="NotedebasdepageCar"/>
    <w:uiPriority w:val="99"/>
    <w:unhideWhenUsed/>
    <w:rsid w:val="00BA3DC6"/>
    <w:pPr>
      <w:spacing w:after="0" w:line="240" w:lineRule="auto"/>
    </w:pPr>
    <w:rPr>
      <w:rFonts w:ascii="Times New Roman" w:hAnsi="Times New Roman"/>
      <w:sz w:val="20"/>
      <w:szCs w:val="20"/>
    </w:rPr>
  </w:style>
  <w:style w:type="character" w:customStyle="1" w:styleId="NotedebasdepageCar">
    <w:name w:val="Note de bas de page Car"/>
    <w:aliases w:val="Footnote Text Char2 Car,Footnote Text Char1 Char Car,Footnote Text Char Car,Footnote Text Char Char Char1 Car,Footnote Text Char1 Char Char Char1 Car,Footnote Text Char1 Char1 Char Car,Footnote Text Char Char Char Char Car,fn Car"/>
    <w:link w:val="Notedebasdepage"/>
    <w:uiPriority w:val="99"/>
    <w:rsid w:val="00BA3DC6"/>
    <w:rPr>
      <w:rFonts w:ascii="Times New Roman" w:eastAsia="Calibri" w:hAnsi="Times New Roman" w:cs="Times New Roman"/>
      <w:sz w:val="20"/>
      <w:szCs w:val="20"/>
    </w:rPr>
  </w:style>
  <w:style w:type="character" w:styleId="Appelnotedebasdep">
    <w:name w:val="footnote reference"/>
    <w:aliases w:val="ftref,note bp,Footnotes refss,Footnote Reference1,16 Point,Superscript 6 Point,BVI fnr,Char Char,Carattere Char1,Carattere Char Char Carattere Carattere Char Char,Error-Fußnotenzeichen5,Error-Fußnotenzeichen6"/>
    <w:uiPriority w:val="99"/>
    <w:unhideWhenUsed/>
    <w:rsid w:val="00BA3DC6"/>
    <w:rPr>
      <w:vertAlign w:val="superscript"/>
    </w:rPr>
  </w:style>
  <w:style w:type="paragraph" w:styleId="Paragraphedeliste">
    <w:name w:val="List Paragraph"/>
    <w:aliases w:val="References,Paragraphe de liste1,List Paragraph1,Bullets,Table/Figure Heading,Style 3"/>
    <w:basedOn w:val="Normal"/>
    <w:link w:val="ParagraphedelisteCar"/>
    <w:uiPriority w:val="34"/>
    <w:qFormat/>
    <w:rsid w:val="00BA3DC6"/>
    <w:pPr>
      <w:ind w:left="720"/>
      <w:contextualSpacing/>
    </w:pPr>
  </w:style>
  <w:style w:type="character" w:customStyle="1" w:styleId="ParagraphedelisteCar">
    <w:name w:val="Paragraphe de liste Car"/>
    <w:aliases w:val="References Car,Paragraphe de liste1 Car,List Paragraph1 Car,Bullets Car,Table/Figure Heading Car,Style 3 Car"/>
    <w:link w:val="Paragraphedeliste"/>
    <w:uiPriority w:val="34"/>
    <w:locked/>
    <w:rsid w:val="00BA3DC6"/>
    <w:rPr>
      <w:rFonts w:ascii="Calibri" w:eastAsia="Calibri" w:hAnsi="Calibri" w:cs="Times New Roman"/>
    </w:rPr>
  </w:style>
  <w:style w:type="paragraph" w:styleId="Textedebulles">
    <w:name w:val="Balloon Text"/>
    <w:basedOn w:val="Normal"/>
    <w:link w:val="TextedebullesCar"/>
    <w:uiPriority w:val="99"/>
    <w:semiHidden/>
    <w:unhideWhenUsed/>
    <w:rsid w:val="00BA3DC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A3DC6"/>
    <w:rPr>
      <w:rFonts w:ascii="Tahoma" w:eastAsia="Calibri" w:hAnsi="Tahoma" w:cs="Tahoma"/>
      <w:sz w:val="16"/>
      <w:szCs w:val="16"/>
    </w:rPr>
  </w:style>
  <w:style w:type="paragraph" w:styleId="Textebrut">
    <w:name w:val="Plain Text"/>
    <w:basedOn w:val="Normal"/>
    <w:link w:val="TextebrutCar"/>
    <w:rsid w:val="00BA3DC6"/>
    <w:pPr>
      <w:spacing w:after="0" w:line="240" w:lineRule="auto"/>
    </w:pPr>
    <w:rPr>
      <w:rFonts w:ascii="Courier New" w:eastAsia="Times New Roman" w:hAnsi="Courier New"/>
      <w:sz w:val="20"/>
      <w:szCs w:val="20"/>
    </w:rPr>
  </w:style>
  <w:style w:type="character" w:customStyle="1" w:styleId="TextebrutCar">
    <w:name w:val="Texte brut Car"/>
    <w:link w:val="Textebrut"/>
    <w:rsid w:val="00BA3DC6"/>
    <w:rPr>
      <w:rFonts w:ascii="Courier New" w:eastAsia="Times New Roman" w:hAnsi="Courier New" w:cs="Times New Roman"/>
      <w:sz w:val="20"/>
      <w:szCs w:val="20"/>
    </w:rPr>
  </w:style>
  <w:style w:type="paragraph" w:customStyle="1" w:styleId="Default">
    <w:name w:val="Default"/>
    <w:rsid w:val="00BA3DC6"/>
    <w:pPr>
      <w:autoSpaceDE w:val="0"/>
      <w:autoSpaceDN w:val="0"/>
      <w:adjustRightInd w:val="0"/>
    </w:pPr>
    <w:rPr>
      <w:rFonts w:ascii="Arial" w:hAnsi="Arial" w:cs="Arial"/>
      <w:b/>
      <w:color w:val="000000"/>
      <w:sz w:val="24"/>
      <w:szCs w:val="24"/>
      <w:lang w:eastAsia="en-US"/>
    </w:rPr>
  </w:style>
  <w:style w:type="table" w:styleId="Grilledutableau">
    <w:name w:val="Table Grid"/>
    <w:basedOn w:val="TableauNormal"/>
    <w:uiPriority w:val="59"/>
    <w:rsid w:val="00BA3DC6"/>
    <w:rPr>
      <w:rFonts w:ascii="Garamond" w:hAnsi="Garamond"/>
      <w:b/>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BA3DC6"/>
    <w:rPr>
      <w:color w:val="0000FF"/>
      <w:u w:val="single"/>
    </w:rPr>
  </w:style>
  <w:style w:type="paragraph" w:styleId="En-ttedetabledesmatires">
    <w:name w:val="TOC Heading"/>
    <w:basedOn w:val="Titre1"/>
    <w:next w:val="Normal"/>
    <w:uiPriority w:val="39"/>
    <w:semiHidden/>
    <w:unhideWhenUsed/>
    <w:qFormat/>
    <w:rsid w:val="00BA3DC6"/>
    <w:pPr>
      <w:outlineLvl w:val="9"/>
    </w:pPr>
  </w:style>
  <w:style w:type="paragraph" w:styleId="TM1">
    <w:name w:val="toc 1"/>
    <w:basedOn w:val="Normal"/>
    <w:next w:val="Normal"/>
    <w:autoRedefine/>
    <w:uiPriority w:val="39"/>
    <w:unhideWhenUsed/>
    <w:qFormat/>
    <w:rsid w:val="00BA3DC6"/>
    <w:pPr>
      <w:spacing w:after="100"/>
    </w:pPr>
  </w:style>
  <w:style w:type="paragraph" w:styleId="TM2">
    <w:name w:val="toc 2"/>
    <w:basedOn w:val="Normal"/>
    <w:next w:val="Normal"/>
    <w:autoRedefine/>
    <w:uiPriority w:val="39"/>
    <w:unhideWhenUsed/>
    <w:qFormat/>
    <w:rsid w:val="00BA3DC6"/>
    <w:pPr>
      <w:spacing w:after="100"/>
      <w:ind w:left="220"/>
    </w:pPr>
  </w:style>
  <w:style w:type="paragraph" w:styleId="TM3">
    <w:name w:val="toc 3"/>
    <w:basedOn w:val="Normal"/>
    <w:next w:val="Normal"/>
    <w:autoRedefine/>
    <w:uiPriority w:val="39"/>
    <w:unhideWhenUsed/>
    <w:qFormat/>
    <w:rsid w:val="00BA3DC6"/>
    <w:pPr>
      <w:tabs>
        <w:tab w:val="left" w:pos="880"/>
        <w:tab w:val="right" w:leader="dot" w:pos="9060"/>
      </w:tabs>
      <w:spacing w:after="100"/>
      <w:ind w:left="220"/>
    </w:pPr>
  </w:style>
  <w:style w:type="paragraph" w:styleId="En-tte">
    <w:name w:val="header"/>
    <w:basedOn w:val="Normal"/>
    <w:link w:val="En-tteCar"/>
    <w:uiPriority w:val="99"/>
    <w:unhideWhenUsed/>
    <w:rsid w:val="00BA3DC6"/>
    <w:pPr>
      <w:tabs>
        <w:tab w:val="center" w:pos="4536"/>
        <w:tab w:val="right" w:pos="9072"/>
      </w:tabs>
      <w:spacing w:after="0" w:line="240" w:lineRule="auto"/>
    </w:pPr>
  </w:style>
  <w:style w:type="character" w:customStyle="1" w:styleId="En-tteCar">
    <w:name w:val="En-tête Car"/>
    <w:link w:val="En-tte"/>
    <w:uiPriority w:val="99"/>
    <w:rsid w:val="00BA3DC6"/>
    <w:rPr>
      <w:rFonts w:ascii="Calibri" w:eastAsia="Calibri" w:hAnsi="Calibri" w:cs="Times New Roman"/>
    </w:rPr>
  </w:style>
  <w:style w:type="paragraph" w:styleId="Pieddepage">
    <w:name w:val="footer"/>
    <w:basedOn w:val="Normal"/>
    <w:link w:val="PieddepageCar"/>
    <w:uiPriority w:val="99"/>
    <w:unhideWhenUsed/>
    <w:rsid w:val="00BA3DC6"/>
    <w:pPr>
      <w:tabs>
        <w:tab w:val="center" w:pos="4536"/>
        <w:tab w:val="right" w:pos="9072"/>
      </w:tabs>
      <w:spacing w:after="0" w:line="240" w:lineRule="auto"/>
    </w:pPr>
  </w:style>
  <w:style w:type="character" w:customStyle="1" w:styleId="PieddepageCar">
    <w:name w:val="Pied de page Car"/>
    <w:link w:val="Pieddepage"/>
    <w:uiPriority w:val="99"/>
    <w:rsid w:val="00BA3DC6"/>
    <w:rPr>
      <w:rFonts w:ascii="Calibri" w:eastAsia="Calibri" w:hAnsi="Calibri" w:cs="Times New Roman"/>
    </w:rPr>
  </w:style>
  <w:style w:type="paragraph" w:styleId="Commentaire">
    <w:name w:val="annotation text"/>
    <w:basedOn w:val="Normal"/>
    <w:link w:val="CommentaireCar"/>
    <w:uiPriority w:val="99"/>
    <w:unhideWhenUsed/>
    <w:rsid w:val="00BA3DC6"/>
    <w:pPr>
      <w:spacing w:after="0" w:line="240" w:lineRule="auto"/>
    </w:pPr>
    <w:rPr>
      <w:rFonts w:ascii="Times New Roman" w:hAnsi="Times New Roman"/>
      <w:sz w:val="20"/>
      <w:szCs w:val="20"/>
    </w:rPr>
  </w:style>
  <w:style w:type="character" w:customStyle="1" w:styleId="CommentaireCar">
    <w:name w:val="Commentaire Car"/>
    <w:link w:val="Commentaire"/>
    <w:uiPriority w:val="99"/>
    <w:rsid w:val="00BA3DC6"/>
    <w:rPr>
      <w:rFonts w:ascii="Times New Roman" w:eastAsia="Calibri" w:hAnsi="Times New Roman" w:cs="Times New Roman"/>
      <w:sz w:val="20"/>
      <w:szCs w:val="20"/>
    </w:rPr>
  </w:style>
  <w:style w:type="paragraph" w:styleId="Corpsdetexte2">
    <w:name w:val="Body Text 2"/>
    <w:basedOn w:val="Normal"/>
    <w:link w:val="Corpsdetexte2Car"/>
    <w:rsid w:val="00BA3DC6"/>
    <w:pPr>
      <w:spacing w:after="120" w:line="480" w:lineRule="auto"/>
    </w:pPr>
    <w:rPr>
      <w:rFonts w:ascii="Times New Roman" w:eastAsia="Times New Roman" w:hAnsi="Times New Roman"/>
      <w:sz w:val="24"/>
      <w:szCs w:val="24"/>
      <w:lang w:val="en-US"/>
    </w:rPr>
  </w:style>
  <w:style w:type="character" w:customStyle="1" w:styleId="Corpsdetexte2Car">
    <w:name w:val="Corps de texte 2 Car"/>
    <w:link w:val="Corpsdetexte2"/>
    <w:rsid w:val="00BA3DC6"/>
    <w:rPr>
      <w:rFonts w:ascii="Times New Roman" w:eastAsia="Times New Roman" w:hAnsi="Times New Roman" w:cs="Times New Roman"/>
      <w:sz w:val="24"/>
      <w:szCs w:val="24"/>
      <w:lang w:val="en-US"/>
    </w:rPr>
  </w:style>
  <w:style w:type="paragraph" w:styleId="Notedefin">
    <w:name w:val="endnote text"/>
    <w:basedOn w:val="Normal"/>
    <w:link w:val="NotedefinCar"/>
    <w:uiPriority w:val="99"/>
    <w:semiHidden/>
    <w:unhideWhenUsed/>
    <w:rsid w:val="00BA3DC6"/>
    <w:pPr>
      <w:spacing w:after="0" w:line="240" w:lineRule="auto"/>
    </w:pPr>
    <w:rPr>
      <w:sz w:val="20"/>
      <w:szCs w:val="20"/>
    </w:rPr>
  </w:style>
  <w:style w:type="character" w:customStyle="1" w:styleId="NotedefinCar">
    <w:name w:val="Note de fin Car"/>
    <w:link w:val="Notedefin"/>
    <w:uiPriority w:val="99"/>
    <w:semiHidden/>
    <w:rsid w:val="00BA3DC6"/>
    <w:rPr>
      <w:rFonts w:ascii="Calibri" w:eastAsia="Calibri" w:hAnsi="Calibri" w:cs="Times New Roman"/>
      <w:sz w:val="20"/>
      <w:szCs w:val="20"/>
    </w:rPr>
  </w:style>
  <w:style w:type="character" w:styleId="Appeldenotedefin">
    <w:name w:val="endnote reference"/>
    <w:rsid w:val="00BA3DC6"/>
    <w:rPr>
      <w:vertAlign w:val="superscript"/>
    </w:rPr>
  </w:style>
  <w:style w:type="paragraph" w:styleId="Corpsdetexte3">
    <w:name w:val="Body Text 3"/>
    <w:basedOn w:val="Normal"/>
    <w:link w:val="Corpsdetexte3Car"/>
    <w:uiPriority w:val="99"/>
    <w:unhideWhenUsed/>
    <w:rsid w:val="00BA3DC6"/>
    <w:pPr>
      <w:spacing w:after="120" w:line="240" w:lineRule="auto"/>
    </w:pPr>
    <w:rPr>
      <w:rFonts w:ascii="Times New Roman" w:hAnsi="Times New Roman"/>
      <w:sz w:val="16"/>
      <w:szCs w:val="16"/>
      <w:lang w:val="en-CA"/>
    </w:rPr>
  </w:style>
  <w:style w:type="character" w:customStyle="1" w:styleId="Corpsdetexte3Car">
    <w:name w:val="Corps de texte 3 Car"/>
    <w:link w:val="Corpsdetexte3"/>
    <w:uiPriority w:val="99"/>
    <w:rsid w:val="00BA3DC6"/>
    <w:rPr>
      <w:rFonts w:ascii="Times New Roman" w:eastAsia="Calibri" w:hAnsi="Times New Roman" w:cs="Times New Roman"/>
      <w:sz w:val="16"/>
      <w:szCs w:val="16"/>
      <w:lang w:val="en-CA"/>
    </w:rPr>
  </w:style>
  <w:style w:type="character" w:customStyle="1" w:styleId="Listecouleur-Accent1Car">
    <w:name w:val="Liste couleur - Accent 1 Car"/>
    <w:link w:val="Listecouleur-Accent11"/>
    <w:uiPriority w:val="34"/>
    <w:locked/>
    <w:rsid w:val="00BA3DC6"/>
    <w:rPr>
      <w:sz w:val="24"/>
      <w:szCs w:val="24"/>
      <w:lang w:val="en-US"/>
    </w:rPr>
  </w:style>
  <w:style w:type="paragraph" w:customStyle="1" w:styleId="Listecouleur-Accent11">
    <w:name w:val="Liste couleur - Accent 11"/>
    <w:basedOn w:val="Normal"/>
    <w:link w:val="Listecouleur-Accent1Car"/>
    <w:uiPriority w:val="34"/>
    <w:qFormat/>
    <w:rsid w:val="00BA3DC6"/>
    <w:pPr>
      <w:spacing w:after="0" w:line="240" w:lineRule="auto"/>
      <w:ind w:left="720"/>
      <w:contextualSpacing/>
    </w:pPr>
    <w:rPr>
      <w:sz w:val="24"/>
      <w:szCs w:val="24"/>
      <w:lang w:val="en-US"/>
    </w:rPr>
  </w:style>
  <w:style w:type="character" w:customStyle="1" w:styleId="hps">
    <w:name w:val="hps"/>
    <w:rsid w:val="00BA3DC6"/>
  </w:style>
  <w:style w:type="paragraph" w:styleId="NormalWeb">
    <w:name w:val="Normal (Web)"/>
    <w:basedOn w:val="Normal"/>
    <w:uiPriority w:val="99"/>
    <w:unhideWhenUsed/>
    <w:rsid w:val="00BA3DC6"/>
    <w:pPr>
      <w:spacing w:after="0" w:line="240" w:lineRule="auto"/>
    </w:pPr>
    <w:rPr>
      <w:rFonts w:ascii="Times New Roman" w:hAnsi="Times New Roman"/>
      <w:sz w:val="24"/>
      <w:szCs w:val="24"/>
      <w:lang w:eastAsia="fr-FR"/>
    </w:rPr>
  </w:style>
  <w:style w:type="paragraph" w:customStyle="1" w:styleId="Sansinterligne1">
    <w:name w:val="Sans interligne1"/>
    <w:qFormat/>
    <w:rsid w:val="00BA3DC6"/>
    <w:rPr>
      <w:rFonts w:ascii="Times New Roman" w:hAnsi="Times New Roman"/>
      <w:sz w:val="24"/>
      <w:szCs w:val="22"/>
      <w:lang w:val="en-GB" w:eastAsia="en-US"/>
    </w:rPr>
  </w:style>
  <w:style w:type="character" w:customStyle="1" w:styleId="A11">
    <w:name w:val="A11"/>
    <w:uiPriority w:val="99"/>
    <w:rsid w:val="00BA3DC6"/>
    <w:rPr>
      <w:rFonts w:cs="Myriad Pro"/>
      <w:color w:val="000000"/>
      <w:sz w:val="18"/>
      <w:szCs w:val="18"/>
    </w:rPr>
  </w:style>
  <w:style w:type="character" w:customStyle="1" w:styleId="A10">
    <w:name w:val="A10"/>
    <w:uiPriority w:val="99"/>
    <w:rsid w:val="00BA3DC6"/>
    <w:rPr>
      <w:rFonts w:cs="Myriad Pro"/>
      <w:color w:val="000000"/>
      <w:sz w:val="12"/>
      <w:szCs w:val="12"/>
    </w:rPr>
  </w:style>
  <w:style w:type="paragraph" w:customStyle="1" w:styleId="Normalcover">
    <w:name w:val="Normal cover"/>
    <w:basedOn w:val="Normal"/>
    <w:rsid w:val="00BA3DC6"/>
    <w:pPr>
      <w:widowControl w:val="0"/>
      <w:autoSpaceDE w:val="0"/>
      <w:autoSpaceDN w:val="0"/>
      <w:spacing w:after="0" w:line="240" w:lineRule="auto"/>
      <w:jc w:val="both"/>
    </w:pPr>
    <w:rPr>
      <w:rFonts w:ascii="Times New Roman" w:eastAsia="Times New Roman" w:hAnsi="Times New Roman"/>
      <w:sz w:val="24"/>
      <w:szCs w:val="20"/>
      <w:lang w:val="en-US"/>
    </w:rPr>
  </w:style>
  <w:style w:type="paragraph" w:styleId="Retraitcorpsdetexte">
    <w:name w:val="Body Text Indent"/>
    <w:basedOn w:val="Normal"/>
    <w:link w:val="RetraitcorpsdetexteCar"/>
    <w:uiPriority w:val="99"/>
    <w:semiHidden/>
    <w:unhideWhenUsed/>
    <w:rsid w:val="00BA3DC6"/>
    <w:pPr>
      <w:spacing w:after="120"/>
      <w:ind w:left="283"/>
    </w:pPr>
  </w:style>
  <w:style w:type="character" w:customStyle="1" w:styleId="RetraitcorpsdetexteCar">
    <w:name w:val="Retrait corps de texte Car"/>
    <w:link w:val="Retraitcorpsdetexte"/>
    <w:uiPriority w:val="99"/>
    <w:semiHidden/>
    <w:rsid w:val="00BA3DC6"/>
    <w:rPr>
      <w:rFonts w:ascii="Calibri" w:eastAsia="Calibri" w:hAnsi="Calibri" w:cs="Times New Roman"/>
    </w:rPr>
  </w:style>
  <w:style w:type="character" w:customStyle="1" w:styleId="apple-converted-space">
    <w:name w:val="apple-converted-space"/>
    <w:rsid w:val="00490FF6"/>
  </w:style>
  <w:style w:type="character" w:styleId="Accentuation">
    <w:name w:val="Emphasis"/>
    <w:uiPriority w:val="20"/>
    <w:qFormat/>
    <w:rsid w:val="00490FF6"/>
    <w:rPr>
      <w:i/>
      <w:iCs/>
    </w:rPr>
  </w:style>
  <w:style w:type="character" w:styleId="Marquedecommentaire">
    <w:name w:val="annotation reference"/>
    <w:uiPriority w:val="99"/>
    <w:semiHidden/>
    <w:unhideWhenUsed/>
    <w:rsid w:val="00152F26"/>
    <w:rPr>
      <w:sz w:val="16"/>
      <w:szCs w:val="16"/>
    </w:rPr>
  </w:style>
  <w:style w:type="paragraph" w:customStyle="1" w:styleId="P1">
    <w:name w:val="P 1"/>
    <w:basedOn w:val="Normal"/>
    <w:qFormat/>
    <w:rsid w:val="00236BD2"/>
    <w:pPr>
      <w:spacing w:before="120" w:after="120" w:line="240" w:lineRule="auto"/>
      <w:jc w:val="both"/>
    </w:pPr>
    <w:rPr>
      <w:rFonts w:ascii="Times New Roman" w:hAnsi="Times New Roman"/>
    </w:rPr>
  </w:style>
  <w:style w:type="character" w:customStyle="1" w:styleId="SansinterligneCar">
    <w:name w:val="Sans interligne Car"/>
    <w:link w:val="Sansinterligne"/>
    <w:uiPriority w:val="1"/>
    <w:locked/>
    <w:rsid w:val="00236BD2"/>
    <w:rPr>
      <w:rFonts w:asciiTheme="minorHAnsi" w:eastAsiaTheme="minorHAnsi" w:hAnsiTheme="minorHAnsi" w:cstheme="minorBidi"/>
      <w:sz w:val="22"/>
      <w:szCs w:val="22"/>
      <w:lang w:eastAsia="en-US"/>
    </w:rPr>
  </w:style>
  <w:style w:type="paragraph" w:styleId="Sansinterligne">
    <w:name w:val="No Spacing"/>
    <w:link w:val="SansinterligneCar"/>
    <w:uiPriority w:val="1"/>
    <w:qFormat/>
    <w:rsid w:val="00236BD2"/>
    <w:rPr>
      <w:rFonts w:asciiTheme="minorHAnsi" w:eastAsiaTheme="minorHAnsi" w:hAnsiTheme="minorHAnsi" w:cstheme="minorBidi"/>
      <w:sz w:val="22"/>
      <w:szCs w:val="22"/>
      <w:lang w:eastAsia="en-US"/>
    </w:rPr>
  </w:style>
  <w:style w:type="paragraph" w:styleId="Lgende">
    <w:name w:val="caption"/>
    <w:aliases w:val="Para"/>
    <w:basedOn w:val="Normal"/>
    <w:next w:val="Normal"/>
    <w:qFormat/>
    <w:rsid w:val="00C56FF6"/>
    <w:pPr>
      <w:numPr>
        <w:numId w:val="10"/>
      </w:numPr>
      <w:spacing w:before="120" w:after="0" w:line="240" w:lineRule="auto"/>
      <w:jc w:val="both"/>
    </w:pPr>
    <w:rPr>
      <w:rFonts w:ascii="Garamond" w:eastAsia="Times New Roman" w:hAnsi="Garamond"/>
      <w:bCs/>
      <w:szCs w:val="20"/>
      <w:lang w:val="fr-CA" w:eastAsia="fr-CA"/>
    </w:rPr>
  </w:style>
  <w:style w:type="character" w:styleId="lev">
    <w:name w:val="Strong"/>
    <w:uiPriority w:val="22"/>
    <w:qFormat/>
    <w:rsid w:val="004C5D4B"/>
    <w:rPr>
      <w:b/>
      <w:bCs/>
    </w:rPr>
  </w:style>
  <w:style w:type="character" w:customStyle="1" w:styleId="Titre5Car">
    <w:name w:val="Titre 5 Car"/>
    <w:basedOn w:val="Policepardfaut"/>
    <w:link w:val="Titre5"/>
    <w:uiPriority w:val="9"/>
    <w:rsid w:val="006A214E"/>
    <w:rPr>
      <w:rFonts w:asciiTheme="majorHAnsi" w:eastAsiaTheme="majorEastAsia" w:hAnsiTheme="majorHAnsi" w:cstheme="majorBidi"/>
      <w:color w:val="1F4D78"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73523">
      <w:bodyDiv w:val="1"/>
      <w:marLeft w:val="0"/>
      <w:marRight w:val="0"/>
      <w:marTop w:val="0"/>
      <w:marBottom w:val="0"/>
      <w:divBdr>
        <w:top w:val="none" w:sz="0" w:space="0" w:color="auto"/>
        <w:left w:val="none" w:sz="0" w:space="0" w:color="auto"/>
        <w:bottom w:val="none" w:sz="0" w:space="0" w:color="auto"/>
        <w:right w:val="none" w:sz="0" w:space="0" w:color="auto"/>
      </w:divBdr>
    </w:div>
    <w:div w:id="450130254">
      <w:bodyDiv w:val="1"/>
      <w:marLeft w:val="0"/>
      <w:marRight w:val="0"/>
      <w:marTop w:val="0"/>
      <w:marBottom w:val="0"/>
      <w:divBdr>
        <w:top w:val="none" w:sz="0" w:space="0" w:color="auto"/>
        <w:left w:val="none" w:sz="0" w:space="0" w:color="auto"/>
        <w:bottom w:val="none" w:sz="0" w:space="0" w:color="auto"/>
        <w:right w:val="none" w:sz="0" w:space="0" w:color="auto"/>
      </w:divBdr>
    </w:div>
    <w:div w:id="796991927">
      <w:bodyDiv w:val="1"/>
      <w:marLeft w:val="0"/>
      <w:marRight w:val="0"/>
      <w:marTop w:val="0"/>
      <w:marBottom w:val="0"/>
      <w:divBdr>
        <w:top w:val="none" w:sz="0" w:space="0" w:color="auto"/>
        <w:left w:val="none" w:sz="0" w:space="0" w:color="auto"/>
        <w:bottom w:val="none" w:sz="0" w:space="0" w:color="auto"/>
        <w:right w:val="none" w:sz="0" w:space="0" w:color="auto"/>
      </w:divBdr>
    </w:div>
    <w:div w:id="820733948">
      <w:bodyDiv w:val="1"/>
      <w:marLeft w:val="0"/>
      <w:marRight w:val="0"/>
      <w:marTop w:val="0"/>
      <w:marBottom w:val="0"/>
      <w:divBdr>
        <w:top w:val="none" w:sz="0" w:space="0" w:color="auto"/>
        <w:left w:val="none" w:sz="0" w:space="0" w:color="auto"/>
        <w:bottom w:val="none" w:sz="0" w:space="0" w:color="auto"/>
        <w:right w:val="none" w:sz="0" w:space="0" w:color="auto"/>
      </w:divBdr>
      <w:divsChild>
        <w:div w:id="490755194">
          <w:marLeft w:val="0"/>
          <w:marRight w:val="0"/>
          <w:marTop w:val="0"/>
          <w:marBottom w:val="0"/>
          <w:divBdr>
            <w:top w:val="none" w:sz="0" w:space="0" w:color="auto"/>
            <w:left w:val="none" w:sz="0" w:space="0" w:color="auto"/>
            <w:bottom w:val="none" w:sz="0" w:space="0" w:color="auto"/>
            <w:right w:val="none" w:sz="0" w:space="0" w:color="auto"/>
          </w:divBdr>
        </w:div>
        <w:div w:id="1567185547">
          <w:marLeft w:val="0"/>
          <w:marRight w:val="0"/>
          <w:marTop w:val="0"/>
          <w:marBottom w:val="0"/>
          <w:divBdr>
            <w:top w:val="none" w:sz="0" w:space="0" w:color="auto"/>
            <w:left w:val="none" w:sz="0" w:space="0" w:color="auto"/>
            <w:bottom w:val="none" w:sz="0" w:space="0" w:color="auto"/>
            <w:right w:val="none" w:sz="0" w:space="0" w:color="auto"/>
          </w:divBdr>
        </w:div>
      </w:divsChild>
    </w:div>
    <w:div w:id="926236048">
      <w:bodyDiv w:val="1"/>
      <w:marLeft w:val="0"/>
      <w:marRight w:val="0"/>
      <w:marTop w:val="0"/>
      <w:marBottom w:val="0"/>
      <w:divBdr>
        <w:top w:val="none" w:sz="0" w:space="0" w:color="auto"/>
        <w:left w:val="none" w:sz="0" w:space="0" w:color="auto"/>
        <w:bottom w:val="none" w:sz="0" w:space="0" w:color="auto"/>
        <w:right w:val="none" w:sz="0" w:space="0" w:color="auto"/>
      </w:divBdr>
      <w:divsChild>
        <w:div w:id="214047434">
          <w:marLeft w:val="1008"/>
          <w:marRight w:val="0"/>
          <w:marTop w:val="80"/>
          <w:marBottom w:val="0"/>
          <w:divBdr>
            <w:top w:val="none" w:sz="0" w:space="0" w:color="auto"/>
            <w:left w:val="none" w:sz="0" w:space="0" w:color="auto"/>
            <w:bottom w:val="none" w:sz="0" w:space="0" w:color="auto"/>
            <w:right w:val="none" w:sz="0" w:space="0" w:color="auto"/>
          </w:divBdr>
        </w:div>
        <w:div w:id="511186071">
          <w:marLeft w:val="1008"/>
          <w:marRight w:val="0"/>
          <w:marTop w:val="80"/>
          <w:marBottom w:val="0"/>
          <w:divBdr>
            <w:top w:val="none" w:sz="0" w:space="0" w:color="auto"/>
            <w:left w:val="none" w:sz="0" w:space="0" w:color="auto"/>
            <w:bottom w:val="none" w:sz="0" w:space="0" w:color="auto"/>
            <w:right w:val="none" w:sz="0" w:space="0" w:color="auto"/>
          </w:divBdr>
        </w:div>
        <w:div w:id="797331729">
          <w:marLeft w:val="1008"/>
          <w:marRight w:val="0"/>
          <w:marTop w:val="80"/>
          <w:marBottom w:val="0"/>
          <w:divBdr>
            <w:top w:val="none" w:sz="0" w:space="0" w:color="auto"/>
            <w:left w:val="none" w:sz="0" w:space="0" w:color="auto"/>
            <w:bottom w:val="none" w:sz="0" w:space="0" w:color="auto"/>
            <w:right w:val="none" w:sz="0" w:space="0" w:color="auto"/>
          </w:divBdr>
        </w:div>
        <w:div w:id="1076706885">
          <w:marLeft w:val="1008"/>
          <w:marRight w:val="0"/>
          <w:marTop w:val="80"/>
          <w:marBottom w:val="0"/>
          <w:divBdr>
            <w:top w:val="none" w:sz="0" w:space="0" w:color="auto"/>
            <w:left w:val="none" w:sz="0" w:space="0" w:color="auto"/>
            <w:bottom w:val="none" w:sz="0" w:space="0" w:color="auto"/>
            <w:right w:val="none" w:sz="0" w:space="0" w:color="auto"/>
          </w:divBdr>
        </w:div>
        <w:div w:id="1304234001">
          <w:marLeft w:val="1008"/>
          <w:marRight w:val="0"/>
          <w:marTop w:val="80"/>
          <w:marBottom w:val="0"/>
          <w:divBdr>
            <w:top w:val="none" w:sz="0" w:space="0" w:color="auto"/>
            <w:left w:val="none" w:sz="0" w:space="0" w:color="auto"/>
            <w:bottom w:val="none" w:sz="0" w:space="0" w:color="auto"/>
            <w:right w:val="none" w:sz="0" w:space="0" w:color="auto"/>
          </w:divBdr>
        </w:div>
        <w:div w:id="1957903399">
          <w:marLeft w:val="1008"/>
          <w:marRight w:val="0"/>
          <w:marTop w:val="80"/>
          <w:marBottom w:val="0"/>
          <w:divBdr>
            <w:top w:val="none" w:sz="0" w:space="0" w:color="auto"/>
            <w:left w:val="none" w:sz="0" w:space="0" w:color="auto"/>
            <w:bottom w:val="none" w:sz="0" w:space="0" w:color="auto"/>
            <w:right w:val="none" w:sz="0" w:space="0" w:color="auto"/>
          </w:divBdr>
        </w:div>
        <w:div w:id="2130279291">
          <w:marLeft w:val="1008"/>
          <w:marRight w:val="0"/>
          <w:marTop w:val="80"/>
          <w:marBottom w:val="0"/>
          <w:divBdr>
            <w:top w:val="none" w:sz="0" w:space="0" w:color="auto"/>
            <w:left w:val="none" w:sz="0" w:space="0" w:color="auto"/>
            <w:bottom w:val="none" w:sz="0" w:space="0" w:color="auto"/>
            <w:right w:val="none" w:sz="0" w:space="0" w:color="auto"/>
          </w:divBdr>
        </w:div>
      </w:divsChild>
    </w:div>
    <w:div w:id="1040781213">
      <w:bodyDiv w:val="1"/>
      <w:marLeft w:val="0"/>
      <w:marRight w:val="0"/>
      <w:marTop w:val="0"/>
      <w:marBottom w:val="0"/>
      <w:divBdr>
        <w:top w:val="none" w:sz="0" w:space="0" w:color="auto"/>
        <w:left w:val="none" w:sz="0" w:space="0" w:color="auto"/>
        <w:bottom w:val="none" w:sz="0" w:space="0" w:color="auto"/>
        <w:right w:val="none" w:sz="0" w:space="0" w:color="auto"/>
      </w:divBdr>
      <w:divsChild>
        <w:div w:id="1096056412">
          <w:marLeft w:val="0"/>
          <w:marRight w:val="0"/>
          <w:marTop w:val="0"/>
          <w:marBottom w:val="0"/>
          <w:divBdr>
            <w:top w:val="none" w:sz="0" w:space="0" w:color="auto"/>
            <w:left w:val="none" w:sz="0" w:space="0" w:color="auto"/>
            <w:bottom w:val="none" w:sz="0" w:space="0" w:color="auto"/>
            <w:right w:val="none" w:sz="0" w:space="0" w:color="auto"/>
          </w:divBdr>
        </w:div>
        <w:div w:id="1957060499">
          <w:marLeft w:val="0"/>
          <w:marRight w:val="0"/>
          <w:marTop w:val="0"/>
          <w:marBottom w:val="0"/>
          <w:divBdr>
            <w:top w:val="none" w:sz="0" w:space="0" w:color="auto"/>
            <w:left w:val="none" w:sz="0" w:space="0" w:color="auto"/>
            <w:bottom w:val="none" w:sz="0" w:space="0" w:color="auto"/>
            <w:right w:val="none" w:sz="0" w:space="0" w:color="auto"/>
          </w:divBdr>
        </w:div>
      </w:divsChild>
    </w:div>
    <w:div w:id="1041245636">
      <w:bodyDiv w:val="1"/>
      <w:marLeft w:val="0"/>
      <w:marRight w:val="0"/>
      <w:marTop w:val="0"/>
      <w:marBottom w:val="0"/>
      <w:divBdr>
        <w:top w:val="none" w:sz="0" w:space="0" w:color="auto"/>
        <w:left w:val="none" w:sz="0" w:space="0" w:color="auto"/>
        <w:bottom w:val="none" w:sz="0" w:space="0" w:color="auto"/>
        <w:right w:val="none" w:sz="0" w:space="0" w:color="auto"/>
      </w:divBdr>
      <w:divsChild>
        <w:div w:id="211814085">
          <w:marLeft w:val="1008"/>
          <w:marRight w:val="0"/>
          <w:marTop w:val="80"/>
          <w:marBottom w:val="0"/>
          <w:divBdr>
            <w:top w:val="none" w:sz="0" w:space="0" w:color="auto"/>
            <w:left w:val="none" w:sz="0" w:space="0" w:color="auto"/>
            <w:bottom w:val="none" w:sz="0" w:space="0" w:color="auto"/>
            <w:right w:val="none" w:sz="0" w:space="0" w:color="auto"/>
          </w:divBdr>
        </w:div>
        <w:div w:id="1024092049">
          <w:marLeft w:val="1008"/>
          <w:marRight w:val="0"/>
          <w:marTop w:val="80"/>
          <w:marBottom w:val="0"/>
          <w:divBdr>
            <w:top w:val="none" w:sz="0" w:space="0" w:color="auto"/>
            <w:left w:val="none" w:sz="0" w:space="0" w:color="auto"/>
            <w:bottom w:val="none" w:sz="0" w:space="0" w:color="auto"/>
            <w:right w:val="none" w:sz="0" w:space="0" w:color="auto"/>
          </w:divBdr>
        </w:div>
        <w:div w:id="1258757259">
          <w:marLeft w:val="1008"/>
          <w:marRight w:val="0"/>
          <w:marTop w:val="80"/>
          <w:marBottom w:val="0"/>
          <w:divBdr>
            <w:top w:val="none" w:sz="0" w:space="0" w:color="auto"/>
            <w:left w:val="none" w:sz="0" w:space="0" w:color="auto"/>
            <w:bottom w:val="none" w:sz="0" w:space="0" w:color="auto"/>
            <w:right w:val="none" w:sz="0" w:space="0" w:color="auto"/>
          </w:divBdr>
        </w:div>
      </w:divsChild>
    </w:div>
    <w:div w:id="1626540852">
      <w:bodyDiv w:val="1"/>
      <w:marLeft w:val="0"/>
      <w:marRight w:val="0"/>
      <w:marTop w:val="0"/>
      <w:marBottom w:val="0"/>
      <w:divBdr>
        <w:top w:val="none" w:sz="0" w:space="0" w:color="auto"/>
        <w:left w:val="none" w:sz="0" w:space="0" w:color="auto"/>
        <w:bottom w:val="none" w:sz="0" w:space="0" w:color="auto"/>
        <w:right w:val="none" w:sz="0" w:space="0" w:color="auto"/>
      </w:divBdr>
      <w:divsChild>
        <w:div w:id="33889969">
          <w:marLeft w:val="0"/>
          <w:marRight w:val="0"/>
          <w:marTop w:val="0"/>
          <w:marBottom w:val="0"/>
          <w:divBdr>
            <w:top w:val="none" w:sz="0" w:space="0" w:color="auto"/>
            <w:left w:val="none" w:sz="0" w:space="0" w:color="auto"/>
            <w:bottom w:val="none" w:sz="0" w:space="0" w:color="auto"/>
            <w:right w:val="none" w:sz="0" w:space="0" w:color="auto"/>
          </w:divBdr>
        </w:div>
        <w:div w:id="180821075">
          <w:marLeft w:val="0"/>
          <w:marRight w:val="0"/>
          <w:marTop w:val="0"/>
          <w:marBottom w:val="0"/>
          <w:divBdr>
            <w:top w:val="none" w:sz="0" w:space="0" w:color="auto"/>
            <w:left w:val="none" w:sz="0" w:space="0" w:color="auto"/>
            <w:bottom w:val="none" w:sz="0" w:space="0" w:color="auto"/>
            <w:right w:val="none" w:sz="0" w:space="0" w:color="auto"/>
          </w:divBdr>
        </w:div>
        <w:div w:id="296492347">
          <w:marLeft w:val="0"/>
          <w:marRight w:val="0"/>
          <w:marTop w:val="0"/>
          <w:marBottom w:val="0"/>
          <w:divBdr>
            <w:top w:val="none" w:sz="0" w:space="0" w:color="auto"/>
            <w:left w:val="none" w:sz="0" w:space="0" w:color="auto"/>
            <w:bottom w:val="none" w:sz="0" w:space="0" w:color="auto"/>
            <w:right w:val="none" w:sz="0" w:space="0" w:color="auto"/>
          </w:divBdr>
        </w:div>
        <w:div w:id="618802426">
          <w:marLeft w:val="0"/>
          <w:marRight w:val="0"/>
          <w:marTop w:val="0"/>
          <w:marBottom w:val="0"/>
          <w:divBdr>
            <w:top w:val="none" w:sz="0" w:space="0" w:color="auto"/>
            <w:left w:val="none" w:sz="0" w:space="0" w:color="auto"/>
            <w:bottom w:val="none" w:sz="0" w:space="0" w:color="auto"/>
            <w:right w:val="none" w:sz="0" w:space="0" w:color="auto"/>
          </w:divBdr>
        </w:div>
      </w:divsChild>
    </w:div>
    <w:div w:id="1679039610">
      <w:bodyDiv w:val="1"/>
      <w:marLeft w:val="0"/>
      <w:marRight w:val="0"/>
      <w:marTop w:val="0"/>
      <w:marBottom w:val="0"/>
      <w:divBdr>
        <w:top w:val="none" w:sz="0" w:space="0" w:color="auto"/>
        <w:left w:val="none" w:sz="0" w:space="0" w:color="auto"/>
        <w:bottom w:val="none" w:sz="0" w:space="0" w:color="auto"/>
        <w:right w:val="none" w:sz="0" w:space="0" w:color="auto"/>
      </w:divBdr>
    </w:div>
    <w:div w:id="1795324429">
      <w:bodyDiv w:val="1"/>
      <w:marLeft w:val="0"/>
      <w:marRight w:val="0"/>
      <w:marTop w:val="0"/>
      <w:marBottom w:val="0"/>
      <w:divBdr>
        <w:top w:val="none" w:sz="0" w:space="0" w:color="auto"/>
        <w:left w:val="none" w:sz="0" w:space="0" w:color="auto"/>
        <w:bottom w:val="none" w:sz="0" w:space="0" w:color="auto"/>
        <w:right w:val="none" w:sz="0" w:space="0" w:color="auto"/>
      </w:divBdr>
    </w:div>
    <w:div w:id="1903055478">
      <w:bodyDiv w:val="1"/>
      <w:marLeft w:val="0"/>
      <w:marRight w:val="0"/>
      <w:marTop w:val="0"/>
      <w:marBottom w:val="0"/>
      <w:divBdr>
        <w:top w:val="none" w:sz="0" w:space="0" w:color="auto"/>
        <w:left w:val="none" w:sz="0" w:space="0" w:color="auto"/>
        <w:bottom w:val="none" w:sz="0" w:space="0" w:color="auto"/>
        <w:right w:val="none" w:sz="0" w:space="0" w:color="auto"/>
      </w:divBdr>
      <w:divsChild>
        <w:div w:id="313721098">
          <w:marLeft w:val="0"/>
          <w:marRight w:val="0"/>
          <w:marTop w:val="0"/>
          <w:marBottom w:val="0"/>
          <w:divBdr>
            <w:top w:val="none" w:sz="0" w:space="0" w:color="auto"/>
            <w:left w:val="none" w:sz="0" w:space="0" w:color="auto"/>
            <w:bottom w:val="none" w:sz="0" w:space="0" w:color="auto"/>
            <w:right w:val="none" w:sz="0" w:space="0" w:color="auto"/>
          </w:divBdr>
        </w:div>
        <w:div w:id="581181653">
          <w:marLeft w:val="0"/>
          <w:marRight w:val="0"/>
          <w:marTop w:val="0"/>
          <w:marBottom w:val="0"/>
          <w:divBdr>
            <w:top w:val="none" w:sz="0" w:space="0" w:color="auto"/>
            <w:left w:val="none" w:sz="0" w:space="0" w:color="auto"/>
            <w:bottom w:val="none" w:sz="0" w:space="0" w:color="auto"/>
            <w:right w:val="none" w:sz="0" w:space="0" w:color="auto"/>
          </w:divBdr>
        </w:div>
        <w:div w:id="1092166234">
          <w:marLeft w:val="0"/>
          <w:marRight w:val="0"/>
          <w:marTop w:val="0"/>
          <w:marBottom w:val="0"/>
          <w:divBdr>
            <w:top w:val="none" w:sz="0" w:space="0" w:color="auto"/>
            <w:left w:val="none" w:sz="0" w:space="0" w:color="auto"/>
            <w:bottom w:val="none" w:sz="0" w:space="0" w:color="auto"/>
            <w:right w:val="none" w:sz="0" w:space="0" w:color="auto"/>
          </w:divBdr>
        </w:div>
        <w:div w:id="1456827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Safia\Documents\Dossiers%20Safia%202017\Accords\Note%20accord\Copie%20de%20Donn&#233;es%20RM_Site%20web_0805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a:pPr>
            <a:r>
              <a:rPr lang="en-US" sz="800" b="1"/>
              <a:t>Performances</a:t>
            </a:r>
            <a:r>
              <a:rPr lang="en-US" sz="800" b="1" baseline="0"/>
              <a:t> à mi-parcours sur 10 Indicateurs quantitativement renseignés</a:t>
            </a:r>
            <a:endParaRPr lang="en-US" sz="800" b="1"/>
          </a:p>
        </c:rich>
      </c:tx>
      <c:layout>
        <c:manualLayout>
          <c:xMode val="edge"/>
          <c:yMode val="edge"/>
          <c:x val="0.11154187363030695"/>
          <c:y val="0"/>
        </c:manualLayout>
      </c:layout>
      <c:overlay val="0"/>
    </c:title>
    <c:autoTitleDeleted val="0"/>
    <c:plotArea>
      <c:layout>
        <c:manualLayout>
          <c:layoutTarget val="inner"/>
          <c:xMode val="edge"/>
          <c:yMode val="edge"/>
          <c:x val="9.9414370078740225E-2"/>
          <c:y val="0.11538713910761145"/>
          <c:w val="0.82009537494217122"/>
          <c:h val="0.48460545970141616"/>
        </c:manualLayout>
      </c:layout>
      <c:areaChart>
        <c:grouping val="standard"/>
        <c:varyColors val="0"/>
        <c:ser>
          <c:idx val="0"/>
          <c:order val="0"/>
          <c:tx>
            <c:strRef>
              <c:f>Feuil1!$B$1</c:f>
              <c:strCache>
                <c:ptCount val="1"/>
                <c:pt idx="0">
                  <c:v>Colonne2</c:v>
                </c:pt>
              </c:strCache>
            </c:strRef>
          </c:tx>
          <c:dLbls>
            <c:dLbl>
              <c:idx val="0"/>
              <c:layout>
                <c:manualLayout>
                  <c:x val="1.036613177426715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F03-47C2-A9D3-89AE218A71C0}"/>
                </c:ext>
              </c:extLst>
            </c:dLbl>
            <c:dLbl>
              <c:idx val="1"/>
              <c:layout>
                <c:manualLayout>
                  <c:x val="0"/>
                  <c:y val="-6.3419576050121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F03-47C2-A9D3-89AE218A71C0}"/>
                </c:ext>
              </c:extLst>
            </c:dLbl>
            <c:dLbl>
              <c:idx val="2"/>
              <c:layout>
                <c:manualLayout>
                  <c:x val="4.6296296296296433E-3"/>
                  <c:y val="-4.76190476190476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F03-47C2-A9D3-89AE218A71C0}"/>
                </c:ext>
              </c:extLst>
            </c:dLbl>
            <c:dLbl>
              <c:idx val="3"/>
              <c:layout>
                <c:manualLayout>
                  <c:x val="0"/>
                  <c:y val="-2.77777777777779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F03-47C2-A9D3-89AE218A71C0}"/>
                </c:ext>
              </c:extLst>
            </c:dLbl>
            <c:dLbl>
              <c:idx val="4"/>
              <c:layout>
                <c:manualLayout>
                  <c:x val="4.6296296296296433E-3"/>
                  <c:y val="-5.15873015873015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F03-47C2-A9D3-89AE218A71C0}"/>
                </c:ext>
              </c:extLst>
            </c:dLbl>
            <c:dLbl>
              <c:idx val="5"/>
              <c:layout>
                <c:manualLayout>
                  <c:x val="2.3148148148148147E-3"/>
                  <c:y val="-9.92063492063494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F03-47C2-A9D3-89AE218A71C0}"/>
                </c:ext>
              </c:extLst>
            </c:dLbl>
            <c:dLbl>
              <c:idx val="6"/>
              <c:layout>
                <c:manualLayout>
                  <c:x val="0"/>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F03-47C2-A9D3-89AE218A71C0}"/>
                </c:ext>
              </c:extLst>
            </c:dLbl>
            <c:dLbl>
              <c:idx val="7"/>
              <c:layout>
                <c:manualLayout>
                  <c:x val="4.6296296296297239E-3"/>
                  <c:y val="-7.93650793650793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F03-47C2-A9D3-89AE218A71C0}"/>
                </c:ext>
              </c:extLst>
            </c:dLbl>
            <c:dLbl>
              <c:idx val="8"/>
              <c:layout>
                <c:manualLayout>
                  <c:x val="4.6296296296296433E-3"/>
                  <c:y val="-9.12698412698412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F03-47C2-A9D3-89AE218A71C0}"/>
                </c:ext>
              </c:extLst>
            </c:dLbl>
            <c:dLbl>
              <c:idx val="9"/>
              <c:layout>
                <c:manualLayout>
                  <c:x val="0"/>
                  <c:y val="-0.1190476190476191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F03-47C2-A9D3-89AE218A71C0}"/>
                </c:ext>
              </c:extLst>
            </c:dLbl>
            <c:spPr>
              <a:solidFill>
                <a:schemeClr val="bg1"/>
              </a:solidFill>
              <a:effectLst>
                <a:outerShdw blurRad="50800" dist="50800" dir="5400000" algn="ctr" rotWithShape="0">
                  <a:schemeClr val="bg1"/>
                </a:outerShdw>
              </a:effectLst>
            </c:spPr>
            <c:txPr>
              <a:bodyPr/>
              <a:lstStyle/>
              <a:p>
                <a:pPr>
                  <a:defRPr sz="800"/>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Feuil1!$A$2:$A$11</c:f>
              <c:strCache>
                <c:ptCount val="10"/>
                <c:pt idx="0">
                  <c:v>R1: Str Rec Nat</c:v>
                </c:pt>
                <c:pt idx="1">
                  <c:v>R1: Nb réfugiés/Dép. réinsérés</c:v>
                </c:pt>
                <c:pt idx="2">
                  <c:v>R2: Doc pol.éco</c:v>
                </c:pt>
                <c:pt idx="3">
                  <c:v>R2: Réformes</c:v>
                </c:pt>
                <c:pt idx="4">
                  <c:v>R2 : Plans climat/GRN</c:v>
                </c:pt>
                <c:pt idx="5">
                  <c:v>R2 : Plans Risk/Cat</c:v>
                </c:pt>
                <c:pt idx="6">
                  <c:v>R3 : Accès Justice</c:v>
                </c:pt>
                <c:pt idx="7">
                  <c:v>R3 : Réhab Infrast pub</c:v>
                </c:pt>
                <c:pt idx="8">
                  <c:v>R3 : Transf compét terr</c:v>
                </c:pt>
                <c:pt idx="9">
                  <c:v>R4 : Mises s/ARV</c:v>
                </c:pt>
              </c:strCache>
            </c:strRef>
          </c:cat>
          <c:val>
            <c:numRef>
              <c:f>Feuil1!$B$2:$B$11</c:f>
              <c:numCache>
                <c:formatCode>0%</c:formatCode>
                <c:ptCount val="10"/>
                <c:pt idx="0">
                  <c:v>0.4</c:v>
                </c:pt>
                <c:pt idx="1">
                  <c:v>0</c:v>
                </c:pt>
                <c:pt idx="2">
                  <c:v>0.5</c:v>
                </c:pt>
                <c:pt idx="3">
                  <c:v>0.33000000000000085</c:v>
                </c:pt>
                <c:pt idx="4">
                  <c:v>0.5</c:v>
                </c:pt>
                <c:pt idx="5">
                  <c:v>1</c:v>
                </c:pt>
                <c:pt idx="6">
                  <c:v>0.37000000000000038</c:v>
                </c:pt>
                <c:pt idx="7">
                  <c:v>0.68</c:v>
                </c:pt>
                <c:pt idx="8">
                  <c:v>0.65000000000000147</c:v>
                </c:pt>
                <c:pt idx="9">
                  <c:v>0.93</c:v>
                </c:pt>
              </c:numCache>
            </c:numRef>
          </c:val>
          <c:extLst>
            <c:ext xmlns:c16="http://schemas.microsoft.com/office/drawing/2014/chart" uri="{C3380CC4-5D6E-409C-BE32-E72D297353CC}">
              <c16:uniqueId val="{0000000A-5F03-47C2-A9D3-89AE218A71C0}"/>
            </c:ext>
          </c:extLst>
        </c:ser>
        <c:dLbls>
          <c:showLegendKey val="0"/>
          <c:showVal val="0"/>
          <c:showCatName val="0"/>
          <c:showSerName val="0"/>
          <c:showPercent val="0"/>
          <c:showBubbleSize val="0"/>
        </c:dLbls>
        <c:axId val="291317632"/>
        <c:axId val="291319168"/>
      </c:areaChart>
      <c:catAx>
        <c:axId val="291317632"/>
        <c:scaling>
          <c:orientation val="minMax"/>
        </c:scaling>
        <c:delete val="0"/>
        <c:axPos val="b"/>
        <c:numFmt formatCode="General" sourceLinked="1"/>
        <c:majorTickMark val="out"/>
        <c:minorTickMark val="none"/>
        <c:tickLblPos val="nextTo"/>
        <c:txPr>
          <a:bodyPr/>
          <a:lstStyle/>
          <a:p>
            <a:pPr>
              <a:defRPr sz="800"/>
            </a:pPr>
            <a:endParaRPr lang="fr-FR"/>
          </a:p>
        </c:txPr>
        <c:crossAx val="291319168"/>
        <c:crosses val="autoZero"/>
        <c:auto val="1"/>
        <c:lblAlgn val="ctr"/>
        <c:lblOffset val="100"/>
        <c:noMultiLvlLbl val="0"/>
      </c:catAx>
      <c:valAx>
        <c:axId val="291319168"/>
        <c:scaling>
          <c:orientation val="minMax"/>
          <c:max val="1"/>
        </c:scaling>
        <c:delete val="0"/>
        <c:axPos val="l"/>
        <c:numFmt formatCode="0%" sourceLinked="1"/>
        <c:majorTickMark val="out"/>
        <c:minorTickMark val="none"/>
        <c:tickLblPos val="nextTo"/>
        <c:txPr>
          <a:bodyPr/>
          <a:lstStyle/>
          <a:p>
            <a:pPr>
              <a:defRPr sz="500"/>
            </a:pPr>
            <a:endParaRPr lang="fr-FR"/>
          </a:p>
        </c:txPr>
        <c:crossAx val="291317632"/>
        <c:crosses val="autoZero"/>
        <c:crossBetween val="midCat"/>
      </c:valAx>
      <c:spPr>
        <a:solidFill>
          <a:srgbClr val="F02E4E"/>
        </a:solid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1426442457404696E-2"/>
          <c:y val="0.22246516971659491"/>
          <c:w val="0.9484465501134397"/>
          <c:h val="0.76864604424447303"/>
        </c:manualLayout>
      </c:layout>
      <c:pie3DChart>
        <c:varyColors val="1"/>
        <c:ser>
          <c:idx val="4"/>
          <c:order val="0"/>
          <c:explosion val="25"/>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extLst>
              <c:ext xmlns:c16="http://schemas.microsoft.com/office/drawing/2014/chart" uri="{C3380CC4-5D6E-409C-BE32-E72D297353CC}">
                <c16:uniqueId val="{00000000-B304-4AAA-B9AC-8458728CBCF7}"/>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extLst>
              <c:ext xmlns:c16="http://schemas.microsoft.com/office/drawing/2014/chart" uri="{C3380CC4-5D6E-409C-BE32-E72D297353CC}">
                <c16:uniqueId val="{00000001-B304-4AAA-B9AC-8458728CBCF7}"/>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a:noFill/>
              </a:ln>
              <a:effectLst/>
              <a:sp3d/>
            </c:spPr>
            <c:extLst>
              <c:ext xmlns:c16="http://schemas.microsoft.com/office/drawing/2014/chart" uri="{C3380CC4-5D6E-409C-BE32-E72D297353CC}">
                <c16:uniqueId val="{00000002-B304-4AAA-B9AC-8458728CBCF7}"/>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a:noFill/>
              </a:ln>
              <a:effectLst/>
              <a:sp3d/>
            </c:spPr>
            <c:extLst>
              <c:ext xmlns:c16="http://schemas.microsoft.com/office/drawing/2014/chart" uri="{C3380CC4-5D6E-409C-BE32-E72D297353CC}">
                <c16:uniqueId val="{00000003-B304-4AAA-B9AC-8458728CBCF7}"/>
              </c:ext>
            </c:extLst>
          </c:dPt>
          <c:dPt>
            <c:idx val="4"/>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a:noFill/>
              </a:ln>
              <a:effectLst/>
              <a:sp3d/>
            </c:spPr>
            <c:extLst>
              <c:ext xmlns:c16="http://schemas.microsoft.com/office/drawing/2014/chart" uri="{C3380CC4-5D6E-409C-BE32-E72D297353CC}">
                <c16:uniqueId val="{00000004-B304-4AAA-B9AC-8458728CBCF7}"/>
              </c:ext>
            </c:extLst>
          </c:dPt>
          <c:dPt>
            <c:idx val="5"/>
            <c:bubble3D val="0"/>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a:noFill/>
              </a:ln>
              <a:effectLst/>
              <a:sp3d/>
            </c:spPr>
            <c:extLst>
              <c:ext xmlns:c16="http://schemas.microsoft.com/office/drawing/2014/chart" uri="{C3380CC4-5D6E-409C-BE32-E72D297353CC}">
                <c16:uniqueId val="{00000005-B304-4AAA-B9AC-8458728CBCF7}"/>
              </c:ext>
            </c:extLst>
          </c:dPt>
          <c:dPt>
            <c:idx val="6"/>
            <c:bubble3D val="0"/>
            <c:spPr>
              <a:gradFill rotWithShape="1">
                <a:gsLst>
                  <a:gs pos="0">
                    <a:schemeClr val="accent1">
                      <a:lumMod val="60000"/>
                      <a:lumMod val="110000"/>
                      <a:satMod val="105000"/>
                      <a:tint val="67000"/>
                    </a:schemeClr>
                  </a:gs>
                  <a:gs pos="50000">
                    <a:schemeClr val="accent1">
                      <a:lumMod val="60000"/>
                      <a:lumMod val="105000"/>
                      <a:satMod val="103000"/>
                      <a:tint val="73000"/>
                    </a:schemeClr>
                  </a:gs>
                  <a:gs pos="100000">
                    <a:schemeClr val="accent1">
                      <a:lumMod val="60000"/>
                      <a:lumMod val="105000"/>
                      <a:satMod val="109000"/>
                      <a:tint val="81000"/>
                    </a:schemeClr>
                  </a:gs>
                </a:gsLst>
                <a:lin ang="5400000" scaled="0"/>
              </a:gradFill>
              <a:ln>
                <a:noFill/>
              </a:ln>
              <a:effectLst/>
              <a:sp3d/>
            </c:spPr>
            <c:extLst>
              <c:ext xmlns:c16="http://schemas.microsoft.com/office/drawing/2014/chart" uri="{C3380CC4-5D6E-409C-BE32-E72D297353CC}">
                <c16:uniqueId val="{00000006-B304-4AAA-B9AC-8458728CBCF7}"/>
              </c:ext>
            </c:extLst>
          </c:dPt>
          <c:dPt>
            <c:idx val="7"/>
            <c:bubble3D val="0"/>
            <c:spPr>
              <a:gradFill rotWithShape="1">
                <a:gsLst>
                  <a:gs pos="0">
                    <a:schemeClr val="accent2">
                      <a:lumMod val="60000"/>
                      <a:lumMod val="110000"/>
                      <a:satMod val="105000"/>
                      <a:tint val="67000"/>
                    </a:schemeClr>
                  </a:gs>
                  <a:gs pos="50000">
                    <a:schemeClr val="accent2">
                      <a:lumMod val="60000"/>
                      <a:lumMod val="105000"/>
                      <a:satMod val="103000"/>
                      <a:tint val="73000"/>
                    </a:schemeClr>
                  </a:gs>
                  <a:gs pos="100000">
                    <a:schemeClr val="accent2">
                      <a:lumMod val="60000"/>
                      <a:lumMod val="105000"/>
                      <a:satMod val="109000"/>
                      <a:tint val="81000"/>
                    </a:schemeClr>
                  </a:gs>
                </a:gsLst>
                <a:lin ang="5400000" scaled="0"/>
              </a:gradFill>
              <a:ln>
                <a:noFill/>
              </a:ln>
              <a:effectLst/>
              <a:sp3d/>
            </c:spPr>
            <c:extLst>
              <c:ext xmlns:c16="http://schemas.microsoft.com/office/drawing/2014/chart" uri="{C3380CC4-5D6E-409C-BE32-E72D297353CC}">
                <c16:uniqueId val="{00000007-B304-4AAA-B9AC-8458728CBCF7}"/>
              </c:ext>
            </c:extLst>
          </c:dPt>
          <c:dPt>
            <c:idx val="8"/>
            <c:bubble3D val="0"/>
            <c:spPr>
              <a:gradFill rotWithShape="1">
                <a:gsLst>
                  <a:gs pos="0">
                    <a:schemeClr val="accent3">
                      <a:lumMod val="60000"/>
                      <a:lumMod val="110000"/>
                      <a:satMod val="105000"/>
                      <a:tint val="67000"/>
                    </a:schemeClr>
                  </a:gs>
                  <a:gs pos="50000">
                    <a:schemeClr val="accent3">
                      <a:lumMod val="60000"/>
                      <a:lumMod val="105000"/>
                      <a:satMod val="103000"/>
                      <a:tint val="73000"/>
                    </a:schemeClr>
                  </a:gs>
                  <a:gs pos="100000">
                    <a:schemeClr val="accent3">
                      <a:lumMod val="60000"/>
                      <a:lumMod val="105000"/>
                      <a:satMod val="109000"/>
                      <a:tint val="81000"/>
                    </a:schemeClr>
                  </a:gs>
                </a:gsLst>
                <a:lin ang="5400000" scaled="0"/>
              </a:gradFill>
              <a:ln>
                <a:noFill/>
              </a:ln>
              <a:effectLst/>
              <a:sp3d/>
            </c:spPr>
            <c:extLst>
              <c:ext xmlns:c16="http://schemas.microsoft.com/office/drawing/2014/chart" uri="{C3380CC4-5D6E-409C-BE32-E72D297353CC}">
                <c16:uniqueId val="{00000008-B304-4AAA-B9AC-8458728CBCF7}"/>
              </c:ext>
            </c:extLst>
          </c:dPt>
          <c:dPt>
            <c:idx val="9"/>
            <c:bubble3D val="0"/>
            <c:spPr>
              <a:gradFill rotWithShape="1">
                <a:gsLst>
                  <a:gs pos="0">
                    <a:schemeClr val="accent4">
                      <a:lumMod val="60000"/>
                      <a:lumMod val="110000"/>
                      <a:satMod val="105000"/>
                      <a:tint val="67000"/>
                    </a:schemeClr>
                  </a:gs>
                  <a:gs pos="50000">
                    <a:schemeClr val="accent4">
                      <a:lumMod val="60000"/>
                      <a:lumMod val="105000"/>
                      <a:satMod val="103000"/>
                      <a:tint val="73000"/>
                    </a:schemeClr>
                  </a:gs>
                  <a:gs pos="100000">
                    <a:schemeClr val="accent4">
                      <a:lumMod val="60000"/>
                      <a:lumMod val="105000"/>
                      <a:satMod val="109000"/>
                      <a:tint val="81000"/>
                    </a:schemeClr>
                  </a:gs>
                </a:gsLst>
                <a:lin ang="5400000" scaled="0"/>
              </a:gradFill>
              <a:ln>
                <a:noFill/>
              </a:ln>
              <a:effectLst/>
              <a:sp3d/>
            </c:spPr>
            <c:extLst>
              <c:ext xmlns:c16="http://schemas.microsoft.com/office/drawing/2014/chart" uri="{C3380CC4-5D6E-409C-BE32-E72D297353CC}">
                <c16:uniqueId val="{00000009-B304-4AAA-B9AC-8458728CBCF7}"/>
              </c:ext>
            </c:extLst>
          </c:dPt>
          <c:dPt>
            <c:idx val="10"/>
            <c:bubble3D val="0"/>
            <c:spPr>
              <a:gradFill rotWithShape="1">
                <a:gsLst>
                  <a:gs pos="0">
                    <a:schemeClr val="accent5">
                      <a:lumMod val="60000"/>
                      <a:lumMod val="110000"/>
                      <a:satMod val="105000"/>
                      <a:tint val="67000"/>
                    </a:schemeClr>
                  </a:gs>
                  <a:gs pos="50000">
                    <a:schemeClr val="accent5">
                      <a:lumMod val="60000"/>
                      <a:lumMod val="105000"/>
                      <a:satMod val="103000"/>
                      <a:tint val="73000"/>
                    </a:schemeClr>
                  </a:gs>
                  <a:gs pos="100000">
                    <a:schemeClr val="accent5">
                      <a:lumMod val="60000"/>
                      <a:lumMod val="105000"/>
                      <a:satMod val="109000"/>
                      <a:tint val="81000"/>
                    </a:schemeClr>
                  </a:gs>
                </a:gsLst>
                <a:lin ang="5400000" scaled="0"/>
              </a:gradFill>
              <a:ln>
                <a:noFill/>
              </a:ln>
              <a:effectLst/>
              <a:sp3d/>
            </c:spPr>
            <c:extLst>
              <c:ext xmlns:c16="http://schemas.microsoft.com/office/drawing/2014/chart" uri="{C3380CC4-5D6E-409C-BE32-E72D297353CC}">
                <c16:uniqueId val="{0000000A-B304-4AAA-B9AC-8458728CBCF7}"/>
              </c:ext>
            </c:extLst>
          </c:dPt>
          <c:dPt>
            <c:idx val="11"/>
            <c:bubble3D val="0"/>
            <c:spPr>
              <a:gradFill rotWithShape="1">
                <a:gsLst>
                  <a:gs pos="0">
                    <a:schemeClr val="accent6">
                      <a:lumMod val="60000"/>
                      <a:lumMod val="110000"/>
                      <a:satMod val="105000"/>
                      <a:tint val="67000"/>
                    </a:schemeClr>
                  </a:gs>
                  <a:gs pos="50000">
                    <a:schemeClr val="accent6">
                      <a:lumMod val="60000"/>
                      <a:lumMod val="105000"/>
                      <a:satMod val="103000"/>
                      <a:tint val="73000"/>
                    </a:schemeClr>
                  </a:gs>
                  <a:gs pos="100000">
                    <a:schemeClr val="accent6">
                      <a:lumMod val="60000"/>
                      <a:lumMod val="105000"/>
                      <a:satMod val="109000"/>
                      <a:tint val="81000"/>
                    </a:schemeClr>
                  </a:gs>
                </a:gsLst>
                <a:lin ang="5400000" scaled="0"/>
              </a:gradFill>
              <a:ln>
                <a:noFill/>
              </a:ln>
              <a:effectLst/>
              <a:sp3d/>
            </c:spPr>
            <c:extLst>
              <c:ext xmlns:c16="http://schemas.microsoft.com/office/drawing/2014/chart" uri="{C3380CC4-5D6E-409C-BE32-E72D297353CC}">
                <c16:uniqueId val="{0000000B-B304-4AAA-B9AC-8458728CBCF7}"/>
              </c:ext>
            </c:extLst>
          </c:dPt>
          <c:dPt>
            <c:idx val="12"/>
            <c:bubble3D val="0"/>
            <c:spPr>
              <a:gradFill rotWithShape="1">
                <a:gsLst>
                  <a:gs pos="0">
                    <a:schemeClr val="accent1">
                      <a:lumMod val="80000"/>
                      <a:lumOff val="20000"/>
                      <a:lumMod val="110000"/>
                      <a:satMod val="105000"/>
                      <a:tint val="67000"/>
                    </a:schemeClr>
                  </a:gs>
                  <a:gs pos="50000">
                    <a:schemeClr val="accent1">
                      <a:lumMod val="80000"/>
                      <a:lumOff val="20000"/>
                      <a:lumMod val="105000"/>
                      <a:satMod val="103000"/>
                      <a:tint val="73000"/>
                    </a:schemeClr>
                  </a:gs>
                  <a:gs pos="100000">
                    <a:schemeClr val="accent1">
                      <a:lumMod val="80000"/>
                      <a:lumOff val="20000"/>
                      <a:lumMod val="105000"/>
                      <a:satMod val="109000"/>
                      <a:tint val="81000"/>
                    </a:schemeClr>
                  </a:gs>
                </a:gsLst>
                <a:lin ang="5400000" scaled="0"/>
              </a:gradFill>
              <a:ln>
                <a:noFill/>
              </a:ln>
              <a:effectLst/>
              <a:sp3d/>
            </c:spPr>
            <c:extLst>
              <c:ext xmlns:c16="http://schemas.microsoft.com/office/drawing/2014/chart" uri="{C3380CC4-5D6E-409C-BE32-E72D297353CC}">
                <c16:uniqueId val="{0000000C-B304-4AAA-B9AC-8458728CBCF7}"/>
              </c:ext>
            </c:extLst>
          </c:dPt>
          <c:dPt>
            <c:idx val="13"/>
            <c:bubble3D val="0"/>
            <c:spPr>
              <a:gradFill rotWithShape="1">
                <a:gsLst>
                  <a:gs pos="0">
                    <a:schemeClr val="accent2">
                      <a:lumMod val="80000"/>
                      <a:lumOff val="20000"/>
                      <a:lumMod val="110000"/>
                      <a:satMod val="105000"/>
                      <a:tint val="67000"/>
                    </a:schemeClr>
                  </a:gs>
                  <a:gs pos="50000">
                    <a:schemeClr val="accent2">
                      <a:lumMod val="80000"/>
                      <a:lumOff val="20000"/>
                      <a:lumMod val="105000"/>
                      <a:satMod val="103000"/>
                      <a:tint val="73000"/>
                    </a:schemeClr>
                  </a:gs>
                  <a:gs pos="100000">
                    <a:schemeClr val="accent2">
                      <a:lumMod val="80000"/>
                      <a:lumOff val="20000"/>
                      <a:lumMod val="105000"/>
                      <a:satMod val="109000"/>
                      <a:tint val="81000"/>
                    </a:schemeClr>
                  </a:gs>
                </a:gsLst>
                <a:lin ang="5400000" scaled="0"/>
              </a:gradFill>
              <a:ln>
                <a:noFill/>
              </a:ln>
              <a:effectLst/>
              <a:sp3d/>
            </c:spPr>
            <c:extLst>
              <c:ext xmlns:c16="http://schemas.microsoft.com/office/drawing/2014/chart" uri="{C3380CC4-5D6E-409C-BE32-E72D297353CC}">
                <c16:uniqueId val="{0000000D-B304-4AAA-B9AC-8458728CBCF7}"/>
              </c:ext>
            </c:extLst>
          </c:dPt>
          <c:dLbls>
            <c:dLbl>
              <c:idx val="10"/>
              <c:layout>
                <c:manualLayout>
                  <c:x val="-1.4554028204101607E-2"/>
                  <c:y val="-2.687070056717450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B304-4AAA-B9AC-8458728CBCF7}"/>
                </c:ext>
              </c:extLst>
            </c:dLbl>
            <c:dLbl>
              <c:idx val="13"/>
              <c:layout>
                <c:manualLayout>
                  <c:x val="0.33721651319009016"/>
                  <c:y val="-1.464847406770752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B304-4AAA-B9AC-8458728CBCF7}"/>
                </c:ext>
              </c:extLst>
            </c:dLbl>
            <c:dLbl>
              <c:idx val="14"/>
              <c:layout>
                <c:manualLayout>
                  <c:x val="0.44173628720138775"/>
                  <c:y val="4.757376992957842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E-B304-4AAA-B9AC-8458728CBCF7}"/>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fr-FR"/>
              </a:p>
            </c:txP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MR15122016!$D$16:$D$29</c:f>
              <c:strCache>
                <c:ptCount val="14"/>
                <c:pt idx="0">
                  <c:v>Fonds Mondial</c:v>
                </c:pt>
                <c:pt idx="1">
                  <c:v>FEM</c:v>
                </c:pt>
                <c:pt idx="2">
                  <c:v>Gouvernement</c:v>
                </c:pt>
                <c:pt idx="3">
                  <c:v>Secretariat Fonds d'Adaptation</c:v>
                </c:pt>
                <c:pt idx="4">
                  <c:v>Allemagne</c:v>
                </c:pt>
                <c:pt idx="5">
                  <c:v>Norvège</c:v>
                </c:pt>
                <c:pt idx="6">
                  <c:v>Pays Bas</c:v>
                </c:pt>
                <c:pt idx="7">
                  <c:v>JICA</c:v>
                </c:pt>
                <c:pt idx="8">
                  <c:v>Fonds climat</c:v>
                </c:pt>
                <c:pt idx="9">
                  <c:v>Luxembourg</c:v>
                </c:pt>
                <c:pt idx="10">
                  <c:v>UNTFHS</c:v>
                </c:pt>
                <c:pt idx="11">
                  <c:v>ONUFEMMES</c:v>
                </c:pt>
                <c:pt idx="12">
                  <c:v>MINUSMA</c:v>
                </c:pt>
                <c:pt idx="13">
                  <c:v>France</c:v>
                </c:pt>
              </c:strCache>
            </c:strRef>
          </c:cat>
          <c:val>
            <c:numRef>
              <c:f>MR15122016!$E$16:$E$29</c:f>
              <c:numCache>
                <c:formatCode>#,##0</c:formatCode>
                <c:ptCount val="14"/>
                <c:pt idx="0">
                  <c:v>51708431</c:v>
                </c:pt>
                <c:pt idx="1">
                  <c:v>17410744</c:v>
                </c:pt>
                <c:pt idx="2">
                  <c:v>13384666</c:v>
                </c:pt>
                <c:pt idx="3">
                  <c:v>7800000</c:v>
                </c:pt>
                <c:pt idx="4">
                  <c:v>6880100</c:v>
                </c:pt>
                <c:pt idx="5">
                  <c:v>5924842</c:v>
                </c:pt>
                <c:pt idx="6">
                  <c:v>5422800</c:v>
                </c:pt>
                <c:pt idx="7">
                  <c:v>4102735</c:v>
                </c:pt>
                <c:pt idx="8">
                  <c:v>2166009</c:v>
                </c:pt>
                <c:pt idx="9">
                  <c:v>1000000</c:v>
                </c:pt>
                <c:pt idx="10">
                  <c:v>860708</c:v>
                </c:pt>
                <c:pt idx="11">
                  <c:v>191084</c:v>
                </c:pt>
                <c:pt idx="12">
                  <c:v>200875</c:v>
                </c:pt>
                <c:pt idx="13">
                  <c:v>68147</c:v>
                </c:pt>
              </c:numCache>
            </c:numRef>
          </c:val>
          <c:extLst>
            <c:ext xmlns:c16="http://schemas.microsoft.com/office/drawing/2014/chart" uri="{C3380CC4-5D6E-409C-BE32-E72D297353CC}">
              <c16:uniqueId val="{0000000F-B304-4AAA-B9AC-8458728CBCF7}"/>
            </c:ext>
          </c:extLst>
        </c:ser>
        <c:dLbls>
          <c:showLegendKey val="0"/>
          <c:showVal val="0"/>
          <c:showCatName val="1"/>
          <c:showSerName val="0"/>
          <c:showPercent val="1"/>
          <c:showBubbleSize val="0"/>
          <c:showLeaderLines val="1"/>
        </c:dLbls>
      </c:pie3D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Programmation 2015-17</a:t>
            </a:r>
          </a:p>
          <a:p>
            <a:pPr>
              <a:defRPr sz="1000"/>
            </a:pPr>
            <a:r>
              <a:rPr lang="en-US" sz="1000"/>
              <a:t>(Millions USD)</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0009701184674755"/>
          <c:y val="0"/>
          <c:w val="0.83198527680399781"/>
          <c:h val="1"/>
        </c:manualLayout>
      </c:layout>
      <c:pie3DChart>
        <c:varyColors val="1"/>
        <c:ser>
          <c:idx val="0"/>
          <c:order val="0"/>
          <c:tx>
            <c:strRef>
              <c:f>Feuil1!$B$1</c:f>
              <c:strCache>
                <c:ptCount val="1"/>
                <c:pt idx="0">
                  <c:v>Programmation (USD)</c:v>
                </c:pt>
              </c:strCache>
            </c:strRef>
          </c:tx>
          <c:explosion val="25"/>
          <c:dLbls>
            <c:dLbl>
              <c:idx val="0"/>
              <c:layout>
                <c:manualLayout>
                  <c:x val="1.1410100157667835E-2"/>
                  <c:y val="-1.4830791090434102E-2"/>
                </c:manualLayout>
              </c:layout>
              <c:tx>
                <c:rich>
                  <a:bodyPr/>
                  <a:lstStyle/>
                  <a:p>
                    <a:r>
                      <a:rPr lang="en-US" sz="1000"/>
                      <a:t>24,9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B4B-453D-B9EE-7AC2D34B94B1}"/>
                </c:ext>
              </c:extLst>
            </c:dLbl>
            <c:dLbl>
              <c:idx val="1"/>
              <c:layout>
                <c:manualLayout>
                  <c:x val="-8.7486978749696243E-2"/>
                  <c:y val="8.0894883489485286E-2"/>
                </c:manualLayout>
              </c:layout>
              <c:tx>
                <c:rich>
                  <a:bodyPr/>
                  <a:lstStyle/>
                  <a:p>
                    <a:r>
                      <a:rPr lang="en-US" sz="1000"/>
                      <a:t>71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B4B-453D-B9EE-7AC2D34B94B1}"/>
                </c:ext>
              </c:extLst>
            </c:dLbl>
            <c:dLbl>
              <c:idx val="2"/>
              <c:layout>
                <c:manualLayout>
                  <c:x val="-1.1745026494594661E-2"/>
                  <c:y val="-0.1865060035102292"/>
                </c:manualLayout>
              </c:layout>
              <c:tx>
                <c:rich>
                  <a:bodyPr/>
                  <a:lstStyle/>
                  <a:p>
                    <a:r>
                      <a:rPr lang="en-US" sz="1000"/>
                      <a:t>62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B4B-453D-B9EE-7AC2D34B94B1}"/>
                </c:ext>
              </c:extLst>
            </c:dLbl>
            <c:dLbl>
              <c:idx val="3"/>
              <c:layout>
                <c:manualLayout>
                  <c:x val="3.7800713178353096E-3"/>
                  <c:y val="-1.5642400324943465E-2"/>
                </c:manualLayout>
              </c:layout>
              <c:tx>
                <c:rich>
                  <a:bodyPr/>
                  <a:lstStyle/>
                  <a:p>
                    <a:r>
                      <a:rPr lang="en-US" sz="1000"/>
                      <a:t>30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B4B-453D-B9EE-7AC2D34B94B1}"/>
                </c:ext>
              </c:extLst>
            </c:dLbl>
            <c:spPr>
              <a:noFill/>
              <a:ln>
                <a:noFill/>
              </a:ln>
              <a:effectLst/>
            </c:spPr>
            <c:txPr>
              <a:bodyPr/>
              <a:lstStyle/>
              <a:p>
                <a:pPr>
                  <a:defRPr sz="1000" b="1"/>
                </a:pPr>
                <a:endParaRPr lang="fr-FR"/>
              </a:p>
            </c:txPr>
            <c:showLegendKey val="0"/>
            <c:showVal val="1"/>
            <c:showCatName val="0"/>
            <c:showSerName val="0"/>
            <c:showPercent val="0"/>
            <c:showBubbleSize val="0"/>
            <c:showLeaderLines val="0"/>
            <c:extLst>
              <c:ext xmlns:c15="http://schemas.microsoft.com/office/drawing/2012/chart" uri="{CE6537A1-D6FC-4f65-9D91-7224C49458BB}"/>
            </c:extLst>
          </c:dLbls>
          <c:cat>
            <c:strRef>
              <c:f>Feuil1!$A$2:$A$5</c:f>
              <c:strCache>
                <c:ptCount val="4"/>
                <c:pt idx="0">
                  <c:v>Reslt 1</c:v>
                </c:pt>
                <c:pt idx="1">
                  <c:v>Reslt 2</c:v>
                </c:pt>
                <c:pt idx="2">
                  <c:v>Reslt 3</c:v>
                </c:pt>
                <c:pt idx="3">
                  <c:v>Reslt 4</c:v>
                </c:pt>
              </c:strCache>
            </c:strRef>
          </c:cat>
          <c:val>
            <c:numRef>
              <c:f>Feuil1!$B$2:$B$5</c:f>
              <c:numCache>
                <c:formatCode>#,##0</c:formatCode>
                <c:ptCount val="4"/>
                <c:pt idx="0">
                  <c:v>24943000</c:v>
                </c:pt>
                <c:pt idx="1">
                  <c:v>71000000</c:v>
                </c:pt>
                <c:pt idx="2">
                  <c:v>62000000.000000007</c:v>
                </c:pt>
                <c:pt idx="3">
                  <c:v>30000000</c:v>
                </c:pt>
              </c:numCache>
            </c:numRef>
          </c:val>
          <c:extLst>
            <c:ext xmlns:c16="http://schemas.microsoft.com/office/drawing/2014/chart" uri="{C3380CC4-5D6E-409C-BE32-E72D297353CC}">
              <c16:uniqueId val="{00000004-DB4B-453D-B9EE-7AC2D34B94B1}"/>
            </c:ext>
          </c:extLst>
        </c:ser>
        <c:dLbls>
          <c:showLegendKey val="0"/>
          <c:showVal val="0"/>
          <c:showCatName val="0"/>
          <c:showSerName val="0"/>
          <c:showPercent val="0"/>
          <c:showBubbleSize val="0"/>
          <c:showLeaderLines val="0"/>
        </c:dLbls>
      </c:pie3DChart>
    </c:plotArea>
    <c:legend>
      <c:legendPos val="r"/>
      <c:layout>
        <c:manualLayout>
          <c:xMode val="edge"/>
          <c:yMode val="edge"/>
          <c:x val="0"/>
          <c:y val="0.86374257523685061"/>
          <c:w val="1"/>
          <c:h val="9.6753113416957193E-2"/>
        </c:manualLayout>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Exécution à Sept 2017</a:t>
            </a:r>
          </a:p>
          <a:p>
            <a:pPr>
              <a:defRPr sz="1000"/>
            </a:pPr>
            <a:r>
              <a:rPr lang="en-US" sz="1000"/>
              <a:t>(¨Millions USD)</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0009701184674755"/>
          <c:y val="0"/>
          <c:w val="0.83198527680399803"/>
          <c:h val="1"/>
        </c:manualLayout>
      </c:layout>
      <c:pie3DChart>
        <c:varyColors val="1"/>
        <c:ser>
          <c:idx val="0"/>
          <c:order val="0"/>
          <c:tx>
            <c:strRef>
              <c:f>Feuil1!$B$1</c:f>
              <c:strCache>
                <c:ptCount val="1"/>
                <c:pt idx="0">
                  <c:v>Exécution</c:v>
                </c:pt>
              </c:strCache>
            </c:strRef>
          </c:tx>
          <c:explosion val="25"/>
          <c:dLbls>
            <c:dLbl>
              <c:idx val="0"/>
              <c:layout>
                <c:manualLayout>
                  <c:x val="-7.393244584761054E-3"/>
                  <c:y val="-4.2633840582859735E-3"/>
                </c:manualLayout>
              </c:layout>
              <c:tx>
                <c:rich>
                  <a:bodyPr/>
                  <a:lstStyle/>
                  <a:p>
                    <a:r>
                      <a:rPr lang="en-US"/>
                      <a:t>8,1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EE9-4FE9-8FA6-545F92B4191F}"/>
                </c:ext>
              </c:extLst>
            </c:dLbl>
            <c:dLbl>
              <c:idx val="1"/>
              <c:layout>
                <c:manualLayout>
                  <c:x val="-1.7401853208831694E-3"/>
                  <c:y val="-8.0760364692075801E-2"/>
                </c:manualLayout>
              </c:layout>
              <c:tx>
                <c:rich>
                  <a:bodyPr/>
                  <a:lstStyle/>
                  <a:p>
                    <a:r>
                      <a:rPr lang="en-US"/>
                      <a:t>29,09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EE9-4FE9-8FA6-545F92B4191F}"/>
                </c:ext>
              </c:extLst>
            </c:dLbl>
            <c:dLbl>
              <c:idx val="2"/>
              <c:layout>
                <c:manualLayout>
                  <c:x val="-5.0466504540719645E-2"/>
                  <c:y val="1.0596633957490539E-3"/>
                </c:manualLayout>
              </c:layout>
              <c:tx>
                <c:rich>
                  <a:bodyPr/>
                  <a:lstStyle/>
                  <a:p>
                    <a:r>
                      <a:rPr lang="en-US"/>
                      <a:t>26,08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EE9-4FE9-8FA6-545F92B4191F}"/>
                </c:ext>
              </c:extLst>
            </c:dLbl>
            <c:dLbl>
              <c:idx val="3"/>
              <c:layout>
                <c:manualLayout>
                  <c:x val="7.4196920862821744E-2"/>
                  <c:y val="-7.7984556192885718E-2"/>
                </c:manualLayout>
              </c:layout>
              <c:tx>
                <c:rich>
                  <a:bodyPr/>
                  <a:lstStyle/>
                  <a:p>
                    <a:r>
                      <a:rPr lang="en-US"/>
                      <a:t>41,2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EE9-4FE9-8FA6-545F92B4191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Feuil1!$A$2:$A$5</c:f>
              <c:strCache>
                <c:ptCount val="4"/>
                <c:pt idx="0">
                  <c:v>Reslt 1</c:v>
                </c:pt>
                <c:pt idx="1">
                  <c:v>Reslt 2</c:v>
                </c:pt>
                <c:pt idx="2">
                  <c:v>Reslt 3</c:v>
                </c:pt>
                <c:pt idx="3">
                  <c:v>Reslt 4</c:v>
                </c:pt>
              </c:strCache>
            </c:strRef>
          </c:cat>
          <c:val>
            <c:numRef>
              <c:f>Feuil1!$B$2:$B$5</c:f>
              <c:numCache>
                <c:formatCode>#,##0</c:formatCode>
                <c:ptCount val="4"/>
                <c:pt idx="0">
                  <c:v>8108608.9900000002</c:v>
                </c:pt>
                <c:pt idx="1">
                  <c:v>29091350.959999997</c:v>
                </c:pt>
                <c:pt idx="2">
                  <c:v>26082618.969999976</c:v>
                </c:pt>
                <c:pt idx="3">
                  <c:v>41214542.910000004</c:v>
                </c:pt>
              </c:numCache>
            </c:numRef>
          </c:val>
          <c:extLst>
            <c:ext xmlns:c16="http://schemas.microsoft.com/office/drawing/2014/chart" uri="{C3380CC4-5D6E-409C-BE32-E72D297353CC}">
              <c16:uniqueId val="{00000004-0EE9-4FE9-8FA6-545F92B4191F}"/>
            </c:ext>
          </c:extLst>
        </c:ser>
        <c:dLbls>
          <c:showLegendKey val="0"/>
          <c:showVal val="0"/>
          <c:showCatName val="0"/>
          <c:showSerName val="0"/>
          <c:showPercent val="0"/>
          <c:showBubbleSize val="0"/>
          <c:showLeaderLines val="0"/>
        </c:dLbls>
      </c:pie3DChart>
      <c:spPr>
        <a:ln>
          <a:noFill/>
        </a:ln>
      </c:spPr>
    </c:plotArea>
    <c:legend>
      <c:legendPos val="r"/>
      <c:layout>
        <c:manualLayout>
          <c:xMode val="edge"/>
          <c:yMode val="edge"/>
          <c:x val="0"/>
          <c:y val="0.86374257523685061"/>
          <c:w val="1"/>
          <c:h val="9.6753113416957193E-2"/>
        </c:manualLayout>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spPr>
        <a:noFill/>
        <a:ln w="6350">
          <a:noFill/>
        </a:ln>
      </c:spPr>
    </c:floor>
    <c:sideWall>
      <c:thickness val="0"/>
    </c:sideWall>
    <c:backWall>
      <c:thickness val="0"/>
    </c:backWall>
    <c:plotArea>
      <c:layout>
        <c:manualLayout>
          <c:layoutTarget val="inner"/>
          <c:xMode val="edge"/>
          <c:yMode val="edge"/>
          <c:x val="8.7986477975532371E-2"/>
          <c:y val="4.4579480767072355E-2"/>
          <c:w val="0.70365114947351481"/>
          <c:h val="0.8250014622494628"/>
        </c:manualLayout>
      </c:layout>
      <c:bar3DChart>
        <c:barDir val="col"/>
        <c:grouping val="standard"/>
        <c:varyColors val="0"/>
        <c:ser>
          <c:idx val="0"/>
          <c:order val="0"/>
          <c:tx>
            <c:strRef>
              <c:f>Feuil1!$B$1</c:f>
              <c:strCache>
                <c:ptCount val="1"/>
                <c:pt idx="0">
                  <c:v>Programmation</c:v>
                </c:pt>
              </c:strCache>
            </c:strRef>
          </c:tx>
          <c:spPr>
            <a:solidFill>
              <a:srgbClr val="7030A0"/>
            </a:solidFill>
          </c:spPr>
          <c:invertIfNegative val="0"/>
          <c:dLbls>
            <c:dLbl>
              <c:idx val="0"/>
              <c:layout>
                <c:manualLayout>
                  <c:x val="-2.8106335636491394E-2"/>
                  <c:y val="-8.03051596065047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F58-473B-AEF9-D3547650ED01}"/>
                </c:ext>
              </c:extLst>
            </c:dLbl>
            <c:dLbl>
              <c:idx val="3"/>
              <c:layout>
                <c:manualLayout>
                  <c:x val="-1.1710973181871413E-2"/>
                  <c:y val="4.01525798032524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F58-473B-AEF9-D3547650ED0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Feuil1!$A$2:$A$5</c:f>
              <c:strCache>
                <c:ptCount val="4"/>
                <c:pt idx="0">
                  <c:v>Réslt 1</c:v>
                </c:pt>
                <c:pt idx="1">
                  <c:v>Réslt 2</c:v>
                </c:pt>
                <c:pt idx="2">
                  <c:v>Réslt 3</c:v>
                </c:pt>
                <c:pt idx="3">
                  <c:v>Réslt 4</c:v>
                </c:pt>
              </c:strCache>
            </c:strRef>
          </c:cat>
          <c:val>
            <c:numRef>
              <c:f>Feuil1!$B$2:$B$5</c:f>
              <c:numCache>
                <c:formatCode>0%</c:formatCode>
                <c:ptCount val="4"/>
                <c:pt idx="0">
                  <c:v>0.13271577020692443</c:v>
                </c:pt>
                <c:pt idx="1">
                  <c:v>0.377774112363856</c:v>
                </c:pt>
                <c:pt idx="2">
                  <c:v>0.3298872530501275</c:v>
                </c:pt>
                <c:pt idx="3">
                  <c:v>0.1596228643790937</c:v>
                </c:pt>
              </c:numCache>
            </c:numRef>
          </c:val>
          <c:extLst>
            <c:ext xmlns:c16="http://schemas.microsoft.com/office/drawing/2014/chart" uri="{C3380CC4-5D6E-409C-BE32-E72D297353CC}">
              <c16:uniqueId val="{00000002-BF58-473B-AEF9-D3547650ED01}"/>
            </c:ext>
          </c:extLst>
        </c:ser>
        <c:ser>
          <c:idx val="1"/>
          <c:order val="1"/>
          <c:tx>
            <c:strRef>
              <c:f>Feuil1!$C$1</c:f>
              <c:strCache>
                <c:ptCount val="1"/>
                <c:pt idx="0">
                  <c:v>Exécution</c:v>
                </c:pt>
              </c:strCache>
            </c:strRef>
          </c:tx>
          <c:spPr>
            <a:solidFill>
              <a:srgbClr val="00B050"/>
            </a:solidFill>
            <a:ln>
              <a:solidFill>
                <a:schemeClr val="accent1"/>
              </a:solidFill>
            </a:ln>
          </c:spPr>
          <c:invertIfNegative val="0"/>
          <c:dLbls>
            <c:dLbl>
              <c:idx val="0"/>
              <c:layout>
                <c:manualLayout>
                  <c:x val="9.3687785454971348E-3"/>
                  <c:y val="-1.20457739409757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F58-473B-AEF9-D3547650ED01}"/>
                </c:ext>
              </c:extLst>
            </c:dLbl>
            <c:dLbl>
              <c:idx val="2"/>
              <c:layout>
                <c:manualLayout>
                  <c:x val="3.747511418198860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F58-473B-AEF9-D3547650ED0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Feuil1!$A$2:$A$5</c:f>
              <c:strCache>
                <c:ptCount val="4"/>
                <c:pt idx="0">
                  <c:v>Réslt 1</c:v>
                </c:pt>
                <c:pt idx="1">
                  <c:v>Réslt 2</c:v>
                </c:pt>
                <c:pt idx="2">
                  <c:v>Réslt 3</c:v>
                </c:pt>
                <c:pt idx="3">
                  <c:v>Réslt 4</c:v>
                </c:pt>
              </c:strCache>
            </c:strRef>
          </c:cat>
          <c:val>
            <c:numRef>
              <c:f>Feuil1!$C$2:$C$5</c:f>
              <c:numCache>
                <c:formatCode>0%</c:formatCode>
                <c:ptCount val="4"/>
                <c:pt idx="0">
                  <c:v>7.7596481587229024E-2</c:v>
                </c:pt>
                <c:pt idx="1">
                  <c:v>0.27839380119317492</c:v>
                </c:pt>
                <c:pt idx="2">
                  <c:v>0.24960131449775474</c:v>
                </c:pt>
                <c:pt idx="3">
                  <c:v>0.39440840272184285</c:v>
                </c:pt>
              </c:numCache>
            </c:numRef>
          </c:val>
          <c:extLst>
            <c:ext xmlns:c16="http://schemas.microsoft.com/office/drawing/2014/chart" uri="{C3380CC4-5D6E-409C-BE32-E72D297353CC}">
              <c16:uniqueId val="{00000005-BF58-473B-AEF9-D3547650ED01}"/>
            </c:ext>
          </c:extLst>
        </c:ser>
        <c:dLbls>
          <c:showLegendKey val="0"/>
          <c:showVal val="0"/>
          <c:showCatName val="0"/>
          <c:showSerName val="0"/>
          <c:showPercent val="0"/>
          <c:showBubbleSize val="0"/>
        </c:dLbls>
        <c:gapWidth val="150"/>
        <c:shape val="box"/>
        <c:axId val="216423040"/>
        <c:axId val="216433024"/>
        <c:axId val="291314752"/>
      </c:bar3DChart>
      <c:catAx>
        <c:axId val="216423040"/>
        <c:scaling>
          <c:orientation val="minMax"/>
        </c:scaling>
        <c:delete val="0"/>
        <c:axPos val="b"/>
        <c:numFmt formatCode="General" sourceLinked="0"/>
        <c:majorTickMark val="out"/>
        <c:minorTickMark val="none"/>
        <c:tickLblPos val="nextTo"/>
        <c:crossAx val="216433024"/>
        <c:crosses val="autoZero"/>
        <c:auto val="1"/>
        <c:lblAlgn val="ctr"/>
        <c:lblOffset val="100"/>
        <c:noMultiLvlLbl val="0"/>
      </c:catAx>
      <c:valAx>
        <c:axId val="216433024"/>
        <c:scaling>
          <c:orientation val="minMax"/>
        </c:scaling>
        <c:delete val="1"/>
        <c:axPos val="l"/>
        <c:numFmt formatCode="0%" sourceLinked="1"/>
        <c:majorTickMark val="out"/>
        <c:minorTickMark val="none"/>
        <c:tickLblPos val="nextTo"/>
        <c:crossAx val="216423040"/>
        <c:crosses val="autoZero"/>
        <c:crossBetween val="between"/>
      </c:valAx>
      <c:serAx>
        <c:axId val="291314752"/>
        <c:scaling>
          <c:orientation val="minMax"/>
        </c:scaling>
        <c:delete val="0"/>
        <c:axPos val="b"/>
        <c:majorTickMark val="out"/>
        <c:minorTickMark val="none"/>
        <c:tickLblPos val="nextTo"/>
        <c:crossAx val="216433024"/>
        <c:crosses val="autoZero"/>
      </c:serAx>
      <c:spPr>
        <a:noFill/>
        <a:ln w="25400">
          <a:noFill/>
        </a:ln>
      </c:spPr>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CAB7C-C171-4279-87EF-5BAD1087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40023</Words>
  <Characters>220127</Characters>
  <Application>Microsoft Office Word</Application>
  <DocSecurity>0</DocSecurity>
  <Lines>1834</Lines>
  <Paragraphs>519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259631</CharactersWithSpaces>
  <SharedDoc>false</SharedDoc>
  <HLinks>
    <vt:vector size="564" baseType="variant">
      <vt:variant>
        <vt:i4>7995477</vt:i4>
      </vt:variant>
      <vt:variant>
        <vt:i4>432</vt:i4>
      </vt:variant>
      <vt:variant>
        <vt:i4>0</vt:i4>
      </vt:variant>
      <vt:variant>
        <vt:i4>5</vt:i4>
      </vt:variant>
      <vt:variant>
        <vt:lpwstr>mailto:vincentkerema@yahoo.com</vt:lpwstr>
      </vt:variant>
      <vt:variant>
        <vt:lpwstr/>
      </vt:variant>
      <vt:variant>
        <vt:i4>6684743</vt:i4>
      </vt:variant>
      <vt:variant>
        <vt:i4>429</vt:i4>
      </vt:variant>
      <vt:variant>
        <vt:i4>0</vt:i4>
      </vt:variant>
      <vt:variant>
        <vt:i4>5</vt:i4>
      </vt:variant>
      <vt:variant>
        <vt:lpwstr>mailto:salyoul@yahoo.fr</vt:lpwstr>
      </vt:variant>
      <vt:variant>
        <vt:lpwstr/>
      </vt:variant>
      <vt:variant>
        <vt:i4>327723</vt:i4>
      </vt:variant>
      <vt:variant>
        <vt:i4>426</vt:i4>
      </vt:variant>
      <vt:variant>
        <vt:i4>0</vt:i4>
      </vt:variant>
      <vt:variant>
        <vt:i4>5</vt:i4>
      </vt:variant>
      <vt:variant>
        <vt:lpwstr>mailto:jcremiebre@gmail.com</vt:lpwstr>
      </vt:variant>
      <vt:variant>
        <vt:lpwstr/>
      </vt:variant>
      <vt:variant>
        <vt:i4>8323166</vt:i4>
      </vt:variant>
      <vt:variant>
        <vt:i4>423</vt:i4>
      </vt:variant>
      <vt:variant>
        <vt:i4>0</vt:i4>
      </vt:variant>
      <vt:variant>
        <vt:i4>5</vt:i4>
      </vt:variant>
      <vt:variant>
        <vt:lpwstr>mailto:saajeantolno@gmail.com</vt:lpwstr>
      </vt:variant>
      <vt:variant>
        <vt:lpwstr/>
      </vt:variant>
      <vt:variant>
        <vt:i4>1638436</vt:i4>
      </vt:variant>
      <vt:variant>
        <vt:i4>420</vt:i4>
      </vt:variant>
      <vt:variant>
        <vt:i4>0</vt:i4>
      </vt:variant>
      <vt:variant>
        <vt:i4>5</vt:i4>
      </vt:variant>
      <vt:variant>
        <vt:lpwstr>mailto:agnatomakamano@gmail.com</vt:lpwstr>
      </vt:variant>
      <vt:variant>
        <vt:lpwstr/>
      </vt:variant>
      <vt:variant>
        <vt:i4>917536</vt:i4>
      </vt:variant>
      <vt:variant>
        <vt:i4>417</vt:i4>
      </vt:variant>
      <vt:variant>
        <vt:i4>0</vt:i4>
      </vt:variant>
      <vt:variant>
        <vt:i4>5</vt:i4>
      </vt:variant>
      <vt:variant>
        <vt:lpwstr>mailto:millimounophilippe@gmail.com</vt:lpwstr>
      </vt:variant>
      <vt:variant>
        <vt:lpwstr/>
      </vt:variant>
      <vt:variant>
        <vt:i4>4063301</vt:i4>
      </vt:variant>
      <vt:variant>
        <vt:i4>414</vt:i4>
      </vt:variant>
      <vt:variant>
        <vt:i4>0</vt:i4>
      </vt:variant>
      <vt:variant>
        <vt:i4>5</vt:i4>
      </vt:variant>
      <vt:variant>
        <vt:lpwstr>mailto:fayakamano3@yahoo.fr</vt:lpwstr>
      </vt:variant>
      <vt:variant>
        <vt:lpwstr/>
      </vt:variant>
      <vt:variant>
        <vt:i4>786537</vt:i4>
      </vt:variant>
      <vt:variant>
        <vt:i4>411</vt:i4>
      </vt:variant>
      <vt:variant>
        <vt:i4>0</vt:i4>
      </vt:variant>
      <vt:variant>
        <vt:i4>5</vt:i4>
      </vt:variant>
      <vt:variant>
        <vt:lpwstr>mailto:627200033/fayakamano3@yahoo.fr</vt:lpwstr>
      </vt:variant>
      <vt:variant>
        <vt:lpwstr/>
      </vt:variant>
      <vt:variant>
        <vt:i4>7405661</vt:i4>
      </vt:variant>
      <vt:variant>
        <vt:i4>408</vt:i4>
      </vt:variant>
      <vt:variant>
        <vt:i4>0</vt:i4>
      </vt:variant>
      <vt:variant>
        <vt:i4>5</vt:i4>
      </vt:variant>
      <vt:variant>
        <vt:lpwstr>mailto:moustobay@gmail.com</vt:lpwstr>
      </vt:variant>
      <vt:variant>
        <vt:lpwstr/>
      </vt:variant>
      <vt:variant>
        <vt:i4>131111</vt:i4>
      </vt:variant>
      <vt:variant>
        <vt:i4>405</vt:i4>
      </vt:variant>
      <vt:variant>
        <vt:i4>0</vt:i4>
      </vt:variant>
      <vt:variant>
        <vt:i4>5</vt:i4>
      </vt:variant>
      <vt:variant>
        <vt:lpwstr>mailto:saajacquesleno@gmail.com</vt:lpwstr>
      </vt:variant>
      <vt:variant>
        <vt:lpwstr/>
      </vt:variant>
      <vt:variant>
        <vt:i4>655406</vt:i4>
      </vt:variant>
      <vt:variant>
        <vt:i4>402</vt:i4>
      </vt:variant>
      <vt:variant>
        <vt:i4>0</vt:i4>
      </vt:variant>
      <vt:variant>
        <vt:i4>5</vt:i4>
      </vt:variant>
      <vt:variant>
        <vt:lpwstr>mailto:alybadarabangus@gmail.com</vt:lpwstr>
      </vt:variant>
      <vt:variant>
        <vt:lpwstr/>
      </vt:variant>
      <vt:variant>
        <vt:i4>4784167</vt:i4>
      </vt:variant>
      <vt:variant>
        <vt:i4>399</vt:i4>
      </vt:variant>
      <vt:variant>
        <vt:i4>0</vt:i4>
      </vt:variant>
      <vt:variant>
        <vt:i4>5</vt:i4>
      </vt:variant>
      <vt:variant>
        <vt:lpwstr>mailto:mahmoud.conde@undp.org</vt:lpwstr>
      </vt:variant>
      <vt:variant>
        <vt:lpwstr/>
      </vt:variant>
      <vt:variant>
        <vt:i4>4915317</vt:i4>
      </vt:variant>
      <vt:variant>
        <vt:i4>396</vt:i4>
      </vt:variant>
      <vt:variant>
        <vt:i4>0</vt:i4>
      </vt:variant>
      <vt:variant>
        <vt:i4>5</vt:i4>
      </vt:variant>
      <vt:variant>
        <vt:lpwstr>mailto:628360305%20/mahmoud.conde@undp.org</vt:lpwstr>
      </vt:variant>
      <vt:variant>
        <vt:lpwstr/>
      </vt:variant>
      <vt:variant>
        <vt:i4>6029416</vt:i4>
      </vt:variant>
      <vt:variant>
        <vt:i4>393</vt:i4>
      </vt:variant>
      <vt:variant>
        <vt:i4>0</vt:i4>
      </vt:variant>
      <vt:variant>
        <vt:i4>5</vt:i4>
      </vt:variant>
      <vt:variant>
        <vt:lpwstr>mailto:analakourouma92@gmail.com</vt:lpwstr>
      </vt:variant>
      <vt:variant>
        <vt:lpwstr/>
      </vt:variant>
      <vt:variant>
        <vt:i4>4653102</vt:i4>
      </vt:variant>
      <vt:variant>
        <vt:i4>390</vt:i4>
      </vt:variant>
      <vt:variant>
        <vt:i4>0</vt:i4>
      </vt:variant>
      <vt:variant>
        <vt:i4>5</vt:i4>
      </vt:variant>
      <vt:variant>
        <vt:lpwstr>mailto:wassayah.kzupp@gmail.com</vt:lpwstr>
      </vt:variant>
      <vt:variant>
        <vt:lpwstr/>
      </vt:variant>
      <vt:variant>
        <vt:i4>7471170</vt:i4>
      </vt:variant>
      <vt:variant>
        <vt:i4>387</vt:i4>
      </vt:variant>
      <vt:variant>
        <vt:i4>0</vt:i4>
      </vt:variant>
      <vt:variant>
        <vt:i4>5</vt:i4>
      </vt:variant>
      <vt:variant>
        <vt:lpwstr>mailto:kondianodanieldounia@gmail.com</vt:lpwstr>
      </vt:variant>
      <vt:variant>
        <vt:lpwstr/>
      </vt:variant>
      <vt:variant>
        <vt:i4>327724</vt:i4>
      </vt:variant>
      <vt:variant>
        <vt:i4>384</vt:i4>
      </vt:variant>
      <vt:variant>
        <vt:i4>0</vt:i4>
      </vt:variant>
      <vt:variant>
        <vt:i4>5</vt:i4>
      </vt:variant>
      <vt:variant>
        <vt:lpwstr>mailto:fayabawakamano@gmail.com</vt:lpwstr>
      </vt:variant>
      <vt:variant>
        <vt:lpwstr/>
      </vt:variant>
      <vt:variant>
        <vt:i4>589856</vt:i4>
      </vt:variant>
      <vt:variant>
        <vt:i4>381</vt:i4>
      </vt:variant>
      <vt:variant>
        <vt:i4>0</vt:i4>
      </vt:variant>
      <vt:variant>
        <vt:i4>5</vt:i4>
      </vt:variant>
      <vt:variant>
        <vt:lpwstr>mailto:cecileleno@gmail.com</vt:lpwstr>
      </vt:variant>
      <vt:variant>
        <vt:lpwstr/>
      </vt:variant>
      <vt:variant>
        <vt:i4>2031661</vt:i4>
      </vt:variant>
      <vt:variant>
        <vt:i4>378</vt:i4>
      </vt:variant>
      <vt:variant>
        <vt:i4>0</vt:i4>
      </vt:variant>
      <vt:variant>
        <vt:i4>5</vt:i4>
      </vt:variant>
      <vt:variant>
        <vt:lpwstr>mailto:yandjisayon@gmail.com</vt:lpwstr>
      </vt:variant>
      <vt:variant>
        <vt:lpwstr/>
      </vt:variant>
      <vt:variant>
        <vt:i4>1245296</vt:i4>
      </vt:variant>
      <vt:variant>
        <vt:i4>375</vt:i4>
      </vt:variant>
      <vt:variant>
        <vt:i4>0</vt:i4>
      </vt:variant>
      <vt:variant>
        <vt:i4>5</vt:i4>
      </vt:variant>
      <vt:variant>
        <vt:lpwstr>mailto:joseph.kadouno@undp.org</vt:lpwstr>
      </vt:variant>
      <vt:variant>
        <vt:lpwstr/>
      </vt:variant>
      <vt:variant>
        <vt:i4>524347</vt:i4>
      </vt:variant>
      <vt:variant>
        <vt:i4>372</vt:i4>
      </vt:variant>
      <vt:variant>
        <vt:i4>0</vt:i4>
      </vt:variant>
      <vt:variant>
        <vt:i4>5</vt:i4>
      </vt:variant>
      <vt:variant>
        <vt:lpwstr>mailto:sowboye@gmail.com</vt:lpwstr>
      </vt:variant>
      <vt:variant>
        <vt:lpwstr/>
      </vt:variant>
      <vt:variant>
        <vt:i4>7667780</vt:i4>
      </vt:variant>
      <vt:variant>
        <vt:i4>369</vt:i4>
      </vt:variant>
      <vt:variant>
        <vt:i4>0</vt:i4>
      </vt:variant>
      <vt:variant>
        <vt:i4>5</vt:i4>
      </vt:variant>
      <vt:variant>
        <vt:lpwstr>mailto:fbintadiallo@gmail.com</vt:lpwstr>
      </vt:variant>
      <vt:variant>
        <vt:lpwstr/>
      </vt:variant>
      <vt:variant>
        <vt:i4>1638458</vt:i4>
      </vt:variant>
      <vt:variant>
        <vt:i4>366</vt:i4>
      </vt:variant>
      <vt:variant>
        <vt:i4>0</vt:i4>
      </vt:variant>
      <vt:variant>
        <vt:i4>5</vt:i4>
      </vt:variant>
      <vt:variant>
        <vt:lpwstr>mailto:evacrosdiakhaby@gmail.com</vt:lpwstr>
      </vt:variant>
      <vt:variant>
        <vt:lpwstr/>
      </vt:variant>
      <vt:variant>
        <vt:i4>2687067</vt:i4>
      </vt:variant>
      <vt:variant>
        <vt:i4>363</vt:i4>
      </vt:variant>
      <vt:variant>
        <vt:i4>0</vt:i4>
      </vt:variant>
      <vt:variant>
        <vt:i4>5</vt:i4>
      </vt:variant>
      <vt:variant>
        <vt:lpwstr>mailto:ambaldepride3@gmail.com</vt:lpwstr>
      </vt:variant>
      <vt:variant>
        <vt:lpwstr/>
      </vt:variant>
      <vt:variant>
        <vt:i4>65580</vt:i4>
      </vt:variant>
      <vt:variant>
        <vt:i4>360</vt:i4>
      </vt:variant>
      <vt:variant>
        <vt:i4>0</vt:i4>
      </vt:variant>
      <vt:variant>
        <vt:i4>5</vt:i4>
      </vt:variant>
      <vt:variant>
        <vt:lpwstr>mailto:djantoutraore@hotmail.com</vt:lpwstr>
      </vt:variant>
      <vt:variant>
        <vt:lpwstr/>
      </vt:variant>
      <vt:variant>
        <vt:i4>6422622</vt:i4>
      </vt:variant>
      <vt:variant>
        <vt:i4>357</vt:i4>
      </vt:variant>
      <vt:variant>
        <vt:i4>0</vt:i4>
      </vt:variant>
      <vt:variant>
        <vt:i4>5</vt:i4>
      </vt:variant>
      <vt:variant>
        <vt:lpwstr>mailto:hawabintadiallo@yahoo.fr</vt:lpwstr>
      </vt:variant>
      <vt:variant>
        <vt:lpwstr/>
      </vt:variant>
      <vt:variant>
        <vt:i4>262252</vt:i4>
      </vt:variant>
      <vt:variant>
        <vt:i4>354</vt:i4>
      </vt:variant>
      <vt:variant>
        <vt:i4>0</vt:i4>
      </vt:variant>
      <vt:variant>
        <vt:i4>5</vt:i4>
      </vt:variant>
      <vt:variant>
        <vt:lpwstr>mailto:dalokho2@hotmail.com</vt:lpwstr>
      </vt:variant>
      <vt:variant>
        <vt:lpwstr/>
      </vt:variant>
      <vt:variant>
        <vt:i4>3276806</vt:i4>
      </vt:variant>
      <vt:variant>
        <vt:i4>351</vt:i4>
      </vt:variant>
      <vt:variant>
        <vt:i4>0</vt:i4>
      </vt:variant>
      <vt:variant>
        <vt:i4>5</vt:i4>
      </vt:variant>
      <vt:variant>
        <vt:lpwstr>mailto:mabinta54@gmail.com</vt:lpwstr>
      </vt:variant>
      <vt:variant>
        <vt:lpwstr/>
      </vt:variant>
      <vt:variant>
        <vt:i4>1900647</vt:i4>
      </vt:variant>
      <vt:variant>
        <vt:i4>348</vt:i4>
      </vt:variant>
      <vt:variant>
        <vt:i4>0</vt:i4>
      </vt:variant>
      <vt:variant>
        <vt:i4>5</vt:i4>
      </vt:variant>
      <vt:variant>
        <vt:lpwstr>mailto:abdoul.haidara@undp.org</vt:lpwstr>
      </vt:variant>
      <vt:variant>
        <vt:lpwstr/>
      </vt:variant>
      <vt:variant>
        <vt:i4>6094883</vt:i4>
      </vt:variant>
      <vt:variant>
        <vt:i4>345</vt:i4>
      </vt:variant>
      <vt:variant>
        <vt:i4>0</vt:i4>
      </vt:variant>
      <vt:variant>
        <vt:i4>5</vt:i4>
      </vt:variant>
      <vt:variant>
        <vt:lpwstr>mailto:mariame.barry@undp.org</vt:lpwstr>
      </vt:variant>
      <vt:variant>
        <vt:lpwstr/>
      </vt:variant>
      <vt:variant>
        <vt:i4>5177382</vt:i4>
      </vt:variant>
      <vt:variant>
        <vt:i4>342</vt:i4>
      </vt:variant>
      <vt:variant>
        <vt:i4>0</vt:i4>
      </vt:variant>
      <vt:variant>
        <vt:i4>5</vt:i4>
      </vt:variant>
      <vt:variant>
        <vt:lpwstr>mailto:sylvain.ki@undp.org</vt:lpwstr>
      </vt:variant>
      <vt:variant>
        <vt:lpwstr/>
      </vt:variant>
      <vt:variant>
        <vt:i4>7667795</vt:i4>
      </vt:variant>
      <vt:variant>
        <vt:i4>339</vt:i4>
      </vt:variant>
      <vt:variant>
        <vt:i4>0</vt:i4>
      </vt:variant>
      <vt:variant>
        <vt:i4>5</vt:i4>
      </vt:variant>
      <vt:variant>
        <vt:lpwstr>mailto:kablito@yahoo.fr</vt:lpwstr>
      </vt:variant>
      <vt:variant>
        <vt:lpwstr/>
      </vt:variant>
      <vt:variant>
        <vt:i4>1572899</vt:i4>
      </vt:variant>
      <vt:variant>
        <vt:i4>336</vt:i4>
      </vt:variant>
      <vt:variant>
        <vt:i4>0</vt:i4>
      </vt:variant>
      <vt:variant>
        <vt:i4>5</vt:i4>
      </vt:variant>
      <vt:variant>
        <vt:lpwstr>mailto:cheick.santigui.camara@undp.org</vt:lpwstr>
      </vt:variant>
      <vt:variant>
        <vt:lpwstr/>
      </vt:variant>
      <vt:variant>
        <vt:i4>6291530</vt:i4>
      </vt:variant>
      <vt:variant>
        <vt:i4>333</vt:i4>
      </vt:variant>
      <vt:variant>
        <vt:i4>0</vt:i4>
      </vt:variant>
      <vt:variant>
        <vt:i4>5</vt:i4>
      </vt:variant>
      <vt:variant>
        <vt:lpwstr>mailto:bayoibro1963@gmail.com</vt:lpwstr>
      </vt:variant>
      <vt:variant>
        <vt:lpwstr/>
      </vt:variant>
      <vt:variant>
        <vt:i4>7667791</vt:i4>
      </vt:variant>
      <vt:variant>
        <vt:i4>330</vt:i4>
      </vt:variant>
      <vt:variant>
        <vt:i4>0</vt:i4>
      </vt:variant>
      <vt:variant>
        <vt:i4>5</vt:i4>
      </vt:variant>
      <vt:variant>
        <vt:lpwstr>mailto:bahmaadjou@hotmail.fr</vt:lpwstr>
      </vt:variant>
      <vt:variant>
        <vt:lpwstr/>
      </vt:variant>
      <vt:variant>
        <vt:i4>6750291</vt:i4>
      </vt:variant>
      <vt:variant>
        <vt:i4>327</vt:i4>
      </vt:variant>
      <vt:variant>
        <vt:i4>0</vt:i4>
      </vt:variant>
      <vt:variant>
        <vt:i4>5</vt:i4>
      </vt:variant>
      <vt:variant>
        <vt:lpwstr>mailto:mamadou.lamarana.diallo@undp.org</vt:lpwstr>
      </vt:variant>
      <vt:variant>
        <vt:lpwstr/>
      </vt:variant>
      <vt:variant>
        <vt:i4>983091</vt:i4>
      </vt:variant>
      <vt:variant>
        <vt:i4>324</vt:i4>
      </vt:variant>
      <vt:variant>
        <vt:i4>0</vt:i4>
      </vt:variant>
      <vt:variant>
        <vt:i4>5</vt:i4>
      </vt:variant>
      <vt:variant>
        <vt:lpwstr>mailto:mamadoukalidoudiallo@unp.org</vt:lpwstr>
      </vt:variant>
      <vt:variant>
        <vt:lpwstr/>
      </vt:variant>
      <vt:variant>
        <vt:i4>7602267</vt:i4>
      </vt:variant>
      <vt:variant>
        <vt:i4>321</vt:i4>
      </vt:variant>
      <vt:variant>
        <vt:i4>0</vt:i4>
      </vt:variant>
      <vt:variant>
        <vt:i4>5</vt:i4>
      </vt:variant>
      <vt:variant>
        <vt:lpwstr>mailto:kandebangoura@gmail.com</vt:lpwstr>
      </vt:variant>
      <vt:variant>
        <vt:lpwstr/>
      </vt:variant>
      <vt:variant>
        <vt:i4>5767218</vt:i4>
      </vt:variant>
      <vt:variant>
        <vt:i4>318</vt:i4>
      </vt:variant>
      <vt:variant>
        <vt:i4>0</vt:i4>
      </vt:variant>
      <vt:variant>
        <vt:i4>5</vt:i4>
      </vt:variant>
      <vt:variant>
        <vt:lpwstr>mailto:ousmane.bocoum@undp.org</vt:lpwstr>
      </vt:variant>
      <vt:variant>
        <vt:lpwstr/>
      </vt:variant>
      <vt:variant>
        <vt:i4>4128833</vt:i4>
      </vt:variant>
      <vt:variant>
        <vt:i4>315</vt:i4>
      </vt:variant>
      <vt:variant>
        <vt:i4>0</vt:i4>
      </vt:variant>
      <vt:variant>
        <vt:i4>5</vt:i4>
      </vt:variant>
      <vt:variant>
        <vt:lpwstr>mailto:aboubacar.youla@undp.org</vt:lpwstr>
      </vt:variant>
      <vt:variant>
        <vt:lpwstr/>
      </vt:variant>
      <vt:variant>
        <vt:i4>6291530</vt:i4>
      </vt:variant>
      <vt:variant>
        <vt:i4>312</vt:i4>
      </vt:variant>
      <vt:variant>
        <vt:i4>0</vt:i4>
      </vt:variant>
      <vt:variant>
        <vt:i4>5</vt:i4>
      </vt:variant>
      <vt:variant>
        <vt:lpwstr>mailto:mamadou.cire.camara@undp.org</vt:lpwstr>
      </vt:variant>
      <vt:variant>
        <vt:lpwstr/>
      </vt:variant>
      <vt:variant>
        <vt:i4>1835047</vt:i4>
      </vt:variant>
      <vt:variant>
        <vt:i4>309</vt:i4>
      </vt:variant>
      <vt:variant>
        <vt:i4>0</vt:i4>
      </vt:variant>
      <vt:variant>
        <vt:i4>5</vt:i4>
      </vt:variant>
      <vt:variant>
        <vt:lpwstr>mailto:camaraselly@gmail.com</vt:lpwstr>
      </vt:variant>
      <vt:variant>
        <vt:lpwstr/>
      </vt:variant>
      <vt:variant>
        <vt:i4>2883671</vt:i4>
      </vt:variant>
      <vt:variant>
        <vt:i4>306</vt:i4>
      </vt:variant>
      <vt:variant>
        <vt:i4>0</vt:i4>
      </vt:variant>
      <vt:variant>
        <vt:i4>5</vt:i4>
      </vt:variant>
      <vt:variant>
        <vt:lpwstr>mailto:aboubacar.sylla@undp.org</vt:lpwstr>
      </vt:variant>
      <vt:variant>
        <vt:lpwstr/>
      </vt:variant>
      <vt:variant>
        <vt:i4>3407874</vt:i4>
      </vt:variant>
      <vt:variant>
        <vt:i4>303</vt:i4>
      </vt:variant>
      <vt:variant>
        <vt:i4>0</vt:i4>
      </vt:variant>
      <vt:variant>
        <vt:i4>5</vt:i4>
      </vt:variant>
      <vt:variant>
        <vt:lpwstr>mailto:eloi.kouadio.iv@undp.org</vt:lpwstr>
      </vt:variant>
      <vt:variant>
        <vt:lpwstr/>
      </vt:variant>
      <vt:variant>
        <vt:i4>1638448</vt:i4>
      </vt:variant>
      <vt:variant>
        <vt:i4>296</vt:i4>
      </vt:variant>
      <vt:variant>
        <vt:i4>0</vt:i4>
      </vt:variant>
      <vt:variant>
        <vt:i4>5</vt:i4>
      </vt:variant>
      <vt:variant>
        <vt:lpwstr/>
      </vt:variant>
      <vt:variant>
        <vt:lpwstr>_Toc466626088</vt:lpwstr>
      </vt:variant>
      <vt:variant>
        <vt:i4>1638448</vt:i4>
      </vt:variant>
      <vt:variant>
        <vt:i4>290</vt:i4>
      </vt:variant>
      <vt:variant>
        <vt:i4>0</vt:i4>
      </vt:variant>
      <vt:variant>
        <vt:i4>5</vt:i4>
      </vt:variant>
      <vt:variant>
        <vt:lpwstr/>
      </vt:variant>
      <vt:variant>
        <vt:lpwstr>_Toc466626086</vt:lpwstr>
      </vt:variant>
      <vt:variant>
        <vt:i4>1638448</vt:i4>
      </vt:variant>
      <vt:variant>
        <vt:i4>284</vt:i4>
      </vt:variant>
      <vt:variant>
        <vt:i4>0</vt:i4>
      </vt:variant>
      <vt:variant>
        <vt:i4>5</vt:i4>
      </vt:variant>
      <vt:variant>
        <vt:lpwstr/>
      </vt:variant>
      <vt:variant>
        <vt:lpwstr>_Toc466626085</vt:lpwstr>
      </vt:variant>
      <vt:variant>
        <vt:i4>1638448</vt:i4>
      </vt:variant>
      <vt:variant>
        <vt:i4>278</vt:i4>
      </vt:variant>
      <vt:variant>
        <vt:i4>0</vt:i4>
      </vt:variant>
      <vt:variant>
        <vt:i4>5</vt:i4>
      </vt:variant>
      <vt:variant>
        <vt:lpwstr/>
      </vt:variant>
      <vt:variant>
        <vt:lpwstr>_Toc466626084</vt:lpwstr>
      </vt:variant>
      <vt:variant>
        <vt:i4>1638448</vt:i4>
      </vt:variant>
      <vt:variant>
        <vt:i4>272</vt:i4>
      </vt:variant>
      <vt:variant>
        <vt:i4>0</vt:i4>
      </vt:variant>
      <vt:variant>
        <vt:i4>5</vt:i4>
      </vt:variant>
      <vt:variant>
        <vt:lpwstr/>
      </vt:variant>
      <vt:variant>
        <vt:lpwstr>_Toc466626083</vt:lpwstr>
      </vt:variant>
      <vt:variant>
        <vt:i4>1638448</vt:i4>
      </vt:variant>
      <vt:variant>
        <vt:i4>266</vt:i4>
      </vt:variant>
      <vt:variant>
        <vt:i4>0</vt:i4>
      </vt:variant>
      <vt:variant>
        <vt:i4>5</vt:i4>
      </vt:variant>
      <vt:variant>
        <vt:lpwstr/>
      </vt:variant>
      <vt:variant>
        <vt:lpwstr>_Toc466626082</vt:lpwstr>
      </vt:variant>
      <vt:variant>
        <vt:i4>1638448</vt:i4>
      </vt:variant>
      <vt:variant>
        <vt:i4>260</vt:i4>
      </vt:variant>
      <vt:variant>
        <vt:i4>0</vt:i4>
      </vt:variant>
      <vt:variant>
        <vt:i4>5</vt:i4>
      </vt:variant>
      <vt:variant>
        <vt:lpwstr/>
      </vt:variant>
      <vt:variant>
        <vt:lpwstr>_Toc466626081</vt:lpwstr>
      </vt:variant>
      <vt:variant>
        <vt:i4>1638448</vt:i4>
      </vt:variant>
      <vt:variant>
        <vt:i4>254</vt:i4>
      </vt:variant>
      <vt:variant>
        <vt:i4>0</vt:i4>
      </vt:variant>
      <vt:variant>
        <vt:i4>5</vt:i4>
      </vt:variant>
      <vt:variant>
        <vt:lpwstr/>
      </vt:variant>
      <vt:variant>
        <vt:lpwstr>_Toc466626080</vt:lpwstr>
      </vt:variant>
      <vt:variant>
        <vt:i4>1441840</vt:i4>
      </vt:variant>
      <vt:variant>
        <vt:i4>248</vt:i4>
      </vt:variant>
      <vt:variant>
        <vt:i4>0</vt:i4>
      </vt:variant>
      <vt:variant>
        <vt:i4>5</vt:i4>
      </vt:variant>
      <vt:variant>
        <vt:lpwstr/>
      </vt:variant>
      <vt:variant>
        <vt:lpwstr>_Toc466626079</vt:lpwstr>
      </vt:variant>
      <vt:variant>
        <vt:i4>1441840</vt:i4>
      </vt:variant>
      <vt:variant>
        <vt:i4>242</vt:i4>
      </vt:variant>
      <vt:variant>
        <vt:i4>0</vt:i4>
      </vt:variant>
      <vt:variant>
        <vt:i4>5</vt:i4>
      </vt:variant>
      <vt:variant>
        <vt:lpwstr/>
      </vt:variant>
      <vt:variant>
        <vt:lpwstr>_Toc466626078</vt:lpwstr>
      </vt:variant>
      <vt:variant>
        <vt:i4>1441840</vt:i4>
      </vt:variant>
      <vt:variant>
        <vt:i4>236</vt:i4>
      </vt:variant>
      <vt:variant>
        <vt:i4>0</vt:i4>
      </vt:variant>
      <vt:variant>
        <vt:i4>5</vt:i4>
      </vt:variant>
      <vt:variant>
        <vt:lpwstr/>
      </vt:variant>
      <vt:variant>
        <vt:lpwstr>_Toc466626077</vt:lpwstr>
      </vt:variant>
      <vt:variant>
        <vt:i4>1441840</vt:i4>
      </vt:variant>
      <vt:variant>
        <vt:i4>230</vt:i4>
      </vt:variant>
      <vt:variant>
        <vt:i4>0</vt:i4>
      </vt:variant>
      <vt:variant>
        <vt:i4>5</vt:i4>
      </vt:variant>
      <vt:variant>
        <vt:lpwstr/>
      </vt:variant>
      <vt:variant>
        <vt:lpwstr>_Toc466626076</vt:lpwstr>
      </vt:variant>
      <vt:variant>
        <vt:i4>1441840</vt:i4>
      </vt:variant>
      <vt:variant>
        <vt:i4>224</vt:i4>
      </vt:variant>
      <vt:variant>
        <vt:i4>0</vt:i4>
      </vt:variant>
      <vt:variant>
        <vt:i4>5</vt:i4>
      </vt:variant>
      <vt:variant>
        <vt:lpwstr/>
      </vt:variant>
      <vt:variant>
        <vt:lpwstr>_Toc466626075</vt:lpwstr>
      </vt:variant>
      <vt:variant>
        <vt:i4>1441840</vt:i4>
      </vt:variant>
      <vt:variant>
        <vt:i4>218</vt:i4>
      </vt:variant>
      <vt:variant>
        <vt:i4>0</vt:i4>
      </vt:variant>
      <vt:variant>
        <vt:i4>5</vt:i4>
      </vt:variant>
      <vt:variant>
        <vt:lpwstr/>
      </vt:variant>
      <vt:variant>
        <vt:lpwstr>_Toc466626074</vt:lpwstr>
      </vt:variant>
      <vt:variant>
        <vt:i4>1441840</vt:i4>
      </vt:variant>
      <vt:variant>
        <vt:i4>212</vt:i4>
      </vt:variant>
      <vt:variant>
        <vt:i4>0</vt:i4>
      </vt:variant>
      <vt:variant>
        <vt:i4>5</vt:i4>
      </vt:variant>
      <vt:variant>
        <vt:lpwstr/>
      </vt:variant>
      <vt:variant>
        <vt:lpwstr>_Toc466626073</vt:lpwstr>
      </vt:variant>
      <vt:variant>
        <vt:i4>1441840</vt:i4>
      </vt:variant>
      <vt:variant>
        <vt:i4>206</vt:i4>
      </vt:variant>
      <vt:variant>
        <vt:i4>0</vt:i4>
      </vt:variant>
      <vt:variant>
        <vt:i4>5</vt:i4>
      </vt:variant>
      <vt:variant>
        <vt:lpwstr/>
      </vt:variant>
      <vt:variant>
        <vt:lpwstr>_Toc466626072</vt:lpwstr>
      </vt:variant>
      <vt:variant>
        <vt:i4>1441840</vt:i4>
      </vt:variant>
      <vt:variant>
        <vt:i4>200</vt:i4>
      </vt:variant>
      <vt:variant>
        <vt:i4>0</vt:i4>
      </vt:variant>
      <vt:variant>
        <vt:i4>5</vt:i4>
      </vt:variant>
      <vt:variant>
        <vt:lpwstr/>
      </vt:variant>
      <vt:variant>
        <vt:lpwstr>_Toc466626071</vt:lpwstr>
      </vt:variant>
      <vt:variant>
        <vt:i4>1441840</vt:i4>
      </vt:variant>
      <vt:variant>
        <vt:i4>194</vt:i4>
      </vt:variant>
      <vt:variant>
        <vt:i4>0</vt:i4>
      </vt:variant>
      <vt:variant>
        <vt:i4>5</vt:i4>
      </vt:variant>
      <vt:variant>
        <vt:lpwstr/>
      </vt:variant>
      <vt:variant>
        <vt:lpwstr>_Toc466626070</vt:lpwstr>
      </vt:variant>
      <vt:variant>
        <vt:i4>1507376</vt:i4>
      </vt:variant>
      <vt:variant>
        <vt:i4>188</vt:i4>
      </vt:variant>
      <vt:variant>
        <vt:i4>0</vt:i4>
      </vt:variant>
      <vt:variant>
        <vt:i4>5</vt:i4>
      </vt:variant>
      <vt:variant>
        <vt:lpwstr/>
      </vt:variant>
      <vt:variant>
        <vt:lpwstr>_Toc466626069</vt:lpwstr>
      </vt:variant>
      <vt:variant>
        <vt:i4>1507376</vt:i4>
      </vt:variant>
      <vt:variant>
        <vt:i4>182</vt:i4>
      </vt:variant>
      <vt:variant>
        <vt:i4>0</vt:i4>
      </vt:variant>
      <vt:variant>
        <vt:i4>5</vt:i4>
      </vt:variant>
      <vt:variant>
        <vt:lpwstr/>
      </vt:variant>
      <vt:variant>
        <vt:lpwstr>_Toc466626068</vt:lpwstr>
      </vt:variant>
      <vt:variant>
        <vt:i4>1507376</vt:i4>
      </vt:variant>
      <vt:variant>
        <vt:i4>176</vt:i4>
      </vt:variant>
      <vt:variant>
        <vt:i4>0</vt:i4>
      </vt:variant>
      <vt:variant>
        <vt:i4>5</vt:i4>
      </vt:variant>
      <vt:variant>
        <vt:lpwstr/>
      </vt:variant>
      <vt:variant>
        <vt:lpwstr>_Toc466626067</vt:lpwstr>
      </vt:variant>
      <vt:variant>
        <vt:i4>1507376</vt:i4>
      </vt:variant>
      <vt:variant>
        <vt:i4>170</vt:i4>
      </vt:variant>
      <vt:variant>
        <vt:i4>0</vt:i4>
      </vt:variant>
      <vt:variant>
        <vt:i4>5</vt:i4>
      </vt:variant>
      <vt:variant>
        <vt:lpwstr/>
      </vt:variant>
      <vt:variant>
        <vt:lpwstr>_Toc466626066</vt:lpwstr>
      </vt:variant>
      <vt:variant>
        <vt:i4>1507376</vt:i4>
      </vt:variant>
      <vt:variant>
        <vt:i4>164</vt:i4>
      </vt:variant>
      <vt:variant>
        <vt:i4>0</vt:i4>
      </vt:variant>
      <vt:variant>
        <vt:i4>5</vt:i4>
      </vt:variant>
      <vt:variant>
        <vt:lpwstr/>
      </vt:variant>
      <vt:variant>
        <vt:lpwstr>_Toc466626065</vt:lpwstr>
      </vt:variant>
      <vt:variant>
        <vt:i4>1507376</vt:i4>
      </vt:variant>
      <vt:variant>
        <vt:i4>158</vt:i4>
      </vt:variant>
      <vt:variant>
        <vt:i4>0</vt:i4>
      </vt:variant>
      <vt:variant>
        <vt:i4>5</vt:i4>
      </vt:variant>
      <vt:variant>
        <vt:lpwstr/>
      </vt:variant>
      <vt:variant>
        <vt:lpwstr>_Toc466626064</vt:lpwstr>
      </vt:variant>
      <vt:variant>
        <vt:i4>1507376</vt:i4>
      </vt:variant>
      <vt:variant>
        <vt:i4>152</vt:i4>
      </vt:variant>
      <vt:variant>
        <vt:i4>0</vt:i4>
      </vt:variant>
      <vt:variant>
        <vt:i4>5</vt:i4>
      </vt:variant>
      <vt:variant>
        <vt:lpwstr/>
      </vt:variant>
      <vt:variant>
        <vt:lpwstr>_Toc466626063</vt:lpwstr>
      </vt:variant>
      <vt:variant>
        <vt:i4>1507376</vt:i4>
      </vt:variant>
      <vt:variant>
        <vt:i4>146</vt:i4>
      </vt:variant>
      <vt:variant>
        <vt:i4>0</vt:i4>
      </vt:variant>
      <vt:variant>
        <vt:i4>5</vt:i4>
      </vt:variant>
      <vt:variant>
        <vt:lpwstr/>
      </vt:variant>
      <vt:variant>
        <vt:lpwstr>_Toc466626062</vt:lpwstr>
      </vt:variant>
      <vt:variant>
        <vt:i4>1507376</vt:i4>
      </vt:variant>
      <vt:variant>
        <vt:i4>140</vt:i4>
      </vt:variant>
      <vt:variant>
        <vt:i4>0</vt:i4>
      </vt:variant>
      <vt:variant>
        <vt:i4>5</vt:i4>
      </vt:variant>
      <vt:variant>
        <vt:lpwstr/>
      </vt:variant>
      <vt:variant>
        <vt:lpwstr>_Toc466626061</vt:lpwstr>
      </vt:variant>
      <vt:variant>
        <vt:i4>1507376</vt:i4>
      </vt:variant>
      <vt:variant>
        <vt:i4>134</vt:i4>
      </vt:variant>
      <vt:variant>
        <vt:i4>0</vt:i4>
      </vt:variant>
      <vt:variant>
        <vt:i4>5</vt:i4>
      </vt:variant>
      <vt:variant>
        <vt:lpwstr/>
      </vt:variant>
      <vt:variant>
        <vt:lpwstr>_Toc466626060</vt:lpwstr>
      </vt:variant>
      <vt:variant>
        <vt:i4>1310768</vt:i4>
      </vt:variant>
      <vt:variant>
        <vt:i4>128</vt:i4>
      </vt:variant>
      <vt:variant>
        <vt:i4>0</vt:i4>
      </vt:variant>
      <vt:variant>
        <vt:i4>5</vt:i4>
      </vt:variant>
      <vt:variant>
        <vt:lpwstr/>
      </vt:variant>
      <vt:variant>
        <vt:lpwstr>_Toc466626059</vt:lpwstr>
      </vt:variant>
      <vt:variant>
        <vt:i4>1310768</vt:i4>
      </vt:variant>
      <vt:variant>
        <vt:i4>122</vt:i4>
      </vt:variant>
      <vt:variant>
        <vt:i4>0</vt:i4>
      </vt:variant>
      <vt:variant>
        <vt:i4>5</vt:i4>
      </vt:variant>
      <vt:variant>
        <vt:lpwstr/>
      </vt:variant>
      <vt:variant>
        <vt:lpwstr>_Toc466626058</vt:lpwstr>
      </vt:variant>
      <vt:variant>
        <vt:i4>1310768</vt:i4>
      </vt:variant>
      <vt:variant>
        <vt:i4>116</vt:i4>
      </vt:variant>
      <vt:variant>
        <vt:i4>0</vt:i4>
      </vt:variant>
      <vt:variant>
        <vt:i4>5</vt:i4>
      </vt:variant>
      <vt:variant>
        <vt:lpwstr/>
      </vt:variant>
      <vt:variant>
        <vt:lpwstr>_Toc466626057</vt:lpwstr>
      </vt:variant>
      <vt:variant>
        <vt:i4>1310768</vt:i4>
      </vt:variant>
      <vt:variant>
        <vt:i4>110</vt:i4>
      </vt:variant>
      <vt:variant>
        <vt:i4>0</vt:i4>
      </vt:variant>
      <vt:variant>
        <vt:i4>5</vt:i4>
      </vt:variant>
      <vt:variant>
        <vt:lpwstr/>
      </vt:variant>
      <vt:variant>
        <vt:lpwstr>_Toc466626056</vt:lpwstr>
      </vt:variant>
      <vt:variant>
        <vt:i4>1310768</vt:i4>
      </vt:variant>
      <vt:variant>
        <vt:i4>104</vt:i4>
      </vt:variant>
      <vt:variant>
        <vt:i4>0</vt:i4>
      </vt:variant>
      <vt:variant>
        <vt:i4>5</vt:i4>
      </vt:variant>
      <vt:variant>
        <vt:lpwstr/>
      </vt:variant>
      <vt:variant>
        <vt:lpwstr>_Toc466626055</vt:lpwstr>
      </vt:variant>
      <vt:variant>
        <vt:i4>1310768</vt:i4>
      </vt:variant>
      <vt:variant>
        <vt:i4>98</vt:i4>
      </vt:variant>
      <vt:variant>
        <vt:i4>0</vt:i4>
      </vt:variant>
      <vt:variant>
        <vt:i4>5</vt:i4>
      </vt:variant>
      <vt:variant>
        <vt:lpwstr/>
      </vt:variant>
      <vt:variant>
        <vt:lpwstr>_Toc466626054</vt:lpwstr>
      </vt:variant>
      <vt:variant>
        <vt:i4>1310768</vt:i4>
      </vt:variant>
      <vt:variant>
        <vt:i4>92</vt:i4>
      </vt:variant>
      <vt:variant>
        <vt:i4>0</vt:i4>
      </vt:variant>
      <vt:variant>
        <vt:i4>5</vt:i4>
      </vt:variant>
      <vt:variant>
        <vt:lpwstr/>
      </vt:variant>
      <vt:variant>
        <vt:lpwstr>_Toc466626053</vt:lpwstr>
      </vt:variant>
      <vt:variant>
        <vt:i4>1310768</vt:i4>
      </vt:variant>
      <vt:variant>
        <vt:i4>86</vt:i4>
      </vt:variant>
      <vt:variant>
        <vt:i4>0</vt:i4>
      </vt:variant>
      <vt:variant>
        <vt:i4>5</vt:i4>
      </vt:variant>
      <vt:variant>
        <vt:lpwstr/>
      </vt:variant>
      <vt:variant>
        <vt:lpwstr>_Toc466626052</vt:lpwstr>
      </vt:variant>
      <vt:variant>
        <vt:i4>1310768</vt:i4>
      </vt:variant>
      <vt:variant>
        <vt:i4>80</vt:i4>
      </vt:variant>
      <vt:variant>
        <vt:i4>0</vt:i4>
      </vt:variant>
      <vt:variant>
        <vt:i4>5</vt:i4>
      </vt:variant>
      <vt:variant>
        <vt:lpwstr/>
      </vt:variant>
      <vt:variant>
        <vt:lpwstr>_Toc466626051</vt:lpwstr>
      </vt:variant>
      <vt:variant>
        <vt:i4>1310768</vt:i4>
      </vt:variant>
      <vt:variant>
        <vt:i4>74</vt:i4>
      </vt:variant>
      <vt:variant>
        <vt:i4>0</vt:i4>
      </vt:variant>
      <vt:variant>
        <vt:i4>5</vt:i4>
      </vt:variant>
      <vt:variant>
        <vt:lpwstr/>
      </vt:variant>
      <vt:variant>
        <vt:lpwstr>_Toc466626050</vt:lpwstr>
      </vt:variant>
      <vt:variant>
        <vt:i4>1376304</vt:i4>
      </vt:variant>
      <vt:variant>
        <vt:i4>68</vt:i4>
      </vt:variant>
      <vt:variant>
        <vt:i4>0</vt:i4>
      </vt:variant>
      <vt:variant>
        <vt:i4>5</vt:i4>
      </vt:variant>
      <vt:variant>
        <vt:lpwstr/>
      </vt:variant>
      <vt:variant>
        <vt:lpwstr>_Toc466626049</vt:lpwstr>
      </vt:variant>
      <vt:variant>
        <vt:i4>1376304</vt:i4>
      </vt:variant>
      <vt:variant>
        <vt:i4>62</vt:i4>
      </vt:variant>
      <vt:variant>
        <vt:i4>0</vt:i4>
      </vt:variant>
      <vt:variant>
        <vt:i4>5</vt:i4>
      </vt:variant>
      <vt:variant>
        <vt:lpwstr/>
      </vt:variant>
      <vt:variant>
        <vt:lpwstr>_Toc466626048</vt:lpwstr>
      </vt:variant>
      <vt:variant>
        <vt:i4>1376304</vt:i4>
      </vt:variant>
      <vt:variant>
        <vt:i4>56</vt:i4>
      </vt:variant>
      <vt:variant>
        <vt:i4>0</vt:i4>
      </vt:variant>
      <vt:variant>
        <vt:i4>5</vt:i4>
      </vt:variant>
      <vt:variant>
        <vt:lpwstr/>
      </vt:variant>
      <vt:variant>
        <vt:lpwstr>_Toc466626047</vt:lpwstr>
      </vt:variant>
      <vt:variant>
        <vt:i4>1376304</vt:i4>
      </vt:variant>
      <vt:variant>
        <vt:i4>50</vt:i4>
      </vt:variant>
      <vt:variant>
        <vt:i4>0</vt:i4>
      </vt:variant>
      <vt:variant>
        <vt:i4>5</vt:i4>
      </vt:variant>
      <vt:variant>
        <vt:lpwstr/>
      </vt:variant>
      <vt:variant>
        <vt:lpwstr>_Toc466626046</vt:lpwstr>
      </vt:variant>
      <vt:variant>
        <vt:i4>1376304</vt:i4>
      </vt:variant>
      <vt:variant>
        <vt:i4>44</vt:i4>
      </vt:variant>
      <vt:variant>
        <vt:i4>0</vt:i4>
      </vt:variant>
      <vt:variant>
        <vt:i4>5</vt:i4>
      </vt:variant>
      <vt:variant>
        <vt:lpwstr/>
      </vt:variant>
      <vt:variant>
        <vt:lpwstr>_Toc466626045</vt:lpwstr>
      </vt:variant>
      <vt:variant>
        <vt:i4>1376304</vt:i4>
      </vt:variant>
      <vt:variant>
        <vt:i4>38</vt:i4>
      </vt:variant>
      <vt:variant>
        <vt:i4>0</vt:i4>
      </vt:variant>
      <vt:variant>
        <vt:i4>5</vt:i4>
      </vt:variant>
      <vt:variant>
        <vt:lpwstr/>
      </vt:variant>
      <vt:variant>
        <vt:lpwstr>_Toc466626044</vt:lpwstr>
      </vt:variant>
      <vt:variant>
        <vt:i4>1376304</vt:i4>
      </vt:variant>
      <vt:variant>
        <vt:i4>32</vt:i4>
      </vt:variant>
      <vt:variant>
        <vt:i4>0</vt:i4>
      </vt:variant>
      <vt:variant>
        <vt:i4>5</vt:i4>
      </vt:variant>
      <vt:variant>
        <vt:lpwstr/>
      </vt:variant>
      <vt:variant>
        <vt:lpwstr>_Toc466626043</vt:lpwstr>
      </vt:variant>
      <vt:variant>
        <vt:i4>1376304</vt:i4>
      </vt:variant>
      <vt:variant>
        <vt:i4>26</vt:i4>
      </vt:variant>
      <vt:variant>
        <vt:i4>0</vt:i4>
      </vt:variant>
      <vt:variant>
        <vt:i4>5</vt:i4>
      </vt:variant>
      <vt:variant>
        <vt:lpwstr/>
      </vt:variant>
      <vt:variant>
        <vt:lpwstr>_Toc466626042</vt:lpwstr>
      </vt:variant>
      <vt:variant>
        <vt:i4>1376304</vt:i4>
      </vt:variant>
      <vt:variant>
        <vt:i4>20</vt:i4>
      </vt:variant>
      <vt:variant>
        <vt:i4>0</vt:i4>
      </vt:variant>
      <vt:variant>
        <vt:i4>5</vt:i4>
      </vt:variant>
      <vt:variant>
        <vt:lpwstr/>
      </vt:variant>
      <vt:variant>
        <vt:lpwstr>_Toc466626041</vt:lpwstr>
      </vt:variant>
      <vt:variant>
        <vt:i4>1376304</vt:i4>
      </vt:variant>
      <vt:variant>
        <vt:i4>14</vt:i4>
      </vt:variant>
      <vt:variant>
        <vt:i4>0</vt:i4>
      </vt:variant>
      <vt:variant>
        <vt:i4>5</vt:i4>
      </vt:variant>
      <vt:variant>
        <vt:lpwstr/>
      </vt:variant>
      <vt:variant>
        <vt:lpwstr>_Toc466626040</vt:lpwstr>
      </vt:variant>
      <vt:variant>
        <vt:i4>1179696</vt:i4>
      </vt:variant>
      <vt:variant>
        <vt:i4>8</vt:i4>
      </vt:variant>
      <vt:variant>
        <vt:i4>0</vt:i4>
      </vt:variant>
      <vt:variant>
        <vt:i4>5</vt:i4>
      </vt:variant>
      <vt:variant>
        <vt:lpwstr/>
      </vt:variant>
      <vt:variant>
        <vt:lpwstr>_Toc466626039</vt:lpwstr>
      </vt:variant>
      <vt:variant>
        <vt:i4>1179696</vt:i4>
      </vt:variant>
      <vt:variant>
        <vt:i4>2</vt:i4>
      </vt:variant>
      <vt:variant>
        <vt:i4>0</vt:i4>
      </vt:variant>
      <vt:variant>
        <vt:i4>5</vt:i4>
      </vt:variant>
      <vt:variant>
        <vt:lpwstr/>
      </vt:variant>
      <vt:variant>
        <vt:lpwstr>_Toc466626038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ordinateur</dc:creator>
  <cp:lastModifiedBy>Safia Guindo</cp:lastModifiedBy>
  <cp:revision>2</cp:revision>
  <cp:lastPrinted>2015-10-01T12:38:00Z</cp:lastPrinted>
  <dcterms:created xsi:type="dcterms:W3CDTF">2018-01-04T16:55:00Z</dcterms:created>
  <dcterms:modified xsi:type="dcterms:W3CDTF">2018-01-04T16:55:00Z</dcterms:modified>
</cp:coreProperties>
</file>