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C21" w:rsidRPr="00E308E0" w:rsidRDefault="00307C21" w:rsidP="00307C21">
      <w:pPr>
        <w:pStyle w:val="BodyText"/>
        <w:jc w:val="center"/>
        <w:rPr>
          <w:b/>
          <w:color w:val="2E74B5" w:themeColor="accent1" w:themeShade="BF"/>
          <w:szCs w:val="24"/>
        </w:rPr>
      </w:pPr>
      <w:r w:rsidRPr="00E308E0">
        <w:rPr>
          <w:b/>
          <w:color w:val="2E74B5" w:themeColor="accent1" w:themeShade="BF"/>
          <w:szCs w:val="24"/>
        </w:rPr>
        <w:t>CONSULTANCY SERVICES FOR RETAINER EXPERT TO FACILITATE THE UNDAF</w:t>
      </w:r>
      <w:r w:rsidR="00E308E0">
        <w:rPr>
          <w:b/>
          <w:color w:val="2E74B5" w:themeColor="accent1" w:themeShade="BF"/>
          <w:szCs w:val="24"/>
        </w:rPr>
        <w:t>-III</w:t>
      </w:r>
      <w:r w:rsidRPr="00E308E0">
        <w:rPr>
          <w:b/>
          <w:color w:val="2E74B5" w:themeColor="accent1" w:themeShade="BF"/>
          <w:szCs w:val="24"/>
        </w:rPr>
        <w:t xml:space="preserve"> MID-TERM REVIEW</w:t>
      </w:r>
      <w:r w:rsidR="00E308E0">
        <w:rPr>
          <w:b/>
          <w:color w:val="2E74B5" w:themeColor="accent1" w:themeShade="BF"/>
          <w:szCs w:val="24"/>
        </w:rPr>
        <w:t>.</w:t>
      </w:r>
      <w:r w:rsidRPr="00E308E0">
        <w:rPr>
          <w:b/>
          <w:color w:val="2E74B5" w:themeColor="accent1" w:themeShade="BF"/>
          <w:szCs w:val="24"/>
        </w:rPr>
        <w:t xml:space="preserve"> </w:t>
      </w:r>
    </w:p>
    <w:p w:rsidR="00307C21" w:rsidRPr="004075CC" w:rsidRDefault="00307C21" w:rsidP="00307C21">
      <w:pPr>
        <w:pStyle w:val="BodyText"/>
        <w:jc w:val="center"/>
        <w:rPr>
          <w:b/>
          <w:color w:val="2E74B5" w:themeColor="accent1" w:themeShade="BF"/>
          <w:szCs w:val="24"/>
          <w:u w:val="single"/>
        </w:rPr>
      </w:pPr>
    </w:p>
    <w:p w:rsidR="00307C21" w:rsidRPr="004075CC" w:rsidRDefault="00307C21" w:rsidP="00307C21">
      <w:pPr>
        <w:pStyle w:val="BodyText"/>
        <w:jc w:val="center"/>
        <w:rPr>
          <w:b/>
          <w:color w:val="2E74B5" w:themeColor="accent1" w:themeShade="BF"/>
          <w:szCs w:val="24"/>
          <w:u w:val="single"/>
        </w:rPr>
      </w:pPr>
    </w:p>
    <w:p w:rsidR="00307C21" w:rsidRPr="004075CC" w:rsidRDefault="00307C21" w:rsidP="00307C21">
      <w:pPr>
        <w:pStyle w:val="BodyText"/>
        <w:jc w:val="center"/>
        <w:rPr>
          <w:b/>
          <w:color w:val="2E74B5" w:themeColor="accent1" w:themeShade="BF"/>
          <w:szCs w:val="24"/>
          <w:u w:val="single"/>
        </w:rPr>
      </w:pPr>
      <w:r w:rsidRPr="004075CC">
        <w:rPr>
          <w:b/>
          <w:color w:val="2E74B5" w:themeColor="accent1" w:themeShade="BF"/>
          <w:szCs w:val="24"/>
          <w:u w:val="single"/>
        </w:rPr>
        <w:t xml:space="preserve">TERMS OF REFERENCE  </w:t>
      </w:r>
    </w:p>
    <w:p w:rsidR="00307C21" w:rsidRPr="004075CC" w:rsidRDefault="00307C21" w:rsidP="00307C21">
      <w:pPr>
        <w:pStyle w:val="BodyText"/>
        <w:jc w:val="both"/>
        <w:rPr>
          <w:color w:val="2E74B5" w:themeColor="accent1" w:themeShade="BF"/>
          <w:szCs w:val="24"/>
        </w:rPr>
      </w:pPr>
    </w:p>
    <w:p w:rsidR="00307C21" w:rsidRPr="004075CC" w:rsidRDefault="00307C21" w:rsidP="004075CC">
      <w:pPr>
        <w:pStyle w:val="BodyText"/>
        <w:jc w:val="both"/>
        <w:rPr>
          <w:b/>
          <w:color w:val="2E74B5" w:themeColor="accent1" w:themeShade="BF"/>
          <w:szCs w:val="24"/>
        </w:rPr>
      </w:pPr>
      <w:r w:rsidRPr="004075CC">
        <w:rPr>
          <w:b/>
          <w:color w:val="2E74B5" w:themeColor="accent1" w:themeShade="BF"/>
          <w:szCs w:val="24"/>
        </w:rPr>
        <w:t>CONTEXT &amp; BACKGROUND</w:t>
      </w:r>
    </w:p>
    <w:p w:rsidR="00307C21" w:rsidRPr="004075CC" w:rsidRDefault="00307C21" w:rsidP="00307C21">
      <w:pPr>
        <w:pStyle w:val="BodyText2"/>
        <w:tabs>
          <w:tab w:val="left" w:pos="0"/>
        </w:tabs>
        <w:suppressAutoHyphens/>
        <w:rPr>
          <w:szCs w:val="24"/>
        </w:rPr>
      </w:pPr>
    </w:p>
    <w:p w:rsidR="00307C21" w:rsidRPr="004075CC" w:rsidRDefault="00307C21" w:rsidP="00307C21">
      <w:pPr>
        <w:pStyle w:val="BodyText2"/>
        <w:tabs>
          <w:tab w:val="left" w:pos="0"/>
        </w:tabs>
        <w:suppressAutoHyphens/>
        <w:rPr>
          <w:szCs w:val="24"/>
        </w:rPr>
      </w:pPr>
      <w:r w:rsidRPr="004075CC">
        <w:rPr>
          <w:szCs w:val="24"/>
        </w:rPr>
        <w:t>The third generation 2014-2017 of the United Nations Development Assistance Framework (UNDAF III) is the common strategic framework for the operational activities of the United Nations System (UNS) in Nigeria. It provides a collective, coherent and integra</w:t>
      </w:r>
      <w:r w:rsidR="003C79D1">
        <w:rPr>
          <w:szCs w:val="24"/>
        </w:rPr>
        <w:t>ted UNS</w:t>
      </w:r>
      <w:r w:rsidRPr="004075CC">
        <w:rPr>
          <w:szCs w:val="24"/>
        </w:rPr>
        <w:t xml:space="preserve">’s  response to the country’s priorities and needs as captured in the National development Agenda i.e. Vision 20:2020. </w:t>
      </w:r>
    </w:p>
    <w:p w:rsidR="00307C21" w:rsidRPr="004075CC" w:rsidRDefault="00307C21" w:rsidP="00307C21">
      <w:pPr>
        <w:pStyle w:val="BodyText2"/>
        <w:tabs>
          <w:tab w:val="left" w:pos="0"/>
        </w:tabs>
        <w:suppressAutoHyphens/>
        <w:rPr>
          <w:szCs w:val="24"/>
        </w:rPr>
      </w:pPr>
    </w:p>
    <w:p w:rsidR="00307C21" w:rsidRPr="004075CC" w:rsidRDefault="00307C21" w:rsidP="00307C21">
      <w:pPr>
        <w:pStyle w:val="BodyText2"/>
        <w:tabs>
          <w:tab w:val="left" w:pos="0"/>
        </w:tabs>
        <w:suppressAutoHyphens/>
        <w:rPr>
          <w:spacing w:val="-3"/>
          <w:szCs w:val="24"/>
        </w:rPr>
      </w:pPr>
      <w:r w:rsidRPr="004075CC">
        <w:rPr>
          <w:szCs w:val="24"/>
        </w:rPr>
        <w:t xml:space="preserve">UNDAF-III identifies four development Pillars that mirrors the National development agenda of the Government in Nigeria: </w:t>
      </w:r>
      <w:r w:rsidRPr="004075CC">
        <w:rPr>
          <w:b/>
          <w:szCs w:val="24"/>
        </w:rPr>
        <w:t>(Pillar 1)</w:t>
      </w:r>
      <w:r w:rsidRPr="004075CC">
        <w:rPr>
          <w:szCs w:val="24"/>
        </w:rPr>
        <w:t xml:space="preserve"> Good Governance, </w:t>
      </w:r>
      <w:r w:rsidRPr="004075CC">
        <w:rPr>
          <w:b/>
          <w:szCs w:val="24"/>
        </w:rPr>
        <w:t>(Pillar 2)</w:t>
      </w:r>
      <w:r w:rsidRPr="004075CC">
        <w:rPr>
          <w:szCs w:val="24"/>
        </w:rPr>
        <w:t xml:space="preserve"> Social Capital, </w:t>
      </w:r>
      <w:r w:rsidRPr="004075CC">
        <w:rPr>
          <w:b/>
          <w:szCs w:val="24"/>
        </w:rPr>
        <w:t>(Pillar 3)</w:t>
      </w:r>
      <w:r w:rsidRPr="004075CC">
        <w:rPr>
          <w:szCs w:val="24"/>
        </w:rPr>
        <w:t xml:space="preserve"> Equitable and Sustainable Economic Growth, and </w:t>
      </w:r>
      <w:r w:rsidRPr="004075CC">
        <w:rPr>
          <w:b/>
          <w:szCs w:val="24"/>
        </w:rPr>
        <w:t>(Pillar 4)</w:t>
      </w:r>
      <w:r w:rsidRPr="004075CC">
        <w:rPr>
          <w:szCs w:val="24"/>
        </w:rPr>
        <w:t xml:space="preserve"> Human Security and Risk Management. The UNDAF is further broken down to thematic group for ease of coordination, with the Social Capital pillar broken down into (</w:t>
      </w:r>
      <w:proofErr w:type="spellStart"/>
      <w:r w:rsidRPr="004075CC">
        <w:rPr>
          <w:szCs w:val="24"/>
        </w:rPr>
        <w:t>i</w:t>
      </w:r>
      <w:proofErr w:type="spellEnd"/>
      <w:r w:rsidRPr="004075CC">
        <w:rPr>
          <w:szCs w:val="24"/>
        </w:rPr>
        <w:t>) Education (ii) Social Protection (iii) Health &amp; HIV. In addition the UNDAF identifies the humanitarian response, data, gender &amp; HIV/AIDS as cross-cutting component linking all the UNDAF Pillars.</w:t>
      </w:r>
      <w:r w:rsidRPr="004075CC">
        <w:rPr>
          <w:spacing w:val="-3"/>
          <w:szCs w:val="24"/>
        </w:rPr>
        <w:t xml:space="preserve"> </w:t>
      </w:r>
    </w:p>
    <w:p w:rsidR="00307C21" w:rsidRPr="004075CC" w:rsidRDefault="00307C21" w:rsidP="00307C21">
      <w:pPr>
        <w:pStyle w:val="BodyText2"/>
        <w:tabs>
          <w:tab w:val="left" w:pos="0"/>
        </w:tabs>
        <w:suppressAutoHyphens/>
        <w:rPr>
          <w:spacing w:val="-3"/>
          <w:szCs w:val="24"/>
        </w:rPr>
      </w:pPr>
    </w:p>
    <w:p w:rsidR="00307C21" w:rsidRPr="004075CC" w:rsidRDefault="00307C21" w:rsidP="00307C21">
      <w:pPr>
        <w:pStyle w:val="BodyText2"/>
        <w:tabs>
          <w:tab w:val="left" w:pos="0"/>
        </w:tabs>
        <w:suppressAutoHyphens/>
        <w:rPr>
          <w:spacing w:val="-3"/>
          <w:szCs w:val="24"/>
        </w:rPr>
      </w:pPr>
      <w:r w:rsidRPr="004075CC">
        <w:rPr>
          <w:spacing w:val="-3"/>
          <w:szCs w:val="24"/>
        </w:rPr>
        <w:t xml:space="preserve">As a living document, the UNDAF III must be assessed of its impact to set goals. Thus, building on the successful review of the UNDAF III implementation in 2014, the UN and Government seeks to maintain this approach in subsequent years. </w:t>
      </w:r>
      <w:r w:rsidRPr="004075CC">
        <w:rPr>
          <w:spacing w:val="-3"/>
          <w:szCs w:val="24"/>
          <w:lang w:val="en-US"/>
        </w:rPr>
        <w:t xml:space="preserve">The commitment to conduct an Annual Review of the UNDAF in 2015 implementation year is in tandem with the UNDAF monitoring and reporting calendar. The 2015 is to identify progress made against the goals set out in the UNDAF within this period through joint analysis to find ways of improving UN support to the development process in Nigeria.  The Government and the UN would therefore hold a one day high-level review meeting with partners to validate the progress and performance for the year under review. </w:t>
      </w:r>
    </w:p>
    <w:p w:rsidR="00307C21" w:rsidRPr="004075CC" w:rsidRDefault="00307C21" w:rsidP="00307C21">
      <w:pPr>
        <w:pStyle w:val="BodyText2"/>
        <w:tabs>
          <w:tab w:val="left" w:pos="0"/>
        </w:tabs>
        <w:suppressAutoHyphens/>
        <w:rPr>
          <w:szCs w:val="24"/>
        </w:rPr>
      </w:pPr>
    </w:p>
    <w:p w:rsidR="00307C21" w:rsidRPr="004075CC" w:rsidRDefault="00307C21" w:rsidP="00307C21">
      <w:pPr>
        <w:pStyle w:val="BodyText2"/>
        <w:tabs>
          <w:tab w:val="left" w:pos="0"/>
        </w:tabs>
        <w:suppressAutoHyphens/>
        <w:rPr>
          <w:szCs w:val="24"/>
          <w:shd w:val="clear" w:color="auto" w:fill="FFFFFF"/>
        </w:rPr>
      </w:pPr>
      <w:r w:rsidRPr="004075CC">
        <w:rPr>
          <w:szCs w:val="24"/>
          <w:shd w:val="clear" w:color="auto" w:fill="FFFFFF"/>
        </w:rPr>
        <w:t xml:space="preserve">This review will also identify issues and gaps, and help </w:t>
      </w:r>
      <w:r w:rsidR="00654734">
        <w:rPr>
          <w:szCs w:val="24"/>
          <w:shd w:val="clear" w:color="auto" w:fill="FFFFFF"/>
        </w:rPr>
        <w:t xml:space="preserve">the </w:t>
      </w:r>
      <w:r w:rsidRPr="004075CC">
        <w:rPr>
          <w:szCs w:val="24"/>
          <w:shd w:val="clear" w:color="auto" w:fill="FFFFFF"/>
        </w:rPr>
        <w:t xml:space="preserve">UNsystem and its partners to make recommendations for course corrections 2016 implementation and chart the way forward for the UNDAF III. </w:t>
      </w:r>
    </w:p>
    <w:p w:rsidR="00307C21" w:rsidRPr="004075CC" w:rsidRDefault="00307C21" w:rsidP="00307C21">
      <w:pPr>
        <w:pStyle w:val="BodyText2"/>
        <w:tabs>
          <w:tab w:val="left" w:pos="0"/>
        </w:tabs>
        <w:suppressAutoHyphens/>
        <w:rPr>
          <w:color w:val="333333"/>
          <w:szCs w:val="24"/>
          <w:shd w:val="clear" w:color="auto" w:fill="FFFFFF"/>
        </w:rPr>
      </w:pPr>
    </w:p>
    <w:p w:rsidR="00307C21" w:rsidRPr="004075CC" w:rsidRDefault="00307C21" w:rsidP="00307C21">
      <w:pPr>
        <w:pStyle w:val="BodyText2"/>
        <w:tabs>
          <w:tab w:val="left" w:pos="0"/>
        </w:tabs>
        <w:suppressAutoHyphens/>
        <w:rPr>
          <w:color w:val="333333"/>
          <w:szCs w:val="24"/>
          <w:shd w:val="clear" w:color="auto" w:fill="FFFFFF"/>
        </w:rPr>
      </w:pPr>
    </w:p>
    <w:p w:rsidR="00307C21" w:rsidRPr="004075CC" w:rsidRDefault="00307C21" w:rsidP="004075CC">
      <w:pPr>
        <w:pStyle w:val="BodyText2"/>
        <w:tabs>
          <w:tab w:val="left" w:pos="0"/>
        </w:tabs>
        <w:suppressAutoHyphens/>
        <w:rPr>
          <w:b/>
          <w:bCs/>
          <w:color w:val="2E74B5" w:themeColor="accent1" w:themeShade="BF"/>
          <w:spacing w:val="-3"/>
          <w:szCs w:val="24"/>
          <w:lang w:val="en-US"/>
        </w:rPr>
      </w:pPr>
      <w:r w:rsidRPr="004075CC">
        <w:rPr>
          <w:b/>
          <w:bCs/>
          <w:color w:val="2E74B5" w:themeColor="accent1" w:themeShade="BF"/>
          <w:spacing w:val="-3"/>
          <w:szCs w:val="24"/>
          <w:lang w:val="en-US"/>
        </w:rPr>
        <w:t xml:space="preserve">DESCRIPTION OF RESPONSIBILITIES </w:t>
      </w:r>
    </w:p>
    <w:p w:rsidR="00307C21" w:rsidRPr="004075CC" w:rsidRDefault="00307C21" w:rsidP="00307C21">
      <w:pPr>
        <w:pStyle w:val="ListParagraph"/>
        <w:ind w:left="0"/>
        <w:jc w:val="both"/>
      </w:pPr>
      <w:bookmarkStart w:id="0" w:name="_GoBack"/>
      <w:r w:rsidRPr="004075CC">
        <w:t xml:space="preserve">Under the overall supervision of the </w:t>
      </w:r>
      <w:r w:rsidR="008300EC">
        <w:t>Resident Coordinator/</w:t>
      </w:r>
      <w:r w:rsidRPr="004075CC">
        <w:t xml:space="preserve">Chairperson of the </w:t>
      </w:r>
      <w:proofErr w:type="spellStart"/>
      <w:r w:rsidRPr="004075CC">
        <w:t>Programme</w:t>
      </w:r>
      <w:proofErr w:type="spellEnd"/>
      <w:r w:rsidRPr="004075CC">
        <w:t xml:space="preserve"> Management Team (PMT) and the immediate supervision of the Head of the Resident Coordinator’s Office, the consultant is required to facilitate the 2015 UNDAF </w:t>
      </w:r>
      <w:r w:rsidR="001F12D2">
        <w:t xml:space="preserve">mid-term review meeting </w:t>
      </w:r>
      <w:r w:rsidRPr="004075CC">
        <w:t xml:space="preserve">and related processes by; </w:t>
      </w:r>
    </w:p>
    <w:p w:rsidR="00307C21" w:rsidRPr="004075CC" w:rsidRDefault="001F12D2" w:rsidP="00307C21">
      <w:pPr>
        <w:pStyle w:val="ListParagraph"/>
        <w:numPr>
          <w:ilvl w:val="0"/>
          <w:numId w:val="1"/>
        </w:numPr>
        <w:jc w:val="both"/>
      </w:pPr>
      <w:r>
        <w:t>Participating</w:t>
      </w:r>
      <w:r w:rsidR="004075CC" w:rsidRPr="004075CC">
        <w:t xml:space="preserve"> in the</w:t>
      </w:r>
      <w:r w:rsidR="00307C21" w:rsidRPr="004075CC">
        <w:t xml:space="preserve"> 2015 UNDAF III annual review meeting and other similar meetings; </w:t>
      </w:r>
    </w:p>
    <w:p w:rsidR="00307C21" w:rsidRPr="004075CC" w:rsidRDefault="00307C21" w:rsidP="004075CC">
      <w:pPr>
        <w:pStyle w:val="ListParagraph"/>
        <w:numPr>
          <w:ilvl w:val="0"/>
          <w:numId w:val="1"/>
        </w:numPr>
        <w:jc w:val="both"/>
      </w:pPr>
      <w:r w:rsidRPr="004075CC">
        <w:t xml:space="preserve">Produce the 2015 UNDAF-III </w:t>
      </w:r>
      <w:r w:rsidR="004075CC" w:rsidRPr="004075CC">
        <w:t>MTR</w:t>
      </w:r>
      <w:r w:rsidRPr="004075CC">
        <w:t xml:space="preserve"> (Fully edited Narrative Report)</w:t>
      </w:r>
      <w:r w:rsidR="004075CC" w:rsidRPr="004075CC">
        <w:t xml:space="preserve"> to include an </w:t>
      </w:r>
      <w:r w:rsidRPr="004075CC">
        <w:t>analytical report of focused group discussions</w:t>
      </w:r>
      <w:r w:rsidR="008300EC">
        <w:t>, with clear recommendations, lesson learned to inform the next UNDAF cycle</w:t>
      </w:r>
      <w:r w:rsidRPr="004075CC">
        <w:t xml:space="preserve"> ; </w:t>
      </w:r>
    </w:p>
    <w:p w:rsidR="00307C21" w:rsidRPr="004075CC" w:rsidRDefault="00307C21" w:rsidP="00307C21">
      <w:pPr>
        <w:pStyle w:val="ListParagraph"/>
        <w:numPr>
          <w:ilvl w:val="0"/>
          <w:numId w:val="1"/>
        </w:numPr>
        <w:jc w:val="both"/>
      </w:pPr>
      <w:r w:rsidRPr="004075CC">
        <w:t xml:space="preserve">Review reports of thematic groups and other UNDAF III DaO focal States; </w:t>
      </w:r>
    </w:p>
    <w:p w:rsidR="00307C21" w:rsidRPr="004075CC" w:rsidRDefault="00307C21" w:rsidP="00307C21">
      <w:pPr>
        <w:pStyle w:val="ListParagraph"/>
        <w:numPr>
          <w:ilvl w:val="0"/>
          <w:numId w:val="1"/>
        </w:numPr>
        <w:jc w:val="both"/>
      </w:pPr>
      <w:r w:rsidRPr="004075CC">
        <w:lastRenderedPageBreak/>
        <w:t xml:space="preserve">Undertake any other duties related to UNDAF review meetings. </w:t>
      </w:r>
    </w:p>
    <w:bookmarkEnd w:id="0"/>
    <w:p w:rsidR="00307C21" w:rsidRPr="004075CC" w:rsidRDefault="00307C21" w:rsidP="00307C21">
      <w:pPr>
        <w:jc w:val="both"/>
      </w:pPr>
    </w:p>
    <w:p w:rsidR="00307C21" w:rsidRPr="004075CC" w:rsidRDefault="001F12D2" w:rsidP="00307C21">
      <w:pPr>
        <w:jc w:val="both"/>
        <w:rPr>
          <w:b/>
          <w:color w:val="2E74B5" w:themeColor="accent1" w:themeShade="BF"/>
        </w:rPr>
      </w:pPr>
      <w:r>
        <w:rPr>
          <w:b/>
          <w:color w:val="2E74B5" w:themeColor="accent1" w:themeShade="BF"/>
        </w:rPr>
        <w:t xml:space="preserve">DUTIES </w:t>
      </w:r>
      <w:r w:rsidR="00307C21" w:rsidRPr="004075CC">
        <w:rPr>
          <w:b/>
          <w:color w:val="2E74B5" w:themeColor="accent1" w:themeShade="BF"/>
        </w:rPr>
        <w:t xml:space="preserve">&amp; MILESTONES </w:t>
      </w:r>
      <w:r w:rsidR="008300EC">
        <w:rPr>
          <w:b/>
          <w:color w:val="2E74B5" w:themeColor="accent1" w:themeShade="BF"/>
        </w:rPr>
        <w:t xml:space="preserve">– deliverable </w:t>
      </w:r>
      <w:r w:rsidR="00610E56">
        <w:rPr>
          <w:b/>
          <w:color w:val="2E74B5" w:themeColor="accent1" w:themeShade="BF"/>
        </w:rPr>
        <w:t xml:space="preserve">within </w:t>
      </w:r>
      <w:r w:rsidR="008300EC">
        <w:rPr>
          <w:b/>
          <w:color w:val="2E74B5" w:themeColor="accent1" w:themeShade="BF"/>
        </w:rPr>
        <w:t>30 days</w:t>
      </w:r>
    </w:p>
    <w:p w:rsidR="00307C21" w:rsidRPr="004075CC" w:rsidRDefault="00307C21" w:rsidP="00307C21">
      <w:pPr>
        <w:jc w:val="both"/>
        <w:rPr>
          <w:b/>
        </w:rPr>
      </w:pPr>
    </w:p>
    <w:tbl>
      <w:tblPr>
        <w:tblStyle w:val="TableGrid"/>
        <w:tblW w:w="9445" w:type="dxa"/>
        <w:tblLook w:val="04A0" w:firstRow="1" w:lastRow="0" w:firstColumn="1" w:lastColumn="0" w:noHBand="0" w:noVBand="1"/>
      </w:tblPr>
      <w:tblGrid>
        <w:gridCol w:w="674"/>
        <w:gridCol w:w="6701"/>
        <w:gridCol w:w="2070"/>
      </w:tblGrid>
      <w:tr w:rsidR="00307C21" w:rsidRPr="004075CC" w:rsidTr="004075CC">
        <w:tc>
          <w:tcPr>
            <w:tcW w:w="674" w:type="dxa"/>
            <w:shd w:val="clear" w:color="auto" w:fill="DEEAF6" w:themeFill="accent1" w:themeFillTint="33"/>
          </w:tcPr>
          <w:p w:rsidR="00307C21" w:rsidRPr="004075CC" w:rsidRDefault="00307C21" w:rsidP="00307C21">
            <w:pPr>
              <w:jc w:val="both"/>
              <w:rPr>
                <w:b/>
              </w:rPr>
            </w:pPr>
            <w:r w:rsidRPr="004075CC">
              <w:rPr>
                <w:b/>
              </w:rPr>
              <w:t>S/N</w:t>
            </w:r>
          </w:p>
        </w:tc>
        <w:tc>
          <w:tcPr>
            <w:tcW w:w="6701" w:type="dxa"/>
            <w:shd w:val="clear" w:color="auto" w:fill="DEEAF6" w:themeFill="accent1" w:themeFillTint="33"/>
          </w:tcPr>
          <w:p w:rsidR="00307C21" w:rsidRPr="004075CC" w:rsidRDefault="00307C21" w:rsidP="00307C21">
            <w:pPr>
              <w:jc w:val="both"/>
              <w:rPr>
                <w:b/>
              </w:rPr>
            </w:pPr>
            <w:r w:rsidRPr="004075CC">
              <w:rPr>
                <w:b/>
              </w:rPr>
              <w:t>SERVICE DELIVERABLES</w:t>
            </w:r>
          </w:p>
        </w:tc>
        <w:tc>
          <w:tcPr>
            <w:tcW w:w="2070" w:type="dxa"/>
            <w:shd w:val="clear" w:color="auto" w:fill="DEEAF6" w:themeFill="accent1" w:themeFillTint="33"/>
          </w:tcPr>
          <w:p w:rsidR="00307C21" w:rsidRPr="004075CC" w:rsidRDefault="00374EFF" w:rsidP="00307C21">
            <w:pPr>
              <w:jc w:val="both"/>
              <w:rPr>
                <w:b/>
              </w:rPr>
            </w:pPr>
            <w:r>
              <w:rPr>
                <w:b/>
              </w:rPr>
              <w:t xml:space="preserve">TIMELINE </w:t>
            </w:r>
          </w:p>
        </w:tc>
      </w:tr>
      <w:tr w:rsidR="00374EFF" w:rsidRPr="004075CC" w:rsidTr="00567752">
        <w:tc>
          <w:tcPr>
            <w:tcW w:w="674" w:type="dxa"/>
          </w:tcPr>
          <w:p w:rsidR="00374EFF" w:rsidRPr="004075CC" w:rsidRDefault="00374EFF" w:rsidP="00307C21">
            <w:pPr>
              <w:pStyle w:val="Default"/>
              <w:jc w:val="both"/>
            </w:pPr>
            <w:r w:rsidRPr="004075CC">
              <w:t>1</w:t>
            </w:r>
          </w:p>
        </w:tc>
        <w:tc>
          <w:tcPr>
            <w:tcW w:w="6701" w:type="dxa"/>
          </w:tcPr>
          <w:p w:rsidR="00374EFF" w:rsidRPr="004075CC" w:rsidRDefault="00374EFF" w:rsidP="00307C21">
            <w:pPr>
              <w:pStyle w:val="Default"/>
              <w:jc w:val="both"/>
            </w:pPr>
            <w:r w:rsidRPr="004075CC">
              <w:t xml:space="preserve">Meet with RCO and define methodology and work plan </w:t>
            </w:r>
          </w:p>
        </w:tc>
        <w:tc>
          <w:tcPr>
            <w:tcW w:w="2070" w:type="dxa"/>
            <w:vMerge w:val="restart"/>
          </w:tcPr>
          <w:p w:rsidR="00374EFF" w:rsidRDefault="00374EFF" w:rsidP="00307C21">
            <w:pPr>
              <w:jc w:val="both"/>
            </w:pPr>
          </w:p>
          <w:p w:rsidR="00374EFF" w:rsidRDefault="00374EFF" w:rsidP="00307C21">
            <w:pPr>
              <w:jc w:val="both"/>
            </w:pPr>
          </w:p>
          <w:p w:rsidR="00374EFF" w:rsidRPr="004075CC" w:rsidRDefault="00374EFF" w:rsidP="00374EFF">
            <w:pPr>
              <w:jc w:val="center"/>
            </w:pPr>
            <w:r>
              <w:t>2 day</w:t>
            </w:r>
          </w:p>
        </w:tc>
      </w:tr>
      <w:tr w:rsidR="00374EFF" w:rsidRPr="004075CC" w:rsidTr="00567752">
        <w:tc>
          <w:tcPr>
            <w:tcW w:w="674" w:type="dxa"/>
          </w:tcPr>
          <w:p w:rsidR="00374EFF" w:rsidRPr="004075CC" w:rsidRDefault="00374EFF" w:rsidP="00307C21">
            <w:pPr>
              <w:pStyle w:val="Default"/>
              <w:jc w:val="both"/>
            </w:pPr>
            <w:r w:rsidRPr="004075CC">
              <w:t>2</w:t>
            </w:r>
          </w:p>
        </w:tc>
        <w:tc>
          <w:tcPr>
            <w:tcW w:w="6701" w:type="dxa"/>
          </w:tcPr>
          <w:p w:rsidR="00374EFF" w:rsidRPr="004075CC" w:rsidRDefault="00374EFF" w:rsidP="00F916DC">
            <w:pPr>
              <w:pStyle w:val="Default"/>
              <w:jc w:val="both"/>
            </w:pPr>
            <w:r w:rsidRPr="004075CC">
              <w:t>Consult with the RCO/UN-M&amp;E and map the documents to be reviewed and identify areas where the MTR will cover.</w:t>
            </w:r>
          </w:p>
        </w:tc>
        <w:tc>
          <w:tcPr>
            <w:tcW w:w="2070" w:type="dxa"/>
            <w:vMerge/>
          </w:tcPr>
          <w:p w:rsidR="00374EFF" w:rsidRPr="004075CC" w:rsidRDefault="00374EFF" w:rsidP="00307C21">
            <w:pPr>
              <w:jc w:val="both"/>
            </w:pPr>
          </w:p>
        </w:tc>
      </w:tr>
      <w:tr w:rsidR="00374EFF" w:rsidRPr="004075CC" w:rsidTr="00567752">
        <w:tc>
          <w:tcPr>
            <w:tcW w:w="674" w:type="dxa"/>
          </w:tcPr>
          <w:p w:rsidR="00374EFF" w:rsidRPr="004075CC" w:rsidRDefault="00374EFF" w:rsidP="00307C21">
            <w:pPr>
              <w:pStyle w:val="Default"/>
              <w:jc w:val="both"/>
            </w:pPr>
            <w:r w:rsidRPr="004075CC">
              <w:t>3</w:t>
            </w:r>
          </w:p>
        </w:tc>
        <w:tc>
          <w:tcPr>
            <w:tcW w:w="6701" w:type="dxa"/>
          </w:tcPr>
          <w:p w:rsidR="00374EFF" w:rsidRPr="004075CC" w:rsidRDefault="00374EFF" w:rsidP="00567752">
            <w:pPr>
              <w:pStyle w:val="Default"/>
              <w:jc w:val="both"/>
            </w:pPr>
            <w:r w:rsidRPr="004075CC">
              <w:t>Review the UNDAF documents and past appraisal.</w:t>
            </w:r>
          </w:p>
        </w:tc>
        <w:tc>
          <w:tcPr>
            <w:tcW w:w="2070" w:type="dxa"/>
            <w:vMerge/>
          </w:tcPr>
          <w:p w:rsidR="00374EFF" w:rsidRPr="004075CC" w:rsidRDefault="00374EFF" w:rsidP="00307C21">
            <w:pPr>
              <w:jc w:val="both"/>
            </w:pPr>
          </w:p>
        </w:tc>
      </w:tr>
      <w:tr w:rsidR="00374EFF" w:rsidRPr="004075CC" w:rsidTr="00567752">
        <w:tc>
          <w:tcPr>
            <w:tcW w:w="674" w:type="dxa"/>
          </w:tcPr>
          <w:p w:rsidR="00374EFF" w:rsidRPr="004075CC" w:rsidRDefault="00374EFF" w:rsidP="00307C21">
            <w:pPr>
              <w:pStyle w:val="Default"/>
              <w:jc w:val="both"/>
            </w:pPr>
            <w:r w:rsidRPr="004075CC">
              <w:t>4</w:t>
            </w:r>
          </w:p>
        </w:tc>
        <w:tc>
          <w:tcPr>
            <w:tcW w:w="6701" w:type="dxa"/>
          </w:tcPr>
          <w:p w:rsidR="00374EFF" w:rsidRPr="004075CC" w:rsidRDefault="00374EFF" w:rsidP="00307C21">
            <w:pPr>
              <w:pStyle w:val="Default"/>
              <w:jc w:val="both"/>
            </w:pPr>
            <w:r w:rsidRPr="004075CC">
              <w:t>Attend the UNDAF Annual review Meeting.</w:t>
            </w:r>
          </w:p>
        </w:tc>
        <w:tc>
          <w:tcPr>
            <w:tcW w:w="2070" w:type="dxa"/>
            <w:vMerge w:val="restart"/>
          </w:tcPr>
          <w:p w:rsidR="00374EFF" w:rsidRPr="004075CC" w:rsidRDefault="00374EFF" w:rsidP="00374EFF">
            <w:pPr>
              <w:jc w:val="center"/>
            </w:pPr>
            <w:r>
              <w:t xml:space="preserve">1 day </w:t>
            </w:r>
          </w:p>
        </w:tc>
      </w:tr>
      <w:tr w:rsidR="00374EFF" w:rsidRPr="004075CC" w:rsidTr="00567752">
        <w:tc>
          <w:tcPr>
            <w:tcW w:w="674" w:type="dxa"/>
          </w:tcPr>
          <w:p w:rsidR="00374EFF" w:rsidRPr="004075CC" w:rsidRDefault="00374EFF" w:rsidP="00307C21">
            <w:pPr>
              <w:pStyle w:val="Default"/>
              <w:jc w:val="both"/>
            </w:pPr>
            <w:r w:rsidRPr="004075CC">
              <w:t>5</w:t>
            </w:r>
          </w:p>
        </w:tc>
        <w:tc>
          <w:tcPr>
            <w:tcW w:w="6701" w:type="dxa"/>
          </w:tcPr>
          <w:p w:rsidR="00374EFF" w:rsidRPr="004075CC" w:rsidRDefault="00374EFF" w:rsidP="00307C21">
            <w:pPr>
              <w:pStyle w:val="Default"/>
              <w:jc w:val="both"/>
            </w:pPr>
            <w:r w:rsidRPr="004075CC">
              <w:t>Conduct the FGD with relevant DaO States.</w:t>
            </w:r>
          </w:p>
        </w:tc>
        <w:tc>
          <w:tcPr>
            <w:tcW w:w="2070" w:type="dxa"/>
            <w:vMerge/>
          </w:tcPr>
          <w:p w:rsidR="00374EFF" w:rsidRPr="004075CC" w:rsidRDefault="00374EFF" w:rsidP="00307C21">
            <w:pPr>
              <w:jc w:val="both"/>
            </w:pPr>
          </w:p>
        </w:tc>
      </w:tr>
      <w:tr w:rsidR="00F916DC" w:rsidRPr="004075CC" w:rsidTr="00567752">
        <w:tc>
          <w:tcPr>
            <w:tcW w:w="674" w:type="dxa"/>
          </w:tcPr>
          <w:p w:rsidR="00F916DC" w:rsidRPr="004075CC" w:rsidRDefault="00870B6B" w:rsidP="00307C21">
            <w:pPr>
              <w:pStyle w:val="Default"/>
              <w:jc w:val="both"/>
            </w:pPr>
            <w:r w:rsidRPr="004075CC">
              <w:t>6</w:t>
            </w:r>
          </w:p>
        </w:tc>
        <w:tc>
          <w:tcPr>
            <w:tcW w:w="6701" w:type="dxa"/>
          </w:tcPr>
          <w:p w:rsidR="00F916DC" w:rsidRPr="004075CC" w:rsidRDefault="00F916DC" w:rsidP="00307C21">
            <w:pPr>
              <w:pStyle w:val="Default"/>
              <w:jc w:val="both"/>
            </w:pPr>
            <w:r w:rsidRPr="004075CC">
              <w:t xml:space="preserve">Conduct KII with UNDAF </w:t>
            </w:r>
            <w:r w:rsidR="000074EA">
              <w:t>T</w:t>
            </w:r>
            <w:r w:rsidRPr="004075CC">
              <w:t>hematic Groups.</w:t>
            </w:r>
          </w:p>
        </w:tc>
        <w:tc>
          <w:tcPr>
            <w:tcW w:w="2070" w:type="dxa"/>
          </w:tcPr>
          <w:p w:rsidR="00F916DC" w:rsidRPr="004075CC" w:rsidRDefault="00374EFF" w:rsidP="00374EFF">
            <w:pPr>
              <w:jc w:val="center"/>
            </w:pPr>
            <w:r>
              <w:t>3 days</w:t>
            </w:r>
          </w:p>
        </w:tc>
      </w:tr>
      <w:tr w:rsidR="00307C21" w:rsidRPr="004075CC" w:rsidTr="00567752">
        <w:tc>
          <w:tcPr>
            <w:tcW w:w="674" w:type="dxa"/>
          </w:tcPr>
          <w:p w:rsidR="00307C21" w:rsidRPr="004075CC" w:rsidRDefault="00870B6B" w:rsidP="00307C21">
            <w:pPr>
              <w:pStyle w:val="Default"/>
              <w:jc w:val="both"/>
            </w:pPr>
            <w:r w:rsidRPr="004075CC">
              <w:t>7</w:t>
            </w:r>
          </w:p>
        </w:tc>
        <w:tc>
          <w:tcPr>
            <w:tcW w:w="6701" w:type="dxa"/>
          </w:tcPr>
          <w:p w:rsidR="00307C21" w:rsidRPr="004075CC" w:rsidRDefault="00307C21" w:rsidP="00307C21">
            <w:pPr>
              <w:pStyle w:val="Default"/>
              <w:jc w:val="both"/>
            </w:pPr>
            <w:r w:rsidRPr="004075CC">
              <w:t xml:space="preserve">Issue draft reports for discussion with </w:t>
            </w:r>
            <w:r w:rsidR="00F916DC" w:rsidRPr="004075CC">
              <w:t xml:space="preserve"> </w:t>
            </w:r>
            <w:r w:rsidRPr="004075CC">
              <w:t>UNCT</w:t>
            </w:r>
            <w:r w:rsidR="00567752" w:rsidRPr="004075CC">
              <w:t>/ RCO/UN-M&amp;E</w:t>
            </w:r>
            <w:r w:rsidRPr="004075CC">
              <w:t>.</w:t>
            </w:r>
          </w:p>
        </w:tc>
        <w:tc>
          <w:tcPr>
            <w:tcW w:w="2070" w:type="dxa"/>
          </w:tcPr>
          <w:p w:rsidR="00307C21" w:rsidRPr="004075CC" w:rsidRDefault="00374EFF" w:rsidP="00374EFF">
            <w:pPr>
              <w:jc w:val="center"/>
            </w:pPr>
            <w:r>
              <w:t>4 day</w:t>
            </w:r>
          </w:p>
        </w:tc>
      </w:tr>
      <w:tr w:rsidR="00307C21" w:rsidRPr="004075CC" w:rsidTr="00567752">
        <w:tc>
          <w:tcPr>
            <w:tcW w:w="674" w:type="dxa"/>
          </w:tcPr>
          <w:p w:rsidR="00307C21" w:rsidRPr="004075CC" w:rsidRDefault="00870B6B" w:rsidP="00307C21">
            <w:pPr>
              <w:pStyle w:val="Default"/>
              <w:jc w:val="both"/>
            </w:pPr>
            <w:r w:rsidRPr="004075CC">
              <w:t>8</w:t>
            </w:r>
          </w:p>
        </w:tc>
        <w:tc>
          <w:tcPr>
            <w:tcW w:w="6701" w:type="dxa"/>
          </w:tcPr>
          <w:p w:rsidR="00307C21" w:rsidRPr="004075CC" w:rsidRDefault="00307C21" w:rsidP="00307C21">
            <w:pPr>
              <w:pStyle w:val="Default"/>
              <w:jc w:val="both"/>
            </w:pPr>
            <w:r w:rsidRPr="004075CC">
              <w:t>Edit documents based on UNCT</w:t>
            </w:r>
            <w:r w:rsidR="00567752" w:rsidRPr="004075CC">
              <w:t>/RCO/UN-M&amp;E</w:t>
            </w:r>
            <w:r w:rsidRPr="004075CC">
              <w:t xml:space="preserve"> comments</w:t>
            </w:r>
            <w:r w:rsidR="00F916DC" w:rsidRPr="004075CC">
              <w:t>.</w:t>
            </w:r>
            <w:r w:rsidRPr="004075CC">
              <w:t xml:space="preserve"> </w:t>
            </w:r>
          </w:p>
        </w:tc>
        <w:tc>
          <w:tcPr>
            <w:tcW w:w="2070" w:type="dxa"/>
          </w:tcPr>
          <w:p w:rsidR="00307C21" w:rsidRPr="004075CC" w:rsidRDefault="00374EFF" w:rsidP="00374EFF">
            <w:pPr>
              <w:jc w:val="center"/>
            </w:pPr>
            <w:r>
              <w:t>3 day</w:t>
            </w:r>
          </w:p>
        </w:tc>
      </w:tr>
      <w:tr w:rsidR="00307C21" w:rsidRPr="004075CC" w:rsidTr="00567752">
        <w:tc>
          <w:tcPr>
            <w:tcW w:w="674" w:type="dxa"/>
          </w:tcPr>
          <w:p w:rsidR="00307C21" w:rsidRPr="004075CC" w:rsidRDefault="00870B6B" w:rsidP="00307C21">
            <w:pPr>
              <w:pStyle w:val="Default"/>
              <w:jc w:val="both"/>
            </w:pPr>
            <w:r w:rsidRPr="004075CC">
              <w:t>9</w:t>
            </w:r>
          </w:p>
        </w:tc>
        <w:tc>
          <w:tcPr>
            <w:tcW w:w="6701" w:type="dxa"/>
          </w:tcPr>
          <w:p w:rsidR="00307C21" w:rsidRPr="004075CC" w:rsidRDefault="00870B6B" w:rsidP="00307C21">
            <w:pPr>
              <w:pStyle w:val="Default"/>
              <w:jc w:val="both"/>
            </w:pPr>
            <w:r w:rsidRPr="004075CC">
              <w:t>Submit the final MTR Report.</w:t>
            </w:r>
          </w:p>
        </w:tc>
        <w:tc>
          <w:tcPr>
            <w:tcW w:w="2070" w:type="dxa"/>
          </w:tcPr>
          <w:p w:rsidR="00307C21" w:rsidRPr="004075CC" w:rsidRDefault="00374EFF" w:rsidP="00374EFF">
            <w:pPr>
              <w:jc w:val="center"/>
            </w:pPr>
            <w:r>
              <w:t>I day</w:t>
            </w:r>
          </w:p>
        </w:tc>
      </w:tr>
    </w:tbl>
    <w:p w:rsidR="00307C21" w:rsidRPr="004075CC" w:rsidRDefault="00307C21" w:rsidP="00307C21">
      <w:pPr>
        <w:jc w:val="both"/>
      </w:pPr>
    </w:p>
    <w:p w:rsidR="00307C21" w:rsidRPr="004075CC" w:rsidRDefault="00307C21" w:rsidP="00307C21">
      <w:pPr>
        <w:pStyle w:val="Default"/>
      </w:pPr>
    </w:p>
    <w:p w:rsidR="00307C21" w:rsidRPr="004075CC" w:rsidRDefault="00557076" w:rsidP="00307C21">
      <w:pPr>
        <w:pStyle w:val="Default"/>
      </w:pPr>
      <w:r w:rsidRPr="004075CC">
        <w:rPr>
          <w:b/>
          <w:bCs/>
          <w:color w:val="2E74B5" w:themeColor="accent1" w:themeShade="BF"/>
        </w:rPr>
        <w:t xml:space="preserve">DURATION OF THE AGREEMENT: </w:t>
      </w:r>
      <w:r w:rsidR="00870B6B" w:rsidRPr="004075CC">
        <w:t xml:space="preserve">(Feb 2015 – March 2014) </w:t>
      </w:r>
      <w:r w:rsidR="00870B6B" w:rsidRPr="009055C1">
        <w:rPr>
          <w:b/>
        </w:rPr>
        <w:t>14</w:t>
      </w:r>
      <w:r w:rsidR="008300EC">
        <w:rPr>
          <w:b/>
        </w:rPr>
        <w:t xml:space="preserve"> paid</w:t>
      </w:r>
      <w:r w:rsidR="00307C21" w:rsidRPr="009055C1">
        <w:rPr>
          <w:b/>
        </w:rPr>
        <w:t xml:space="preserve"> working days</w:t>
      </w:r>
      <w:r w:rsidR="008300EC">
        <w:rPr>
          <w:b/>
        </w:rPr>
        <w:t xml:space="preserve"> and deliverable within one month</w:t>
      </w:r>
      <w:r w:rsidR="00307C21" w:rsidRPr="009055C1">
        <w:rPr>
          <w:b/>
        </w:rPr>
        <w:t>.</w:t>
      </w:r>
    </w:p>
    <w:p w:rsidR="00870B6B" w:rsidRPr="004075CC" w:rsidRDefault="00870B6B" w:rsidP="00870B6B">
      <w:pPr>
        <w:pStyle w:val="Default"/>
        <w:rPr>
          <w:lang w:val="en-GB"/>
        </w:rPr>
      </w:pPr>
    </w:p>
    <w:p w:rsidR="00870B6B" w:rsidRPr="004075CC" w:rsidRDefault="00870B6B" w:rsidP="00870B6B">
      <w:pPr>
        <w:pStyle w:val="Default"/>
        <w:rPr>
          <w:lang w:val="en-GB"/>
        </w:rPr>
      </w:pPr>
      <w:r w:rsidRPr="004075CC">
        <w:rPr>
          <w:lang w:val="en-GB"/>
        </w:rPr>
        <w:t>All the Meeting</w:t>
      </w:r>
      <w:r w:rsidR="003528D4" w:rsidRPr="004075CC">
        <w:rPr>
          <w:lang w:val="en-GB"/>
        </w:rPr>
        <w:t>s</w:t>
      </w:r>
      <w:r w:rsidRPr="004075CC">
        <w:rPr>
          <w:lang w:val="en-GB"/>
        </w:rPr>
        <w:t xml:space="preserve"> </w:t>
      </w:r>
      <w:r w:rsidR="003528D4" w:rsidRPr="004075CC">
        <w:rPr>
          <w:lang w:val="en-GB"/>
        </w:rPr>
        <w:t>Consultations</w:t>
      </w:r>
      <w:r w:rsidRPr="004075CC">
        <w:rPr>
          <w:lang w:val="en-GB"/>
        </w:rPr>
        <w:t xml:space="preserve"> &amp; Evaluation</w:t>
      </w:r>
      <w:r w:rsidR="003528D4" w:rsidRPr="004075CC">
        <w:rPr>
          <w:lang w:val="en-GB"/>
        </w:rPr>
        <w:t xml:space="preserve"> related to this consultancy</w:t>
      </w:r>
      <w:r w:rsidRPr="004075CC">
        <w:rPr>
          <w:lang w:val="en-GB"/>
        </w:rPr>
        <w:t xml:space="preserve"> will be</w:t>
      </w:r>
      <w:r w:rsidR="003528D4" w:rsidRPr="004075CC">
        <w:rPr>
          <w:lang w:val="en-GB"/>
        </w:rPr>
        <w:t xml:space="preserve"> strictly held</w:t>
      </w:r>
      <w:r w:rsidRPr="004075CC">
        <w:rPr>
          <w:lang w:val="en-GB"/>
        </w:rPr>
        <w:t xml:space="preserve"> in the Federal Capital Territory.</w:t>
      </w:r>
    </w:p>
    <w:p w:rsidR="00870B6B" w:rsidRPr="004075CC" w:rsidRDefault="00870B6B" w:rsidP="00870B6B">
      <w:pPr>
        <w:pStyle w:val="Default"/>
        <w:rPr>
          <w:lang w:val="en-GB"/>
        </w:rPr>
      </w:pPr>
    </w:p>
    <w:p w:rsidR="00870B6B" w:rsidRPr="004075CC" w:rsidRDefault="00870B6B" w:rsidP="00870B6B">
      <w:pPr>
        <w:pStyle w:val="Default"/>
      </w:pPr>
      <w:r w:rsidRPr="004075CC">
        <w:rPr>
          <w:lang w:val="en-GB"/>
        </w:rPr>
        <w:t xml:space="preserve">The terms of payment is </w:t>
      </w:r>
      <w:r w:rsidRPr="004075CC">
        <w:rPr>
          <w:b/>
          <w:lang w:val="en-GB"/>
        </w:rPr>
        <w:t xml:space="preserve">Lump Sum, </w:t>
      </w:r>
      <w:r w:rsidRPr="004075CC">
        <w:rPr>
          <w:lang w:val="en-GB"/>
        </w:rPr>
        <w:t>payable after satisfactory completion of the assignment and submission of all relevant Reports.</w:t>
      </w:r>
    </w:p>
    <w:p w:rsidR="00307C21" w:rsidRPr="004075CC" w:rsidRDefault="00307C21" w:rsidP="00307C21">
      <w:pPr>
        <w:pStyle w:val="Default"/>
      </w:pPr>
    </w:p>
    <w:p w:rsidR="00307C21" w:rsidRPr="004075CC" w:rsidRDefault="00557076" w:rsidP="00307C21">
      <w:pPr>
        <w:pStyle w:val="Default"/>
        <w:rPr>
          <w:color w:val="2E74B5" w:themeColor="accent1" w:themeShade="BF"/>
        </w:rPr>
      </w:pPr>
      <w:r w:rsidRPr="004075CC">
        <w:rPr>
          <w:b/>
          <w:bCs/>
          <w:color w:val="2E74B5" w:themeColor="accent1" w:themeShade="BF"/>
        </w:rPr>
        <w:t xml:space="preserve">RCO RECOURSE IN CASE OF UNSATISFACTORY PERFORMANCE </w:t>
      </w:r>
    </w:p>
    <w:p w:rsidR="00307C21" w:rsidRPr="004075CC" w:rsidRDefault="00307C21" w:rsidP="00307C21">
      <w:pPr>
        <w:pStyle w:val="Default"/>
      </w:pPr>
      <w:r w:rsidRPr="004075CC">
        <w:t>The RCO will reduce payments based on the amount of work completed to satisfactory standard.</w:t>
      </w:r>
    </w:p>
    <w:p w:rsidR="004075CC" w:rsidRPr="004075CC" w:rsidRDefault="004075CC" w:rsidP="004075CC">
      <w:pPr>
        <w:jc w:val="both"/>
      </w:pPr>
      <w:r w:rsidRPr="004075CC">
        <w:t>All deliverables will have to be quality reviewed and approved or accepted by supervisor of this consultancy.</w:t>
      </w:r>
    </w:p>
    <w:p w:rsidR="00307C21" w:rsidRPr="00610E56" w:rsidRDefault="00307C21" w:rsidP="00610E56">
      <w:pPr>
        <w:jc w:val="both"/>
        <w:rPr>
          <w:b/>
          <w:bCs/>
          <w:spacing w:val="-3"/>
        </w:rPr>
      </w:pPr>
    </w:p>
    <w:p w:rsidR="00307C21" w:rsidRPr="004075CC" w:rsidRDefault="00557076" w:rsidP="004075CC">
      <w:pPr>
        <w:pStyle w:val="BodyText2"/>
        <w:tabs>
          <w:tab w:val="left" w:pos="0"/>
        </w:tabs>
        <w:suppressAutoHyphens/>
        <w:rPr>
          <w:b/>
          <w:bCs/>
          <w:color w:val="2E74B5" w:themeColor="accent1" w:themeShade="BF"/>
          <w:spacing w:val="-3"/>
          <w:szCs w:val="24"/>
        </w:rPr>
      </w:pPr>
      <w:r w:rsidRPr="004075CC">
        <w:rPr>
          <w:b/>
          <w:bCs/>
          <w:color w:val="2E74B5" w:themeColor="accent1" w:themeShade="BF"/>
          <w:spacing w:val="-3"/>
          <w:szCs w:val="24"/>
        </w:rPr>
        <w:t xml:space="preserve">COMPETENCIES </w:t>
      </w:r>
      <w:r w:rsidR="00307C21" w:rsidRPr="004075CC">
        <w:rPr>
          <w:b/>
          <w:bCs/>
          <w:color w:val="2E74B5" w:themeColor="accent1" w:themeShade="BF"/>
          <w:spacing w:val="-3"/>
          <w:szCs w:val="24"/>
        </w:rPr>
        <w:t xml:space="preserve"> </w:t>
      </w:r>
    </w:p>
    <w:p w:rsidR="00307C21" w:rsidRPr="004075CC" w:rsidRDefault="00307C21" w:rsidP="00307C21">
      <w:pPr>
        <w:jc w:val="both"/>
        <w:rPr>
          <w:spacing w:val="-3"/>
        </w:rPr>
      </w:pPr>
      <w:r w:rsidRPr="004075CC">
        <w:rPr>
          <w:spacing w:val="-3"/>
        </w:rPr>
        <w:t xml:space="preserve">The consultant/consulting firm will possess the following competencies; </w:t>
      </w:r>
    </w:p>
    <w:p w:rsidR="00307C21" w:rsidRPr="004075CC" w:rsidRDefault="00307C21" w:rsidP="00307C21">
      <w:pPr>
        <w:pStyle w:val="ListParagraph"/>
        <w:numPr>
          <w:ilvl w:val="0"/>
          <w:numId w:val="3"/>
        </w:numPr>
        <w:jc w:val="both"/>
      </w:pPr>
      <w:r w:rsidRPr="004075CC">
        <w:t>Proven strong communication and technical writing skills</w:t>
      </w:r>
    </w:p>
    <w:p w:rsidR="00307C21" w:rsidRPr="004075CC" w:rsidRDefault="00307C21" w:rsidP="00307C21">
      <w:pPr>
        <w:pStyle w:val="ListParagraph"/>
        <w:numPr>
          <w:ilvl w:val="0"/>
          <w:numId w:val="3"/>
        </w:numPr>
        <w:jc w:val="both"/>
      </w:pPr>
      <w:r w:rsidRPr="004075CC">
        <w:t>All-round understanding of UN’s mandate, programming and modus operandi;</w:t>
      </w:r>
    </w:p>
    <w:p w:rsidR="00307C21" w:rsidRPr="004075CC" w:rsidRDefault="00307C21" w:rsidP="00307C21">
      <w:pPr>
        <w:pStyle w:val="ListParagraph"/>
        <w:numPr>
          <w:ilvl w:val="0"/>
          <w:numId w:val="3"/>
        </w:numPr>
        <w:jc w:val="both"/>
      </w:pPr>
      <w:r w:rsidRPr="004075CC">
        <w:t>Knowledge of Nigeria’s UNDAF will be an asset;</w:t>
      </w:r>
    </w:p>
    <w:p w:rsidR="00307C21" w:rsidRPr="004075CC" w:rsidRDefault="00307C21" w:rsidP="00307C21">
      <w:pPr>
        <w:pStyle w:val="ListParagraph"/>
        <w:numPr>
          <w:ilvl w:val="0"/>
          <w:numId w:val="3"/>
        </w:numPr>
        <w:jc w:val="both"/>
      </w:pPr>
      <w:r w:rsidRPr="004075CC">
        <w:t>Excellent analytical skills</w:t>
      </w:r>
    </w:p>
    <w:p w:rsidR="00307C21" w:rsidRPr="004075CC" w:rsidRDefault="00307C21" w:rsidP="00610E56">
      <w:pPr>
        <w:jc w:val="both"/>
      </w:pPr>
    </w:p>
    <w:p w:rsidR="00307C21" w:rsidRPr="004075CC" w:rsidRDefault="00557076" w:rsidP="004075CC">
      <w:pPr>
        <w:pStyle w:val="BodyText2"/>
        <w:tabs>
          <w:tab w:val="left" w:pos="0"/>
        </w:tabs>
        <w:suppressAutoHyphens/>
        <w:rPr>
          <w:b/>
          <w:bCs/>
          <w:color w:val="2E74B5" w:themeColor="accent1" w:themeShade="BF"/>
          <w:spacing w:val="-3"/>
          <w:szCs w:val="24"/>
        </w:rPr>
      </w:pPr>
      <w:r w:rsidRPr="004075CC">
        <w:rPr>
          <w:b/>
          <w:bCs/>
          <w:color w:val="2E74B5" w:themeColor="accent1" w:themeShade="BF"/>
          <w:spacing w:val="-3"/>
          <w:szCs w:val="24"/>
        </w:rPr>
        <w:t xml:space="preserve">QUALIFICATIONS </w:t>
      </w:r>
    </w:p>
    <w:p w:rsidR="00610E56" w:rsidRPr="009510BC" w:rsidRDefault="00610E56" w:rsidP="00610E56">
      <w:pPr>
        <w:pStyle w:val="BodyText2"/>
        <w:numPr>
          <w:ilvl w:val="0"/>
          <w:numId w:val="6"/>
        </w:numPr>
        <w:rPr>
          <w:szCs w:val="24"/>
        </w:rPr>
      </w:pPr>
      <w:r w:rsidRPr="009510BC">
        <w:rPr>
          <w:szCs w:val="24"/>
        </w:rPr>
        <w:t xml:space="preserve">Advanced University degree in one or more of the following areas: political science, demography, economics, social sciences, public health, law or related fields; </w:t>
      </w:r>
    </w:p>
    <w:p w:rsidR="00610E56" w:rsidRPr="009510BC" w:rsidRDefault="00610E56" w:rsidP="00610E56">
      <w:pPr>
        <w:pStyle w:val="BodyText2"/>
        <w:numPr>
          <w:ilvl w:val="0"/>
          <w:numId w:val="6"/>
        </w:numPr>
        <w:rPr>
          <w:szCs w:val="24"/>
        </w:rPr>
      </w:pPr>
      <w:r w:rsidRPr="009510BC">
        <w:rPr>
          <w:szCs w:val="24"/>
        </w:rPr>
        <w:t xml:space="preserve">Excellent knowledge of the UN system and UN common programming process with  5 - 10 years or more experience in development programming; </w:t>
      </w:r>
    </w:p>
    <w:p w:rsidR="00610E56" w:rsidRPr="009510BC" w:rsidRDefault="00610E56" w:rsidP="00610E56">
      <w:pPr>
        <w:pStyle w:val="BodyText2"/>
        <w:numPr>
          <w:ilvl w:val="0"/>
          <w:numId w:val="6"/>
        </w:numPr>
        <w:rPr>
          <w:szCs w:val="24"/>
        </w:rPr>
      </w:pPr>
      <w:r w:rsidRPr="009510BC">
        <w:rPr>
          <w:szCs w:val="24"/>
        </w:rPr>
        <w:t>Expert knowledge of and working familiarity with results-based management, human rights based and gender mainstreaming approaches.</w:t>
      </w:r>
    </w:p>
    <w:p w:rsidR="00610E56" w:rsidRPr="009510BC" w:rsidRDefault="00610E56" w:rsidP="00610E56">
      <w:pPr>
        <w:pStyle w:val="BodyText2"/>
        <w:numPr>
          <w:ilvl w:val="0"/>
          <w:numId w:val="6"/>
        </w:numPr>
        <w:rPr>
          <w:szCs w:val="24"/>
        </w:rPr>
      </w:pPr>
      <w:r w:rsidRPr="009510BC">
        <w:rPr>
          <w:szCs w:val="24"/>
        </w:rPr>
        <w:t>Demonstrated experience in quantitative and qualitative evaluation methodology</w:t>
      </w:r>
    </w:p>
    <w:p w:rsidR="00610E56" w:rsidRPr="009510BC" w:rsidRDefault="00610E56" w:rsidP="00610E56">
      <w:pPr>
        <w:pStyle w:val="BodyText2"/>
        <w:numPr>
          <w:ilvl w:val="0"/>
          <w:numId w:val="6"/>
        </w:numPr>
        <w:rPr>
          <w:szCs w:val="24"/>
        </w:rPr>
      </w:pPr>
      <w:r w:rsidRPr="009510BC">
        <w:rPr>
          <w:szCs w:val="24"/>
        </w:rPr>
        <w:lastRenderedPageBreak/>
        <w:t xml:space="preserve">Understanding of the UN’s mandate and </w:t>
      </w:r>
      <w:r w:rsidRPr="009510BC">
        <w:rPr>
          <w:i/>
          <w:szCs w:val="24"/>
        </w:rPr>
        <w:t xml:space="preserve">modus operandi </w:t>
      </w:r>
      <w:r w:rsidRPr="009510BC">
        <w:rPr>
          <w:szCs w:val="24"/>
        </w:rPr>
        <w:t>preferred</w:t>
      </w:r>
    </w:p>
    <w:p w:rsidR="00610E56" w:rsidRPr="009510BC" w:rsidRDefault="00610E56" w:rsidP="00610E56">
      <w:pPr>
        <w:pStyle w:val="BodyText2"/>
        <w:numPr>
          <w:ilvl w:val="0"/>
          <w:numId w:val="6"/>
        </w:numPr>
        <w:rPr>
          <w:szCs w:val="24"/>
        </w:rPr>
      </w:pPr>
      <w:r w:rsidRPr="009510BC">
        <w:rPr>
          <w:szCs w:val="24"/>
        </w:rPr>
        <w:t>Excellent  communication and writing skills in English</w:t>
      </w:r>
    </w:p>
    <w:p w:rsidR="00610E56" w:rsidRPr="009510BC" w:rsidRDefault="00610E56" w:rsidP="00610E56">
      <w:pPr>
        <w:pStyle w:val="BodyText2"/>
        <w:numPr>
          <w:ilvl w:val="0"/>
          <w:numId w:val="6"/>
        </w:numPr>
        <w:rPr>
          <w:szCs w:val="24"/>
        </w:rPr>
      </w:pPr>
      <w:r w:rsidRPr="009510BC">
        <w:rPr>
          <w:szCs w:val="24"/>
        </w:rPr>
        <w:t>Ability to work in a team and deliver results.</w:t>
      </w:r>
    </w:p>
    <w:p w:rsidR="00610E56" w:rsidRPr="009510BC" w:rsidRDefault="00610E56" w:rsidP="00610E56"/>
    <w:p w:rsidR="00A75BB7" w:rsidRDefault="00A75BB7"/>
    <w:sectPr w:rsidR="00A75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85E6B"/>
    <w:multiLevelType w:val="hybridMultilevel"/>
    <w:tmpl w:val="187822DE"/>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76F37"/>
    <w:multiLevelType w:val="hybridMultilevel"/>
    <w:tmpl w:val="0AFA9238"/>
    <w:lvl w:ilvl="0" w:tplc="F7F61BFC">
      <w:start w:val="1"/>
      <w:numFmt w:val="decimal"/>
      <w:lvlText w:val="%1."/>
      <w:lvlJc w:val="left"/>
      <w:pPr>
        <w:ind w:left="720" w:hanging="360"/>
      </w:pPr>
      <w:rPr>
        <w:rFonts w:hint="default"/>
        <w:b/>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E3C0B"/>
    <w:multiLevelType w:val="hybridMultilevel"/>
    <w:tmpl w:val="40B6E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A28BD"/>
    <w:multiLevelType w:val="hybridMultilevel"/>
    <w:tmpl w:val="106A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F93305"/>
    <w:multiLevelType w:val="hybridMultilevel"/>
    <w:tmpl w:val="D1C05596"/>
    <w:lvl w:ilvl="0" w:tplc="0C090001">
      <w:start w:val="1"/>
      <w:numFmt w:val="bullet"/>
      <w:lvlText w:val=""/>
      <w:lvlJc w:val="left"/>
      <w:pPr>
        <w:tabs>
          <w:tab w:val="num" w:pos="360"/>
        </w:tabs>
        <w:ind w:left="360" w:hanging="360"/>
      </w:pPr>
      <w:rPr>
        <w:rFonts w:ascii="Symbol" w:hAnsi="Symbol" w:hint="default"/>
      </w:rPr>
    </w:lvl>
    <w:lvl w:ilvl="1" w:tplc="3A5C26EA">
      <w:start w:val="1"/>
      <w:numFmt w:val="bullet"/>
      <w:lvlText w:val=""/>
      <w:lvlJc w:val="left"/>
      <w:pPr>
        <w:tabs>
          <w:tab w:val="num" w:pos="1440"/>
        </w:tabs>
        <w:ind w:left="1440" w:hanging="360"/>
      </w:pPr>
      <w:rPr>
        <w:rFonts w:ascii="Symbol" w:hAnsi="Symbol" w:hint="default"/>
        <w:b w:val="0"/>
        <w:i w:val="0"/>
        <w:sz w:val="22"/>
        <w:szCs w:val="4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F034D7"/>
    <w:multiLevelType w:val="hybridMultilevel"/>
    <w:tmpl w:val="C588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21"/>
    <w:rsid w:val="000074EA"/>
    <w:rsid w:val="001F12D2"/>
    <w:rsid w:val="002639BC"/>
    <w:rsid w:val="00307C21"/>
    <w:rsid w:val="003528D4"/>
    <w:rsid w:val="00374EFF"/>
    <w:rsid w:val="003C79D1"/>
    <w:rsid w:val="004075CC"/>
    <w:rsid w:val="00557076"/>
    <w:rsid w:val="00567752"/>
    <w:rsid w:val="00610E56"/>
    <w:rsid w:val="00654734"/>
    <w:rsid w:val="008300EC"/>
    <w:rsid w:val="00870B6B"/>
    <w:rsid w:val="009055C1"/>
    <w:rsid w:val="00A75BB7"/>
    <w:rsid w:val="00A90F77"/>
    <w:rsid w:val="00B71C65"/>
    <w:rsid w:val="00E308E0"/>
    <w:rsid w:val="00E6019C"/>
    <w:rsid w:val="00F91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85C78-2520-428A-A29D-0E9CCC394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C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7C21"/>
    <w:rPr>
      <w:szCs w:val="20"/>
      <w:lang w:val="en-GB"/>
    </w:rPr>
  </w:style>
  <w:style w:type="character" w:customStyle="1" w:styleId="BodyTextChar">
    <w:name w:val="Body Text Char"/>
    <w:basedOn w:val="DefaultParagraphFont"/>
    <w:link w:val="BodyText"/>
    <w:rsid w:val="00307C21"/>
    <w:rPr>
      <w:rFonts w:ascii="Times New Roman" w:eastAsia="Times New Roman" w:hAnsi="Times New Roman" w:cs="Times New Roman"/>
      <w:sz w:val="24"/>
      <w:szCs w:val="20"/>
      <w:lang w:val="en-GB"/>
    </w:rPr>
  </w:style>
  <w:style w:type="paragraph" w:styleId="BodyText2">
    <w:name w:val="Body Text 2"/>
    <w:basedOn w:val="Normal"/>
    <w:link w:val="BodyText2Char"/>
    <w:rsid w:val="00307C21"/>
    <w:pPr>
      <w:jc w:val="both"/>
    </w:pPr>
    <w:rPr>
      <w:szCs w:val="20"/>
      <w:lang w:val="en-GB"/>
    </w:rPr>
  </w:style>
  <w:style w:type="character" w:customStyle="1" w:styleId="BodyText2Char">
    <w:name w:val="Body Text 2 Char"/>
    <w:basedOn w:val="DefaultParagraphFont"/>
    <w:link w:val="BodyText2"/>
    <w:rsid w:val="00307C21"/>
    <w:rPr>
      <w:rFonts w:ascii="Times New Roman" w:eastAsia="Times New Roman" w:hAnsi="Times New Roman" w:cs="Times New Roman"/>
      <w:sz w:val="24"/>
      <w:szCs w:val="20"/>
      <w:lang w:val="en-GB"/>
    </w:rPr>
  </w:style>
  <w:style w:type="paragraph" w:styleId="ListParagraph">
    <w:name w:val="List Paragraph"/>
    <w:basedOn w:val="Normal"/>
    <w:link w:val="ListParagraphChar"/>
    <w:uiPriority w:val="34"/>
    <w:qFormat/>
    <w:rsid w:val="00307C21"/>
    <w:pPr>
      <w:ind w:left="720"/>
      <w:contextualSpacing/>
    </w:pPr>
  </w:style>
  <w:style w:type="character" w:customStyle="1" w:styleId="ListParagraphChar">
    <w:name w:val="List Paragraph Char"/>
    <w:link w:val="ListParagraph"/>
    <w:uiPriority w:val="34"/>
    <w:rsid w:val="00307C21"/>
    <w:rPr>
      <w:rFonts w:ascii="Times New Roman" w:eastAsia="Times New Roman" w:hAnsi="Times New Roman" w:cs="Times New Roman"/>
      <w:sz w:val="24"/>
      <w:szCs w:val="24"/>
    </w:rPr>
  </w:style>
  <w:style w:type="table" w:styleId="TableGrid">
    <w:name w:val="Table Grid"/>
    <w:basedOn w:val="TableNormal"/>
    <w:uiPriority w:val="39"/>
    <w:rsid w:val="00307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7C2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Yinka Akibu</dc:creator>
  <cp:keywords/>
  <dc:description/>
  <cp:lastModifiedBy>Anthony Omata</cp:lastModifiedBy>
  <cp:revision>2</cp:revision>
  <dcterms:created xsi:type="dcterms:W3CDTF">2018-03-07T09:24:00Z</dcterms:created>
  <dcterms:modified xsi:type="dcterms:W3CDTF">2018-03-07T09:24:00Z</dcterms:modified>
</cp:coreProperties>
</file>