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0FF" w:rsidRPr="004D4230" w:rsidRDefault="00C95201" w:rsidP="00935204">
      <w:pPr>
        <w:jc w:val="both"/>
      </w:pPr>
      <w:r w:rsidRPr="004D4230">
        <w:t xml:space="preserve"> </w:t>
      </w:r>
    </w:p>
    <w:p w:rsidR="00AD40FF" w:rsidRPr="004D4230" w:rsidRDefault="00AD40FF" w:rsidP="00935204">
      <w:pPr>
        <w:jc w:val="both"/>
      </w:pPr>
    </w:p>
    <w:p w:rsidR="00AD40FF" w:rsidRPr="004D4230" w:rsidRDefault="00AD40FF" w:rsidP="00935204">
      <w:pPr>
        <w:jc w:val="both"/>
      </w:pPr>
    </w:p>
    <w:tbl>
      <w:tblPr>
        <w:tblpPr w:leftFromText="141" w:rightFromText="141" w:horzAnchor="margin" w:tblpXSpec="center" w:tblpY="-735"/>
        <w:tblW w:w="10206" w:type="dxa"/>
        <w:tblLook w:val="04A0" w:firstRow="1" w:lastRow="0" w:firstColumn="1" w:lastColumn="0" w:noHBand="0" w:noVBand="1"/>
      </w:tblPr>
      <w:tblGrid>
        <w:gridCol w:w="5778"/>
        <w:gridCol w:w="579"/>
        <w:gridCol w:w="3849"/>
      </w:tblGrid>
      <w:tr w:rsidR="00580C8B" w:rsidRPr="004D4230" w:rsidTr="003B47FE">
        <w:trPr>
          <w:trHeight w:val="2826"/>
        </w:trPr>
        <w:tc>
          <w:tcPr>
            <w:tcW w:w="5778" w:type="dxa"/>
          </w:tcPr>
          <w:p w:rsidR="00AD40FF" w:rsidRPr="004D4230" w:rsidRDefault="00691726" w:rsidP="00935204">
            <w:pPr>
              <w:jc w:val="both"/>
            </w:pPr>
            <w:r>
              <w:rPr>
                <w:noProof/>
              </w:rPr>
              <w:drawing>
                <wp:inline distT="0" distB="0" distL="0" distR="0">
                  <wp:extent cx="628650" cy="1381125"/>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srcRect/>
                          <a:stretch>
                            <a:fillRect/>
                          </a:stretch>
                        </pic:blipFill>
                        <pic:spPr bwMode="auto">
                          <a:xfrm>
                            <a:off x="0" y="0"/>
                            <a:ext cx="628650" cy="1381125"/>
                          </a:xfrm>
                          <a:prstGeom prst="rect">
                            <a:avLst/>
                          </a:prstGeom>
                          <a:noFill/>
                          <a:ln w="9525">
                            <a:noFill/>
                            <a:miter lim="800000"/>
                            <a:headEnd/>
                            <a:tailEnd/>
                          </a:ln>
                        </pic:spPr>
                      </pic:pic>
                    </a:graphicData>
                  </a:graphic>
                </wp:inline>
              </w:drawing>
            </w:r>
            <w:r w:rsidR="00FE75D6" w:rsidRPr="004D4230">
              <w:rPr>
                <w:noProof/>
              </w:rPr>
              <w:t xml:space="preserve">       </w:t>
            </w:r>
          </w:p>
          <w:p w:rsidR="00AD40FF" w:rsidRPr="004D4230" w:rsidRDefault="00AD40FF" w:rsidP="00935204">
            <w:pPr>
              <w:jc w:val="both"/>
            </w:pPr>
          </w:p>
          <w:p w:rsidR="00AD40FF" w:rsidRPr="004D4230" w:rsidRDefault="00AD40FF" w:rsidP="00935204">
            <w:pPr>
              <w:jc w:val="both"/>
            </w:pPr>
          </w:p>
          <w:p w:rsidR="00AD40FF" w:rsidRPr="004D4230" w:rsidRDefault="00AD40FF" w:rsidP="00935204">
            <w:pPr>
              <w:jc w:val="both"/>
            </w:pPr>
          </w:p>
          <w:p w:rsidR="00AD40FF" w:rsidRPr="004D4230" w:rsidRDefault="00AD40FF" w:rsidP="00935204">
            <w:pPr>
              <w:jc w:val="both"/>
            </w:pPr>
          </w:p>
          <w:p w:rsidR="00AD40FF" w:rsidRPr="004D4230" w:rsidRDefault="00AD40FF" w:rsidP="00935204">
            <w:pPr>
              <w:jc w:val="both"/>
            </w:pPr>
          </w:p>
          <w:p w:rsidR="00580C8B" w:rsidRPr="004D4230" w:rsidRDefault="00580C8B" w:rsidP="00935204">
            <w:pPr>
              <w:jc w:val="both"/>
            </w:pPr>
          </w:p>
        </w:tc>
        <w:tc>
          <w:tcPr>
            <w:tcW w:w="579" w:type="dxa"/>
          </w:tcPr>
          <w:p w:rsidR="00FE75D6" w:rsidRPr="004D4230" w:rsidRDefault="00FE75D6" w:rsidP="00935204">
            <w:pPr>
              <w:jc w:val="both"/>
            </w:pPr>
            <w:r w:rsidRPr="004D4230">
              <w:t xml:space="preserve">    </w:t>
            </w:r>
          </w:p>
          <w:p w:rsidR="00FE75D6" w:rsidRPr="004D4230" w:rsidRDefault="00FE75D6" w:rsidP="00FE75D6"/>
          <w:p w:rsidR="00FE75D6" w:rsidRPr="004D4230" w:rsidRDefault="00FE75D6" w:rsidP="00FE75D6"/>
          <w:p w:rsidR="00580C8B" w:rsidRPr="004D4230" w:rsidRDefault="00FE75D6" w:rsidP="00FE75D6">
            <w:r w:rsidRPr="004D4230">
              <w:t xml:space="preserve">             </w:t>
            </w:r>
          </w:p>
        </w:tc>
        <w:tc>
          <w:tcPr>
            <w:tcW w:w="3849" w:type="dxa"/>
          </w:tcPr>
          <w:p w:rsidR="00AD40FF" w:rsidRPr="004D4230" w:rsidRDefault="00AD40FF" w:rsidP="00935204">
            <w:pPr>
              <w:jc w:val="both"/>
            </w:pPr>
          </w:p>
          <w:p w:rsidR="00AD40FF" w:rsidRPr="004D4230" w:rsidRDefault="00AD40FF" w:rsidP="00935204">
            <w:pPr>
              <w:jc w:val="both"/>
            </w:pPr>
          </w:p>
          <w:p w:rsidR="00AD40FF" w:rsidRPr="004D4230" w:rsidRDefault="00691726" w:rsidP="00935204">
            <w:pPr>
              <w:jc w:val="both"/>
            </w:pPr>
            <w:r>
              <w:rPr>
                <w:noProof/>
              </w:rPr>
              <w:drawing>
                <wp:inline distT="0" distB="0" distL="0" distR="0">
                  <wp:extent cx="1019175" cy="933450"/>
                  <wp:effectExtent l="19050" t="0" r="9525" b="0"/>
                  <wp:docPr id="2" name="Image 2" descr="C:\Users\Tankoano\AppData\Local\Microsoft\Windows\Temporary Internet Files\Low\Content.IE5\45ZEIFSQ\logo%20cp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Tankoano\AppData\Local\Microsoft\Windows\Temporary Internet Files\Low\Content.IE5\45ZEIFSQ\logo%20cpp[1].jpg"/>
                          <pic:cNvPicPr>
                            <a:picLocks noChangeAspect="1" noChangeArrowheads="1"/>
                          </pic:cNvPicPr>
                        </pic:nvPicPr>
                        <pic:blipFill>
                          <a:blip r:embed="rId8" cstate="print"/>
                          <a:srcRect/>
                          <a:stretch>
                            <a:fillRect/>
                          </a:stretch>
                        </pic:blipFill>
                        <pic:spPr bwMode="auto">
                          <a:xfrm>
                            <a:off x="0" y="0"/>
                            <a:ext cx="1019175" cy="933450"/>
                          </a:xfrm>
                          <a:prstGeom prst="rect">
                            <a:avLst/>
                          </a:prstGeom>
                          <a:noFill/>
                          <a:ln w="9525">
                            <a:noFill/>
                            <a:miter lim="800000"/>
                            <a:headEnd/>
                            <a:tailEnd/>
                          </a:ln>
                        </pic:spPr>
                      </pic:pic>
                    </a:graphicData>
                  </a:graphic>
                </wp:inline>
              </w:drawing>
            </w:r>
          </w:p>
          <w:p w:rsidR="00AD40FF" w:rsidRPr="004D4230" w:rsidRDefault="00AD40FF" w:rsidP="00935204">
            <w:pPr>
              <w:jc w:val="both"/>
            </w:pPr>
          </w:p>
          <w:p w:rsidR="00AD40FF" w:rsidRPr="004D4230" w:rsidRDefault="00AD40FF" w:rsidP="00935204">
            <w:pPr>
              <w:jc w:val="both"/>
            </w:pPr>
          </w:p>
          <w:p w:rsidR="00AD40FF" w:rsidRPr="004D4230" w:rsidRDefault="00AD40FF" w:rsidP="00935204">
            <w:pPr>
              <w:jc w:val="both"/>
            </w:pPr>
          </w:p>
          <w:p w:rsidR="00AD40FF" w:rsidRPr="004D4230" w:rsidRDefault="00AD40FF" w:rsidP="00935204">
            <w:pPr>
              <w:jc w:val="both"/>
            </w:pPr>
          </w:p>
          <w:p w:rsidR="00580C8B" w:rsidRPr="004D4230" w:rsidRDefault="00580C8B" w:rsidP="00935204">
            <w:pPr>
              <w:jc w:val="both"/>
              <w:rPr>
                <w:u w:val="single"/>
              </w:rPr>
            </w:pPr>
          </w:p>
          <w:p w:rsidR="00580C8B" w:rsidRPr="004D4230" w:rsidRDefault="00580C8B" w:rsidP="00935204">
            <w:pPr>
              <w:jc w:val="both"/>
              <w:rPr>
                <w:u w:val="single"/>
              </w:rPr>
            </w:pPr>
          </w:p>
          <w:p w:rsidR="00580C8B" w:rsidRPr="004D4230" w:rsidRDefault="00580C8B" w:rsidP="00935204">
            <w:pPr>
              <w:jc w:val="both"/>
              <w:rPr>
                <w:u w:val="single"/>
              </w:rPr>
            </w:pPr>
          </w:p>
          <w:p w:rsidR="00580C8B" w:rsidRPr="004D4230" w:rsidRDefault="00580C8B" w:rsidP="00935204">
            <w:pPr>
              <w:jc w:val="both"/>
            </w:pPr>
            <w:r w:rsidRPr="004D4230">
              <w:rPr>
                <w:u w:val="single"/>
              </w:rPr>
              <w:t xml:space="preserve">               </w:t>
            </w:r>
          </w:p>
          <w:p w:rsidR="00580C8B" w:rsidRPr="004D4230" w:rsidRDefault="00580C8B" w:rsidP="00935204">
            <w:pPr>
              <w:jc w:val="both"/>
              <w:rPr>
                <w:u w:val="single"/>
              </w:rPr>
            </w:pPr>
          </w:p>
          <w:p w:rsidR="00580C8B" w:rsidRPr="004D4230" w:rsidRDefault="00580C8B" w:rsidP="00935204">
            <w:pPr>
              <w:jc w:val="both"/>
            </w:pPr>
          </w:p>
        </w:tc>
      </w:tr>
    </w:tbl>
    <w:p w:rsidR="00EB09D4" w:rsidRPr="004D4230" w:rsidRDefault="00EB09D4" w:rsidP="00935204">
      <w:pPr>
        <w:jc w:val="both"/>
      </w:pPr>
    </w:p>
    <w:p w:rsidR="00F755FA" w:rsidRPr="004D4230" w:rsidRDefault="00EB09D4" w:rsidP="00935204">
      <w:pPr>
        <w:jc w:val="center"/>
        <w:rPr>
          <w:b/>
        </w:rPr>
      </w:pPr>
      <w:r w:rsidRPr="004D4230">
        <w:rPr>
          <w:b/>
        </w:rPr>
        <w:t>TERMES DE REFERENCES</w:t>
      </w:r>
    </w:p>
    <w:p w:rsidR="00F755FA" w:rsidRPr="004D4230" w:rsidRDefault="00F755FA" w:rsidP="00935204">
      <w:pPr>
        <w:jc w:val="center"/>
        <w:rPr>
          <w:b/>
        </w:rPr>
      </w:pPr>
    </w:p>
    <w:p w:rsidR="00EB09D4" w:rsidRPr="004D4230" w:rsidRDefault="00EB09D4" w:rsidP="00F73BCD">
      <w:pPr>
        <w:shd w:val="clear" w:color="auto" w:fill="D9D9D9"/>
        <w:jc w:val="center"/>
        <w:rPr>
          <w:b/>
        </w:rPr>
      </w:pPr>
      <w:r w:rsidRPr="004D4230">
        <w:rPr>
          <w:b/>
        </w:rPr>
        <w:t xml:space="preserve">EVALUATION A MI-PARCOURS DU SOUS-PROGRAMME </w:t>
      </w:r>
      <w:r w:rsidR="00BA4158" w:rsidRPr="004D4230">
        <w:rPr>
          <w:b/>
        </w:rPr>
        <w:t>BOUCLE DU MOUHOUN</w:t>
      </w:r>
      <w:r w:rsidRPr="004D4230">
        <w:rPr>
          <w:b/>
        </w:rPr>
        <w:t xml:space="preserve"> DU PROGRAMME NATIONAL DE PARTENARIAT POUR</w:t>
      </w:r>
      <w:r w:rsidR="00F73BCD">
        <w:rPr>
          <w:b/>
        </w:rPr>
        <w:t xml:space="preserve"> </w:t>
      </w:r>
      <w:r w:rsidRPr="004D4230">
        <w:rPr>
          <w:b/>
        </w:rPr>
        <w:t>LA GESTION DUR</w:t>
      </w:r>
      <w:r w:rsidR="00192571" w:rsidRPr="004D4230">
        <w:rPr>
          <w:b/>
        </w:rPr>
        <w:t>A</w:t>
      </w:r>
      <w:r w:rsidRPr="004D4230">
        <w:rPr>
          <w:b/>
        </w:rPr>
        <w:t>BLE DES TERRES</w:t>
      </w:r>
    </w:p>
    <w:p w:rsidR="00100930" w:rsidRPr="004D4230" w:rsidRDefault="00100930" w:rsidP="00935204">
      <w:pPr>
        <w:jc w:val="both"/>
      </w:pPr>
    </w:p>
    <w:p w:rsidR="00580C8B" w:rsidRPr="004D4230" w:rsidRDefault="00580C8B" w:rsidP="00935204">
      <w:pPr>
        <w:jc w:val="both"/>
      </w:pPr>
    </w:p>
    <w:p w:rsidR="00580C8B" w:rsidRPr="004D4230" w:rsidRDefault="00580C8B" w:rsidP="00935204">
      <w:pPr>
        <w:jc w:val="both"/>
      </w:pPr>
    </w:p>
    <w:p w:rsidR="00580C8B" w:rsidRPr="004D4230" w:rsidRDefault="00580C8B" w:rsidP="00935204">
      <w:pPr>
        <w:jc w:val="both"/>
      </w:pPr>
    </w:p>
    <w:p w:rsidR="00580C8B" w:rsidRPr="004D4230" w:rsidRDefault="00580C8B" w:rsidP="00935204">
      <w:pPr>
        <w:jc w:val="both"/>
      </w:pPr>
    </w:p>
    <w:p w:rsidR="00100930" w:rsidRPr="004D4230" w:rsidRDefault="00100930" w:rsidP="00935204">
      <w:pPr>
        <w:jc w:val="both"/>
      </w:pPr>
    </w:p>
    <w:p w:rsidR="000D5CB1" w:rsidRPr="004D4230" w:rsidRDefault="000D5CB1" w:rsidP="00935204">
      <w:pPr>
        <w:jc w:val="both"/>
        <w:rPr>
          <w:b/>
        </w:rPr>
      </w:pPr>
    </w:p>
    <w:p w:rsidR="000D5CB1" w:rsidRPr="004D4230" w:rsidRDefault="000D5CB1" w:rsidP="00935204">
      <w:pPr>
        <w:tabs>
          <w:tab w:val="left" w:pos="7200"/>
        </w:tabs>
        <w:jc w:val="both"/>
        <w:rPr>
          <w:b/>
        </w:rPr>
      </w:pPr>
    </w:p>
    <w:p w:rsidR="000D5CB1" w:rsidRPr="004D4230" w:rsidRDefault="000D5CB1" w:rsidP="00935204">
      <w:pPr>
        <w:tabs>
          <w:tab w:val="left" w:pos="7200"/>
        </w:tabs>
        <w:jc w:val="both"/>
        <w:rPr>
          <w:b/>
        </w:rPr>
      </w:pPr>
    </w:p>
    <w:p w:rsidR="000D5CB1" w:rsidRPr="004D4230" w:rsidRDefault="000D5CB1" w:rsidP="00935204">
      <w:pPr>
        <w:tabs>
          <w:tab w:val="left" w:pos="7200"/>
        </w:tabs>
        <w:jc w:val="both"/>
        <w:rPr>
          <w:b/>
        </w:rPr>
      </w:pPr>
    </w:p>
    <w:p w:rsidR="000D5CB1" w:rsidRPr="004D4230" w:rsidRDefault="000D5CB1" w:rsidP="00935204">
      <w:pPr>
        <w:tabs>
          <w:tab w:val="left" w:pos="7200"/>
        </w:tabs>
        <w:jc w:val="both"/>
        <w:rPr>
          <w:b/>
        </w:rPr>
      </w:pPr>
    </w:p>
    <w:p w:rsidR="000D5CB1" w:rsidRPr="004D4230" w:rsidRDefault="000D5CB1" w:rsidP="00935204">
      <w:pPr>
        <w:tabs>
          <w:tab w:val="left" w:pos="7200"/>
        </w:tabs>
        <w:jc w:val="both"/>
        <w:rPr>
          <w:b/>
        </w:rPr>
      </w:pPr>
    </w:p>
    <w:p w:rsidR="00A25BE2" w:rsidRPr="004D4230" w:rsidRDefault="00A25BE2" w:rsidP="00935204">
      <w:pPr>
        <w:tabs>
          <w:tab w:val="left" w:pos="7200"/>
        </w:tabs>
        <w:jc w:val="both"/>
        <w:rPr>
          <w:b/>
        </w:rPr>
      </w:pPr>
    </w:p>
    <w:p w:rsidR="00A25BE2" w:rsidRPr="004D4230" w:rsidRDefault="00A25BE2" w:rsidP="00935204">
      <w:pPr>
        <w:tabs>
          <w:tab w:val="left" w:pos="7200"/>
        </w:tabs>
        <w:jc w:val="both"/>
        <w:rPr>
          <w:b/>
        </w:rPr>
      </w:pPr>
    </w:p>
    <w:p w:rsidR="00100930" w:rsidRPr="004D4230" w:rsidRDefault="009A78F4" w:rsidP="00912D99">
      <w:pPr>
        <w:tabs>
          <w:tab w:val="left" w:pos="7200"/>
        </w:tabs>
        <w:jc w:val="center"/>
        <w:rPr>
          <w:b/>
        </w:rPr>
      </w:pPr>
      <w:r>
        <w:rPr>
          <w:b/>
        </w:rPr>
        <w:t>Septembre</w:t>
      </w:r>
      <w:r w:rsidR="00AD40FF" w:rsidRPr="004D4230">
        <w:rPr>
          <w:b/>
        </w:rPr>
        <w:t xml:space="preserve"> </w:t>
      </w:r>
      <w:r w:rsidR="00EB09D4" w:rsidRPr="004D4230">
        <w:rPr>
          <w:b/>
        </w:rPr>
        <w:t>201</w:t>
      </w:r>
      <w:r>
        <w:rPr>
          <w:b/>
        </w:rPr>
        <w:t>7</w:t>
      </w:r>
    </w:p>
    <w:p w:rsidR="00AD40FF" w:rsidRPr="00222F15" w:rsidRDefault="00100930" w:rsidP="00222F15">
      <w:pPr>
        <w:pStyle w:val="Paragraphedeliste"/>
        <w:numPr>
          <w:ilvl w:val="0"/>
          <w:numId w:val="40"/>
        </w:numPr>
        <w:spacing w:after="0" w:line="240" w:lineRule="auto"/>
        <w:jc w:val="both"/>
        <w:rPr>
          <w:rFonts w:ascii="Times New Roman" w:hAnsi="Times New Roman"/>
          <w:b/>
          <w:sz w:val="24"/>
          <w:szCs w:val="24"/>
        </w:rPr>
      </w:pPr>
      <w:r w:rsidRPr="004D4230">
        <w:rPr>
          <w:rFonts w:ascii="Times New Roman" w:hAnsi="Times New Roman"/>
          <w:b/>
          <w:sz w:val="24"/>
          <w:szCs w:val="24"/>
        </w:rPr>
        <w:br w:type="page"/>
      </w:r>
      <w:r w:rsidRPr="00222F15">
        <w:rPr>
          <w:rFonts w:ascii="Times New Roman" w:hAnsi="Times New Roman"/>
          <w:b/>
          <w:sz w:val="24"/>
          <w:szCs w:val="24"/>
        </w:rPr>
        <w:lastRenderedPageBreak/>
        <w:t xml:space="preserve">Contexte </w:t>
      </w:r>
    </w:p>
    <w:p w:rsidR="00773005" w:rsidRPr="004D4230" w:rsidRDefault="00773005" w:rsidP="00935204">
      <w:pPr>
        <w:jc w:val="both"/>
      </w:pPr>
    </w:p>
    <w:p w:rsidR="00773005" w:rsidRPr="004D4230" w:rsidRDefault="00773005" w:rsidP="00773005">
      <w:pPr>
        <w:jc w:val="both"/>
        <w:rPr>
          <w:bCs/>
        </w:rPr>
      </w:pPr>
      <w:r w:rsidRPr="004D4230">
        <w:rPr>
          <w:bCs/>
        </w:rPr>
        <w:t xml:space="preserve">Le Burkina Faso a une économie dont la structure est essentiellement basée sur le capital « terres et/ou ressources naturelles ». Le secteur primaire demeure la source de revenus et d’emplois d’au moins 85% de la population active, à travers l’agriculture, l’élevage et la foresterie. Malheureusement sous l’effet conjugué du climat et de l’action anthropique, il a été constaté que la terre subit une dégradation inquiétante estimée à 34% en 2006, avec une progression annuelle d’environ 360.000 hectares. </w:t>
      </w:r>
    </w:p>
    <w:p w:rsidR="00773005" w:rsidRPr="004D4230" w:rsidRDefault="00773005" w:rsidP="00773005">
      <w:pPr>
        <w:jc w:val="both"/>
        <w:rPr>
          <w:bCs/>
        </w:rPr>
      </w:pPr>
    </w:p>
    <w:p w:rsidR="00773005" w:rsidRPr="004D4230" w:rsidRDefault="00773005" w:rsidP="00773005">
      <w:pPr>
        <w:jc w:val="both"/>
        <w:rPr>
          <w:bCs/>
          <w:lang w:val="fr-CA"/>
        </w:rPr>
      </w:pPr>
      <w:r w:rsidRPr="004D4230">
        <w:rPr>
          <w:bCs/>
        </w:rPr>
        <w:t xml:space="preserve">Aussi, le pays </w:t>
      </w:r>
      <w:proofErr w:type="spellStart"/>
      <w:r w:rsidRPr="004D4230">
        <w:rPr>
          <w:bCs/>
        </w:rPr>
        <w:t>a-t-il</w:t>
      </w:r>
      <w:proofErr w:type="spellEnd"/>
      <w:r w:rsidRPr="004D4230">
        <w:rPr>
          <w:bCs/>
        </w:rPr>
        <w:t xml:space="preserve"> manifesté une volonté réelle de stopper cette dégradation à travers plusieurs politiques soutenues par des stratégies entre autres,</w:t>
      </w:r>
      <w:r w:rsidRPr="004D4230">
        <w:rPr>
          <w:bCs/>
          <w:lang w:val="fr-CA"/>
        </w:rPr>
        <w:t xml:space="preserve"> la Stratégie de Croissance Accélérée et de Développement Durable (SCADD) ; le Programme d’Action National de Lutte Contre la Désertification (PAN/LCD), la Stratégie de Développement Rural (SDR). </w:t>
      </w:r>
    </w:p>
    <w:p w:rsidR="00773005" w:rsidRPr="004D4230" w:rsidRDefault="00773005" w:rsidP="00773005">
      <w:pPr>
        <w:jc w:val="both"/>
        <w:rPr>
          <w:bCs/>
          <w:lang w:val="fr-CA"/>
        </w:rPr>
      </w:pPr>
    </w:p>
    <w:p w:rsidR="00773005" w:rsidRPr="004D4230" w:rsidRDefault="00773005" w:rsidP="00773005">
      <w:pPr>
        <w:jc w:val="both"/>
        <w:rPr>
          <w:bCs/>
        </w:rPr>
      </w:pPr>
      <w:r w:rsidRPr="004D4230">
        <w:rPr>
          <w:bCs/>
          <w:lang w:val="fr-CA"/>
        </w:rPr>
        <w:t>D</w:t>
      </w:r>
      <w:proofErr w:type="spellStart"/>
      <w:r w:rsidRPr="004D4230">
        <w:rPr>
          <w:bCs/>
        </w:rPr>
        <w:t>ans</w:t>
      </w:r>
      <w:proofErr w:type="spellEnd"/>
      <w:r w:rsidRPr="004D4230">
        <w:rPr>
          <w:bCs/>
        </w:rPr>
        <w:t xml:space="preserve"> le cadre de la consolidation de la mise en œuvre de la Convention des Nations Unies de Lutte contre la Désertification (UNCCD), le Burkina Faso a développé, avec l’appui de ses Partenaires Techniques et Financiers, dont entre autres, le Fonds pour l’Environnement Mondial (FEM) et le Programme des Nations Unies pour le Développement (PNUD), le Programme National de Partenariat pour la Gestion Durable des Terres (CPP). Planifié pour une durée de mise en œuvre de 15 ans, à travers trois phases successives de cinq (5) ans, </w:t>
      </w:r>
    </w:p>
    <w:p w:rsidR="00773005" w:rsidRPr="004D4230" w:rsidRDefault="00773005" w:rsidP="00773005">
      <w:pPr>
        <w:jc w:val="both"/>
        <w:rPr>
          <w:bCs/>
        </w:rPr>
      </w:pPr>
    </w:p>
    <w:p w:rsidR="00773005" w:rsidRPr="004D4230" w:rsidRDefault="00773005" w:rsidP="00773005">
      <w:pPr>
        <w:jc w:val="both"/>
        <w:rPr>
          <w:b/>
          <w:bCs/>
        </w:rPr>
      </w:pPr>
      <w:r w:rsidRPr="004D4230">
        <w:rPr>
          <w:bCs/>
        </w:rPr>
        <w:t>L’objectif du CPP est « d’améliorer de manière durable la productivité des ressources rurales par l’utilisation d’une approche intégrée et holistique et permettant au Burkina Faso d’atteindre les objectifs du millénaire pour le développement relatifs à l’inversion de la tendance actuelle à la déperdition des ressources environnementales ».</w:t>
      </w:r>
    </w:p>
    <w:p w:rsidR="00773005" w:rsidRPr="004D4230" w:rsidRDefault="00773005" w:rsidP="00773005">
      <w:pPr>
        <w:jc w:val="both"/>
        <w:outlineLvl w:val="0"/>
        <w:rPr>
          <w:kern w:val="28"/>
          <w:highlight w:val="yellow"/>
        </w:rPr>
      </w:pPr>
    </w:p>
    <w:p w:rsidR="00773005" w:rsidRPr="004D4230" w:rsidRDefault="00773005" w:rsidP="00773005">
      <w:pPr>
        <w:pStyle w:val="Default"/>
        <w:jc w:val="both"/>
        <w:rPr>
          <w:rFonts w:ascii="Times New Roman" w:hAnsi="Times New Roman" w:cs="Times New Roman"/>
        </w:rPr>
      </w:pPr>
      <w:r w:rsidRPr="004D4230">
        <w:rPr>
          <w:rFonts w:ascii="Times New Roman" w:hAnsi="Times New Roman" w:cs="Times New Roman"/>
        </w:rPr>
        <w:t xml:space="preserve">De façon spécifique, le Programme vise à : (i) développer et mettre en </w:t>
      </w:r>
      <w:r w:rsidR="009047F7" w:rsidRPr="004D4230">
        <w:rPr>
          <w:rFonts w:ascii="Times New Roman" w:hAnsi="Times New Roman" w:cs="Times New Roman"/>
        </w:rPr>
        <w:t>œuvre</w:t>
      </w:r>
      <w:r w:rsidRPr="004D4230">
        <w:rPr>
          <w:rFonts w:ascii="Times New Roman" w:hAnsi="Times New Roman" w:cs="Times New Roman"/>
        </w:rPr>
        <w:t xml:space="preserve"> une plate-forme de partenariat intersectoriel permettant une meilleure coordination et une approche intégrée à la gestion durable et équitable des terres ; (ii) promouvoir une politique et un environnement institutionnel favorables en vue de mieux prendre en compte et mettre en </w:t>
      </w:r>
      <w:r w:rsidR="009047F7" w:rsidRPr="004D4230">
        <w:rPr>
          <w:rFonts w:ascii="Times New Roman" w:hAnsi="Times New Roman" w:cs="Times New Roman"/>
        </w:rPr>
        <w:t>œuvre</w:t>
      </w:r>
      <w:r w:rsidRPr="004D4230">
        <w:rPr>
          <w:rFonts w:ascii="Times New Roman" w:hAnsi="Times New Roman" w:cs="Times New Roman"/>
        </w:rPr>
        <w:t xml:space="preserve"> la gestion durable et équitable des terres ; et (iii) encourager une approche intégrée des pratiques de gestion durable et équitable des terres comprenant les pratiques innovatrices et/ou celles basées sur les connaissances locales. </w:t>
      </w:r>
    </w:p>
    <w:p w:rsidR="00773005" w:rsidRPr="004D4230" w:rsidRDefault="00773005" w:rsidP="00773005">
      <w:pPr>
        <w:jc w:val="both"/>
        <w:outlineLvl w:val="0"/>
        <w:rPr>
          <w:kern w:val="28"/>
        </w:rPr>
      </w:pPr>
    </w:p>
    <w:p w:rsidR="00FC3779" w:rsidRPr="00FF0D9E" w:rsidRDefault="00773005" w:rsidP="00773005">
      <w:pPr>
        <w:pStyle w:val="Titre"/>
        <w:spacing w:before="0" w:after="0"/>
        <w:jc w:val="both"/>
        <w:rPr>
          <w:rFonts w:ascii="Times New Roman" w:hAnsi="Times New Roman"/>
          <w:b w:val="0"/>
          <w:sz w:val="24"/>
          <w:szCs w:val="24"/>
        </w:rPr>
      </w:pPr>
      <w:r w:rsidRPr="004D4230">
        <w:rPr>
          <w:rFonts w:ascii="Times New Roman" w:hAnsi="Times New Roman"/>
          <w:b w:val="0"/>
          <w:bCs w:val="0"/>
          <w:sz w:val="24"/>
          <w:szCs w:val="24"/>
        </w:rPr>
        <w:t xml:space="preserve">Le Sous-programme de la </w:t>
      </w:r>
      <w:r w:rsidRPr="004D4230">
        <w:rPr>
          <w:rFonts w:ascii="Times New Roman" w:hAnsi="Times New Roman"/>
          <w:b w:val="0"/>
          <w:sz w:val="24"/>
          <w:szCs w:val="24"/>
        </w:rPr>
        <w:t>"Région de la Boucle du Mouhoun" est l’un des cinq Sous-</w:t>
      </w:r>
      <w:r w:rsidRPr="004D4230">
        <w:rPr>
          <w:rFonts w:ascii="Times New Roman" w:hAnsi="Times New Roman"/>
          <w:b w:val="0"/>
          <w:bCs w:val="0"/>
          <w:sz w:val="24"/>
          <w:szCs w:val="24"/>
        </w:rPr>
        <w:t xml:space="preserve">programmes développés pour la mise en œuvre de la première phase ou phase pilote de ce Programme National de Partenariat pour la Gestion Durable des Terres. Lancé en juin 2011, la mise en œuvre effective </w:t>
      </w:r>
      <w:r w:rsidRPr="00FF0D9E">
        <w:rPr>
          <w:rFonts w:ascii="Times New Roman" w:hAnsi="Times New Roman"/>
          <w:b w:val="0"/>
          <w:sz w:val="24"/>
          <w:szCs w:val="24"/>
        </w:rPr>
        <w:t>de ce  Sous-programme est intervenue à partir d’octobre 2O12.</w:t>
      </w:r>
      <w:r w:rsidR="00FF0D9E" w:rsidRPr="00FF0D9E">
        <w:rPr>
          <w:rFonts w:ascii="Times New Roman" w:hAnsi="Times New Roman"/>
          <w:b w:val="0"/>
          <w:sz w:val="24"/>
          <w:szCs w:val="24"/>
        </w:rPr>
        <w:t xml:space="preserve"> Les résultats attendus sont (i) : la planification de l’utilisation des terres, la coordination et les partenariats pour la gestion durable des terres sont établis dans la Région du Mouhoun ; (ii) La décentralisation des fonctions de GDT/GRN est effective ; (iii) Les meilleures pratiques de GDT et de mise en valeur des sols sont largement promues et vulgarisées à travers la région de la Boucle du Mouhoun ; (iv) les pratiques et leçons en matière de GDT sont largement partagées entre les acteurs dans la région</w:t>
      </w:r>
      <w:r w:rsidR="00FF0D9E">
        <w:rPr>
          <w:rFonts w:ascii="Times New Roman" w:hAnsi="Times New Roman"/>
          <w:b w:val="0"/>
          <w:sz w:val="24"/>
          <w:szCs w:val="24"/>
        </w:rPr>
        <w:t>.</w:t>
      </w:r>
    </w:p>
    <w:p w:rsidR="00FF0D9E" w:rsidRDefault="00FF0D9E" w:rsidP="00773005">
      <w:pPr>
        <w:pStyle w:val="Titre"/>
        <w:spacing w:before="0" w:after="0"/>
        <w:jc w:val="both"/>
        <w:rPr>
          <w:rFonts w:ascii="Times New Roman" w:hAnsi="Times New Roman"/>
          <w:b w:val="0"/>
          <w:bCs w:val="0"/>
          <w:sz w:val="24"/>
          <w:szCs w:val="24"/>
        </w:rPr>
      </w:pPr>
    </w:p>
    <w:p w:rsidR="009A78F4" w:rsidRPr="009A78F4" w:rsidRDefault="006D7182" w:rsidP="009A78F4">
      <w:pPr>
        <w:pStyle w:val="Titre"/>
        <w:spacing w:before="0" w:after="0"/>
        <w:jc w:val="both"/>
        <w:rPr>
          <w:rFonts w:ascii="Times New Roman" w:hAnsi="Times New Roman"/>
          <w:b w:val="0"/>
          <w:bCs w:val="0"/>
          <w:color w:val="000000"/>
          <w:kern w:val="0"/>
          <w:sz w:val="24"/>
          <w:szCs w:val="24"/>
        </w:rPr>
      </w:pPr>
      <w:r w:rsidRPr="009A78F4">
        <w:rPr>
          <w:rFonts w:ascii="Times New Roman" w:hAnsi="Times New Roman"/>
          <w:b w:val="0"/>
          <w:sz w:val="24"/>
          <w:szCs w:val="24"/>
        </w:rPr>
        <w:t>Une évaluation à m</w:t>
      </w:r>
      <w:r w:rsidR="009A78F4" w:rsidRPr="009A78F4">
        <w:rPr>
          <w:rFonts w:ascii="Times New Roman" w:hAnsi="Times New Roman"/>
          <w:b w:val="0"/>
          <w:sz w:val="24"/>
          <w:szCs w:val="24"/>
        </w:rPr>
        <w:t>i</w:t>
      </w:r>
      <w:r w:rsidRPr="009A78F4">
        <w:rPr>
          <w:rFonts w:ascii="Times New Roman" w:hAnsi="Times New Roman"/>
          <w:b w:val="0"/>
          <w:sz w:val="24"/>
          <w:szCs w:val="24"/>
        </w:rPr>
        <w:t>-parcours réalisée en avril 2016 a montré qu</w:t>
      </w:r>
      <w:r w:rsidR="009A78F4" w:rsidRPr="009A78F4">
        <w:rPr>
          <w:rFonts w:ascii="Times New Roman" w:hAnsi="Times New Roman"/>
          <w:b w:val="0"/>
          <w:sz w:val="24"/>
          <w:szCs w:val="24"/>
        </w:rPr>
        <w:t xml:space="preserve">’en moyenne les </w:t>
      </w:r>
      <w:r w:rsidRPr="009A78F4">
        <w:rPr>
          <w:rFonts w:ascii="Times New Roman" w:hAnsi="Times New Roman"/>
          <w:b w:val="0"/>
          <w:sz w:val="24"/>
          <w:szCs w:val="24"/>
        </w:rPr>
        <w:t xml:space="preserve">résultats </w:t>
      </w:r>
      <w:r w:rsidR="009A78F4" w:rsidRPr="009A78F4">
        <w:rPr>
          <w:rFonts w:ascii="Times New Roman" w:hAnsi="Times New Roman"/>
          <w:b w:val="0"/>
          <w:sz w:val="24"/>
          <w:szCs w:val="24"/>
        </w:rPr>
        <w:t>de développement prévus</w:t>
      </w:r>
      <w:r w:rsidRPr="009A78F4">
        <w:rPr>
          <w:rFonts w:ascii="Times New Roman" w:hAnsi="Times New Roman"/>
          <w:b w:val="0"/>
          <w:sz w:val="24"/>
          <w:szCs w:val="24"/>
        </w:rPr>
        <w:t xml:space="preserve"> sont en bonne voie de réalisation. Ainsi, le sous-programme a pu doter la région de la Boucle du Mouhoun d’un cadre de concertation sur la GDT qui fonctionne bien.</w:t>
      </w:r>
      <w:r w:rsidR="009A78F4" w:rsidRPr="009A78F4">
        <w:rPr>
          <w:rFonts w:ascii="Times New Roman" w:hAnsi="Times New Roman"/>
          <w:b w:val="0"/>
          <w:sz w:val="24"/>
          <w:szCs w:val="24"/>
        </w:rPr>
        <w:t xml:space="preserve"> L’évaluation a montré une bonne motivation d</w:t>
      </w:r>
      <w:r w:rsidRPr="009A78F4">
        <w:rPr>
          <w:rFonts w:ascii="Times New Roman" w:hAnsi="Times New Roman"/>
          <w:b w:val="0"/>
          <w:sz w:val="24"/>
          <w:szCs w:val="24"/>
        </w:rPr>
        <w:t xml:space="preserve">es acteurs de la GDT </w:t>
      </w:r>
      <w:r w:rsidR="009A78F4" w:rsidRPr="009A78F4">
        <w:rPr>
          <w:rFonts w:ascii="Times New Roman" w:hAnsi="Times New Roman"/>
          <w:b w:val="0"/>
          <w:sz w:val="24"/>
          <w:szCs w:val="24"/>
        </w:rPr>
        <w:t>et une</w:t>
      </w:r>
      <w:r w:rsidRPr="009A78F4">
        <w:rPr>
          <w:rFonts w:ascii="Times New Roman" w:hAnsi="Times New Roman"/>
          <w:b w:val="0"/>
          <w:sz w:val="24"/>
          <w:szCs w:val="24"/>
        </w:rPr>
        <w:t xml:space="preserve"> </w:t>
      </w:r>
      <w:r w:rsidR="009A78F4" w:rsidRPr="009A78F4">
        <w:rPr>
          <w:rFonts w:ascii="Times New Roman" w:hAnsi="Times New Roman"/>
          <w:b w:val="0"/>
          <w:sz w:val="24"/>
          <w:szCs w:val="24"/>
        </w:rPr>
        <w:t xml:space="preserve">grande </w:t>
      </w:r>
      <w:r w:rsidRPr="009A78F4">
        <w:rPr>
          <w:rFonts w:ascii="Times New Roman" w:hAnsi="Times New Roman"/>
          <w:b w:val="0"/>
          <w:sz w:val="24"/>
          <w:szCs w:val="24"/>
        </w:rPr>
        <w:t>détermination d</w:t>
      </w:r>
      <w:r w:rsidRPr="009A78F4">
        <w:rPr>
          <w:rFonts w:ascii="Times New Roman" w:hAnsi="Times New Roman"/>
          <w:b w:val="0"/>
          <w:bCs w:val="0"/>
          <w:color w:val="000000"/>
          <w:kern w:val="0"/>
          <w:sz w:val="24"/>
          <w:szCs w:val="24"/>
        </w:rPr>
        <w:t xml:space="preserve">u Conseil Régional et des Conseils Municipaux à assumer pleinement les missions de maitrise </w:t>
      </w:r>
      <w:r w:rsidRPr="009A78F4">
        <w:rPr>
          <w:rFonts w:ascii="Times New Roman" w:hAnsi="Times New Roman"/>
          <w:b w:val="0"/>
          <w:bCs w:val="0"/>
          <w:color w:val="000000"/>
          <w:kern w:val="0"/>
          <w:sz w:val="24"/>
          <w:szCs w:val="24"/>
        </w:rPr>
        <w:lastRenderedPageBreak/>
        <w:t>d’ouvrage qui leur sont confiés.</w:t>
      </w:r>
      <w:r w:rsidR="009A78F4" w:rsidRPr="009A78F4">
        <w:rPr>
          <w:rFonts w:ascii="Times New Roman" w:hAnsi="Times New Roman"/>
          <w:b w:val="0"/>
          <w:bCs w:val="0"/>
          <w:color w:val="000000"/>
          <w:kern w:val="0"/>
          <w:sz w:val="24"/>
          <w:szCs w:val="24"/>
        </w:rPr>
        <w:t xml:space="preserve"> Le</w:t>
      </w:r>
      <w:r w:rsidRPr="009A78F4">
        <w:rPr>
          <w:rFonts w:ascii="Times New Roman" w:hAnsi="Times New Roman"/>
          <w:b w:val="0"/>
          <w:bCs w:val="0"/>
          <w:color w:val="000000"/>
          <w:kern w:val="0"/>
          <w:sz w:val="24"/>
          <w:szCs w:val="24"/>
        </w:rPr>
        <w:t xml:space="preserve"> niveau de responsabilisation et d’implication des instances locales dans la GDT</w:t>
      </w:r>
      <w:r w:rsidR="009A78F4" w:rsidRPr="009A78F4">
        <w:rPr>
          <w:rFonts w:ascii="Times New Roman" w:hAnsi="Times New Roman"/>
          <w:b w:val="0"/>
          <w:bCs w:val="0"/>
          <w:color w:val="000000"/>
          <w:kern w:val="0"/>
          <w:sz w:val="24"/>
          <w:szCs w:val="24"/>
        </w:rPr>
        <w:t xml:space="preserve"> s’est révélé élevé</w:t>
      </w:r>
      <w:r w:rsidRPr="009A78F4">
        <w:rPr>
          <w:rFonts w:ascii="Times New Roman" w:hAnsi="Times New Roman"/>
          <w:b w:val="0"/>
          <w:bCs w:val="0"/>
          <w:color w:val="000000"/>
          <w:kern w:val="0"/>
          <w:sz w:val="24"/>
          <w:szCs w:val="24"/>
        </w:rPr>
        <w:t xml:space="preserve">. En effet, les lois sur la décentralisation et celles portant régime foncier rural reconnaissaient déjà aux collectivités territoriales le plein droit de regard sur les ressources naturelles. Avec les appuis du sous-programme CPP, l’engagement des organes élus régionaux et communaux s’est renforcé. </w:t>
      </w:r>
    </w:p>
    <w:p w:rsidR="009A78F4" w:rsidRPr="009A78F4" w:rsidRDefault="009A78F4" w:rsidP="009A78F4">
      <w:pPr>
        <w:jc w:val="both"/>
        <w:rPr>
          <w:color w:val="000000"/>
        </w:rPr>
      </w:pPr>
    </w:p>
    <w:p w:rsidR="009A78F4" w:rsidRPr="009A78F4" w:rsidRDefault="009A78F4" w:rsidP="009A78F4">
      <w:pPr>
        <w:jc w:val="both"/>
        <w:rPr>
          <w:color w:val="000000"/>
        </w:rPr>
      </w:pPr>
      <w:r w:rsidRPr="009A78F4">
        <w:rPr>
          <w:color w:val="000000"/>
        </w:rPr>
        <w:t xml:space="preserve">Il est ressorti de l’évaluation à mi-parcours que la </w:t>
      </w:r>
      <w:proofErr w:type="spellStart"/>
      <w:r w:rsidRPr="009A78F4">
        <w:rPr>
          <w:color w:val="000000"/>
        </w:rPr>
        <w:t>pro-activité</w:t>
      </w:r>
      <w:proofErr w:type="spellEnd"/>
      <w:r w:rsidRPr="009A78F4">
        <w:rPr>
          <w:color w:val="000000"/>
        </w:rPr>
        <w:t xml:space="preserve"> et le leadership de l’Unité de Coordination du Projet a permis, de l’avis de nombreux acteurs rencontrés, d’éviter plusieurs blocages institutionnels et surtout de donner un contenu et une vie active à la plateforme de concertation régionale.</w:t>
      </w:r>
    </w:p>
    <w:p w:rsidR="009A78F4" w:rsidRPr="009A78F4" w:rsidRDefault="009A78F4" w:rsidP="006D7182">
      <w:pPr>
        <w:jc w:val="both"/>
        <w:rPr>
          <w:color w:val="000000"/>
        </w:rPr>
      </w:pPr>
    </w:p>
    <w:p w:rsidR="006D7182" w:rsidRPr="009A78F4" w:rsidRDefault="006D7182" w:rsidP="009A78F4">
      <w:pPr>
        <w:jc w:val="both"/>
        <w:rPr>
          <w:color w:val="000000"/>
        </w:rPr>
      </w:pPr>
      <w:r w:rsidRPr="009A78F4">
        <w:rPr>
          <w:color w:val="000000"/>
        </w:rPr>
        <w:t xml:space="preserve">Cependant, la relative faiblesse des ressources du programme limite objectivement son action à 9 communes sur les 47 que compte la Région et à 62 villages et communautés.  </w:t>
      </w:r>
      <w:r w:rsidR="009A78F4" w:rsidRPr="009A78F4">
        <w:rPr>
          <w:color w:val="000000"/>
        </w:rPr>
        <w:t xml:space="preserve">Sur une prévision d’aménagement de 200.000 ha de terres en GDT, seulement  </w:t>
      </w:r>
      <w:r w:rsidRPr="009A78F4">
        <w:rPr>
          <w:color w:val="000000"/>
        </w:rPr>
        <w:t xml:space="preserve">3 052 ha </w:t>
      </w:r>
      <w:r w:rsidR="009A78F4" w:rsidRPr="009A78F4">
        <w:rPr>
          <w:color w:val="000000"/>
        </w:rPr>
        <w:t>ont été aménagés à mi-parcours. Les analyses ont montré que les ressources prévues pour ces aménagements  sont insuffisantes pour réaliser les prévisions. Les outils de finance d’entreprise et de l'environnement n’étaient toujours pas encore disponibles.</w:t>
      </w:r>
    </w:p>
    <w:p w:rsidR="009A78F4" w:rsidRPr="000A5FF9" w:rsidRDefault="009A78F4" w:rsidP="009A78F4">
      <w:pPr>
        <w:jc w:val="both"/>
        <w:rPr>
          <w:rFonts w:ascii="Century Gothic" w:hAnsi="Century Gothic"/>
          <w:sz w:val="22"/>
          <w:szCs w:val="22"/>
        </w:rPr>
      </w:pPr>
    </w:p>
    <w:p w:rsidR="00773005" w:rsidRDefault="009A78F4" w:rsidP="00773005">
      <w:pPr>
        <w:pStyle w:val="Titre"/>
        <w:spacing w:before="0" w:after="0"/>
        <w:jc w:val="both"/>
        <w:rPr>
          <w:rFonts w:ascii="Times New Roman" w:hAnsi="Times New Roman"/>
          <w:b w:val="0"/>
          <w:bCs w:val="0"/>
          <w:sz w:val="24"/>
          <w:szCs w:val="24"/>
        </w:rPr>
      </w:pPr>
      <w:r>
        <w:rPr>
          <w:rFonts w:ascii="Times New Roman" w:hAnsi="Times New Roman"/>
          <w:b w:val="0"/>
          <w:bCs w:val="0"/>
          <w:sz w:val="24"/>
          <w:szCs w:val="24"/>
        </w:rPr>
        <w:t xml:space="preserve">En alignement avec le programme de coopération pays du PNUD qui a connu une extension jusqu’en fin 2017, </w:t>
      </w:r>
      <w:r w:rsidRPr="009A78F4">
        <w:rPr>
          <w:rFonts w:ascii="Times New Roman" w:hAnsi="Times New Roman"/>
          <w:b w:val="0"/>
          <w:bCs w:val="0"/>
          <w:sz w:val="24"/>
          <w:szCs w:val="24"/>
        </w:rPr>
        <w:t>le Programme National de Partenariat pour la Gestion Durable des Terres</w:t>
      </w:r>
      <w:r>
        <w:rPr>
          <w:rFonts w:ascii="Times New Roman" w:hAnsi="Times New Roman"/>
          <w:b w:val="0"/>
          <w:bCs w:val="0"/>
          <w:sz w:val="24"/>
          <w:szCs w:val="24"/>
        </w:rPr>
        <w:t>, « sous-programme Boucle du Mouhoun »</w:t>
      </w:r>
      <w:r w:rsidRPr="009A78F4">
        <w:rPr>
          <w:rFonts w:ascii="Times New Roman" w:hAnsi="Times New Roman"/>
          <w:b w:val="0"/>
          <w:bCs w:val="0"/>
          <w:sz w:val="24"/>
          <w:szCs w:val="24"/>
        </w:rPr>
        <w:t xml:space="preserve"> </w:t>
      </w:r>
      <w:r>
        <w:rPr>
          <w:rFonts w:ascii="Times New Roman" w:hAnsi="Times New Roman"/>
          <w:b w:val="0"/>
          <w:bCs w:val="0"/>
          <w:sz w:val="24"/>
          <w:szCs w:val="24"/>
        </w:rPr>
        <w:t>a connu une extension sur la même période. Sa mise en œuvre est ainsi prévue prendre fin en fin décembre 2017.</w:t>
      </w:r>
    </w:p>
    <w:p w:rsidR="009A78F4" w:rsidRPr="004D4230" w:rsidRDefault="009A78F4" w:rsidP="00773005">
      <w:pPr>
        <w:pStyle w:val="Titre"/>
        <w:spacing w:before="0" w:after="0"/>
        <w:jc w:val="both"/>
        <w:rPr>
          <w:rFonts w:ascii="Times New Roman" w:hAnsi="Times New Roman"/>
          <w:b w:val="0"/>
          <w:bCs w:val="0"/>
          <w:sz w:val="24"/>
          <w:szCs w:val="24"/>
        </w:rPr>
      </w:pPr>
    </w:p>
    <w:p w:rsidR="00DB5A5B" w:rsidRPr="004D4230" w:rsidRDefault="00DB5A5B" w:rsidP="00DB5A5B">
      <w:pPr>
        <w:pStyle w:val="Paragraphedeliste"/>
        <w:numPr>
          <w:ilvl w:val="0"/>
          <w:numId w:val="40"/>
        </w:numPr>
        <w:spacing w:after="0" w:line="240" w:lineRule="auto"/>
        <w:jc w:val="both"/>
        <w:rPr>
          <w:rFonts w:ascii="Times New Roman" w:hAnsi="Times New Roman"/>
          <w:b/>
          <w:sz w:val="24"/>
          <w:szCs w:val="24"/>
        </w:rPr>
      </w:pPr>
      <w:r w:rsidRPr="004D4230">
        <w:rPr>
          <w:rFonts w:ascii="Times New Roman" w:hAnsi="Times New Roman"/>
          <w:b/>
          <w:sz w:val="24"/>
          <w:szCs w:val="24"/>
        </w:rPr>
        <w:t>JUSTIFICATION DE L’EVALUATION</w:t>
      </w:r>
    </w:p>
    <w:p w:rsidR="00DB5A5B" w:rsidRPr="004D4230" w:rsidRDefault="00DB5A5B" w:rsidP="00DB5A5B">
      <w:pPr>
        <w:autoSpaceDE w:val="0"/>
        <w:autoSpaceDN w:val="0"/>
        <w:adjustRightInd w:val="0"/>
        <w:jc w:val="both"/>
        <w:rPr>
          <w:color w:val="000000"/>
          <w:lang w:eastAsia="en-US"/>
        </w:rPr>
      </w:pPr>
    </w:p>
    <w:p w:rsidR="00773005" w:rsidRPr="004D4230" w:rsidRDefault="00773005" w:rsidP="00773005">
      <w:pPr>
        <w:jc w:val="both"/>
        <w:rPr>
          <w:color w:val="000000"/>
        </w:rPr>
      </w:pPr>
      <w:r w:rsidRPr="004D4230">
        <w:rPr>
          <w:color w:val="000000"/>
        </w:rPr>
        <w:t xml:space="preserve">Conformément au plan de suivi-évaluation du document de Sous-programme, </w:t>
      </w:r>
      <w:r w:rsidR="009A78F4">
        <w:rPr>
          <w:color w:val="000000"/>
        </w:rPr>
        <w:t xml:space="preserve">une évaluation finale du projet est prévue en fin de période de mise en </w:t>
      </w:r>
      <w:proofErr w:type="spellStart"/>
      <w:r w:rsidR="009A78F4">
        <w:rPr>
          <w:color w:val="000000"/>
        </w:rPr>
        <w:t>oeuvre</w:t>
      </w:r>
      <w:proofErr w:type="spellEnd"/>
      <w:r w:rsidR="00DB5A5B" w:rsidRPr="004D4230">
        <w:rPr>
          <w:color w:val="000000"/>
        </w:rPr>
        <w:t xml:space="preserve"> </w:t>
      </w:r>
      <w:r w:rsidRPr="004D4230">
        <w:rPr>
          <w:color w:val="000000"/>
        </w:rPr>
        <w:t xml:space="preserve">pour apprécier </w:t>
      </w:r>
      <w:r w:rsidR="009A78F4">
        <w:rPr>
          <w:color w:val="000000"/>
        </w:rPr>
        <w:t>le niveau d’atteinte d</w:t>
      </w:r>
      <w:r w:rsidRPr="004D4230">
        <w:rPr>
          <w:color w:val="000000"/>
        </w:rPr>
        <w:t>es résultats</w:t>
      </w:r>
      <w:r w:rsidR="009A78F4">
        <w:rPr>
          <w:color w:val="000000"/>
        </w:rPr>
        <w:t>, montrer les enseignements tirés</w:t>
      </w:r>
      <w:r w:rsidRPr="004D4230">
        <w:rPr>
          <w:color w:val="000000"/>
        </w:rPr>
        <w:t xml:space="preserve"> </w:t>
      </w:r>
      <w:r w:rsidR="009A78F4">
        <w:rPr>
          <w:color w:val="000000"/>
        </w:rPr>
        <w:t>pour une exploitation au profit d’autres projets du genre</w:t>
      </w:r>
      <w:r w:rsidR="00DB5A5B" w:rsidRPr="004D4230">
        <w:rPr>
          <w:color w:val="000000"/>
        </w:rPr>
        <w:t>.</w:t>
      </w:r>
      <w:r w:rsidR="009A78F4">
        <w:rPr>
          <w:color w:val="000000"/>
        </w:rPr>
        <w:t xml:space="preserve"> C’est dans ce cadre que l’évaluation, objet des présents TDR est envisagée. </w:t>
      </w:r>
    </w:p>
    <w:p w:rsidR="00773005" w:rsidRPr="004D4230" w:rsidRDefault="00773005" w:rsidP="00773005">
      <w:pPr>
        <w:jc w:val="both"/>
        <w:rPr>
          <w:color w:val="000000"/>
        </w:rPr>
      </w:pPr>
    </w:p>
    <w:p w:rsidR="00773005" w:rsidRPr="004D4230" w:rsidRDefault="00773005" w:rsidP="00773005">
      <w:pPr>
        <w:jc w:val="both"/>
        <w:rPr>
          <w:color w:val="000000"/>
        </w:rPr>
      </w:pPr>
    </w:p>
    <w:p w:rsidR="00755990" w:rsidRPr="004D4230" w:rsidRDefault="00755990" w:rsidP="00935204">
      <w:pPr>
        <w:jc w:val="both"/>
      </w:pPr>
    </w:p>
    <w:p w:rsidR="005A4A1F" w:rsidRPr="004D4230" w:rsidRDefault="005A4A1F" w:rsidP="00222F15">
      <w:pPr>
        <w:pStyle w:val="Paragraphedeliste"/>
        <w:numPr>
          <w:ilvl w:val="0"/>
          <w:numId w:val="40"/>
        </w:numPr>
        <w:spacing w:after="0" w:line="240" w:lineRule="auto"/>
        <w:jc w:val="both"/>
        <w:rPr>
          <w:rFonts w:ascii="Times New Roman" w:hAnsi="Times New Roman"/>
          <w:b/>
          <w:sz w:val="24"/>
          <w:szCs w:val="24"/>
        </w:rPr>
      </w:pPr>
      <w:r w:rsidRPr="004D4230">
        <w:rPr>
          <w:rFonts w:ascii="Times New Roman" w:hAnsi="Times New Roman"/>
          <w:b/>
          <w:sz w:val="24"/>
          <w:szCs w:val="24"/>
        </w:rPr>
        <w:t xml:space="preserve">PORTEE DE L’EVALUATION ET PRINCIPAUX OBJECTIFS </w:t>
      </w:r>
    </w:p>
    <w:p w:rsidR="005A4A1F" w:rsidRPr="004D4230" w:rsidRDefault="005A4A1F" w:rsidP="005A4A1F">
      <w:pPr>
        <w:jc w:val="both"/>
        <w:rPr>
          <w:rFonts w:eastAsia="Calibri"/>
          <w:b/>
          <w:lang w:eastAsia="en-US"/>
        </w:rPr>
      </w:pPr>
    </w:p>
    <w:p w:rsidR="005A4A1F" w:rsidRPr="004D4230" w:rsidRDefault="005A4A1F" w:rsidP="005A4A1F">
      <w:pPr>
        <w:autoSpaceDE w:val="0"/>
        <w:autoSpaceDN w:val="0"/>
        <w:adjustRightInd w:val="0"/>
        <w:jc w:val="both"/>
        <w:rPr>
          <w:rFonts w:eastAsia="Calibri"/>
          <w:b/>
          <w:lang w:eastAsia="en-US"/>
        </w:rPr>
      </w:pPr>
      <w:r w:rsidRPr="004D4230">
        <w:t xml:space="preserve">L’évaluation portera sur la mise en œuvre du </w:t>
      </w:r>
      <w:proofErr w:type="spellStart"/>
      <w:r w:rsidRPr="004D4230">
        <w:t>sous programme</w:t>
      </w:r>
      <w:proofErr w:type="spellEnd"/>
      <w:r w:rsidRPr="004D4230">
        <w:t xml:space="preserve"> CP</w:t>
      </w:r>
      <w:r w:rsidR="003D7B92">
        <w:t>P de la Région de la Boucle du M</w:t>
      </w:r>
      <w:r w:rsidRPr="004D4230">
        <w:t>ouhoun</w:t>
      </w:r>
      <w:r w:rsidRPr="004D4230">
        <w:rPr>
          <w:bCs/>
          <w:kern w:val="28"/>
        </w:rPr>
        <w:t xml:space="preserve"> </w:t>
      </w:r>
      <w:r w:rsidRPr="004D4230">
        <w:t xml:space="preserve">et couvrira la période allant </w:t>
      </w:r>
      <w:r w:rsidR="003D7B92">
        <w:t>2012-</w:t>
      </w:r>
      <w:r w:rsidRPr="004D4230">
        <w:t>201</w:t>
      </w:r>
      <w:r w:rsidR="009A78F4">
        <w:t>7</w:t>
      </w:r>
      <w:r w:rsidRPr="004D4230">
        <w:t>. L’espace géographique concerné</w:t>
      </w:r>
      <w:r w:rsidR="003D7B92">
        <w:t xml:space="preserve"> est la région de la Boucle du M</w:t>
      </w:r>
      <w:r w:rsidRPr="004D4230">
        <w:t xml:space="preserve">ouhoun. L’évaluation s’intéressera aux Structures nationales et </w:t>
      </w:r>
      <w:r w:rsidRPr="004D4230">
        <w:rPr>
          <w:color w:val="000000"/>
        </w:rPr>
        <w:t xml:space="preserve">ONG partenaires de mise en œuvre et à la population bénéficiaire. L’accent sera porté sur les principaux domaines d’intervention du programme CPP notamment l’environnement institutionnel et </w:t>
      </w:r>
      <w:r w:rsidRPr="004D4230">
        <w:t>la gestion durable et équitable des terres.</w:t>
      </w:r>
    </w:p>
    <w:p w:rsidR="005A4A1F" w:rsidRPr="004D4230" w:rsidRDefault="005A4A1F" w:rsidP="005A4A1F">
      <w:pPr>
        <w:autoSpaceDE w:val="0"/>
        <w:autoSpaceDN w:val="0"/>
        <w:adjustRightInd w:val="0"/>
        <w:jc w:val="both"/>
      </w:pPr>
    </w:p>
    <w:p w:rsidR="003D7B92" w:rsidRPr="00037014" w:rsidRDefault="003D7B92" w:rsidP="003D7B92">
      <w:pPr>
        <w:autoSpaceDE w:val="0"/>
        <w:autoSpaceDN w:val="0"/>
        <w:adjustRightInd w:val="0"/>
        <w:jc w:val="both"/>
      </w:pPr>
      <w:r w:rsidRPr="00037014">
        <w:t>Le but de l’évaluation est de dresser un bilan de la mise en œuvre du Programme CPP "</w:t>
      </w:r>
      <w:r>
        <w:t>Boucle du Mouhoun</w:t>
      </w:r>
      <w:r w:rsidRPr="00037014">
        <w:rPr>
          <w:bCs/>
        </w:rPr>
        <w:t>"</w:t>
      </w:r>
      <w:r w:rsidRPr="00037014">
        <w:t xml:space="preserve"> en analysant </w:t>
      </w:r>
      <w:r w:rsidRPr="00037014">
        <w:rPr>
          <w:bCs/>
        </w:rPr>
        <w:t xml:space="preserve">les effets obtenus </w:t>
      </w:r>
      <w:r w:rsidRPr="00037014">
        <w:t xml:space="preserve">et les contraintes rencontrées. </w:t>
      </w:r>
    </w:p>
    <w:p w:rsidR="003D7B92" w:rsidRPr="00037014" w:rsidRDefault="003D7B92" w:rsidP="003D7B92">
      <w:pPr>
        <w:autoSpaceDE w:val="0"/>
        <w:autoSpaceDN w:val="0"/>
        <w:adjustRightInd w:val="0"/>
        <w:jc w:val="both"/>
      </w:pPr>
    </w:p>
    <w:p w:rsidR="005A4A1F" w:rsidRPr="004D4230" w:rsidRDefault="003D7B92" w:rsidP="00935204">
      <w:pPr>
        <w:autoSpaceDE w:val="0"/>
        <w:autoSpaceDN w:val="0"/>
        <w:adjustRightInd w:val="0"/>
        <w:jc w:val="both"/>
      </w:pPr>
      <w:r w:rsidRPr="00037014">
        <w:t>L’objectif principal de l’évaluation est d’apprécier les résultats de la mise en œuvre du Programme CPP "</w:t>
      </w:r>
      <w:r>
        <w:t>Boucle du Mouhoun</w:t>
      </w:r>
      <w:r w:rsidRPr="00037014">
        <w:rPr>
          <w:bCs/>
        </w:rPr>
        <w:t xml:space="preserve">" sur la période </w:t>
      </w:r>
      <w:r w:rsidRPr="00037014">
        <w:t>201</w:t>
      </w:r>
      <w:r>
        <w:t>2</w:t>
      </w:r>
      <w:r w:rsidRPr="00037014">
        <w:t>-201</w:t>
      </w:r>
      <w:r>
        <w:t>7</w:t>
      </w:r>
      <w:r w:rsidRPr="00037014">
        <w:t>).</w:t>
      </w:r>
      <w:r>
        <w:t xml:space="preserve"> </w:t>
      </w:r>
      <w:r w:rsidR="00344979" w:rsidRPr="004D4230">
        <w:t xml:space="preserve"> </w:t>
      </w:r>
      <w:r w:rsidR="005A4A1F" w:rsidRPr="004D4230">
        <w:t xml:space="preserve">De façon spécifique il s’agit : (i) d’apprécier la pertinence du programme par rapport au contexte national et aux priorités nationales, (ii) d’apprécier la stratégie de misse en œuvre adoptée ; (iii) d’apprécier le degré de mise en œuvre du programme, son efficacité et l’efficience de sa mise en œuvre ainsi que la </w:t>
      </w:r>
      <w:r w:rsidR="005A4A1F" w:rsidRPr="004D4230">
        <w:lastRenderedPageBreak/>
        <w:t>qualité des résultats obtenus, (iii) d’apprécier l’impact sur les populations et l’environnement; et (iv) proposer des recommandations pour les prochaines programmations.</w:t>
      </w:r>
    </w:p>
    <w:p w:rsidR="005A4A1F" w:rsidRDefault="005A4A1F" w:rsidP="00935204">
      <w:pPr>
        <w:autoSpaceDE w:val="0"/>
        <w:autoSpaceDN w:val="0"/>
        <w:adjustRightInd w:val="0"/>
        <w:jc w:val="both"/>
        <w:rPr>
          <w:color w:val="000000"/>
        </w:rPr>
      </w:pPr>
    </w:p>
    <w:p w:rsidR="00CE7FDD" w:rsidRPr="004D4230" w:rsidRDefault="00CE7FDD" w:rsidP="00CE7FDD">
      <w:pPr>
        <w:autoSpaceDE w:val="0"/>
        <w:autoSpaceDN w:val="0"/>
        <w:adjustRightInd w:val="0"/>
        <w:jc w:val="both"/>
      </w:pPr>
      <w:r w:rsidRPr="00222F15">
        <w:rPr>
          <w:b/>
        </w:rPr>
        <w:t>NB :</w:t>
      </w:r>
      <w:r>
        <w:t xml:space="preserve"> </w:t>
      </w:r>
      <w:r w:rsidRPr="004D4230">
        <w:t xml:space="preserve">Le rapport d’évaluation </w:t>
      </w:r>
      <w:r w:rsidR="009A78F4">
        <w:t>finale</w:t>
      </w:r>
      <w:r w:rsidRPr="004D4230">
        <w:t xml:space="preserve"> </w:t>
      </w:r>
      <w:r>
        <w:t xml:space="preserve">attendu </w:t>
      </w:r>
      <w:r w:rsidRPr="004D4230">
        <w:t xml:space="preserve">devra également </w:t>
      </w:r>
      <w:r>
        <w:t>faire ressortir d’éventuelles bonnes</w:t>
      </w:r>
      <w:r w:rsidRPr="004D4230">
        <w:t xml:space="preserve"> pratiques en termes d’établissement de partenariat pour la gestion durable des terres dans la région de la Boucle du Mouhoun. Il devra, au minimum, inclure les éléments </w:t>
      </w:r>
      <w:r>
        <w:t xml:space="preserve">précisés dans le canevas de rédaction de rapport d’évaluation. </w:t>
      </w:r>
      <w:r w:rsidRPr="004D4230">
        <w:t xml:space="preserve">Le rapport final devra être de haute qualité rédactionnelle, analytique et scientifique produit en quatre (04) exemplaires formats papier A4 et sous supports numériques (CD-ROM). </w:t>
      </w:r>
    </w:p>
    <w:p w:rsidR="00CE7FDD" w:rsidRPr="004D4230" w:rsidRDefault="00CE7FDD" w:rsidP="00935204">
      <w:pPr>
        <w:autoSpaceDE w:val="0"/>
        <w:autoSpaceDN w:val="0"/>
        <w:adjustRightInd w:val="0"/>
        <w:jc w:val="both"/>
        <w:rPr>
          <w:color w:val="000000"/>
        </w:rPr>
      </w:pPr>
    </w:p>
    <w:p w:rsidR="004B1521" w:rsidRPr="004D4230" w:rsidRDefault="008B6856" w:rsidP="004B1521">
      <w:pPr>
        <w:pStyle w:val="Paragraphedeliste"/>
        <w:numPr>
          <w:ilvl w:val="0"/>
          <w:numId w:val="40"/>
        </w:numPr>
        <w:spacing w:after="0" w:line="240" w:lineRule="auto"/>
        <w:jc w:val="both"/>
        <w:rPr>
          <w:rFonts w:ascii="Times New Roman" w:hAnsi="Times New Roman"/>
          <w:b/>
          <w:sz w:val="24"/>
          <w:szCs w:val="24"/>
        </w:rPr>
      </w:pPr>
      <w:r w:rsidRPr="00222F15">
        <w:rPr>
          <w:rFonts w:ascii="Times New Roman" w:hAnsi="Times New Roman"/>
          <w:b/>
          <w:sz w:val="24"/>
          <w:szCs w:val="24"/>
        </w:rPr>
        <w:t xml:space="preserve"> </w:t>
      </w:r>
      <w:r w:rsidR="004B1521" w:rsidRPr="004D4230">
        <w:rPr>
          <w:rFonts w:ascii="Times New Roman" w:hAnsi="Times New Roman"/>
          <w:b/>
          <w:sz w:val="24"/>
          <w:szCs w:val="24"/>
        </w:rPr>
        <w:t>QUESTIONS DE L'ÉVALUATION, NIVEAUX D'ANALYSE ET CRITÈRES D'ÉVALUATION</w:t>
      </w:r>
    </w:p>
    <w:p w:rsidR="004B1521" w:rsidRPr="004D4230" w:rsidRDefault="004B1521" w:rsidP="004B1521">
      <w:pPr>
        <w:pStyle w:val="Default"/>
        <w:spacing w:line="276" w:lineRule="auto"/>
        <w:jc w:val="both"/>
        <w:rPr>
          <w:rFonts w:ascii="Times New Roman" w:hAnsi="Times New Roman" w:cs="Times New Roman"/>
        </w:rPr>
      </w:pPr>
    </w:p>
    <w:p w:rsidR="004B1521" w:rsidRPr="004D4230" w:rsidRDefault="004B1521" w:rsidP="004B1521">
      <w:pPr>
        <w:pStyle w:val="Default"/>
        <w:spacing w:line="276" w:lineRule="auto"/>
        <w:jc w:val="both"/>
        <w:rPr>
          <w:rFonts w:ascii="Times New Roman" w:hAnsi="Times New Roman" w:cs="Times New Roman"/>
        </w:rPr>
      </w:pPr>
      <w:r w:rsidRPr="004D4230">
        <w:rPr>
          <w:rFonts w:ascii="Times New Roman" w:hAnsi="Times New Roman" w:cs="Times New Roman"/>
        </w:rPr>
        <w:t>L’évaluation sera faite sur la base des principaux critères suivants : la Pertinence de l’intervention, l’Efficacité, l’Efficience, l’Impact et la Durabilité. Les questions devant guider l’évaluation se présente comme suit par critère d’évaluation :</w:t>
      </w:r>
    </w:p>
    <w:p w:rsidR="004B1521" w:rsidRPr="004D4230" w:rsidRDefault="004B1521" w:rsidP="004B1521">
      <w:pPr>
        <w:pStyle w:val="Default"/>
        <w:spacing w:line="276" w:lineRule="auto"/>
        <w:jc w:val="both"/>
        <w:rPr>
          <w:rFonts w:ascii="Times New Roman" w:hAnsi="Times New Roman" w:cs="Times New Roman"/>
        </w:rPr>
      </w:pPr>
    </w:p>
    <w:p w:rsidR="004B1521" w:rsidRPr="004D4230" w:rsidRDefault="004B1521" w:rsidP="004B1521">
      <w:pPr>
        <w:pStyle w:val="Paragraphedeliste"/>
        <w:numPr>
          <w:ilvl w:val="0"/>
          <w:numId w:val="43"/>
        </w:numPr>
        <w:autoSpaceDE w:val="0"/>
        <w:autoSpaceDN w:val="0"/>
        <w:adjustRightInd w:val="0"/>
        <w:spacing w:after="190" w:line="240" w:lineRule="auto"/>
        <w:ind w:left="567" w:hanging="283"/>
        <w:jc w:val="both"/>
        <w:rPr>
          <w:rFonts w:ascii="Times New Roman" w:hAnsi="Times New Roman"/>
          <w:sz w:val="24"/>
          <w:szCs w:val="24"/>
        </w:rPr>
      </w:pPr>
      <w:r w:rsidRPr="004D4230">
        <w:rPr>
          <w:rFonts w:ascii="Times New Roman" w:hAnsi="Times New Roman"/>
          <w:b/>
          <w:sz w:val="24"/>
          <w:szCs w:val="24"/>
        </w:rPr>
        <w:t>la pertinence</w:t>
      </w:r>
      <w:r w:rsidRPr="004D4230">
        <w:rPr>
          <w:rFonts w:ascii="Times New Roman" w:hAnsi="Times New Roman"/>
          <w:sz w:val="24"/>
          <w:szCs w:val="24"/>
        </w:rPr>
        <w:t> et l</w:t>
      </w:r>
      <w:r w:rsidRPr="004D4230">
        <w:rPr>
          <w:rFonts w:ascii="Times New Roman" w:hAnsi="Times New Roman"/>
          <w:b/>
          <w:bCs/>
          <w:sz w:val="24"/>
          <w:szCs w:val="24"/>
        </w:rPr>
        <w:t>a cohérence </w:t>
      </w:r>
      <w:r w:rsidRPr="004D4230">
        <w:rPr>
          <w:rFonts w:ascii="Times New Roman" w:hAnsi="Times New Roman"/>
          <w:sz w:val="24"/>
          <w:szCs w:val="24"/>
        </w:rPr>
        <w:t xml:space="preserve">: Les résultats identifiés dans le Programme CPP Boucle du Mouhoun </w:t>
      </w:r>
      <w:r w:rsidRPr="004D4230">
        <w:rPr>
          <w:rFonts w:ascii="Times New Roman" w:hAnsi="Times New Roman"/>
          <w:bCs/>
          <w:sz w:val="24"/>
          <w:szCs w:val="24"/>
        </w:rPr>
        <w:t xml:space="preserve"> </w:t>
      </w:r>
      <w:r w:rsidRPr="004D4230">
        <w:rPr>
          <w:rFonts w:ascii="Times New Roman" w:hAnsi="Times New Roman"/>
          <w:sz w:val="24"/>
          <w:szCs w:val="24"/>
        </w:rPr>
        <w:t xml:space="preserve">sont-ils consistants par rapport aux besoins du pays- priorités nationales, engagements internationaux et régionaux du pays. </w:t>
      </w:r>
      <w:r w:rsidRPr="004D4230">
        <w:rPr>
          <w:rFonts w:ascii="Times New Roman" w:hAnsi="Times New Roman"/>
          <w:color w:val="000000"/>
          <w:sz w:val="24"/>
          <w:szCs w:val="24"/>
        </w:rPr>
        <w:t xml:space="preserve">Dans quelles mesures les résultats attendus sont-ils toujours pertinents par rapport aux priorités nationales actuelles ? Les arrangements institutionnels utilisés sont-ils adéquats par rapport aux enjeux ? </w:t>
      </w:r>
      <w:r w:rsidRPr="004D4230">
        <w:rPr>
          <w:rFonts w:ascii="Times New Roman" w:hAnsi="Times New Roman"/>
          <w:sz w:val="24"/>
          <w:szCs w:val="24"/>
        </w:rPr>
        <w:t xml:space="preserve">Dans quelle mesure les acteurs travaillent-ils à atteindre les mêmes résultats, avec une compréhension commune et dans une démarche de complémentarité ? </w:t>
      </w:r>
    </w:p>
    <w:p w:rsidR="004B1521" w:rsidRPr="004D4230" w:rsidRDefault="004B1521" w:rsidP="004B1521">
      <w:pPr>
        <w:pStyle w:val="Paragraphedeliste"/>
        <w:autoSpaceDE w:val="0"/>
        <w:autoSpaceDN w:val="0"/>
        <w:adjustRightInd w:val="0"/>
        <w:spacing w:after="190"/>
        <w:ind w:left="567" w:hanging="283"/>
        <w:jc w:val="both"/>
        <w:rPr>
          <w:rFonts w:ascii="Times New Roman" w:hAnsi="Times New Roman"/>
          <w:sz w:val="24"/>
          <w:szCs w:val="24"/>
        </w:rPr>
      </w:pPr>
    </w:p>
    <w:p w:rsidR="004B1521" w:rsidRPr="004D4230" w:rsidRDefault="004B1521" w:rsidP="004B1521">
      <w:pPr>
        <w:pStyle w:val="Paragraphedeliste"/>
        <w:numPr>
          <w:ilvl w:val="0"/>
          <w:numId w:val="43"/>
        </w:numPr>
        <w:autoSpaceDE w:val="0"/>
        <w:autoSpaceDN w:val="0"/>
        <w:adjustRightInd w:val="0"/>
        <w:spacing w:after="190" w:line="240" w:lineRule="auto"/>
        <w:ind w:left="567" w:hanging="283"/>
        <w:jc w:val="both"/>
        <w:rPr>
          <w:rFonts w:ascii="Times New Roman" w:hAnsi="Times New Roman"/>
          <w:color w:val="000000"/>
          <w:sz w:val="24"/>
          <w:szCs w:val="24"/>
        </w:rPr>
      </w:pPr>
      <w:r w:rsidRPr="004D4230">
        <w:rPr>
          <w:rFonts w:ascii="Times New Roman" w:hAnsi="Times New Roman"/>
          <w:b/>
          <w:bCs/>
          <w:sz w:val="24"/>
          <w:szCs w:val="24"/>
        </w:rPr>
        <w:t>L’efficacité </w:t>
      </w:r>
      <w:r w:rsidRPr="004D4230">
        <w:rPr>
          <w:rFonts w:ascii="Times New Roman" w:hAnsi="Times New Roman"/>
          <w:sz w:val="24"/>
          <w:szCs w:val="24"/>
        </w:rPr>
        <w:t xml:space="preserve">: </w:t>
      </w:r>
      <w:r w:rsidR="003D7B92" w:rsidRPr="00037014">
        <w:rPr>
          <w:rFonts w:ascii="Times New Roman" w:hAnsi="Times New Roman"/>
          <w:sz w:val="24"/>
          <w:szCs w:val="24"/>
        </w:rPr>
        <w:t xml:space="preserve">Les ressources et les stratégies </w:t>
      </w:r>
      <w:proofErr w:type="spellStart"/>
      <w:r w:rsidR="003D7B92" w:rsidRPr="00037014">
        <w:rPr>
          <w:rFonts w:ascii="Times New Roman" w:hAnsi="Times New Roman"/>
          <w:sz w:val="24"/>
          <w:szCs w:val="24"/>
        </w:rPr>
        <w:t>ont-elles</w:t>
      </w:r>
      <w:proofErr w:type="spellEnd"/>
      <w:r w:rsidR="003D7B92" w:rsidRPr="00037014">
        <w:rPr>
          <w:rFonts w:ascii="Times New Roman" w:hAnsi="Times New Roman"/>
          <w:sz w:val="24"/>
          <w:szCs w:val="24"/>
        </w:rPr>
        <w:t xml:space="preserve"> produit les résultats désirés? Comment le Programme CPP "</w:t>
      </w:r>
      <w:r w:rsidR="003D7B92">
        <w:rPr>
          <w:rFonts w:ascii="Times New Roman" w:hAnsi="Times New Roman"/>
          <w:sz w:val="24"/>
          <w:szCs w:val="24"/>
        </w:rPr>
        <w:t>Boucle du Mouhoun</w:t>
      </w:r>
      <w:r w:rsidR="003D7B92" w:rsidRPr="00037014">
        <w:rPr>
          <w:rFonts w:ascii="Times New Roman" w:hAnsi="Times New Roman"/>
          <w:bCs/>
          <w:sz w:val="24"/>
          <w:szCs w:val="24"/>
        </w:rPr>
        <w:t xml:space="preserve">" </w:t>
      </w:r>
      <w:proofErr w:type="spellStart"/>
      <w:r w:rsidR="003D7B92" w:rsidRPr="00037014">
        <w:rPr>
          <w:rFonts w:ascii="Times New Roman" w:hAnsi="Times New Roman"/>
          <w:sz w:val="24"/>
          <w:szCs w:val="24"/>
        </w:rPr>
        <w:t>a-t-il</w:t>
      </w:r>
      <w:proofErr w:type="spellEnd"/>
      <w:r w:rsidR="003D7B92" w:rsidRPr="00037014">
        <w:rPr>
          <w:rFonts w:ascii="Times New Roman" w:hAnsi="Times New Roman"/>
          <w:sz w:val="24"/>
          <w:szCs w:val="24"/>
        </w:rPr>
        <w:t xml:space="preserve"> contribué à réaliser les objectifs de la SCADD</w:t>
      </w:r>
      <w:r w:rsidR="003D7B92">
        <w:rPr>
          <w:rFonts w:ascii="Times New Roman" w:hAnsi="Times New Roman"/>
          <w:sz w:val="24"/>
          <w:szCs w:val="24"/>
        </w:rPr>
        <w:t xml:space="preserve"> et présentement du PNDES</w:t>
      </w:r>
      <w:r w:rsidR="003D7B92" w:rsidRPr="00037014">
        <w:rPr>
          <w:rFonts w:ascii="Times New Roman" w:hAnsi="Times New Roman"/>
          <w:sz w:val="24"/>
          <w:szCs w:val="24"/>
        </w:rPr>
        <w:t xml:space="preserve"> ? </w:t>
      </w:r>
      <w:r w:rsidR="003D7B92" w:rsidRPr="00037014">
        <w:rPr>
          <w:rFonts w:ascii="Times New Roman" w:hAnsi="Times New Roman"/>
          <w:color w:val="000000"/>
          <w:sz w:val="24"/>
          <w:szCs w:val="24"/>
        </w:rPr>
        <w:t xml:space="preserve">Dans quelles mesures il a contribué à la promotion de l’environnement institutionnel favorable à la gestion durable des terres, à encourager </w:t>
      </w:r>
      <w:r w:rsidR="003D7B92" w:rsidRPr="00037014">
        <w:rPr>
          <w:rFonts w:ascii="Times New Roman" w:hAnsi="Times New Roman"/>
          <w:sz w:val="24"/>
          <w:szCs w:val="24"/>
        </w:rPr>
        <w:t>la gestion durable et équitable des terres et les pratiques de gestion durable et équitable des terres</w:t>
      </w:r>
      <w:r w:rsidR="003D7B92" w:rsidRPr="00037014">
        <w:rPr>
          <w:rFonts w:ascii="Times New Roman" w:hAnsi="Times New Roman"/>
          <w:color w:val="000000"/>
          <w:sz w:val="24"/>
          <w:szCs w:val="24"/>
        </w:rPr>
        <w:t>?</w:t>
      </w:r>
    </w:p>
    <w:p w:rsidR="004B1521" w:rsidRPr="004D4230" w:rsidRDefault="004B1521" w:rsidP="004B1521">
      <w:pPr>
        <w:pStyle w:val="Paragraphedeliste"/>
        <w:spacing w:after="190"/>
        <w:ind w:left="567" w:hanging="283"/>
        <w:jc w:val="both"/>
        <w:rPr>
          <w:rFonts w:ascii="Times New Roman" w:hAnsi="Times New Roman"/>
          <w:sz w:val="24"/>
          <w:szCs w:val="24"/>
        </w:rPr>
      </w:pPr>
    </w:p>
    <w:p w:rsidR="004B1521" w:rsidRPr="004D4230" w:rsidRDefault="004B1521" w:rsidP="004B1521">
      <w:pPr>
        <w:pStyle w:val="Paragraphedeliste"/>
        <w:numPr>
          <w:ilvl w:val="0"/>
          <w:numId w:val="43"/>
        </w:numPr>
        <w:spacing w:after="190" w:line="240" w:lineRule="auto"/>
        <w:ind w:left="567" w:hanging="283"/>
        <w:jc w:val="both"/>
        <w:rPr>
          <w:rFonts w:ascii="Times New Roman" w:hAnsi="Times New Roman"/>
          <w:sz w:val="24"/>
          <w:szCs w:val="24"/>
        </w:rPr>
      </w:pPr>
      <w:r w:rsidRPr="004D4230">
        <w:rPr>
          <w:rFonts w:ascii="Times New Roman" w:hAnsi="Times New Roman"/>
          <w:b/>
          <w:bCs/>
          <w:sz w:val="24"/>
          <w:szCs w:val="24"/>
        </w:rPr>
        <w:t>L’efficience </w:t>
      </w:r>
      <w:r w:rsidRPr="004D4230">
        <w:rPr>
          <w:rFonts w:ascii="Times New Roman" w:hAnsi="Times New Roman"/>
          <w:sz w:val="24"/>
          <w:szCs w:val="24"/>
        </w:rPr>
        <w:t xml:space="preserve">: le Programme CPP Boucle du Mouhoun </w:t>
      </w:r>
      <w:r w:rsidRPr="004D4230">
        <w:rPr>
          <w:rFonts w:ascii="Times New Roman" w:hAnsi="Times New Roman"/>
          <w:bCs/>
          <w:sz w:val="24"/>
          <w:szCs w:val="24"/>
        </w:rPr>
        <w:t xml:space="preserve"> </w:t>
      </w:r>
      <w:proofErr w:type="spellStart"/>
      <w:r w:rsidRPr="004D4230">
        <w:rPr>
          <w:rFonts w:ascii="Times New Roman" w:hAnsi="Times New Roman"/>
          <w:sz w:val="24"/>
          <w:szCs w:val="24"/>
        </w:rPr>
        <w:t>a-t-il</w:t>
      </w:r>
      <w:proofErr w:type="spellEnd"/>
      <w:r w:rsidRPr="004D4230">
        <w:rPr>
          <w:rFonts w:ascii="Times New Roman" w:hAnsi="Times New Roman"/>
          <w:sz w:val="24"/>
          <w:szCs w:val="24"/>
        </w:rPr>
        <w:t xml:space="preserve"> été géré de manière efficiente ? Quel a été le rapport coût/résultats ? Y’</w:t>
      </w:r>
      <w:proofErr w:type="spellStart"/>
      <w:r w:rsidRPr="004D4230">
        <w:rPr>
          <w:rFonts w:ascii="Times New Roman" w:hAnsi="Times New Roman"/>
          <w:sz w:val="24"/>
          <w:szCs w:val="24"/>
        </w:rPr>
        <w:t>a-t-il</w:t>
      </w:r>
      <w:proofErr w:type="spellEnd"/>
      <w:r w:rsidRPr="004D4230">
        <w:rPr>
          <w:rFonts w:ascii="Times New Roman" w:hAnsi="Times New Roman"/>
          <w:sz w:val="24"/>
          <w:szCs w:val="24"/>
        </w:rPr>
        <w:t xml:space="preserve"> des approches plus efficientes pouvant être suggérées pour les prochaines années ?</w:t>
      </w:r>
    </w:p>
    <w:p w:rsidR="004B1521" w:rsidRPr="004D4230" w:rsidRDefault="004B1521" w:rsidP="004B1521">
      <w:pPr>
        <w:pStyle w:val="Paragraphedeliste"/>
        <w:spacing w:after="190"/>
        <w:ind w:left="567" w:hanging="283"/>
        <w:jc w:val="both"/>
        <w:rPr>
          <w:rFonts w:ascii="Times New Roman" w:hAnsi="Times New Roman"/>
          <w:sz w:val="24"/>
          <w:szCs w:val="24"/>
        </w:rPr>
      </w:pPr>
    </w:p>
    <w:p w:rsidR="004B1521" w:rsidRPr="004D4230" w:rsidRDefault="004B1521" w:rsidP="004B1521">
      <w:pPr>
        <w:pStyle w:val="Paragraphedeliste"/>
        <w:numPr>
          <w:ilvl w:val="0"/>
          <w:numId w:val="43"/>
        </w:numPr>
        <w:spacing w:after="190" w:line="240" w:lineRule="auto"/>
        <w:ind w:left="567" w:hanging="283"/>
        <w:jc w:val="both"/>
        <w:rPr>
          <w:rFonts w:ascii="Times New Roman" w:hAnsi="Times New Roman"/>
          <w:bCs/>
          <w:sz w:val="24"/>
          <w:szCs w:val="24"/>
        </w:rPr>
      </w:pPr>
      <w:r w:rsidRPr="004D4230">
        <w:rPr>
          <w:rFonts w:ascii="Times New Roman" w:hAnsi="Times New Roman"/>
          <w:b/>
          <w:sz w:val="24"/>
          <w:szCs w:val="24"/>
        </w:rPr>
        <w:t>L’impact :</w:t>
      </w:r>
      <w:r w:rsidRPr="004D4230">
        <w:rPr>
          <w:rFonts w:ascii="Times New Roman" w:hAnsi="Times New Roman"/>
          <w:sz w:val="24"/>
          <w:szCs w:val="24"/>
        </w:rPr>
        <w:t xml:space="preserve"> </w:t>
      </w:r>
      <w:r w:rsidR="003D7B92" w:rsidRPr="00037014">
        <w:rPr>
          <w:rFonts w:ascii="Times New Roman" w:hAnsi="Times New Roman"/>
          <w:sz w:val="24"/>
          <w:szCs w:val="24"/>
        </w:rPr>
        <w:t>quels ont été les résultats obtenus par le Programme CPP "</w:t>
      </w:r>
      <w:r w:rsidR="003D7B92">
        <w:rPr>
          <w:rFonts w:ascii="Times New Roman" w:hAnsi="Times New Roman"/>
          <w:sz w:val="24"/>
          <w:szCs w:val="24"/>
        </w:rPr>
        <w:t>Boucle du Mouhoun</w:t>
      </w:r>
      <w:r w:rsidR="003D7B92" w:rsidRPr="00037014">
        <w:rPr>
          <w:rFonts w:ascii="Times New Roman" w:hAnsi="Times New Roman"/>
          <w:bCs/>
          <w:sz w:val="24"/>
          <w:szCs w:val="24"/>
        </w:rPr>
        <w:t xml:space="preserve">" </w:t>
      </w:r>
      <w:r w:rsidR="003D7B92" w:rsidRPr="00037014">
        <w:rPr>
          <w:rFonts w:ascii="Times New Roman" w:hAnsi="Times New Roman"/>
          <w:sz w:val="24"/>
          <w:szCs w:val="24"/>
        </w:rPr>
        <w:t xml:space="preserve">et quels en ont été les bénéfices pour les populations ? Quels facteurs ont contribués à / ou empêché l’atteinte des résultats (niveaux effets) ? Dans quelle mesure les interventions du PNUD </w:t>
      </w:r>
      <w:proofErr w:type="spellStart"/>
      <w:r w:rsidR="003D7B92" w:rsidRPr="00037014">
        <w:rPr>
          <w:rFonts w:ascii="Times New Roman" w:hAnsi="Times New Roman"/>
          <w:sz w:val="24"/>
          <w:szCs w:val="24"/>
        </w:rPr>
        <w:t>ont-elles</w:t>
      </w:r>
      <w:proofErr w:type="spellEnd"/>
      <w:r w:rsidR="003D7B92" w:rsidRPr="00037014">
        <w:rPr>
          <w:rFonts w:ascii="Times New Roman" w:hAnsi="Times New Roman"/>
          <w:sz w:val="24"/>
          <w:szCs w:val="24"/>
        </w:rPr>
        <w:t xml:space="preserve"> contribuées </w:t>
      </w:r>
      <w:r w:rsidR="003D7B92">
        <w:rPr>
          <w:rFonts w:ascii="Times New Roman" w:hAnsi="Times New Roman"/>
          <w:sz w:val="24"/>
          <w:szCs w:val="24"/>
        </w:rPr>
        <w:t>à</w:t>
      </w:r>
      <w:r w:rsidR="003D7B92" w:rsidRPr="00037014">
        <w:rPr>
          <w:rFonts w:ascii="Times New Roman" w:hAnsi="Times New Roman"/>
          <w:sz w:val="24"/>
          <w:szCs w:val="24"/>
        </w:rPr>
        <w:t xml:space="preserve"> l’atteinte des résultats ? </w:t>
      </w:r>
      <w:r w:rsidRPr="004D4230">
        <w:rPr>
          <w:rFonts w:ascii="Times New Roman" w:hAnsi="Times New Roman"/>
          <w:sz w:val="24"/>
          <w:szCs w:val="24"/>
        </w:rPr>
        <w:t xml:space="preserve"> </w:t>
      </w:r>
    </w:p>
    <w:p w:rsidR="004B1521" w:rsidRPr="004D4230" w:rsidRDefault="004B1521" w:rsidP="004B1521">
      <w:pPr>
        <w:pStyle w:val="Paragraphedeliste"/>
        <w:ind w:left="567" w:hanging="283"/>
        <w:rPr>
          <w:rFonts w:ascii="Times New Roman" w:hAnsi="Times New Roman"/>
          <w:b/>
          <w:sz w:val="24"/>
          <w:szCs w:val="24"/>
        </w:rPr>
      </w:pPr>
    </w:p>
    <w:p w:rsidR="004B1521" w:rsidRPr="004D4230" w:rsidRDefault="004B1521" w:rsidP="004B1521">
      <w:pPr>
        <w:pStyle w:val="Paragraphedeliste"/>
        <w:numPr>
          <w:ilvl w:val="0"/>
          <w:numId w:val="43"/>
        </w:numPr>
        <w:spacing w:after="190" w:line="240" w:lineRule="auto"/>
        <w:ind w:left="567" w:hanging="283"/>
        <w:jc w:val="both"/>
        <w:rPr>
          <w:rFonts w:ascii="Times New Roman" w:hAnsi="Times New Roman"/>
          <w:bCs/>
          <w:sz w:val="24"/>
          <w:szCs w:val="24"/>
        </w:rPr>
      </w:pPr>
      <w:r w:rsidRPr="004D4230">
        <w:rPr>
          <w:rFonts w:ascii="Times New Roman" w:hAnsi="Times New Roman"/>
          <w:b/>
          <w:sz w:val="24"/>
          <w:szCs w:val="24"/>
        </w:rPr>
        <w:t xml:space="preserve">La </w:t>
      </w:r>
      <w:r w:rsidRPr="004D4230">
        <w:rPr>
          <w:rFonts w:ascii="Times New Roman" w:hAnsi="Times New Roman"/>
          <w:b/>
          <w:bCs/>
          <w:sz w:val="24"/>
          <w:szCs w:val="24"/>
        </w:rPr>
        <w:t xml:space="preserve">durabilité : </w:t>
      </w:r>
      <w:r w:rsidR="003D7B92" w:rsidRPr="00037014">
        <w:rPr>
          <w:rFonts w:ascii="Times New Roman" w:hAnsi="Times New Roman"/>
          <w:bCs/>
          <w:sz w:val="24"/>
          <w:szCs w:val="24"/>
        </w:rPr>
        <w:t>dans quelle</w:t>
      </w:r>
      <w:r w:rsidR="003D7B92" w:rsidRPr="00037014">
        <w:rPr>
          <w:rFonts w:ascii="Times New Roman" w:hAnsi="Times New Roman"/>
          <w:b/>
          <w:bCs/>
          <w:sz w:val="24"/>
          <w:szCs w:val="24"/>
        </w:rPr>
        <w:t xml:space="preserve"> </w:t>
      </w:r>
      <w:r w:rsidR="003D7B92" w:rsidRPr="00037014">
        <w:rPr>
          <w:rFonts w:ascii="Times New Roman" w:hAnsi="Times New Roman"/>
          <w:sz w:val="24"/>
          <w:szCs w:val="24"/>
        </w:rPr>
        <w:t xml:space="preserve"> mesure les bénéfices ou résultats de développement obtenus vont continuer ou ont des chances de continuer après l’achèvement des interventions du Programme CPP "</w:t>
      </w:r>
      <w:r w:rsidR="003D7B92">
        <w:rPr>
          <w:rFonts w:ascii="Times New Roman" w:hAnsi="Times New Roman"/>
          <w:sz w:val="24"/>
          <w:szCs w:val="24"/>
        </w:rPr>
        <w:t>Boucle du Mouhoun</w:t>
      </w:r>
      <w:r w:rsidR="003D7B92" w:rsidRPr="00037014">
        <w:rPr>
          <w:rFonts w:ascii="Times New Roman" w:hAnsi="Times New Roman"/>
          <w:bCs/>
          <w:sz w:val="24"/>
          <w:szCs w:val="24"/>
        </w:rPr>
        <w:t>"</w:t>
      </w:r>
      <w:r w:rsidR="003D7B92" w:rsidRPr="00037014">
        <w:rPr>
          <w:rFonts w:ascii="Times New Roman" w:hAnsi="Times New Roman"/>
          <w:sz w:val="24"/>
          <w:szCs w:val="24"/>
        </w:rPr>
        <w:t xml:space="preserve"> ? </w:t>
      </w:r>
      <w:r w:rsidR="003D7B92" w:rsidRPr="00037014">
        <w:rPr>
          <w:rFonts w:ascii="Times New Roman" w:hAnsi="Times New Roman"/>
          <w:color w:val="000000"/>
          <w:sz w:val="24"/>
          <w:szCs w:val="24"/>
        </w:rPr>
        <w:t xml:space="preserve">Quel est le niveau d’appropriation </w:t>
      </w:r>
      <w:r w:rsidR="003D7B92">
        <w:rPr>
          <w:rFonts w:ascii="Times New Roman" w:hAnsi="Times New Roman"/>
          <w:color w:val="000000"/>
          <w:sz w:val="24"/>
          <w:szCs w:val="24"/>
        </w:rPr>
        <w:t>régionale et nationale</w:t>
      </w:r>
      <w:r w:rsidR="003D7B92" w:rsidRPr="00037014">
        <w:rPr>
          <w:rFonts w:ascii="Times New Roman" w:hAnsi="Times New Roman"/>
          <w:color w:val="000000"/>
          <w:sz w:val="24"/>
          <w:szCs w:val="24"/>
        </w:rPr>
        <w:t xml:space="preserve"> du Programme CPP? Les capacités nationales et locales développées et renforcées par le programme CPP</w:t>
      </w:r>
      <w:r w:rsidR="003D7B92">
        <w:rPr>
          <w:rFonts w:ascii="Times New Roman" w:hAnsi="Times New Roman"/>
          <w:color w:val="000000"/>
          <w:sz w:val="24"/>
          <w:szCs w:val="24"/>
        </w:rPr>
        <w:t> </w:t>
      </w:r>
      <w:r w:rsidR="003D7B92" w:rsidRPr="00037014">
        <w:rPr>
          <w:rFonts w:ascii="Times New Roman" w:hAnsi="Times New Roman"/>
          <w:color w:val="000000"/>
          <w:sz w:val="24"/>
          <w:szCs w:val="24"/>
        </w:rPr>
        <w:t xml:space="preserve"> </w:t>
      </w:r>
      <w:r w:rsidR="003D7B92" w:rsidRPr="00037014">
        <w:rPr>
          <w:rFonts w:ascii="Times New Roman" w:hAnsi="Times New Roman"/>
          <w:sz w:val="24"/>
          <w:szCs w:val="24"/>
        </w:rPr>
        <w:t>"</w:t>
      </w:r>
      <w:r w:rsidR="003D7B92">
        <w:rPr>
          <w:rFonts w:ascii="Times New Roman" w:hAnsi="Times New Roman"/>
          <w:sz w:val="24"/>
          <w:szCs w:val="24"/>
        </w:rPr>
        <w:t>Boucle du Mouhoun</w:t>
      </w:r>
      <w:r w:rsidR="003D7B92" w:rsidRPr="00037014">
        <w:rPr>
          <w:rFonts w:ascii="Times New Roman" w:hAnsi="Times New Roman"/>
          <w:bCs/>
          <w:sz w:val="24"/>
          <w:szCs w:val="24"/>
        </w:rPr>
        <w:t>"</w:t>
      </w:r>
      <w:r w:rsidR="003D7B92" w:rsidRPr="00037014">
        <w:rPr>
          <w:rFonts w:ascii="Times New Roman" w:hAnsi="Times New Roman"/>
          <w:sz w:val="24"/>
          <w:szCs w:val="24"/>
        </w:rPr>
        <w:t> </w:t>
      </w:r>
      <w:r w:rsidR="003D7B92" w:rsidRPr="00037014">
        <w:rPr>
          <w:rFonts w:ascii="Times New Roman" w:hAnsi="Times New Roman"/>
          <w:color w:val="000000"/>
          <w:sz w:val="24"/>
          <w:szCs w:val="24"/>
        </w:rPr>
        <w:t>ont-t-</w:t>
      </w:r>
      <w:proofErr w:type="gramStart"/>
      <w:r w:rsidR="003D7B92" w:rsidRPr="00037014">
        <w:rPr>
          <w:rFonts w:ascii="Times New Roman" w:hAnsi="Times New Roman"/>
          <w:color w:val="000000"/>
          <w:sz w:val="24"/>
          <w:szCs w:val="24"/>
        </w:rPr>
        <w:t>elles produit</w:t>
      </w:r>
      <w:proofErr w:type="gramEnd"/>
      <w:r w:rsidR="003D7B92" w:rsidRPr="00037014">
        <w:rPr>
          <w:rFonts w:ascii="Times New Roman" w:hAnsi="Times New Roman"/>
          <w:color w:val="000000"/>
          <w:sz w:val="24"/>
          <w:szCs w:val="24"/>
        </w:rPr>
        <w:t xml:space="preserve"> des effets durables?</w:t>
      </w:r>
    </w:p>
    <w:p w:rsidR="004B1521" w:rsidRPr="004D4230" w:rsidRDefault="004B1521" w:rsidP="004B1521">
      <w:pPr>
        <w:pStyle w:val="Paragraphedeliste"/>
        <w:rPr>
          <w:rFonts w:ascii="Times New Roman" w:hAnsi="Times New Roman"/>
          <w:bCs/>
          <w:sz w:val="24"/>
          <w:szCs w:val="24"/>
        </w:rPr>
      </w:pPr>
    </w:p>
    <w:p w:rsidR="004B1521" w:rsidRPr="004D4230" w:rsidRDefault="004B1521" w:rsidP="004B1521">
      <w:pPr>
        <w:pStyle w:val="Paragraphedeliste"/>
        <w:numPr>
          <w:ilvl w:val="0"/>
          <w:numId w:val="40"/>
        </w:numPr>
        <w:spacing w:after="0" w:line="240" w:lineRule="auto"/>
        <w:jc w:val="both"/>
        <w:rPr>
          <w:rFonts w:ascii="Times New Roman" w:hAnsi="Times New Roman"/>
          <w:b/>
          <w:sz w:val="24"/>
          <w:szCs w:val="24"/>
        </w:rPr>
      </w:pPr>
      <w:r w:rsidRPr="004D4230">
        <w:rPr>
          <w:rFonts w:ascii="Times New Roman" w:hAnsi="Times New Roman"/>
          <w:b/>
          <w:sz w:val="24"/>
          <w:szCs w:val="24"/>
        </w:rPr>
        <w:t>METHODOLOGIE DE L’EVALUATION</w:t>
      </w:r>
    </w:p>
    <w:p w:rsidR="004B1521" w:rsidRPr="004D4230" w:rsidRDefault="004B1521" w:rsidP="004B1521"/>
    <w:p w:rsidR="004B1521" w:rsidRPr="004D4230" w:rsidRDefault="001B0DCD" w:rsidP="004B1521">
      <w:pPr>
        <w:pStyle w:val="Default"/>
        <w:spacing w:line="276" w:lineRule="auto"/>
        <w:jc w:val="both"/>
        <w:rPr>
          <w:rFonts w:ascii="Times New Roman" w:hAnsi="Times New Roman" w:cs="Times New Roman"/>
        </w:rPr>
      </w:pPr>
      <w:r>
        <w:rPr>
          <w:rFonts w:ascii="Times New Roman" w:hAnsi="Times New Roman" w:cs="Times New Roman"/>
        </w:rPr>
        <w:t xml:space="preserve">Les évaluateurs </w:t>
      </w:r>
      <w:r w:rsidR="004B1521" w:rsidRPr="004D4230">
        <w:rPr>
          <w:rFonts w:ascii="Times New Roman" w:hAnsi="Times New Roman" w:cs="Times New Roman"/>
        </w:rPr>
        <w:t>devr</w:t>
      </w:r>
      <w:r>
        <w:rPr>
          <w:rFonts w:ascii="Times New Roman" w:hAnsi="Times New Roman" w:cs="Times New Roman"/>
        </w:rPr>
        <w:t>ont</w:t>
      </w:r>
      <w:r w:rsidR="004B1521" w:rsidRPr="004D4230">
        <w:rPr>
          <w:rFonts w:ascii="Times New Roman" w:hAnsi="Times New Roman" w:cs="Times New Roman"/>
        </w:rPr>
        <w:t xml:space="preserve"> définir et proposer une méthodologie détaillée permettant de remplir les objectifs de l’évaluation. Cette méthodologie devra entre autres prendre en compte :</w:t>
      </w:r>
    </w:p>
    <w:p w:rsidR="004B1521" w:rsidRPr="004D4230" w:rsidRDefault="004B1521" w:rsidP="004B1521">
      <w:pPr>
        <w:pStyle w:val="Paragraphedeliste"/>
        <w:numPr>
          <w:ilvl w:val="0"/>
          <w:numId w:val="45"/>
        </w:numPr>
        <w:spacing w:after="0" w:line="240" w:lineRule="auto"/>
        <w:jc w:val="both"/>
        <w:rPr>
          <w:rFonts w:ascii="Times New Roman" w:hAnsi="Times New Roman"/>
          <w:sz w:val="24"/>
          <w:szCs w:val="24"/>
        </w:rPr>
      </w:pPr>
      <w:r w:rsidRPr="004D4230">
        <w:rPr>
          <w:rFonts w:ascii="Times New Roman" w:hAnsi="Times New Roman"/>
          <w:sz w:val="24"/>
          <w:szCs w:val="24"/>
        </w:rPr>
        <w:t>Une revue documentaire des données internes (UNDAF, CPD, ATLAS, ERBM,  revues annuelles….) et externes (document cadres nationaux,….) ;</w:t>
      </w:r>
    </w:p>
    <w:p w:rsidR="004B1521" w:rsidRPr="004D4230" w:rsidRDefault="004B1521" w:rsidP="004B1521">
      <w:pPr>
        <w:pStyle w:val="Paragraphedeliste"/>
        <w:jc w:val="both"/>
        <w:rPr>
          <w:rFonts w:ascii="Times New Roman" w:hAnsi="Times New Roman"/>
          <w:sz w:val="24"/>
          <w:szCs w:val="24"/>
        </w:rPr>
      </w:pPr>
    </w:p>
    <w:p w:rsidR="004B1521" w:rsidRPr="004D4230" w:rsidRDefault="004B1521" w:rsidP="004B1521">
      <w:pPr>
        <w:pStyle w:val="Paragraphedeliste"/>
        <w:numPr>
          <w:ilvl w:val="0"/>
          <w:numId w:val="45"/>
        </w:numPr>
        <w:spacing w:after="0" w:line="240" w:lineRule="auto"/>
        <w:jc w:val="both"/>
        <w:rPr>
          <w:rFonts w:ascii="Times New Roman" w:hAnsi="Times New Roman"/>
          <w:sz w:val="24"/>
          <w:szCs w:val="24"/>
        </w:rPr>
      </w:pPr>
      <w:r w:rsidRPr="004D4230">
        <w:rPr>
          <w:rFonts w:ascii="Times New Roman" w:hAnsi="Times New Roman"/>
          <w:sz w:val="24"/>
          <w:szCs w:val="24"/>
        </w:rPr>
        <w:t xml:space="preserve">des entretiens avec les principales parties prenantes dont les bénéficiaires : entretiens ouverts ou semi-structurés, focus groupes, </w:t>
      </w:r>
      <w:r w:rsidR="009A78F4">
        <w:rPr>
          <w:rFonts w:ascii="Times New Roman" w:hAnsi="Times New Roman"/>
          <w:sz w:val="24"/>
          <w:szCs w:val="24"/>
        </w:rPr>
        <w:t xml:space="preserve">enquêtes ; échantillonnage, </w:t>
      </w:r>
      <w:proofErr w:type="spellStart"/>
      <w:r w:rsidR="009A78F4">
        <w:rPr>
          <w:rFonts w:ascii="Times New Roman" w:hAnsi="Times New Roman"/>
          <w:sz w:val="24"/>
          <w:szCs w:val="24"/>
        </w:rPr>
        <w:t>etc</w:t>
      </w:r>
      <w:proofErr w:type="spellEnd"/>
      <w:r w:rsidR="009A78F4">
        <w:rPr>
          <w:rFonts w:ascii="Times New Roman" w:hAnsi="Times New Roman"/>
          <w:sz w:val="24"/>
          <w:szCs w:val="24"/>
        </w:rPr>
        <w:t> ;</w:t>
      </w:r>
    </w:p>
    <w:p w:rsidR="004B1521" w:rsidRPr="004D4230" w:rsidRDefault="004B1521" w:rsidP="004B1521">
      <w:pPr>
        <w:pStyle w:val="Paragraphedeliste"/>
        <w:jc w:val="both"/>
        <w:rPr>
          <w:rFonts w:ascii="Times New Roman" w:hAnsi="Times New Roman"/>
          <w:sz w:val="24"/>
          <w:szCs w:val="24"/>
        </w:rPr>
      </w:pPr>
    </w:p>
    <w:p w:rsidR="004B1521" w:rsidRPr="004D4230" w:rsidRDefault="004B1521" w:rsidP="004B1521">
      <w:pPr>
        <w:pStyle w:val="Paragraphedeliste"/>
        <w:numPr>
          <w:ilvl w:val="0"/>
          <w:numId w:val="45"/>
        </w:numPr>
        <w:spacing w:after="0" w:line="240" w:lineRule="auto"/>
        <w:jc w:val="both"/>
        <w:rPr>
          <w:rFonts w:ascii="Times New Roman" w:hAnsi="Times New Roman"/>
          <w:sz w:val="24"/>
          <w:szCs w:val="24"/>
        </w:rPr>
      </w:pPr>
      <w:r w:rsidRPr="004D4230">
        <w:rPr>
          <w:rFonts w:ascii="Times New Roman" w:hAnsi="Times New Roman"/>
          <w:sz w:val="24"/>
          <w:szCs w:val="24"/>
        </w:rPr>
        <w:t>des visites d’observations sur le terrain</w:t>
      </w:r>
      <w:r w:rsidR="009A78F4">
        <w:rPr>
          <w:rFonts w:ascii="Times New Roman" w:hAnsi="Times New Roman"/>
          <w:sz w:val="24"/>
          <w:szCs w:val="24"/>
        </w:rPr>
        <w:t> ;</w:t>
      </w:r>
    </w:p>
    <w:p w:rsidR="004B1521" w:rsidRPr="004D4230" w:rsidRDefault="004B1521" w:rsidP="004B1521">
      <w:pPr>
        <w:jc w:val="both"/>
      </w:pPr>
    </w:p>
    <w:p w:rsidR="004B1521" w:rsidRPr="004D4230" w:rsidRDefault="004B1521" w:rsidP="004B1521">
      <w:pPr>
        <w:pStyle w:val="Paragraphedeliste"/>
        <w:numPr>
          <w:ilvl w:val="0"/>
          <w:numId w:val="45"/>
        </w:numPr>
        <w:spacing w:after="0" w:line="240" w:lineRule="auto"/>
        <w:jc w:val="both"/>
        <w:rPr>
          <w:rFonts w:ascii="Times New Roman" w:hAnsi="Times New Roman"/>
          <w:sz w:val="24"/>
          <w:szCs w:val="24"/>
        </w:rPr>
      </w:pPr>
      <w:r w:rsidRPr="004D4230">
        <w:rPr>
          <w:rFonts w:ascii="Times New Roman" w:hAnsi="Times New Roman"/>
          <w:sz w:val="24"/>
          <w:szCs w:val="24"/>
        </w:rPr>
        <w:t>un traitement et une analyse des données ;</w:t>
      </w:r>
    </w:p>
    <w:p w:rsidR="004B1521" w:rsidRPr="004D4230" w:rsidRDefault="004B1521" w:rsidP="004B1521">
      <w:pPr>
        <w:jc w:val="both"/>
      </w:pPr>
    </w:p>
    <w:p w:rsidR="004B1521" w:rsidRPr="004D4230" w:rsidRDefault="004B1521" w:rsidP="004B1521">
      <w:pPr>
        <w:pStyle w:val="Paragraphedeliste"/>
        <w:numPr>
          <w:ilvl w:val="0"/>
          <w:numId w:val="45"/>
        </w:numPr>
        <w:spacing w:after="0" w:line="240" w:lineRule="auto"/>
        <w:jc w:val="both"/>
        <w:rPr>
          <w:rFonts w:ascii="Times New Roman" w:hAnsi="Times New Roman"/>
          <w:sz w:val="24"/>
          <w:szCs w:val="24"/>
        </w:rPr>
      </w:pPr>
      <w:r w:rsidRPr="004D4230">
        <w:rPr>
          <w:rFonts w:ascii="Times New Roman" w:hAnsi="Times New Roman"/>
          <w:sz w:val="24"/>
          <w:szCs w:val="24"/>
        </w:rPr>
        <w:t>une rédaction de manière analytique et illustrée du rapport d’évaluation prenant en compte les principaux critères d’évaluation suivants : la Pertinence, l’Efficacité, l’Efficience, l’Impact et la Durabilité.</w:t>
      </w:r>
    </w:p>
    <w:p w:rsidR="004B1521" w:rsidRPr="004D4230" w:rsidRDefault="004B1521" w:rsidP="004B1521">
      <w:pPr>
        <w:spacing w:after="120"/>
        <w:ind w:left="720"/>
        <w:jc w:val="both"/>
        <w:rPr>
          <w:bCs/>
        </w:rPr>
      </w:pPr>
    </w:p>
    <w:p w:rsidR="003D7B92" w:rsidRPr="00037014" w:rsidRDefault="003D7B92" w:rsidP="003D7B92">
      <w:pPr>
        <w:spacing w:after="120"/>
        <w:jc w:val="both"/>
        <w:rPr>
          <w:bCs/>
        </w:rPr>
      </w:pPr>
      <w:r>
        <w:rPr>
          <w:bCs/>
        </w:rPr>
        <w:t>L’équipe des évaluateurs</w:t>
      </w:r>
      <w:r w:rsidRPr="004D4230">
        <w:rPr>
          <w:bCs/>
        </w:rPr>
        <w:t xml:space="preserve"> </w:t>
      </w:r>
      <w:r w:rsidRPr="00037014">
        <w:rPr>
          <w:bCs/>
        </w:rPr>
        <w:t xml:space="preserve">aura à échanger avec l’Unité de Coordination du Sous-programme </w:t>
      </w:r>
      <w:r>
        <w:rPr>
          <w:bCs/>
        </w:rPr>
        <w:t>Boucle du Mouhoun</w:t>
      </w:r>
      <w:r w:rsidRPr="00037014">
        <w:rPr>
          <w:bCs/>
        </w:rPr>
        <w:t>,  le SP/C</w:t>
      </w:r>
      <w:r>
        <w:rPr>
          <w:bCs/>
        </w:rPr>
        <w:t>NDD</w:t>
      </w:r>
      <w:r w:rsidRPr="00037014">
        <w:rPr>
          <w:bCs/>
        </w:rPr>
        <w:t xml:space="preserve">, et le PNUD sur les </w:t>
      </w:r>
      <w:proofErr w:type="spellStart"/>
      <w:r w:rsidRPr="00037014">
        <w:rPr>
          <w:bCs/>
        </w:rPr>
        <w:t>TdR</w:t>
      </w:r>
      <w:proofErr w:type="spellEnd"/>
      <w:r w:rsidRPr="00037014">
        <w:rPr>
          <w:bCs/>
        </w:rPr>
        <w:t xml:space="preserve"> et la méthodologie de l’étude. Il soumettra ensuite, au cours d’une première session du Comité Technique de Suivi, pour appréciation et validation,  un rapport initial comprenant la compréhension du mandat, la méthodologie à suivre et le chronogramme de l’intervention. </w:t>
      </w:r>
      <w:r>
        <w:rPr>
          <w:bCs/>
        </w:rPr>
        <w:t>Elle devra</w:t>
      </w:r>
      <w:r w:rsidRPr="00037014">
        <w:rPr>
          <w:bCs/>
        </w:rPr>
        <w:t xml:space="preserve"> rechercher auprès des parties prenantes y compris les partenaires techniques et financiers, toutes informations pertinentes à même de lui fournir les éléments né</w:t>
      </w:r>
      <w:r>
        <w:rPr>
          <w:bCs/>
        </w:rPr>
        <w:t>cessaires aux analyses requises.</w:t>
      </w:r>
    </w:p>
    <w:p w:rsidR="004B1521" w:rsidRPr="004D4230" w:rsidRDefault="004B1521" w:rsidP="004B1521">
      <w:pPr>
        <w:keepNext/>
        <w:jc w:val="both"/>
      </w:pPr>
    </w:p>
    <w:p w:rsidR="004B1521" w:rsidRPr="004D4230" w:rsidRDefault="004B1521" w:rsidP="004B1521">
      <w:pPr>
        <w:keepNext/>
        <w:jc w:val="both"/>
      </w:pPr>
    </w:p>
    <w:p w:rsidR="009A78F4" w:rsidRPr="009A78F4" w:rsidRDefault="009A78F4" w:rsidP="009A78F4">
      <w:pPr>
        <w:pStyle w:val="Paragraphedeliste"/>
        <w:numPr>
          <w:ilvl w:val="0"/>
          <w:numId w:val="40"/>
        </w:numPr>
        <w:spacing w:after="0" w:line="240" w:lineRule="auto"/>
        <w:jc w:val="both"/>
        <w:rPr>
          <w:rFonts w:ascii="Times New Roman" w:hAnsi="Times New Roman"/>
          <w:b/>
          <w:sz w:val="24"/>
          <w:szCs w:val="24"/>
        </w:rPr>
      </w:pPr>
      <w:r w:rsidRPr="009A78F4">
        <w:rPr>
          <w:rFonts w:ascii="Times New Roman" w:hAnsi="Times New Roman"/>
          <w:b/>
          <w:sz w:val="24"/>
          <w:szCs w:val="24"/>
        </w:rPr>
        <w:t xml:space="preserve">LIVRABLES/PRODUITS ATTENDUS DE L’EVALUATION  </w:t>
      </w:r>
    </w:p>
    <w:p w:rsidR="004B1521" w:rsidRPr="004D4230" w:rsidRDefault="004B1521" w:rsidP="009A78F4">
      <w:pPr>
        <w:pStyle w:val="Paragraphedeliste"/>
        <w:spacing w:after="0" w:line="240" w:lineRule="auto"/>
        <w:jc w:val="both"/>
        <w:rPr>
          <w:rFonts w:ascii="Times New Roman" w:hAnsi="Times New Roman"/>
          <w:b/>
          <w:sz w:val="24"/>
          <w:szCs w:val="24"/>
        </w:rPr>
      </w:pPr>
    </w:p>
    <w:p w:rsidR="004D4230" w:rsidRDefault="004B1521" w:rsidP="004B1521">
      <w:pPr>
        <w:spacing w:after="120"/>
        <w:jc w:val="both"/>
        <w:rPr>
          <w:bCs/>
          <w:color w:val="000000"/>
        </w:rPr>
      </w:pPr>
      <w:r w:rsidRPr="004D4230">
        <w:rPr>
          <w:bCs/>
        </w:rPr>
        <w:t xml:space="preserve">La mission d’évaluation devra aboutir à un rapport qui fait ressortir les éléments nécessaires à une appréciation objective de la contribution du Sous-programme </w:t>
      </w:r>
      <w:r w:rsidRPr="004D4230">
        <w:t xml:space="preserve">CPP Boucle du Mouhoun </w:t>
      </w:r>
      <w:r w:rsidRPr="004D4230">
        <w:rPr>
          <w:bCs/>
        </w:rPr>
        <w:t xml:space="preserve"> dans la réalisation des priorités nationales en matière de gestion durable des terres.</w:t>
      </w:r>
      <w:r w:rsidRPr="004D4230">
        <w:rPr>
          <w:bCs/>
          <w:color w:val="000000"/>
        </w:rPr>
        <w:t xml:space="preserve"> </w:t>
      </w:r>
    </w:p>
    <w:p w:rsidR="004D4230" w:rsidRDefault="004D4230" w:rsidP="004D4230">
      <w:pPr>
        <w:autoSpaceDE w:val="0"/>
        <w:autoSpaceDN w:val="0"/>
        <w:adjustRightInd w:val="0"/>
        <w:jc w:val="both"/>
      </w:pPr>
    </w:p>
    <w:p w:rsidR="004D4230" w:rsidRPr="004D4230" w:rsidRDefault="004D4230" w:rsidP="004D4230">
      <w:pPr>
        <w:autoSpaceDE w:val="0"/>
        <w:autoSpaceDN w:val="0"/>
        <w:adjustRightInd w:val="0"/>
        <w:jc w:val="both"/>
      </w:pPr>
      <w:r w:rsidRPr="004D4230">
        <w:t>Ce rapport comportera au moins les éléments suivants :</w:t>
      </w:r>
    </w:p>
    <w:p w:rsidR="004D4230" w:rsidRPr="004D4230" w:rsidRDefault="004D4230" w:rsidP="004D4230">
      <w:pPr>
        <w:jc w:val="both"/>
      </w:pPr>
    </w:p>
    <w:p w:rsidR="004D4230" w:rsidRDefault="004D4230" w:rsidP="004D4230">
      <w:pPr>
        <w:pStyle w:val="Corpsdetexte3"/>
        <w:numPr>
          <w:ilvl w:val="0"/>
          <w:numId w:val="49"/>
        </w:numPr>
        <w:spacing w:after="0"/>
        <w:ind w:left="709" w:hanging="643"/>
        <w:jc w:val="both"/>
        <w:rPr>
          <w:rFonts w:eastAsia="Times New Roman"/>
          <w:sz w:val="24"/>
          <w:szCs w:val="24"/>
          <w:lang w:val="fr-FR" w:eastAsia="fr-FR"/>
        </w:rPr>
      </w:pPr>
      <w:r w:rsidRPr="004D4230">
        <w:rPr>
          <w:rFonts w:eastAsia="Times New Roman"/>
          <w:sz w:val="24"/>
          <w:szCs w:val="24"/>
          <w:lang w:val="fr-FR" w:eastAsia="fr-FR"/>
        </w:rPr>
        <w:t xml:space="preserve">L’analyse de l’intervention du Sous-programme en appui à l’opérationnalisation du </w:t>
      </w:r>
      <w:r w:rsidRPr="004D4230">
        <w:rPr>
          <w:b/>
          <w:sz w:val="24"/>
          <w:szCs w:val="24"/>
          <w:lang w:val="fr-FR"/>
        </w:rPr>
        <w:t xml:space="preserve"> </w:t>
      </w:r>
      <w:r w:rsidRPr="00160A3C">
        <w:rPr>
          <w:sz w:val="24"/>
          <w:szCs w:val="24"/>
          <w:lang w:val="fr-FR"/>
        </w:rPr>
        <w:t>Programme d’Action National de lutte contre la Désertification</w:t>
      </w:r>
      <w:r w:rsidRPr="004D4230">
        <w:rPr>
          <w:b/>
          <w:sz w:val="24"/>
          <w:szCs w:val="24"/>
          <w:lang w:val="fr-FR"/>
        </w:rPr>
        <w:t xml:space="preserve"> </w:t>
      </w:r>
      <w:r w:rsidRPr="004D4230">
        <w:rPr>
          <w:rFonts w:eastAsia="Times New Roman"/>
          <w:sz w:val="24"/>
          <w:szCs w:val="24"/>
          <w:lang w:val="fr-FR" w:eastAsia="fr-FR"/>
        </w:rPr>
        <w:t>et des progrès réalisés dans ce domaine ainsi que  la nécessité ou non de poursuivre l’intervention;</w:t>
      </w:r>
    </w:p>
    <w:p w:rsidR="004D4230" w:rsidRPr="004D4230" w:rsidRDefault="004D4230" w:rsidP="004D4230">
      <w:pPr>
        <w:pStyle w:val="Corpsdetexte3"/>
        <w:spacing w:after="0"/>
        <w:ind w:left="709"/>
        <w:jc w:val="both"/>
        <w:rPr>
          <w:rFonts w:eastAsia="Times New Roman"/>
          <w:sz w:val="24"/>
          <w:szCs w:val="24"/>
          <w:lang w:val="fr-FR" w:eastAsia="fr-FR"/>
        </w:rPr>
      </w:pPr>
    </w:p>
    <w:p w:rsidR="004D4230" w:rsidRDefault="004D4230" w:rsidP="004D4230">
      <w:pPr>
        <w:pStyle w:val="Corpsdetexte3"/>
        <w:numPr>
          <w:ilvl w:val="0"/>
          <w:numId w:val="49"/>
        </w:numPr>
        <w:spacing w:after="0"/>
        <w:ind w:left="709" w:hanging="643"/>
        <w:jc w:val="both"/>
        <w:rPr>
          <w:rFonts w:eastAsia="Times New Roman"/>
          <w:sz w:val="24"/>
          <w:szCs w:val="24"/>
          <w:lang w:val="fr-FR" w:eastAsia="fr-FR"/>
        </w:rPr>
      </w:pPr>
      <w:r w:rsidRPr="004D4230">
        <w:rPr>
          <w:rFonts w:eastAsia="Times New Roman"/>
          <w:sz w:val="24"/>
          <w:szCs w:val="24"/>
          <w:lang w:val="fr-FR" w:eastAsia="fr-FR"/>
        </w:rPr>
        <w:t>L’identification des facteurs ayant influencé positivement ou négativement l’atteinte de l’objectif poursuivi par le Sous-programme;</w:t>
      </w:r>
    </w:p>
    <w:p w:rsidR="004D4230" w:rsidRDefault="004D4230" w:rsidP="004D4230">
      <w:pPr>
        <w:pStyle w:val="Corpsdetexte3"/>
        <w:spacing w:after="0"/>
        <w:ind w:left="709"/>
        <w:jc w:val="both"/>
        <w:rPr>
          <w:rFonts w:eastAsia="Times New Roman"/>
          <w:sz w:val="24"/>
          <w:szCs w:val="24"/>
          <w:lang w:val="fr-FR" w:eastAsia="fr-FR"/>
        </w:rPr>
      </w:pPr>
    </w:p>
    <w:p w:rsidR="004D4230" w:rsidRDefault="004D4230" w:rsidP="004D4230">
      <w:pPr>
        <w:pStyle w:val="Corpsdetexte3"/>
        <w:numPr>
          <w:ilvl w:val="0"/>
          <w:numId w:val="49"/>
        </w:numPr>
        <w:spacing w:after="0"/>
        <w:ind w:left="709" w:hanging="643"/>
        <w:jc w:val="both"/>
        <w:rPr>
          <w:rFonts w:eastAsia="Times New Roman"/>
          <w:sz w:val="24"/>
          <w:szCs w:val="24"/>
          <w:lang w:val="fr-FR" w:eastAsia="fr-FR"/>
        </w:rPr>
      </w:pPr>
      <w:r w:rsidRPr="004D4230">
        <w:rPr>
          <w:rFonts w:eastAsia="Times New Roman"/>
          <w:sz w:val="24"/>
          <w:szCs w:val="24"/>
          <w:lang w:val="fr-FR" w:eastAsia="fr-FR"/>
        </w:rPr>
        <w:t>Les stratégies de partenariat développées et leur efficience ou non pour l’atteinte des résultats ;</w:t>
      </w:r>
    </w:p>
    <w:p w:rsidR="004D4230" w:rsidRDefault="004D4230" w:rsidP="004D4230">
      <w:pPr>
        <w:pStyle w:val="Corpsdetexte3"/>
        <w:spacing w:after="0"/>
        <w:ind w:left="709"/>
        <w:jc w:val="both"/>
        <w:rPr>
          <w:rFonts w:eastAsia="Times New Roman"/>
          <w:sz w:val="24"/>
          <w:szCs w:val="24"/>
          <w:lang w:val="fr-FR" w:eastAsia="fr-FR"/>
        </w:rPr>
      </w:pPr>
    </w:p>
    <w:p w:rsidR="004D4230" w:rsidRPr="004D4230" w:rsidRDefault="004D4230" w:rsidP="004D4230">
      <w:pPr>
        <w:pStyle w:val="Corpsdetexte3"/>
        <w:numPr>
          <w:ilvl w:val="0"/>
          <w:numId w:val="49"/>
        </w:numPr>
        <w:spacing w:after="0"/>
        <w:ind w:left="709" w:hanging="643"/>
        <w:jc w:val="both"/>
        <w:rPr>
          <w:rFonts w:eastAsia="Times New Roman"/>
          <w:sz w:val="24"/>
          <w:szCs w:val="24"/>
          <w:lang w:val="fr-FR" w:eastAsia="fr-FR"/>
        </w:rPr>
      </w:pPr>
      <w:r w:rsidRPr="004D4230">
        <w:rPr>
          <w:rFonts w:eastAsia="Times New Roman"/>
          <w:sz w:val="24"/>
          <w:szCs w:val="24"/>
          <w:lang w:val="fr-FR" w:eastAsia="fr-FR"/>
        </w:rPr>
        <w:t>L’identification et la documentation des enseignements qui en résultent en termes de bonnes  pratiques ;</w:t>
      </w:r>
    </w:p>
    <w:p w:rsidR="004D4230" w:rsidRDefault="004D4230" w:rsidP="004D4230">
      <w:pPr>
        <w:pStyle w:val="Corpsdetexte3"/>
        <w:spacing w:after="0"/>
        <w:ind w:left="709"/>
        <w:jc w:val="both"/>
        <w:rPr>
          <w:rFonts w:eastAsia="Times New Roman"/>
          <w:sz w:val="24"/>
          <w:szCs w:val="24"/>
          <w:lang w:val="fr-FR" w:eastAsia="fr-FR"/>
        </w:rPr>
      </w:pPr>
    </w:p>
    <w:p w:rsidR="004D4230" w:rsidRPr="004D4230" w:rsidRDefault="004D4230" w:rsidP="004D4230">
      <w:pPr>
        <w:pStyle w:val="Corpsdetexte3"/>
        <w:numPr>
          <w:ilvl w:val="0"/>
          <w:numId w:val="49"/>
        </w:numPr>
        <w:spacing w:after="0"/>
        <w:ind w:left="709" w:hanging="643"/>
        <w:jc w:val="both"/>
        <w:rPr>
          <w:rFonts w:eastAsia="Times New Roman"/>
          <w:sz w:val="24"/>
          <w:szCs w:val="24"/>
          <w:lang w:val="fr-FR" w:eastAsia="fr-FR"/>
        </w:rPr>
      </w:pPr>
      <w:r w:rsidRPr="004D4230">
        <w:rPr>
          <w:rFonts w:eastAsia="Times New Roman"/>
          <w:sz w:val="24"/>
          <w:szCs w:val="24"/>
          <w:lang w:val="fr-FR" w:eastAsia="fr-FR"/>
        </w:rPr>
        <w:lastRenderedPageBreak/>
        <w:t xml:space="preserve">Des </w:t>
      </w:r>
      <w:r w:rsidR="009A78F4">
        <w:rPr>
          <w:rFonts w:eastAsia="Times New Roman"/>
          <w:sz w:val="24"/>
          <w:szCs w:val="24"/>
          <w:lang w:val="fr-FR" w:eastAsia="fr-FR"/>
        </w:rPr>
        <w:t xml:space="preserve">enseignements tirés et des </w:t>
      </w:r>
      <w:r w:rsidRPr="004D4230">
        <w:rPr>
          <w:rFonts w:eastAsia="Times New Roman"/>
          <w:sz w:val="24"/>
          <w:szCs w:val="24"/>
          <w:lang w:val="fr-FR" w:eastAsia="fr-FR"/>
        </w:rPr>
        <w:t>recommandations assorties des actions à entreprendre, le type de partenariat à développer ainsi que, toute autre information pertinente pour la poursuite, la réorientation ou la fin de l’intervention;</w:t>
      </w:r>
    </w:p>
    <w:p w:rsidR="004D4230" w:rsidRDefault="004D4230" w:rsidP="004D4230">
      <w:pPr>
        <w:spacing w:after="120"/>
        <w:jc w:val="both"/>
      </w:pPr>
    </w:p>
    <w:p w:rsidR="004B1521" w:rsidRPr="004D4230" w:rsidRDefault="004B1521" w:rsidP="004B1521">
      <w:pPr>
        <w:spacing w:line="276" w:lineRule="auto"/>
        <w:jc w:val="both"/>
      </w:pPr>
      <w:r w:rsidRPr="004D4230">
        <w:rPr>
          <w:b/>
        </w:rPr>
        <w:t>Quatre produits livrables</w:t>
      </w:r>
      <w:r w:rsidRPr="004D4230">
        <w:t xml:space="preserve"> sont attendus </w:t>
      </w:r>
      <w:r w:rsidR="00867FE1">
        <w:t>des évaluateurs</w:t>
      </w:r>
      <w:r w:rsidRPr="004D4230">
        <w:t xml:space="preserve"> au cours du processus de réalisation de l’étude. Il s’agit d’une note de cadrage ou de démarrage, un rapport d’étape, un rapport provisoire et un rapport final de l’évaluation </w:t>
      </w:r>
      <w:r w:rsidR="009A78F4">
        <w:t>finale</w:t>
      </w:r>
      <w:r w:rsidRPr="004D4230">
        <w:t>.</w:t>
      </w:r>
    </w:p>
    <w:p w:rsidR="004B1521" w:rsidRPr="004D4230" w:rsidRDefault="004B1521" w:rsidP="004B1521">
      <w:pPr>
        <w:spacing w:line="276" w:lineRule="auto"/>
      </w:pPr>
    </w:p>
    <w:p w:rsidR="009A78F4" w:rsidRPr="000D0829" w:rsidRDefault="009A78F4" w:rsidP="009A78F4">
      <w:pPr>
        <w:numPr>
          <w:ilvl w:val="0"/>
          <w:numId w:val="62"/>
        </w:numPr>
        <w:autoSpaceDE w:val="0"/>
        <w:autoSpaceDN w:val="0"/>
        <w:adjustRightInd w:val="0"/>
        <w:spacing w:after="120" w:line="276" w:lineRule="auto"/>
        <w:jc w:val="both"/>
      </w:pPr>
      <w:r w:rsidRPr="000D0829">
        <w:rPr>
          <w:b/>
        </w:rPr>
        <w:t>Un rapport de cadrage </w:t>
      </w:r>
      <w:r w:rsidRPr="000D0829">
        <w:t>comprenant la méthodologie et le chronogramme détaillés de la mission. Plus particulièrement ce rapport indiquera clairement comment chaque objectif spécifique sera traité</w:t>
      </w:r>
      <w:r>
        <w:t xml:space="preserve">, notamment </w:t>
      </w:r>
      <w:r w:rsidRPr="000D0829">
        <w:rPr>
          <w:rFonts w:ascii="Calibri" w:hAnsi="Calibri"/>
        </w:rPr>
        <w:t xml:space="preserve"> </w:t>
      </w:r>
      <w:r w:rsidRPr="00B37D29">
        <w:rPr>
          <w:rFonts w:ascii="Calibri" w:hAnsi="Calibri"/>
        </w:rPr>
        <w:t>comment chaque question évaluative sera abordée à l’aide de méthodes appropriées</w:t>
      </w:r>
      <w:r w:rsidRPr="000D0829">
        <w:t>. Ce rapport sera validé par le commanditaire.</w:t>
      </w:r>
    </w:p>
    <w:p w:rsidR="009A78F4" w:rsidRPr="000D0829" w:rsidRDefault="009A78F4" w:rsidP="009A78F4">
      <w:pPr>
        <w:numPr>
          <w:ilvl w:val="0"/>
          <w:numId w:val="62"/>
        </w:numPr>
        <w:spacing w:after="120" w:line="276" w:lineRule="auto"/>
        <w:jc w:val="both"/>
        <w:rPr>
          <w:rFonts w:ascii="Calibri" w:hAnsi="Calibri"/>
        </w:rPr>
      </w:pPr>
      <w:r w:rsidRPr="000D0829">
        <w:rPr>
          <w:b/>
        </w:rPr>
        <w:t xml:space="preserve">Un rapport provisoire consolidé </w:t>
      </w:r>
      <w:r w:rsidRPr="000D0829">
        <w:t xml:space="preserve">des résultats des analyses préliminaires comprenant </w:t>
      </w:r>
      <w:r w:rsidRPr="000D0829">
        <w:rPr>
          <w:rFonts w:ascii="Calibri" w:hAnsi="Calibri"/>
        </w:rPr>
        <w:t>au moins les éléments suivants :</w:t>
      </w:r>
    </w:p>
    <w:p w:rsidR="009A78F4" w:rsidRPr="00B37D29" w:rsidRDefault="009A78F4" w:rsidP="009A78F4">
      <w:pPr>
        <w:pStyle w:val="Paragraphedeliste"/>
        <w:numPr>
          <w:ilvl w:val="1"/>
          <w:numId w:val="62"/>
        </w:numPr>
        <w:spacing w:before="120" w:after="0" w:line="240" w:lineRule="auto"/>
        <w:contextualSpacing w:val="0"/>
        <w:jc w:val="both"/>
        <w:rPr>
          <w:rFonts w:eastAsia="Calibri"/>
          <w:color w:val="000000"/>
          <w:szCs w:val="24"/>
          <w:lang w:val="fr-BE" w:eastAsia="en-US"/>
        </w:rPr>
      </w:pPr>
      <w:r>
        <w:rPr>
          <w:rFonts w:eastAsia="Calibri"/>
          <w:color w:val="000000"/>
          <w:szCs w:val="24"/>
          <w:lang w:val="fr-BE" w:eastAsia="en-US"/>
        </w:rPr>
        <w:t>Une analyse de</w:t>
      </w:r>
      <w:r w:rsidRPr="00B37D29">
        <w:rPr>
          <w:rFonts w:eastAsia="Calibri"/>
          <w:color w:val="000000"/>
          <w:szCs w:val="24"/>
          <w:lang w:val="fr-BE" w:eastAsia="en-US"/>
        </w:rPr>
        <w:t xml:space="preserve"> la </w:t>
      </w:r>
      <w:r w:rsidRPr="00B37D29">
        <w:rPr>
          <w:rFonts w:eastAsia="Calibri"/>
          <w:b/>
          <w:color w:val="000000"/>
          <w:szCs w:val="24"/>
          <w:lang w:val="fr-BE" w:eastAsia="en-US"/>
        </w:rPr>
        <w:t>pertinence</w:t>
      </w:r>
      <w:r w:rsidRPr="00B37D29">
        <w:rPr>
          <w:rFonts w:eastAsia="Calibri"/>
          <w:color w:val="000000"/>
          <w:szCs w:val="24"/>
          <w:lang w:val="fr-BE" w:eastAsia="en-US"/>
        </w:rPr>
        <w:t xml:space="preserve"> du projet par rapport au contexte du PNUD, au contexte national et aux priorités nationales ; </w:t>
      </w:r>
    </w:p>
    <w:p w:rsidR="009A78F4" w:rsidRPr="00B37D29" w:rsidRDefault="009A78F4" w:rsidP="009A78F4">
      <w:pPr>
        <w:pStyle w:val="Paragraphedeliste"/>
        <w:numPr>
          <w:ilvl w:val="1"/>
          <w:numId w:val="62"/>
        </w:numPr>
        <w:spacing w:before="120" w:after="0" w:line="240" w:lineRule="auto"/>
        <w:contextualSpacing w:val="0"/>
        <w:jc w:val="both"/>
        <w:rPr>
          <w:rFonts w:eastAsia="Calibri"/>
          <w:color w:val="000000"/>
          <w:szCs w:val="24"/>
          <w:lang w:val="fr-BE" w:eastAsia="en-US"/>
        </w:rPr>
      </w:pPr>
      <w:r>
        <w:rPr>
          <w:rFonts w:eastAsia="Calibri"/>
          <w:color w:val="000000"/>
          <w:szCs w:val="24"/>
          <w:lang w:val="fr-BE" w:eastAsia="en-US"/>
        </w:rPr>
        <w:t>Une analyse de</w:t>
      </w:r>
      <w:r w:rsidRPr="00B37D29">
        <w:rPr>
          <w:rFonts w:eastAsia="Calibri"/>
          <w:color w:val="000000"/>
          <w:szCs w:val="24"/>
          <w:lang w:val="fr-BE" w:eastAsia="en-US"/>
        </w:rPr>
        <w:t xml:space="preserve"> </w:t>
      </w:r>
      <w:r w:rsidRPr="00B37D29">
        <w:rPr>
          <w:rFonts w:eastAsia="Calibri"/>
          <w:b/>
          <w:color w:val="000000"/>
          <w:szCs w:val="24"/>
          <w:lang w:val="fr-BE" w:eastAsia="en-US"/>
        </w:rPr>
        <w:t>l’</w:t>
      </w:r>
      <w:r>
        <w:rPr>
          <w:rFonts w:eastAsia="Calibri"/>
          <w:b/>
          <w:color w:val="000000"/>
          <w:szCs w:val="24"/>
          <w:lang w:val="fr-BE" w:eastAsia="en-US"/>
        </w:rPr>
        <w:t xml:space="preserve">efficacité, de </w:t>
      </w:r>
      <w:r w:rsidRPr="00B37D29">
        <w:rPr>
          <w:rFonts w:eastAsia="Calibri"/>
          <w:b/>
          <w:color w:val="000000"/>
          <w:szCs w:val="24"/>
          <w:lang w:val="fr-BE" w:eastAsia="en-US"/>
        </w:rPr>
        <w:t>l’efficience</w:t>
      </w:r>
      <w:r>
        <w:rPr>
          <w:rFonts w:eastAsia="Calibri"/>
          <w:b/>
          <w:color w:val="000000"/>
          <w:szCs w:val="24"/>
          <w:lang w:val="fr-BE" w:eastAsia="en-US"/>
        </w:rPr>
        <w:t xml:space="preserve">, de l’impact et de la durabilité </w:t>
      </w:r>
      <w:r w:rsidRPr="00B37D29">
        <w:rPr>
          <w:rFonts w:eastAsia="Calibri"/>
          <w:color w:val="000000"/>
          <w:szCs w:val="24"/>
          <w:lang w:val="fr-BE" w:eastAsia="en-US"/>
        </w:rPr>
        <w:t>de sa mise en œuvre;</w:t>
      </w:r>
    </w:p>
    <w:p w:rsidR="009A78F4" w:rsidRPr="00B37D29" w:rsidRDefault="009A78F4" w:rsidP="009A78F4">
      <w:pPr>
        <w:pStyle w:val="Paragraphedeliste"/>
        <w:numPr>
          <w:ilvl w:val="1"/>
          <w:numId w:val="62"/>
        </w:numPr>
        <w:spacing w:before="120" w:after="0" w:line="240" w:lineRule="auto"/>
        <w:contextualSpacing w:val="0"/>
        <w:jc w:val="both"/>
        <w:rPr>
          <w:rFonts w:eastAsia="Calibri"/>
          <w:color w:val="000000"/>
          <w:szCs w:val="24"/>
          <w:lang w:val="fr-BE" w:eastAsia="en-US"/>
        </w:rPr>
      </w:pPr>
      <w:r>
        <w:rPr>
          <w:rFonts w:eastAsia="Calibri"/>
          <w:color w:val="000000"/>
          <w:szCs w:val="24"/>
          <w:lang w:val="fr-BE" w:eastAsia="en-US"/>
        </w:rPr>
        <w:t>Une analyse de</w:t>
      </w:r>
      <w:r w:rsidRPr="00B37D29">
        <w:rPr>
          <w:rFonts w:eastAsia="Calibri"/>
          <w:color w:val="000000"/>
          <w:szCs w:val="24"/>
          <w:lang w:val="fr-BE" w:eastAsia="en-US"/>
        </w:rPr>
        <w:t xml:space="preserve"> </w:t>
      </w:r>
      <w:r w:rsidRPr="00B37D29">
        <w:rPr>
          <w:szCs w:val="24"/>
        </w:rPr>
        <w:t xml:space="preserve">la </w:t>
      </w:r>
      <w:r w:rsidRPr="00BD0341">
        <w:rPr>
          <w:b/>
          <w:szCs w:val="24"/>
        </w:rPr>
        <w:t>prise en compte du genre</w:t>
      </w:r>
      <w:r w:rsidRPr="00B37D29">
        <w:rPr>
          <w:szCs w:val="24"/>
        </w:rPr>
        <w:t xml:space="preserve"> et </w:t>
      </w:r>
      <w:r>
        <w:rPr>
          <w:szCs w:val="24"/>
        </w:rPr>
        <w:t>d</w:t>
      </w:r>
      <w:r w:rsidRPr="00B37D29">
        <w:rPr>
          <w:szCs w:val="24"/>
        </w:rPr>
        <w:t>es questions liées au renforcement de capac</w:t>
      </w:r>
      <w:r>
        <w:rPr>
          <w:szCs w:val="24"/>
        </w:rPr>
        <w:t>ités des partenaires nationaux ;</w:t>
      </w:r>
    </w:p>
    <w:p w:rsidR="009A78F4" w:rsidRPr="00B37D29" w:rsidRDefault="009A78F4" w:rsidP="009A78F4">
      <w:pPr>
        <w:pStyle w:val="Paragraphedeliste"/>
        <w:numPr>
          <w:ilvl w:val="1"/>
          <w:numId w:val="62"/>
        </w:numPr>
        <w:spacing w:before="120" w:after="0" w:line="240" w:lineRule="auto"/>
        <w:contextualSpacing w:val="0"/>
        <w:jc w:val="both"/>
        <w:rPr>
          <w:rFonts w:eastAsia="Calibri"/>
          <w:color w:val="000000"/>
          <w:szCs w:val="24"/>
          <w:lang w:val="fr-BE" w:eastAsia="en-US"/>
        </w:rPr>
      </w:pPr>
      <w:r w:rsidRPr="00B37D29">
        <w:rPr>
          <w:rFonts w:eastAsia="Calibri"/>
          <w:color w:val="000000"/>
          <w:szCs w:val="24"/>
          <w:lang w:val="fr-BE" w:eastAsia="en-US"/>
        </w:rPr>
        <w:t xml:space="preserve">des </w:t>
      </w:r>
      <w:r w:rsidRPr="00BD0341">
        <w:rPr>
          <w:rFonts w:eastAsia="Calibri"/>
          <w:b/>
          <w:color w:val="000000"/>
          <w:szCs w:val="24"/>
          <w:lang w:val="fr-BE" w:eastAsia="en-US"/>
        </w:rPr>
        <w:t>leçons</w:t>
      </w:r>
      <w:r>
        <w:rPr>
          <w:rFonts w:eastAsia="Calibri"/>
          <w:color w:val="000000"/>
          <w:szCs w:val="24"/>
          <w:lang w:val="fr-BE" w:eastAsia="en-US"/>
        </w:rPr>
        <w:t xml:space="preserve"> tirées et des </w:t>
      </w:r>
      <w:r w:rsidRPr="00BD0341">
        <w:rPr>
          <w:rFonts w:eastAsia="Calibri"/>
          <w:b/>
          <w:color w:val="000000"/>
          <w:szCs w:val="24"/>
          <w:lang w:val="fr-BE" w:eastAsia="en-US"/>
        </w:rPr>
        <w:t>recommandations</w:t>
      </w:r>
      <w:r w:rsidRPr="00B37D29">
        <w:rPr>
          <w:rFonts w:eastAsia="Calibri"/>
          <w:color w:val="000000"/>
          <w:szCs w:val="24"/>
          <w:lang w:val="fr-BE" w:eastAsia="en-US"/>
        </w:rPr>
        <w:t xml:space="preserve"> </w:t>
      </w:r>
      <w:r w:rsidRPr="00B37D29">
        <w:rPr>
          <w:color w:val="000000"/>
          <w:szCs w:val="24"/>
          <w:lang w:val="fr-BE"/>
        </w:rPr>
        <w:t xml:space="preserve">pour informer les appuis ultérieurs en la matière ; </w:t>
      </w:r>
    </w:p>
    <w:p w:rsidR="009A78F4" w:rsidRPr="00B37D29" w:rsidRDefault="009A78F4" w:rsidP="009A78F4">
      <w:pPr>
        <w:pStyle w:val="Paragraphedeliste"/>
        <w:numPr>
          <w:ilvl w:val="1"/>
          <w:numId w:val="62"/>
        </w:numPr>
        <w:spacing w:before="120" w:after="0" w:line="240" w:lineRule="auto"/>
        <w:contextualSpacing w:val="0"/>
        <w:jc w:val="both"/>
        <w:rPr>
          <w:color w:val="000000"/>
          <w:szCs w:val="24"/>
          <w:lang w:val="fr-BE"/>
        </w:rPr>
      </w:pPr>
      <w:r>
        <w:rPr>
          <w:rFonts w:eastAsia="Calibri"/>
          <w:color w:val="000000"/>
          <w:szCs w:val="24"/>
          <w:lang w:val="fr-BE" w:eastAsia="en-US"/>
        </w:rPr>
        <w:t>Une analyse du</w:t>
      </w:r>
      <w:r w:rsidRPr="00B37D29">
        <w:rPr>
          <w:color w:val="000000"/>
          <w:szCs w:val="24"/>
          <w:lang w:val="fr-BE"/>
        </w:rPr>
        <w:t xml:space="preserve"> </w:t>
      </w:r>
      <w:r w:rsidRPr="00BD0341">
        <w:rPr>
          <w:b/>
          <w:color w:val="000000"/>
          <w:szCs w:val="24"/>
          <w:lang w:val="fr-BE"/>
        </w:rPr>
        <w:t>partenariat</w:t>
      </w:r>
      <w:r w:rsidRPr="00B37D29">
        <w:rPr>
          <w:color w:val="000000"/>
          <w:szCs w:val="24"/>
          <w:lang w:val="fr-BE"/>
        </w:rPr>
        <w:t xml:space="preserve"> développé pour la mise en œuvre du projet ; </w:t>
      </w:r>
    </w:p>
    <w:p w:rsidR="009A78F4" w:rsidRPr="00B37D29" w:rsidRDefault="009A78F4" w:rsidP="009A78F4">
      <w:pPr>
        <w:spacing w:line="276" w:lineRule="auto"/>
        <w:ind w:left="720"/>
        <w:jc w:val="both"/>
        <w:rPr>
          <w:rFonts w:ascii="Calibri" w:hAnsi="Calibri"/>
        </w:rPr>
      </w:pPr>
    </w:p>
    <w:p w:rsidR="009A78F4" w:rsidRPr="000D0829" w:rsidRDefault="009A78F4" w:rsidP="009A78F4">
      <w:pPr>
        <w:numPr>
          <w:ilvl w:val="0"/>
          <w:numId w:val="62"/>
        </w:numPr>
        <w:spacing w:after="120" w:line="276" w:lineRule="auto"/>
        <w:jc w:val="both"/>
      </w:pPr>
      <w:r w:rsidRPr="000D0829">
        <w:rPr>
          <w:b/>
        </w:rPr>
        <w:t xml:space="preserve">Un rapport final </w:t>
      </w:r>
      <w:r w:rsidRPr="000D0829">
        <w:t xml:space="preserve">intégrant les observations jugées pertinentes sur le rapport provisoire. Le rapport final sera déposé chez le commanditaire en format électronique et en quatre (4) copies imprimées. </w:t>
      </w:r>
      <w:r w:rsidR="008D4FF0" w:rsidRPr="00037014">
        <w:t>Après validation du rapport provisoire, le</w:t>
      </w:r>
      <w:r w:rsidR="008D4FF0">
        <w:t>s</w:t>
      </w:r>
      <w:r w:rsidR="008D4FF0" w:rsidRPr="00037014">
        <w:t xml:space="preserve"> consultant</w:t>
      </w:r>
      <w:r w:rsidR="008D4FF0">
        <w:t>s</w:t>
      </w:r>
      <w:r w:rsidR="008D4FF0" w:rsidRPr="00037014">
        <w:t xml:space="preserve"> disposer</w:t>
      </w:r>
      <w:r w:rsidR="008D4FF0">
        <w:t>ont</w:t>
      </w:r>
      <w:r w:rsidR="008D4FF0" w:rsidRPr="00037014">
        <w:t xml:space="preserve"> de sept (07) jours calendaires pour la prise en compte des amendements et observations issus de l’atelier de validation avant transmission du rapport final au PNUD</w:t>
      </w:r>
    </w:p>
    <w:p w:rsidR="009A78F4" w:rsidRDefault="009A78F4" w:rsidP="004B1521">
      <w:pPr>
        <w:spacing w:line="276" w:lineRule="auto"/>
        <w:jc w:val="both"/>
      </w:pPr>
    </w:p>
    <w:p w:rsidR="00EF7DCD" w:rsidRPr="004D4230" w:rsidRDefault="00EF7DCD" w:rsidP="00935204">
      <w:pPr>
        <w:jc w:val="both"/>
        <w:rPr>
          <w:color w:val="000000"/>
        </w:rPr>
      </w:pPr>
    </w:p>
    <w:p w:rsidR="00867FE1" w:rsidRPr="008A055A" w:rsidRDefault="00867FE1" w:rsidP="00867FE1">
      <w:pPr>
        <w:pStyle w:val="Paragraphedeliste"/>
        <w:numPr>
          <w:ilvl w:val="0"/>
          <w:numId w:val="40"/>
        </w:numPr>
        <w:spacing w:after="0" w:line="240" w:lineRule="auto"/>
        <w:jc w:val="both"/>
        <w:rPr>
          <w:rFonts w:ascii="Times New Roman" w:hAnsi="Times New Roman"/>
          <w:b/>
          <w:sz w:val="24"/>
          <w:szCs w:val="24"/>
        </w:rPr>
      </w:pPr>
      <w:r w:rsidRPr="008A055A">
        <w:rPr>
          <w:rFonts w:ascii="Times New Roman" w:hAnsi="Times New Roman"/>
          <w:b/>
          <w:sz w:val="24"/>
          <w:szCs w:val="24"/>
        </w:rPr>
        <w:t>COMPOSITION DE L’ÉQUIPE D’ÉVALUATION ET COMPÉTENCES REQUISES</w:t>
      </w:r>
    </w:p>
    <w:p w:rsidR="00160A3C" w:rsidRDefault="00160A3C" w:rsidP="00935204">
      <w:pPr>
        <w:autoSpaceDE w:val="0"/>
        <w:autoSpaceDN w:val="0"/>
        <w:adjustRightInd w:val="0"/>
        <w:spacing w:after="160"/>
        <w:jc w:val="both"/>
      </w:pPr>
    </w:p>
    <w:p w:rsidR="00AA101B" w:rsidRPr="008A055A" w:rsidRDefault="00AA101B" w:rsidP="00AA101B">
      <w:pPr>
        <w:jc w:val="both"/>
        <w:rPr>
          <w:rFonts w:eastAsia="Calibri"/>
        </w:rPr>
      </w:pPr>
      <w:r w:rsidRPr="008A055A">
        <w:rPr>
          <w:rFonts w:eastAsia="Calibri"/>
        </w:rPr>
        <w:t>La Mission</w:t>
      </w:r>
      <w:r>
        <w:rPr>
          <w:rFonts w:eastAsia="Calibri"/>
        </w:rPr>
        <w:t xml:space="preserve"> d’évaluation du projet </w:t>
      </w:r>
      <w:r w:rsidR="00806E1E">
        <w:rPr>
          <w:rFonts w:eastAsia="Calibri"/>
        </w:rPr>
        <w:t xml:space="preserve">CPP </w:t>
      </w:r>
      <w:r w:rsidR="00D00ED7">
        <w:rPr>
          <w:rFonts w:eastAsia="Calibri"/>
        </w:rPr>
        <w:t>"</w:t>
      </w:r>
      <w:r w:rsidR="00806E1E">
        <w:rPr>
          <w:rFonts w:eastAsia="Calibri"/>
        </w:rPr>
        <w:t>Boucle du Mouhoun</w:t>
      </w:r>
      <w:r w:rsidR="00D00ED7">
        <w:rPr>
          <w:rFonts w:eastAsia="Calibri"/>
        </w:rPr>
        <w:t>"</w:t>
      </w:r>
      <w:r w:rsidR="00806E1E" w:rsidRPr="008A055A">
        <w:rPr>
          <w:rFonts w:eastAsia="Calibri"/>
        </w:rPr>
        <w:t xml:space="preserve"> </w:t>
      </w:r>
      <w:r w:rsidRPr="008A055A">
        <w:rPr>
          <w:rFonts w:eastAsia="Calibri"/>
        </w:rPr>
        <w:t xml:space="preserve">sera conduite par une équipe de deux consultants </w:t>
      </w:r>
      <w:r>
        <w:rPr>
          <w:rFonts w:eastAsia="Calibri"/>
        </w:rPr>
        <w:t xml:space="preserve">individuels </w:t>
      </w:r>
      <w:r w:rsidRPr="008A055A">
        <w:rPr>
          <w:rFonts w:eastAsia="Calibri"/>
        </w:rPr>
        <w:t>dont un consultant principal, Chef de Mission et, un consultant associé. Les qualifications requises de ces consultants sont ci-dessous précisées :</w:t>
      </w:r>
    </w:p>
    <w:p w:rsidR="008D4FF0" w:rsidRPr="008A055A" w:rsidRDefault="008D4FF0" w:rsidP="008D4FF0">
      <w:pPr>
        <w:jc w:val="both"/>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8D4FF0" w:rsidRPr="008A055A" w:rsidTr="003C4DDD">
        <w:tc>
          <w:tcPr>
            <w:tcW w:w="5000" w:type="pct"/>
            <w:tcBorders>
              <w:bottom w:val="nil"/>
            </w:tcBorders>
            <w:vAlign w:val="center"/>
          </w:tcPr>
          <w:p w:rsidR="008D4FF0" w:rsidRPr="008A055A" w:rsidRDefault="008D4FF0" w:rsidP="00E750B0">
            <w:pPr>
              <w:suppressAutoHyphens/>
              <w:jc w:val="center"/>
              <w:rPr>
                <w:b/>
              </w:rPr>
            </w:pPr>
            <w:r w:rsidRPr="008A055A">
              <w:rPr>
                <w:b/>
              </w:rPr>
              <w:t xml:space="preserve">Profil 1 : Consultant </w:t>
            </w:r>
            <w:r w:rsidR="00E750B0">
              <w:rPr>
                <w:b/>
              </w:rPr>
              <w:t>Principal</w:t>
            </w:r>
          </w:p>
        </w:tc>
      </w:tr>
      <w:tr w:rsidR="008D4FF0" w:rsidRPr="002657C8" w:rsidTr="003C4DDD">
        <w:tc>
          <w:tcPr>
            <w:tcW w:w="5000" w:type="pct"/>
            <w:tcBorders>
              <w:bottom w:val="nil"/>
            </w:tcBorders>
            <w:vAlign w:val="center"/>
          </w:tcPr>
          <w:p w:rsidR="008D4FF0" w:rsidRPr="008A055A" w:rsidRDefault="008D4FF0" w:rsidP="008D4FF0">
            <w:pPr>
              <w:numPr>
                <w:ilvl w:val="0"/>
                <w:numId w:val="58"/>
              </w:numPr>
              <w:suppressAutoHyphens/>
              <w:jc w:val="both"/>
              <w:rPr>
                <w:b/>
              </w:rPr>
            </w:pPr>
            <w:r w:rsidRPr="008A055A">
              <w:t xml:space="preserve">Etre titulaire d’un diplôme universitaire de niveau BAC+5 ans au moins </w:t>
            </w:r>
            <w:r w:rsidRPr="004D4230">
              <w:t xml:space="preserve">en matière de gestion durable des terres et des ressources naturelles, </w:t>
            </w:r>
            <w:r>
              <w:t xml:space="preserve">en environnement, ou </w:t>
            </w:r>
            <w:r w:rsidRPr="004D4230">
              <w:t xml:space="preserve">en sciences </w:t>
            </w:r>
            <w:r w:rsidRPr="004D4230">
              <w:lastRenderedPageBreak/>
              <w:t>économiques, en planification du développement </w:t>
            </w:r>
            <w:r w:rsidRPr="00037014">
              <w:rPr>
                <w:bCs/>
              </w:rPr>
              <w:t xml:space="preserve">ou </w:t>
            </w:r>
            <w:r>
              <w:rPr>
                <w:bCs/>
              </w:rPr>
              <w:t>en</w:t>
            </w:r>
            <w:r w:rsidRPr="00037014">
              <w:rPr>
                <w:bCs/>
              </w:rPr>
              <w:t xml:space="preserve"> gestion de projets </w:t>
            </w:r>
            <w:r>
              <w:rPr>
                <w:bCs/>
              </w:rPr>
              <w:t>ou diplôme équivalent</w:t>
            </w:r>
          </w:p>
        </w:tc>
      </w:tr>
      <w:tr w:rsidR="008D4FF0" w:rsidRPr="002657C8" w:rsidTr="003C4DDD">
        <w:tc>
          <w:tcPr>
            <w:tcW w:w="5000" w:type="pct"/>
            <w:tcBorders>
              <w:bottom w:val="nil"/>
            </w:tcBorders>
            <w:vAlign w:val="center"/>
          </w:tcPr>
          <w:p w:rsidR="008D4FF0" w:rsidRPr="008A055A" w:rsidRDefault="008D4FF0" w:rsidP="008D4FF0">
            <w:pPr>
              <w:numPr>
                <w:ilvl w:val="0"/>
                <w:numId w:val="58"/>
              </w:numPr>
              <w:suppressAutoHyphens/>
              <w:jc w:val="both"/>
            </w:pPr>
            <w:r w:rsidRPr="004D4230">
              <w:lastRenderedPageBreak/>
              <w:t>Justifier d’au moins  dix (10) années d’expérience professionnelle dans le domaine des évaluations stratégiques et de programmes, de la planification, de la coordination et de la direction d’activités relatives au développement</w:t>
            </w:r>
          </w:p>
        </w:tc>
      </w:tr>
      <w:tr w:rsidR="008D4FF0" w:rsidRPr="002657C8" w:rsidTr="003C4DDD">
        <w:tc>
          <w:tcPr>
            <w:tcW w:w="5000" w:type="pct"/>
            <w:tcBorders>
              <w:bottom w:val="nil"/>
            </w:tcBorders>
            <w:vAlign w:val="center"/>
          </w:tcPr>
          <w:p w:rsidR="008D4FF0" w:rsidRPr="008A055A" w:rsidRDefault="008D4FF0" w:rsidP="008D4FF0">
            <w:pPr>
              <w:numPr>
                <w:ilvl w:val="0"/>
                <w:numId w:val="58"/>
              </w:numPr>
              <w:suppressAutoHyphens/>
              <w:jc w:val="both"/>
            </w:pPr>
            <w:r w:rsidRPr="004D4230">
              <w:t xml:space="preserve">Avoir une connaissance approfondie des problématiques de dégradation et de gestion durable des terres </w:t>
            </w:r>
            <w:r>
              <w:t>dans les pays en développement</w:t>
            </w:r>
            <w:r w:rsidRPr="004D4230">
              <w:t xml:space="preserve">  et une parfaite connaissance des concepts et approches liés à la GDT</w:t>
            </w:r>
          </w:p>
        </w:tc>
      </w:tr>
      <w:tr w:rsidR="008D4FF0" w:rsidRPr="002657C8" w:rsidTr="003C4DDD">
        <w:tc>
          <w:tcPr>
            <w:tcW w:w="5000" w:type="pct"/>
            <w:tcBorders>
              <w:bottom w:val="nil"/>
            </w:tcBorders>
            <w:vAlign w:val="center"/>
          </w:tcPr>
          <w:p w:rsidR="008D4FF0" w:rsidRPr="008A055A" w:rsidRDefault="008D4FF0" w:rsidP="008D4FF0">
            <w:pPr>
              <w:numPr>
                <w:ilvl w:val="0"/>
                <w:numId w:val="58"/>
              </w:numPr>
              <w:suppressAutoHyphens/>
              <w:jc w:val="both"/>
            </w:pPr>
            <w:r w:rsidRPr="008A055A">
              <w:t xml:space="preserve">Disposer d’expériences </w:t>
            </w:r>
            <w:r>
              <w:t xml:space="preserve">internationales </w:t>
            </w:r>
            <w:r w:rsidRPr="008A055A">
              <w:t xml:space="preserve">dans la conduite d’études similaires sur l’évaluation finale des projets et programmes au Burkina Faso </w:t>
            </w:r>
          </w:p>
        </w:tc>
      </w:tr>
      <w:tr w:rsidR="008D4FF0" w:rsidRPr="002657C8" w:rsidTr="003C4DDD">
        <w:tc>
          <w:tcPr>
            <w:tcW w:w="5000" w:type="pct"/>
            <w:tcBorders>
              <w:bottom w:val="nil"/>
            </w:tcBorders>
            <w:vAlign w:val="center"/>
          </w:tcPr>
          <w:p w:rsidR="008D4FF0" w:rsidRPr="008A055A" w:rsidRDefault="008D4FF0" w:rsidP="008D4FF0">
            <w:pPr>
              <w:numPr>
                <w:ilvl w:val="0"/>
                <w:numId w:val="58"/>
              </w:numPr>
              <w:jc w:val="both"/>
            </w:pPr>
            <w:r w:rsidRPr="004D4230">
              <w:t>Avoir une capacité avérée en matière de communication </w:t>
            </w:r>
          </w:p>
        </w:tc>
      </w:tr>
      <w:tr w:rsidR="008D4FF0" w:rsidRPr="002657C8" w:rsidTr="003C4DDD">
        <w:trPr>
          <w:trHeight w:val="480"/>
        </w:trPr>
        <w:tc>
          <w:tcPr>
            <w:tcW w:w="5000" w:type="pct"/>
            <w:tcBorders>
              <w:bottom w:val="nil"/>
            </w:tcBorders>
            <w:vAlign w:val="center"/>
          </w:tcPr>
          <w:p w:rsidR="008D4FF0" w:rsidRPr="008A055A" w:rsidRDefault="008D4FF0" w:rsidP="008D4FF0">
            <w:pPr>
              <w:numPr>
                <w:ilvl w:val="0"/>
                <w:numId w:val="58"/>
              </w:numPr>
              <w:ind w:right="406"/>
              <w:jc w:val="both"/>
            </w:pPr>
            <w:r w:rsidRPr="004D4230">
              <w:t>Disposer d’une bonne connaissance des trois principales conventions de la génération de Rio relatives à la lutte contre la désertification, aux changements climatiques et à la diversité biologique</w:t>
            </w:r>
          </w:p>
        </w:tc>
      </w:tr>
      <w:tr w:rsidR="008D4FF0" w:rsidRPr="002657C8" w:rsidTr="003C4DDD">
        <w:trPr>
          <w:trHeight w:val="480"/>
        </w:trPr>
        <w:tc>
          <w:tcPr>
            <w:tcW w:w="5000" w:type="pct"/>
            <w:tcBorders>
              <w:bottom w:val="nil"/>
            </w:tcBorders>
            <w:vAlign w:val="center"/>
          </w:tcPr>
          <w:p w:rsidR="008D4FF0" w:rsidRPr="008A055A" w:rsidRDefault="008D4FF0" w:rsidP="008D4FF0">
            <w:pPr>
              <w:numPr>
                <w:ilvl w:val="0"/>
                <w:numId w:val="58"/>
              </w:numPr>
              <w:ind w:right="406"/>
              <w:jc w:val="both"/>
            </w:pPr>
            <w:r w:rsidRPr="004D4230">
              <w:t>Etre capable de conduire une évaluation indépendante avec une compréhension claire des objectifs, du contenu et des processus de réalisation du travail d’évaluation demandé </w:t>
            </w:r>
          </w:p>
        </w:tc>
      </w:tr>
      <w:tr w:rsidR="008D4FF0" w:rsidRPr="002657C8" w:rsidTr="003C4DDD">
        <w:tc>
          <w:tcPr>
            <w:tcW w:w="5000" w:type="pct"/>
            <w:tcBorders>
              <w:bottom w:val="single" w:sz="4" w:space="0" w:color="auto"/>
            </w:tcBorders>
            <w:vAlign w:val="center"/>
          </w:tcPr>
          <w:p w:rsidR="008D4FF0" w:rsidRPr="008A055A" w:rsidRDefault="008D4FF0" w:rsidP="008D4FF0">
            <w:pPr>
              <w:numPr>
                <w:ilvl w:val="0"/>
                <w:numId w:val="58"/>
              </w:numPr>
              <w:jc w:val="both"/>
            </w:pPr>
            <w:r>
              <w:t xml:space="preserve">Bonne compréhension des </w:t>
            </w:r>
            <w:proofErr w:type="spellStart"/>
            <w:r>
              <w:t>Td</w:t>
            </w:r>
            <w:r w:rsidRPr="008A055A">
              <w:t>R</w:t>
            </w:r>
            <w:proofErr w:type="spellEnd"/>
            <w:r w:rsidRPr="008A055A">
              <w:t xml:space="preserve">/Approche méthodologique/Calendrier de  travail proposée </w:t>
            </w:r>
          </w:p>
        </w:tc>
      </w:tr>
    </w:tbl>
    <w:p w:rsidR="008D4FF0" w:rsidRPr="008A055A" w:rsidRDefault="008D4FF0" w:rsidP="008D4FF0">
      <w:pPr>
        <w:jc w:val="both"/>
      </w:pPr>
    </w:p>
    <w:p w:rsidR="008D4FF0" w:rsidRPr="008A055A" w:rsidRDefault="008D4FF0" w:rsidP="008D4FF0">
      <w:pPr>
        <w:jc w:val="both"/>
      </w:pPr>
    </w:p>
    <w:p w:rsidR="008D4FF0" w:rsidRPr="008A055A" w:rsidRDefault="008D4FF0" w:rsidP="008D4FF0">
      <w:pPr>
        <w:jc w:val="both"/>
      </w:pPr>
      <w:r w:rsidRPr="008A055A">
        <w:t xml:space="preserve">Le Consultant </w:t>
      </w:r>
      <w:r>
        <w:t>International, Chef de m</w:t>
      </w:r>
      <w:r w:rsidRPr="008A055A">
        <w:t>ission est responsable :</w:t>
      </w:r>
    </w:p>
    <w:p w:rsidR="008D4FF0" w:rsidRPr="008A055A" w:rsidRDefault="008D4FF0" w:rsidP="008D4FF0">
      <w:pPr>
        <w:numPr>
          <w:ilvl w:val="0"/>
          <w:numId w:val="59"/>
        </w:numPr>
        <w:ind w:left="360"/>
        <w:jc w:val="both"/>
      </w:pPr>
      <w:r w:rsidRPr="008A055A">
        <w:t xml:space="preserve">de </w:t>
      </w:r>
      <w:r>
        <w:t>la coordination générale de la m</w:t>
      </w:r>
      <w:r w:rsidRPr="008A055A">
        <w:t>ission pour en assurer la cohérence ;</w:t>
      </w:r>
    </w:p>
    <w:p w:rsidR="008D4FF0" w:rsidRPr="008A055A" w:rsidRDefault="008D4FF0" w:rsidP="008D4FF0">
      <w:pPr>
        <w:numPr>
          <w:ilvl w:val="0"/>
          <w:numId w:val="59"/>
        </w:numPr>
        <w:ind w:left="360"/>
        <w:jc w:val="both"/>
      </w:pPr>
      <w:r w:rsidRPr="008A055A">
        <w:t>de la clarification de la division de travail entre lui et le consultant associé pour c</w:t>
      </w:r>
      <w:r>
        <w:t>ouvrir tous les domaines de la m</w:t>
      </w:r>
      <w:r w:rsidRPr="008A055A">
        <w:t>ission et ce, conformément aux TDR ;</w:t>
      </w:r>
    </w:p>
    <w:p w:rsidR="008D4FF0" w:rsidRPr="008A055A" w:rsidRDefault="008D4FF0" w:rsidP="008D4FF0">
      <w:pPr>
        <w:numPr>
          <w:ilvl w:val="0"/>
          <w:numId w:val="59"/>
        </w:numPr>
        <w:ind w:left="360"/>
        <w:jc w:val="both"/>
      </w:pPr>
      <w:r w:rsidRPr="008A055A">
        <w:t>de l’élaboratio</w:t>
      </w:r>
      <w:r>
        <w:t>n du document de cadrage de la m</w:t>
      </w:r>
      <w:r w:rsidRPr="008A055A">
        <w:t>ission (</w:t>
      </w:r>
      <w:r>
        <w:t>m</w:t>
      </w:r>
      <w:r w:rsidRPr="008A055A">
        <w:t>éthodologie, conception des outils et autres support</w:t>
      </w:r>
      <w:r>
        <w:t>s</w:t>
      </w:r>
      <w:r w:rsidRPr="008A055A">
        <w:t>, calendrier d’exécution) et de sa présentation au cours de la réunion y relative ;</w:t>
      </w:r>
    </w:p>
    <w:p w:rsidR="008D4FF0" w:rsidRPr="008A055A" w:rsidRDefault="008D4FF0" w:rsidP="008D4FF0">
      <w:pPr>
        <w:numPr>
          <w:ilvl w:val="0"/>
          <w:numId w:val="59"/>
        </w:numPr>
        <w:ind w:left="360"/>
        <w:jc w:val="both"/>
      </w:pPr>
      <w:r w:rsidRPr="008A055A">
        <w:t>la restitution des conclusions d’évaluation et les recommandations aux parties prenantes au cours des rencontres organisées à cet effet ;</w:t>
      </w:r>
    </w:p>
    <w:p w:rsidR="008D4FF0" w:rsidRPr="008A055A" w:rsidRDefault="008D4FF0" w:rsidP="008D4FF0">
      <w:pPr>
        <w:numPr>
          <w:ilvl w:val="0"/>
          <w:numId w:val="59"/>
        </w:numPr>
        <w:ind w:left="360"/>
        <w:jc w:val="both"/>
      </w:pPr>
      <w:r w:rsidRPr="008A055A">
        <w:t>la production du Rapport de l’évaluation (première version provisoire et version finale consolidée) ;</w:t>
      </w:r>
    </w:p>
    <w:p w:rsidR="008D4FF0" w:rsidRPr="008A055A" w:rsidRDefault="008D4FF0" w:rsidP="008D4FF0">
      <w:pPr>
        <w:numPr>
          <w:ilvl w:val="0"/>
          <w:numId w:val="59"/>
        </w:numPr>
        <w:ind w:left="360"/>
        <w:jc w:val="both"/>
      </w:pPr>
      <w:r w:rsidRPr="008A055A">
        <w:t>l’intégration des amendements et la prise en compte des commentaires et autres observations et la fourniture des produits convenus à bonne</w:t>
      </w:r>
      <w:r>
        <w:t>s</w:t>
      </w:r>
      <w:r w:rsidRPr="008A055A">
        <w:t xml:space="preserve"> dates au commanditaire de l’étude ;</w:t>
      </w:r>
    </w:p>
    <w:p w:rsidR="008D4FF0" w:rsidRDefault="008D4FF0" w:rsidP="008D4FF0">
      <w:pPr>
        <w:numPr>
          <w:ilvl w:val="0"/>
          <w:numId w:val="59"/>
        </w:numPr>
        <w:ind w:left="360"/>
        <w:jc w:val="both"/>
      </w:pPr>
      <w:r w:rsidRPr="008A055A">
        <w:t>assurer avec professionnalisme et dextérité, ses tâch</w:t>
      </w:r>
      <w:r>
        <w:t xml:space="preserve">es décrites dans les présents </w:t>
      </w:r>
      <w:proofErr w:type="spellStart"/>
      <w:r>
        <w:t>Td</w:t>
      </w:r>
      <w:r w:rsidRPr="008A055A">
        <w:t>R</w:t>
      </w:r>
      <w:proofErr w:type="spellEnd"/>
      <w:r w:rsidRPr="008A055A">
        <w:t>.</w:t>
      </w:r>
    </w:p>
    <w:p w:rsidR="008D4FF0" w:rsidRDefault="008D4FF0" w:rsidP="008D4FF0"/>
    <w:p w:rsidR="008D4FF0" w:rsidRDefault="008D4FF0" w:rsidP="008D4FF0">
      <w:pPr>
        <w:ind w:left="360"/>
        <w:jc w:val="both"/>
      </w:pPr>
    </w:p>
    <w:p w:rsidR="008D4FF0" w:rsidRDefault="008D4FF0" w:rsidP="008D4FF0">
      <w:pPr>
        <w:ind w:left="360"/>
        <w:jc w:val="both"/>
      </w:pPr>
    </w:p>
    <w:p w:rsidR="008D4FF0" w:rsidRDefault="008D4FF0" w:rsidP="008D4FF0">
      <w:pPr>
        <w:ind w:left="360"/>
        <w:jc w:val="both"/>
      </w:pPr>
    </w:p>
    <w:p w:rsidR="008D4FF0" w:rsidRPr="008A055A" w:rsidRDefault="008D4FF0" w:rsidP="008D4FF0">
      <w:pPr>
        <w:ind w:left="360"/>
        <w:jc w:val="both"/>
      </w:pPr>
    </w:p>
    <w:tbl>
      <w:tblPr>
        <w:tblpPr w:leftFromText="141" w:rightFromText="141"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8D4FF0" w:rsidRPr="002657C8" w:rsidTr="003C4DDD">
        <w:tc>
          <w:tcPr>
            <w:tcW w:w="5000" w:type="pct"/>
            <w:tcBorders>
              <w:bottom w:val="nil"/>
            </w:tcBorders>
          </w:tcPr>
          <w:p w:rsidR="008D4FF0" w:rsidRPr="008A055A" w:rsidRDefault="008D4FF0" w:rsidP="003C4DDD">
            <w:pPr>
              <w:suppressAutoHyphens/>
              <w:jc w:val="center"/>
              <w:rPr>
                <w:b/>
              </w:rPr>
            </w:pPr>
            <w:r w:rsidRPr="008A055A">
              <w:rPr>
                <w:b/>
              </w:rPr>
              <w:t xml:space="preserve">Profil 2 : Consultant </w:t>
            </w:r>
            <w:r>
              <w:rPr>
                <w:b/>
              </w:rPr>
              <w:t>National</w:t>
            </w:r>
            <w:r w:rsidRPr="008A055A">
              <w:rPr>
                <w:b/>
              </w:rPr>
              <w:t xml:space="preserve"> en Genre et Développement Local</w:t>
            </w:r>
          </w:p>
        </w:tc>
      </w:tr>
      <w:tr w:rsidR="008D4FF0" w:rsidRPr="002657C8" w:rsidTr="003C4DDD">
        <w:tc>
          <w:tcPr>
            <w:tcW w:w="5000" w:type="pct"/>
            <w:tcBorders>
              <w:bottom w:val="nil"/>
            </w:tcBorders>
          </w:tcPr>
          <w:p w:rsidR="008D4FF0" w:rsidRPr="008A055A" w:rsidRDefault="008D4FF0" w:rsidP="008D4FF0">
            <w:pPr>
              <w:numPr>
                <w:ilvl w:val="0"/>
                <w:numId w:val="55"/>
              </w:numPr>
              <w:suppressAutoHyphens/>
              <w:jc w:val="both"/>
              <w:rPr>
                <w:b/>
              </w:rPr>
            </w:pPr>
            <w:r w:rsidRPr="008A055A">
              <w:t xml:space="preserve">Etre titulaire d’un diplôme universitaire de niveau BAC+5 ans au moins </w:t>
            </w:r>
            <w:r w:rsidRPr="004D4230">
              <w:t xml:space="preserve">en matière de gestion durable des terres et des ressources naturelles, </w:t>
            </w:r>
            <w:r>
              <w:t xml:space="preserve">en environnement, ou </w:t>
            </w:r>
            <w:r w:rsidRPr="004D4230">
              <w:t xml:space="preserve">en sciences économiques, </w:t>
            </w:r>
            <w:r>
              <w:t xml:space="preserve">ou </w:t>
            </w:r>
            <w:r w:rsidRPr="004D4230">
              <w:t>en planification du développement </w:t>
            </w:r>
            <w:r>
              <w:t xml:space="preserve">ou </w:t>
            </w:r>
            <w:r>
              <w:rPr>
                <w:bCs/>
              </w:rPr>
              <w:t>en</w:t>
            </w:r>
            <w:r w:rsidRPr="00037014">
              <w:rPr>
                <w:bCs/>
              </w:rPr>
              <w:t xml:space="preserve"> gestion de projets </w:t>
            </w:r>
            <w:r>
              <w:rPr>
                <w:bCs/>
              </w:rPr>
              <w:t>ou diplôme équivalent</w:t>
            </w:r>
          </w:p>
        </w:tc>
      </w:tr>
      <w:tr w:rsidR="008D4FF0" w:rsidRPr="002657C8" w:rsidTr="003C4DDD">
        <w:tc>
          <w:tcPr>
            <w:tcW w:w="5000" w:type="pct"/>
            <w:tcBorders>
              <w:bottom w:val="nil"/>
            </w:tcBorders>
          </w:tcPr>
          <w:p w:rsidR="008D4FF0" w:rsidRPr="008A055A" w:rsidRDefault="008D4FF0" w:rsidP="008D4FF0">
            <w:pPr>
              <w:numPr>
                <w:ilvl w:val="0"/>
                <w:numId w:val="55"/>
              </w:numPr>
              <w:jc w:val="both"/>
            </w:pPr>
            <w:r w:rsidRPr="004D4230">
              <w:t xml:space="preserve">Justifier d’au moins </w:t>
            </w:r>
            <w:r>
              <w:t xml:space="preserve">cinq </w:t>
            </w:r>
            <w:r w:rsidRPr="004D4230">
              <w:t>(</w:t>
            </w:r>
            <w:r>
              <w:t>5</w:t>
            </w:r>
            <w:r w:rsidRPr="004D4230">
              <w:t xml:space="preserve">) années d’expérience professionnelle dans le domaine des évaluations </w:t>
            </w:r>
            <w:r>
              <w:t>de projets ou</w:t>
            </w:r>
            <w:r w:rsidRPr="004D4230">
              <w:t xml:space="preserve"> de programmes</w:t>
            </w:r>
            <w:r>
              <w:t>.</w:t>
            </w:r>
          </w:p>
        </w:tc>
      </w:tr>
      <w:tr w:rsidR="008D4FF0" w:rsidRPr="002657C8" w:rsidTr="003C4DDD">
        <w:tc>
          <w:tcPr>
            <w:tcW w:w="5000" w:type="pct"/>
            <w:tcBorders>
              <w:bottom w:val="nil"/>
            </w:tcBorders>
          </w:tcPr>
          <w:p w:rsidR="008D4FF0" w:rsidRPr="008A055A" w:rsidRDefault="008D4FF0" w:rsidP="008D4FF0">
            <w:pPr>
              <w:numPr>
                <w:ilvl w:val="0"/>
                <w:numId w:val="55"/>
              </w:numPr>
              <w:jc w:val="both"/>
            </w:pPr>
            <w:r w:rsidRPr="008A055A">
              <w:lastRenderedPageBreak/>
              <w:t xml:space="preserve">avoir des connaissances et une riche expérience en matière d’environnement et du développement durable </w:t>
            </w:r>
          </w:p>
        </w:tc>
      </w:tr>
      <w:tr w:rsidR="008D4FF0" w:rsidRPr="002657C8" w:rsidTr="003C4DDD">
        <w:trPr>
          <w:trHeight w:val="480"/>
        </w:trPr>
        <w:tc>
          <w:tcPr>
            <w:tcW w:w="5000" w:type="pct"/>
            <w:tcBorders>
              <w:bottom w:val="nil"/>
            </w:tcBorders>
          </w:tcPr>
          <w:p w:rsidR="008D4FF0" w:rsidRPr="008A055A" w:rsidRDefault="008D4FF0" w:rsidP="008D4FF0">
            <w:pPr>
              <w:numPr>
                <w:ilvl w:val="0"/>
                <w:numId w:val="55"/>
              </w:numPr>
              <w:ind w:right="406"/>
              <w:jc w:val="both"/>
            </w:pPr>
            <w:bookmarkStart w:id="0" w:name="_GoBack"/>
            <w:r w:rsidRPr="004D4230">
              <w:t>Avoir une connaissance approfondie de la typologie des institutions centrales et déconcentrées de l’Etat, des institutions décentralisées et de la société civile ainsi que  des organisations professionnelles de producteurs engagées, dans la gestion durable des terres</w:t>
            </w:r>
            <w:bookmarkEnd w:id="0"/>
          </w:p>
        </w:tc>
      </w:tr>
      <w:tr w:rsidR="008D4FF0" w:rsidRPr="002657C8" w:rsidTr="003C4DDD">
        <w:tc>
          <w:tcPr>
            <w:tcW w:w="5000" w:type="pct"/>
            <w:tcBorders>
              <w:bottom w:val="single" w:sz="4" w:space="0" w:color="auto"/>
            </w:tcBorders>
          </w:tcPr>
          <w:p w:rsidR="008D4FF0" w:rsidRPr="008A055A" w:rsidRDefault="008D4FF0" w:rsidP="008D4FF0">
            <w:pPr>
              <w:numPr>
                <w:ilvl w:val="0"/>
                <w:numId w:val="55"/>
              </w:numPr>
              <w:jc w:val="both"/>
            </w:pPr>
            <w:r>
              <w:t>Avoir une connaissance approfondie des interventions en faveur du développement durable au Burkina Faso</w:t>
            </w:r>
          </w:p>
        </w:tc>
      </w:tr>
      <w:tr w:rsidR="008D4FF0" w:rsidRPr="002657C8" w:rsidTr="003C4DDD">
        <w:tc>
          <w:tcPr>
            <w:tcW w:w="5000" w:type="pct"/>
            <w:tcBorders>
              <w:bottom w:val="single" w:sz="4" w:space="0" w:color="auto"/>
            </w:tcBorders>
          </w:tcPr>
          <w:p w:rsidR="008D4FF0" w:rsidRPr="008A055A" w:rsidRDefault="008D4FF0" w:rsidP="008D4FF0">
            <w:pPr>
              <w:numPr>
                <w:ilvl w:val="0"/>
                <w:numId w:val="55"/>
              </w:numPr>
              <w:jc w:val="both"/>
            </w:pPr>
            <w:r>
              <w:t xml:space="preserve">Bonne compréhension des </w:t>
            </w:r>
            <w:proofErr w:type="spellStart"/>
            <w:r>
              <w:t>Td</w:t>
            </w:r>
            <w:r w:rsidRPr="008A055A">
              <w:t>R</w:t>
            </w:r>
            <w:proofErr w:type="spellEnd"/>
            <w:r w:rsidRPr="008A055A">
              <w:t xml:space="preserve">/Approche méthodologique/Calendrier de travail proposée </w:t>
            </w:r>
          </w:p>
        </w:tc>
      </w:tr>
    </w:tbl>
    <w:p w:rsidR="008D4FF0" w:rsidRPr="008A055A" w:rsidRDefault="008D4FF0" w:rsidP="008D4FF0">
      <w:pPr>
        <w:jc w:val="both"/>
      </w:pPr>
    </w:p>
    <w:p w:rsidR="008D4FF0" w:rsidRPr="008A055A" w:rsidRDefault="008D4FF0" w:rsidP="008D4FF0">
      <w:pPr>
        <w:jc w:val="both"/>
      </w:pPr>
      <w:r>
        <w:t>Le c</w:t>
      </w:r>
      <w:r w:rsidRPr="008A055A">
        <w:t xml:space="preserve">onsultant </w:t>
      </w:r>
      <w:r>
        <w:t>national</w:t>
      </w:r>
      <w:r w:rsidRPr="008A055A">
        <w:t xml:space="preserve"> en étroite collaboration avec le </w:t>
      </w:r>
      <w:r>
        <w:t>consultant international, c</w:t>
      </w:r>
      <w:r w:rsidRPr="008A055A">
        <w:t>hef d’équipe, devra :</w:t>
      </w:r>
    </w:p>
    <w:p w:rsidR="008D4FF0" w:rsidRPr="008A055A" w:rsidRDefault="008D4FF0" w:rsidP="008D4FF0">
      <w:pPr>
        <w:numPr>
          <w:ilvl w:val="0"/>
          <w:numId w:val="59"/>
        </w:numPr>
        <w:ind w:left="360"/>
        <w:jc w:val="both"/>
      </w:pPr>
      <w:r w:rsidRPr="008A055A">
        <w:t>contribuer à l’élaboration du document de cadrage ;</w:t>
      </w:r>
    </w:p>
    <w:p w:rsidR="008D4FF0" w:rsidRPr="008A055A" w:rsidRDefault="008D4FF0" w:rsidP="008D4FF0">
      <w:pPr>
        <w:numPr>
          <w:ilvl w:val="0"/>
          <w:numId w:val="59"/>
        </w:numPr>
        <w:ind w:left="360"/>
        <w:jc w:val="both"/>
      </w:pPr>
      <w:r w:rsidRPr="008A055A">
        <w:t>fournir les éléments pertinents relatifs au d</w:t>
      </w:r>
      <w:r>
        <w:t>omaine de sa spécialisation au c</w:t>
      </w:r>
      <w:r w:rsidRPr="008A055A">
        <w:t>onsultant principal pour la consolidation des livrables nécessaire</w:t>
      </w:r>
      <w:r>
        <w:t>s aux différentes étapes de la m</w:t>
      </w:r>
      <w:r w:rsidRPr="008A055A">
        <w:t>ission (cadrage, sorties terrain, restitution à mi-parcours, restitution finale) ;</w:t>
      </w:r>
    </w:p>
    <w:p w:rsidR="008D4FF0" w:rsidRPr="008A055A" w:rsidRDefault="008D4FF0" w:rsidP="008D4FF0">
      <w:pPr>
        <w:numPr>
          <w:ilvl w:val="0"/>
          <w:numId w:val="59"/>
        </w:numPr>
        <w:ind w:left="360"/>
        <w:jc w:val="both"/>
      </w:pPr>
      <w:r w:rsidRPr="008A055A">
        <w:t>contribuer à l’animation des rencontres et à la préparation des communications ainsi que pour la prise en compte des  observations et des recommandations y relatives ;</w:t>
      </w:r>
    </w:p>
    <w:p w:rsidR="008D4FF0" w:rsidRPr="008A055A" w:rsidRDefault="008D4FF0" w:rsidP="008D4FF0">
      <w:pPr>
        <w:numPr>
          <w:ilvl w:val="0"/>
          <w:numId w:val="59"/>
        </w:numPr>
        <w:ind w:left="360"/>
        <w:jc w:val="both"/>
      </w:pPr>
      <w:r w:rsidRPr="008A055A">
        <w:t>c</w:t>
      </w:r>
      <w:r>
        <w:t>ontribuer à la finalisation du r</w:t>
      </w:r>
      <w:r w:rsidRPr="008A055A">
        <w:t>apport de l’évaluation (première version provisoire et version finale consolidée) ;</w:t>
      </w:r>
    </w:p>
    <w:p w:rsidR="008D4FF0" w:rsidRPr="008A055A" w:rsidRDefault="008D4FF0" w:rsidP="008D4FF0">
      <w:pPr>
        <w:numPr>
          <w:ilvl w:val="0"/>
          <w:numId w:val="59"/>
        </w:numPr>
        <w:ind w:left="360"/>
        <w:jc w:val="both"/>
      </w:pPr>
      <w:r w:rsidRPr="008A055A">
        <w:t>assurer avec professionnalisme et dextérité, ses tâch</w:t>
      </w:r>
      <w:r>
        <w:t xml:space="preserve">es décrites dans les présents </w:t>
      </w:r>
      <w:proofErr w:type="spellStart"/>
      <w:r>
        <w:t>Td</w:t>
      </w:r>
      <w:r w:rsidRPr="008A055A">
        <w:t>R</w:t>
      </w:r>
      <w:proofErr w:type="spellEnd"/>
      <w:r w:rsidRPr="008A055A">
        <w:t>.</w:t>
      </w:r>
    </w:p>
    <w:p w:rsidR="008D4FF0" w:rsidRPr="008A055A" w:rsidRDefault="008D4FF0" w:rsidP="008D4FF0">
      <w:pPr>
        <w:suppressAutoHyphens/>
        <w:jc w:val="both"/>
        <w:rPr>
          <w:b/>
        </w:rPr>
      </w:pPr>
    </w:p>
    <w:p w:rsidR="008D4FF0" w:rsidRPr="008A055A" w:rsidRDefault="008D4FF0" w:rsidP="008D4FF0">
      <w:pPr>
        <w:suppressAutoHyphens/>
        <w:jc w:val="both"/>
      </w:pPr>
      <w:r w:rsidRPr="008A055A">
        <w:rPr>
          <w:b/>
        </w:rPr>
        <w:t>N.B. :</w:t>
      </w:r>
      <w:r w:rsidRPr="008A055A">
        <w:t xml:space="preserve"> En sus des </w:t>
      </w:r>
      <w:r w:rsidRPr="008A055A">
        <w:rPr>
          <w:rFonts w:eastAsia="Calibri"/>
        </w:rPr>
        <w:t>qualifications requises</w:t>
      </w:r>
      <w:r w:rsidRPr="008A055A">
        <w:t xml:space="preserve">, sont considérés comme : </w:t>
      </w:r>
    </w:p>
    <w:p w:rsidR="008D4FF0" w:rsidRPr="008A055A" w:rsidRDefault="008D4FF0" w:rsidP="008D4FF0">
      <w:pPr>
        <w:numPr>
          <w:ilvl w:val="0"/>
          <w:numId w:val="57"/>
        </w:numPr>
        <w:suppressAutoHyphens/>
        <w:jc w:val="both"/>
      </w:pPr>
      <w:r w:rsidRPr="008A055A">
        <w:t>une exigence : la disponibilité du consultant à exerce</w:t>
      </w:r>
      <w:r>
        <w:t>r pendant toute la durée de la m</w:t>
      </w:r>
      <w:r w:rsidRPr="008A055A">
        <w:t>ission ;</w:t>
      </w:r>
    </w:p>
    <w:p w:rsidR="008D4FF0" w:rsidRPr="008A055A" w:rsidRDefault="008D4FF0" w:rsidP="008D4FF0">
      <w:pPr>
        <w:numPr>
          <w:ilvl w:val="0"/>
          <w:numId w:val="57"/>
        </w:numPr>
        <w:suppressAutoHyphens/>
        <w:jc w:val="both"/>
      </w:pPr>
      <w:r w:rsidRPr="008A055A">
        <w:t xml:space="preserve">des atouts : </w:t>
      </w:r>
    </w:p>
    <w:p w:rsidR="008D4FF0" w:rsidRDefault="008D4FF0" w:rsidP="008D4FF0">
      <w:pPr>
        <w:numPr>
          <w:ilvl w:val="0"/>
          <w:numId w:val="56"/>
        </w:numPr>
        <w:suppressAutoHyphens/>
        <w:jc w:val="both"/>
        <w:rPr>
          <w:bCs/>
        </w:rPr>
      </w:pPr>
      <w:r w:rsidRPr="00037014">
        <w:rPr>
          <w:bCs/>
        </w:rPr>
        <w:t xml:space="preserve">Une </w:t>
      </w:r>
      <w:r w:rsidRPr="007830D9">
        <w:t>expérience</w:t>
      </w:r>
      <w:r w:rsidRPr="00037014">
        <w:rPr>
          <w:bCs/>
        </w:rPr>
        <w:t xml:space="preserve"> avec le Système des Nations Unies, en particulier le PNUD et le FEM et une bonne connaissance de leurs mandats.</w:t>
      </w:r>
    </w:p>
    <w:p w:rsidR="008D4FF0" w:rsidRPr="008A055A" w:rsidRDefault="008D4FF0" w:rsidP="008D4FF0">
      <w:pPr>
        <w:numPr>
          <w:ilvl w:val="0"/>
          <w:numId w:val="56"/>
        </w:numPr>
        <w:suppressAutoHyphens/>
        <w:jc w:val="both"/>
      </w:pPr>
      <w:r w:rsidRPr="008A055A">
        <w:t>la parfaite maîtrise du français et une bonne connaissance de l’anglais ;</w:t>
      </w:r>
    </w:p>
    <w:p w:rsidR="008D4FF0" w:rsidRPr="008A055A" w:rsidRDefault="008D4FF0" w:rsidP="008D4FF0">
      <w:pPr>
        <w:numPr>
          <w:ilvl w:val="0"/>
          <w:numId w:val="56"/>
        </w:numPr>
        <w:suppressAutoHyphens/>
        <w:jc w:val="both"/>
      </w:pPr>
      <w:r w:rsidRPr="008A055A">
        <w:t>la capacité à travailler sous pression et à assurer des déplacements sur le terrain dans un environnement multiculturel.</w:t>
      </w:r>
    </w:p>
    <w:p w:rsidR="00AA101B" w:rsidRPr="00222F15" w:rsidRDefault="00AA101B" w:rsidP="00473AAA">
      <w:pPr>
        <w:spacing w:after="120"/>
        <w:jc w:val="both"/>
        <w:rPr>
          <w:b/>
        </w:rPr>
      </w:pPr>
    </w:p>
    <w:p w:rsidR="004D4230" w:rsidRPr="004D4230" w:rsidRDefault="00CF0636" w:rsidP="004D4230">
      <w:pPr>
        <w:pStyle w:val="Paragraphedeliste"/>
        <w:numPr>
          <w:ilvl w:val="0"/>
          <w:numId w:val="40"/>
        </w:numPr>
        <w:spacing w:after="0" w:line="240" w:lineRule="auto"/>
        <w:jc w:val="both"/>
        <w:rPr>
          <w:rFonts w:ascii="Times New Roman" w:hAnsi="Times New Roman"/>
          <w:b/>
          <w:sz w:val="24"/>
          <w:szCs w:val="24"/>
        </w:rPr>
      </w:pPr>
      <w:r w:rsidRPr="004D4230">
        <w:rPr>
          <w:rFonts w:ascii="Times New Roman" w:eastAsia="Arial Unicode MS" w:hAnsi="Times New Roman"/>
          <w:sz w:val="24"/>
          <w:szCs w:val="24"/>
        </w:rPr>
        <w:t xml:space="preserve"> </w:t>
      </w:r>
      <w:r w:rsidR="004D4230" w:rsidRPr="004D4230">
        <w:rPr>
          <w:rFonts w:ascii="Times New Roman" w:hAnsi="Times New Roman"/>
          <w:b/>
          <w:sz w:val="24"/>
          <w:szCs w:val="24"/>
        </w:rPr>
        <w:t>ETHIQUE DE L’EVALUATION</w:t>
      </w:r>
    </w:p>
    <w:p w:rsidR="004D4230" w:rsidRPr="004D4230" w:rsidRDefault="004D4230" w:rsidP="004D4230">
      <w:pPr>
        <w:jc w:val="both"/>
      </w:pPr>
    </w:p>
    <w:p w:rsidR="004D4230" w:rsidRPr="004D4230" w:rsidRDefault="004D4230" w:rsidP="004D4230">
      <w:pPr>
        <w:autoSpaceDE w:val="0"/>
        <w:autoSpaceDN w:val="0"/>
        <w:adjustRightInd w:val="0"/>
        <w:jc w:val="both"/>
      </w:pPr>
      <w:r w:rsidRPr="004D4230">
        <w:rPr>
          <w:color w:val="272627"/>
        </w:rPr>
        <w:t>L’évaluation doit être conduite dans le respect et la protection des droits et du bien-être des populations et des communautés auxquelles elles appartiennent, conformément à la Déclaration Universelle des Droits de l’Homme des Nations Unies et autres conventions sur les droits de l’Homme. L’évaluation devra être conduite conformément aux principes contenus dans ‘</w:t>
      </w:r>
      <w:proofErr w:type="spellStart"/>
      <w:r w:rsidRPr="004D4230">
        <w:rPr>
          <w:color w:val="272627"/>
        </w:rPr>
        <w:t>Ethical</w:t>
      </w:r>
      <w:proofErr w:type="spellEnd"/>
      <w:r w:rsidRPr="004D4230">
        <w:rPr>
          <w:color w:val="272627"/>
        </w:rPr>
        <w:t xml:space="preserve"> guidelines for Evaluation » de l’UNEG</w:t>
      </w:r>
      <w:r w:rsidRPr="004D4230">
        <w:rPr>
          <w:rStyle w:val="Appelnotedebasdep"/>
          <w:color w:val="272627"/>
        </w:rPr>
        <w:footnoteReference w:id="1"/>
      </w:r>
    </w:p>
    <w:p w:rsidR="004D4230" w:rsidRPr="004D4230" w:rsidRDefault="004D4230" w:rsidP="004D4230">
      <w:pPr>
        <w:spacing w:line="276" w:lineRule="auto"/>
        <w:jc w:val="both"/>
      </w:pPr>
    </w:p>
    <w:p w:rsidR="004D4230" w:rsidRPr="004D4230" w:rsidRDefault="004D4230" w:rsidP="004D4230">
      <w:pPr>
        <w:pStyle w:val="Paragraphedeliste"/>
        <w:numPr>
          <w:ilvl w:val="0"/>
          <w:numId w:val="40"/>
        </w:numPr>
        <w:spacing w:after="0" w:line="240" w:lineRule="auto"/>
        <w:jc w:val="both"/>
        <w:rPr>
          <w:rFonts w:ascii="Times New Roman" w:hAnsi="Times New Roman"/>
          <w:b/>
          <w:sz w:val="24"/>
          <w:szCs w:val="24"/>
        </w:rPr>
      </w:pPr>
      <w:r w:rsidRPr="004D4230">
        <w:rPr>
          <w:rFonts w:ascii="Times New Roman" w:hAnsi="Times New Roman"/>
          <w:b/>
          <w:sz w:val="24"/>
          <w:szCs w:val="24"/>
        </w:rPr>
        <w:t>ARRANGEMENT DE GESTION</w:t>
      </w:r>
    </w:p>
    <w:p w:rsidR="004D4230" w:rsidRPr="004D4230" w:rsidRDefault="004D4230" w:rsidP="004D4230">
      <w:pPr>
        <w:jc w:val="both"/>
      </w:pPr>
    </w:p>
    <w:p w:rsidR="004D4230" w:rsidRPr="004D4230" w:rsidRDefault="004D4230" w:rsidP="004D4230">
      <w:pPr>
        <w:jc w:val="both"/>
      </w:pPr>
      <w:r w:rsidRPr="004D4230">
        <w:rPr>
          <w:b/>
        </w:rPr>
        <w:t>Le commanditaire de l’évaluation qui est le bureau pays du PNUD au Burkina Faso</w:t>
      </w:r>
      <w:r w:rsidRPr="004D4230">
        <w:t xml:space="preserve"> apportera les ressources humaines, matérielles et financières nécessaires pour accompagner le processus jusqu’à la fin. Le PNUD devra aussi s’assurer de la dissémination et de l’utilisation </w:t>
      </w:r>
      <w:r w:rsidRPr="004D4230">
        <w:lastRenderedPageBreak/>
        <w:t>des conclusions et des recommandations de l’évaluation afin de renforcer l’apprentissage avec les parties prenantes et l’amélioration des Programmes. Le processus d’évaluation sera piloté par le PNUD en concertation avec le SP/CONNED à travers un comité mix</w:t>
      </w:r>
      <w:r w:rsidR="009A78F4">
        <w:t>t</w:t>
      </w:r>
      <w:r w:rsidRPr="004D4230">
        <w:t>e de suivi.</w:t>
      </w:r>
    </w:p>
    <w:p w:rsidR="004D4230" w:rsidRPr="004D4230" w:rsidRDefault="004D4230" w:rsidP="004D4230">
      <w:pPr>
        <w:jc w:val="both"/>
      </w:pPr>
    </w:p>
    <w:p w:rsidR="004D4230" w:rsidRPr="004D4230" w:rsidRDefault="004D4230" w:rsidP="004D4230">
      <w:pPr>
        <w:jc w:val="both"/>
      </w:pPr>
      <w:r w:rsidRPr="004D4230">
        <w:rPr>
          <w:b/>
        </w:rPr>
        <w:t xml:space="preserve">Les Spécialistes Suivi Evaluation du bureau pays du PNUD Burkina </w:t>
      </w:r>
      <w:r w:rsidRPr="004D4230">
        <w:t>apporter</w:t>
      </w:r>
      <w:r w:rsidR="009A78F4">
        <w:t>a</w:t>
      </w:r>
      <w:r w:rsidRPr="004D4230">
        <w:t xml:space="preserve"> un appui conseil pour assurer un contrôle de qualité et la conformité du processus et du rapport d’évaluation.</w:t>
      </w:r>
    </w:p>
    <w:p w:rsidR="004D4230" w:rsidRPr="004D4230" w:rsidRDefault="004D4230" w:rsidP="004D4230">
      <w:pPr>
        <w:jc w:val="both"/>
      </w:pPr>
    </w:p>
    <w:p w:rsidR="004D4230" w:rsidRPr="004D4230" w:rsidRDefault="004D4230" w:rsidP="004D4230">
      <w:pPr>
        <w:pStyle w:val="Paragraphedeliste"/>
        <w:ind w:left="0"/>
        <w:jc w:val="both"/>
        <w:rPr>
          <w:rFonts w:ascii="Times New Roman" w:hAnsi="Times New Roman"/>
          <w:sz w:val="24"/>
          <w:szCs w:val="24"/>
        </w:rPr>
      </w:pPr>
      <w:r w:rsidRPr="004D4230">
        <w:rPr>
          <w:rFonts w:ascii="Times New Roman" w:hAnsi="Times New Roman"/>
          <w:b/>
          <w:sz w:val="24"/>
          <w:szCs w:val="24"/>
        </w:rPr>
        <w:t>Le Comité mixte de suivi</w:t>
      </w:r>
      <w:r w:rsidRPr="004D4230">
        <w:rPr>
          <w:rFonts w:ascii="Times New Roman" w:hAnsi="Times New Roman"/>
          <w:sz w:val="24"/>
          <w:szCs w:val="24"/>
        </w:rPr>
        <w:t xml:space="preserve"> aura pour rôle principal, le suivi du processus de l’évaluation finale du Programme CPP "</w:t>
      </w:r>
      <w:r w:rsidRPr="004D4230">
        <w:rPr>
          <w:rFonts w:ascii="Times New Roman" w:hAnsi="Times New Roman"/>
          <w:bCs/>
          <w:sz w:val="24"/>
          <w:szCs w:val="24"/>
        </w:rPr>
        <w:t xml:space="preserve">Boucle du </w:t>
      </w:r>
      <w:r w:rsidR="00634014">
        <w:rPr>
          <w:rFonts w:ascii="Times New Roman" w:hAnsi="Times New Roman"/>
          <w:bCs/>
          <w:sz w:val="24"/>
          <w:szCs w:val="24"/>
        </w:rPr>
        <w:t>M</w:t>
      </w:r>
      <w:r w:rsidRPr="004D4230">
        <w:rPr>
          <w:rFonts w:ascii="Times New Roman" w:hAnsi="Times New Roman"/>
          <w:bCs/>
          <w:sz w:val="24"/>
          <w:szCs w:val="24"/>
        </w:rPr>
        <w:t xml:space="preserve">ouhoun" </w:t>
      </w:r>
      <w:r w:rsidRPr="004D4230">
        <w:rPr>
          <w:rFonts w:ascii="Times New Roman" w:hAnsi="Times New Roman"/>
          <w:sz w:val="24"/>
          <w:szCs w:val="24"/>
        </w:rPr>
        <w:t xml:space="preserve">et la mise en œuvre des recommandations issues de l’évaluation, en passant par les réunions de préparation et de suivi de la mission d’évaluation. De façon spécifique, le Comité de suivi aura à : </w:t>
      </w:r>
    </w:p>
    <w:p w:rsidR="004D4230" w:rsidRPr="004D4230" w:rsidRDefault="004D4230" w:rsidP="004D4230">
      <w:pPr>
        <w:pStyle w:val="Paragraphedeliste"/>
        <w:numPr>
          <w:ilvl w:val="0"/>
          <w:numId w:val="47"/>
        </w:numPr>
        <w:jc w:val="both"/>
        <w:rPr>
          <w:rFonts w:ascii="Times New Roman" w:hAnsi="Times New Roman"/>
          <w:sz w:val="24"/>
          <w:szCs w:val="24"/>
        </w:rPr>
      </w:pPr>
      <w:r w:rsidRPr="004D4230">
        <w:rPr>
          <w:rFonts w:ascii="Times New Roman" w:hAnsi="Times New Roman"/>
          <w:sz w:val="24"/>
          <w:szCs w:val="24"/>
        </w:rPr>
        <w:t>Veiller à l’exécution harmonieuse de la Feuille de route du processus;</w:t>
      </w:r>
    </w:p>
    <w:p w:rsidR="004D4230" w:rsidRPr="004D4230" w:rsidRDefault="004D4230" w:rsidP="004D4230">
      <w:pPr>
        <w:pStyle w:val="Paragraphedeliste"/>
        <w:numPr>
          <w:ilvl w:val="0"/>
          <w:numId w:val="47"/>
        </w:numPr>
        <w:jc w:val="both"/>
        <w:rPr>
          <w:rFonts w:ascii="Times New Roman" w:hAnsi="Times New Roman"/>
          <w:sz w:val="24"/>
          <w:szCs w:val="24"/>
        </w:rPr>
      </w:pPr>
      <w:r w:rsidRPr="004D4230">
        <w:rPr>
          <w:rFonts w:ascii="Times New Roman" w:hAnsi="Times New Roman"/>
          <w:sz w:val="24"/>
          <w:szCs w:val="24"/>
        </w:rPr>
        <w:t>Identifier les besoins d’assistance de l’équipe d’évaluation et y apporter des réponses idoines ;</w:t>
      </w:r>
    </w:p>
    <w:p w:rsidR="004D4230" w:rsidRPr="004D4230" w:rsidRDefault="004D4230" w:rsidP="004D4230">
      <w:pPr>
        <w:pStyle w:val="Paragraphedeliste"/>
        <w:numPr>
          <w:ilvl w:val="0"/>
          <w:numId w:val="47"/>
        </w:numPr>
        <w:jc w:val="both"/>
        <w:rPr>
          <w:rFonts w:ascii="Times New Roman" w:hAnsi="Times New Roman"/>
          <w:sz w:val="24"/>
          <w:szCs w:val="24"/>
        </w:rPr>
      </w:pPr>
      <w:r w:rsidRPr="004D4230">
        <w:rPr>
          <w:rFonts w:ascii="Times New Roman" w:hAnsi="Times New Roman"/>
          <w:sz w:val="24"/>
          <w:szCs w:val="24"/>
        </w:rPr>
        <w:t>examiner, amender et valider tous les livrables de l’équipe d’évaluation ;</w:t>
      </w:r>
    </w:p>
    <w:p w:rsidR="004D4230" w:rsidRPr="004D4230" w:rsidRDefault="004D4230" w:rsidP="004D4230">
      <w:pPr>
        <w:pStyle w:val="Paragraphedeliste"/>
        <w:numPr>
          <w:ilvl w:val="0"/>
          <w:numId w:val="47"/>
        </w:numPr>
        <w:jc w:val="both"/>
        <w:rPr>
          <w:rFonts w:ascii="Times New Roman" w:hAnsi="Times New Roman"/>
          <w:sz w:val="24"/>
          <w:szCs w:val="24"/>
        </w:rPr>
      </w:pPr>
      <w:r w:rsidRPr="004D4230">
        <w:rPr>
          <w:rFonts w:ascii="Times New Roman" w:hAnsi="Times New Roman"/>
          <w:sz w:val="24"/>
          <w:szCs w:val="24"/>
        </w:rPr>
        <w:t xml:space="preserve">S’assurer de la qualité du </w:t>
      </w:r>
      <w:proofErr w:type="spellStart"/>
      <w:r w:rsidRPr="004D4230">
        <w:rPr>
          <w:rFonts w:ascii="Times New Roman" w:hAnsi="Times New Roman"/>
          <w:sz w:val="24"/>
          <w:szCs w:val="24"/>
        </w:rPr>
        <w:t>mapping</w:t>
      </w:r>
      <w:proofErr w:type="spellEnd"/>
      <w:r w:rsidRPr="004D4230">
        <w:rPr>
          <w:rFonts w:ascii="Times New Roman" w:hAnsi="Times New Roman"/>
          <w:sz w:val="24"/>
          <w:szCs w:val="24"/>
        </w:rPr>
        <w:t xml:space="preserve"> des acteurs intervenant dans le processus de manière à  garantir l’inclusion et la participation de tous ;</w:t>
      </w:r>
    </w:p>
    <w:p w:rsidR="004D4230" w:rsidRPr="004D4230" w:rsidRDefault="004D4230" w:rsidP="004D4230">
      <w:pPr>
        <w:pStyle w:val="Paragraphedeliste"/>
        <w:numPr>
          <w:ilvl w:val="0"/>
          <w:numId w:val="47"/>
        </w:numPr>
        <w:jc w:val="both"/>
        <w:rPr>
          <w:rFonts w:ascii="Times New Roman" w:hAnsi="Times New Roman"/>
          <w:sz w:val="24"/>
          <w:szCs w:val="24"/>
        </w:rPr>
      </w:pPr>
      <w:r w:rsidRPr="004D4230">
        <w:rPr>
          <w:rFonts w:ascii="Times New Roman" w:hAnsi="Times New Roman"/>
          <w:sz w:val="24"/>
          <w:szCs w:val="24"/>
        </w:rPr>
        <w:t>Veiller à la cohérence d’ensemble et la qualité du rapport final de l’évaluation.</w:t>
      </w:r>
    </w:p>
    <w:p w:rsidR="004D4230" w:rsidRPr="004D4230" w:rsidRDefault="004D4230" w:rsidP="004D4230">
      <w:pPr>
        <w:pStyle w:val="Paragraphedeliste"/>
        <w:ind w:left="0"/>
        <w:jc w:val="both"/>
        <w:rPr>
          <w:rFonts w:ascii="Times New Roman" w:hAnsi="Times New Roman"/>
          <w:sz w:val="24"/>
          <w:szCs w:val="24"/>
        </w:rPr>
      </w:pPr>
    </w:p>
    <w:p w:rsidR="004D4230" w:rsidRPr="004D4230" w:rsidRDefault="004D4230" w:rsidP="004D4230">
      <w:pPr>
        <w:pStyle w:val="Paragraphedeliste"/>
        <w:ind w:left="0"/>
        <w:jc w:val="both"/>
        <w:rPr>
          <w:rFonts w:ascii="Times New Roman" w:hAnsi="Times New Roman"/>
          <w:sz w:val="24"/>
          <w:szCs w:val="24"/>
        </w:rPr>
      </w:pPr>
      <w:r w:rsidRPr="004D4230">
        <w:rPr>
          <w:rFonts w:ascii="Times New Roman" w:hAnsi="Times New Roman"/>
          <w:b/>
          <w:sz w:val="24"/>
          <w:szCs w:val="24"/>
        </w:rPr>
        <w:t>L</w:t>
      </w:r>
      <w:r w:rsidR="00844550">
        <w:rPr>
          <w:rFonts w:ascii="Times New Roman" w:hAnsi="Times New Roman"/>
          <w:b/>
          <w:sz w:val="24"/>
          <w:szCs w:val="24"/>
        </w:rPr>
        <w:t xml:space="preserve">’équipe de </w:t>
      </w:r>
      <w:r w:rsidRPr="004D4230">
        <w:rPr>
          <w:rFonts w:ascii="Times New Roman" w:hAnsi="Times New Roman"/>
          <w:b/>
          <w:sz w:val="24"/>
          <w:szCs w:val="24"/>
        </w:rPr>
        <w:t>consultant</w:t>
      </w:r>
      <w:r w:rsidR="00844550">
        <w:rPr>
          <w:rFonts w:ascii="Times New Roman" w:hAnsi="Times New Roman"/>
          <w:b/>
          <w:sz w:val="24"/>
          <w:szCs w:val="24"/>
        </w:rPr>
        <w:t>s</w:t>
      </w:r>
      <w:r w:rsidRPr="004D4230">
        <w:rPr>
          <w:rFonts w:ascii="Times New Roman" w:hAnsi="Times New Roman"/>
          <w:b/>
          <w:sz w:val="24"/>
          <w:szCs w:val="24"/>
        </w:rPr>
        <w:t xml:space="preserve"> retenu</w:t>
      </w:r>
      <w:r w:rsidR="00844550">
        <w:rPr>
          <w:rFonts w:ascii="Times New Roman" w:hAnsi="Times New Roman"/>
          <w:b/>
          <w:sz w:val="24"/>
          <w:szCs w:val="24"/>
        </w:rPr>
        <w:t>s</w:t>
      </w:r>
      <w:r w:rsidRPr="004D4230">
        <w:rPr>
          <w:rFonts w:ascii="Times New Roman" w:hAnsi="Times New Roman"/>
          <w:sz w:val="24"/>
          <w:szCs w:val="24"/>
        </w:rPr>
        <w:t xml:space="preserve"> pour réaliser l'évaluation devra soumettre l’approche méthodologique, collecter et analyser les données, développer le projet de rapport, la présentation Power Point pour la restitution et le rapport final conformément aux termes de référence. L’équipe de consultants pourra s’adresser au </w:t>
      </w:r>
      <w:r w:rsidRPr="004D4230">
        <w:rPr>
          <w:rFonts w:ascii="Times New Roman" w:hAnsi="Times New Roman"/>
          <w:bCs/>
          <w:sz w:val="24"/>
          <w:szCs w:val="24"/>
        </w:rPr>
        <w:t xml:space="preserve">Chargé de Programme du CPP </w:t>
      </w:r>
      <w:r w:rsidRPr="004D4230">
        <w:rPr>
          <w:rFonts w:ascii="Times New Roman" w:hAnsi="Times New Roman"/>
          <w:sz w:val="24"/>
          <w:szCs w:val="24"/>
        </w:rPr>
        <w:t>pour tout appui sollicité pour la bonne conduite de la mission d’évaluation.</w:t>
      </w:r>
    </w:p>
    <w:p w:rsidR="004D4230" w:rsidRPr="004D4230" w:rsidRDefault="004D4230" w:rsidP="004D4230">
      <w:pPr>
        <w:pStyle w:val="Paragraphedeliste"/>
        <w:ind w:left="0"/>
        <w:jc w:val="both"/>
        <w:rPr>
          <w:rFonts w:ascii="Times New Roman" w:hAnsi="Times New Roman"/>
          <w:sz w:val="24"/>
          <w:szCs w:val="24"/>
        </w:rPr>
      </w:pPr>
    </w:p>
    <w:p w:rsidR="004D4230" w:rsidRPr="004D4230" w:rsidRDefault="00222F15" w:rsidP="004D4230">
      <w:pPr>
        <w:pStyle w:val="Paragraphedeliste"/>
        <w:numPr>
          <w:ilvl w:val="0"/>
          <w:numId w:val="40"/>
        </w:numPr>
        <w:spacing w:after="0" w:line="240" w:lineRule="auto"/>
        <w:jc w:val="both"/>
        <w:rPr>
          <w:rFonts w:ascii="Times New Roman" w:hAnsi="Times New Roman"/>
          <w:b/>
          <w:sz w:val="24"/>
          <w:szCs w:val="24"/>
        </w:rPr>
      </w:pPr>
      <w:r>
        <w:rPr>
          <w:rFonts w:ascii="Times New Roman" w:hAnsi="Times New Roman"/>
          <w:b/>
          <w:sz w:val="24"/>
          <w:szCs w:val="24"/>
        </w:rPr>
        <w:t xml:space="preserve"> </w:t>
      </w:r>
      <w:r w:rsidR="004D4230" w:rsidRPr="004D4230">
        <w:rPr>
          <w:rFonts w:ascii="Times New Roman" w:hAnsi="Times New Roman"/>
          <w:b/>
          <w:sz w:val="24"/>
          <w:szCs w:val="24"/>
        </w:rPr>
        <w:t xml:space="preserve">DUREE ET CALENDRIER DE LA MISSION D’EVALUATION </w:t>
      </w:r>
    </w:p>
    <w:p w:rsidR="004D4230" w:rsidRPr="004D4230" w:rsidRDefault="004D4230" w:rsidP="004D4230">
      <w:pPr>
        <w:spacing w:line="276" w:lineRule="auto"/>
        <w:jc w:val="both"/>
      </w:pPr>
    </w:p>
    <w:p w:rsidR="004D4230" w:rsidRPr="004D4230" w:rsidRDefault="004D4230" w:rsidP="004D4230">
      <w:pPr>
        <w:spacing w:line="276" w:lineRule="auto"/>
        <w:jc w:val="both"/>
      </w:pPr>
      <w:r w:rsidRPr="004D4230">
        <w:t xml:space="preserve">La durée d’exécution de l’évaluation est de </w:t>
      </w:r>
      <w:r w:rsidR="009A78F4">
        <w:t>vingt-cinq</w:t>
      </w:r>
      <w:r w:rsidR="00A43D8A">
        <w:t xml:space="preserve"> (25</w:t>
      </w:r>
      <w:r w:rsidRPr="004D4230">
        <w:t>) jours ouvrables à compter de la date de signature des contrats.</w:t>
      </w:r>
    </w:p>
    <w:p w:rsidR="004D4230" w:rsidRPr="004D4230" w:rsidRDefault="004D4230" w:rsidP="004D4230"/>
    <w:p w:rsidR="004D4230" w:rsidRPr="004D4230" w:rsidRDefault="00222F15" w:rsidP="004D4230">
      <w:pPr>
        <w:pStyle w:val="Paragraphedeliste"/>
        <w:numPr>
          <w:ilvl w:val="0"/>
          <w:numId w:val="40"/>
        </w:numPr>
        <w:spacing w:after="0" w:line="240" w:lineRule="auto"/>
        <w:jc w:val="both"/>
        <w:rPr>
          <w:rFonts w:ascii="Times New Roman" w:hAnsi="Times New Roman"/>
          <w:b/>
          <w:sz w:val="24"/>
          <w:szCs w:val="24"/>
        </w:rPr>
      </w:pPr>
      <w:r>
        <w:rPr>
          <w:rFonts w:ascii="Times New Roman" w:hAnsi="Times New Roman"/>
          <w:b/>
          <w:sz w:val="24"/>
          <w:szCs w:val="24"/>
        </w:rPr>
        <w:t xml:space="preserve"> </w:t>
      </w:r>
      <w:r w:rsidR="004D4230" w:rsidRPr="004D4230">
        <w:rPr>
          <w:rFonts w:ascii="Times New Roman" w:hAnsi="Times New Roman"/>
          <w:b/>
          <w:sz w:val="24"/>
          <w:szCs w:val="24"/>
        </w:rPr>
        <w:t>IMPUTATION DU COUT DE L’EVALUATION</w:t>
      </w:r>
    </w:p>
    <w:p w:rsidR="004D4230" w:rsidRPr="004D4230" w:rsidRDefault="004D4230" w:rsidP="004D4230">
      <w:pPr>
        <w:pStyle w:val="Paragraphedeliste"/>
        <w:spacing w:after="0" w:line="240" w:lineRule="auto"/>
        <w:jc w:val="both"/>
        <w:rPr>
          <w:rFonts w:ascii="Times New Roman" w:hAnsi="Times New Roman"/>
          <w:b/>
          <w:sz w:val="24"/>
          <w:szCs w:val="24"/>
        </w:rPr>
      </w:pPr>
    </w:p>
    <w:p w:rsidR="004D4230" w:rsidRPr="004D4230" w:rsidRDefault="004D4230" w:rsidP="004D4230">
      <w:pPr>
        <w:jc w:val="both"/>
        <w:rPr>
          <w:bCs/>
        </w:rPr>
      </w:pPr>
      <w:r w:rsidRPr="004D4230">
        <w:rPr>
          <w:bCs/>
        </w:rPr>
        <w:t>Le financement de la prestation est assuré par les ressources financières du Sous-programme Boucle du Mouhoun du Programme National de Partenariat pour la Gestion Durable des terres.</w:t>
      </w:r>
    </w:p>
    <w:p w:rsidR="004D4230" w:rsidRPr="004D4230" w:rsidRDefault="004D4230" w:rsidP="004D4230"/>
    <w:p w:rsidR="004D4230" w:rsidRPr="004D4230" w:rsidRDefault="00222F15" w:rsidP="004D4230">
      <w:pPr>
        <w:pStyle w:val="Paragraphedeliste"/>
        <w:numPr>
          <w:ilvl w:val="0"/>
          <w:numId w:val="40"/>
        </w:numPr>
        <w:spacing w:after="0" w:line="240" w:lineRule="auto"/>
        <w:jc w:val="both"/>
        <w:rPr>
          <w:rFonts w:ascii="Times New Roman" w:hAnsi="Times New Roman"/>
          <w:b/>
          <w:sz w:val="24"/>
          <w:szCs w:val="24"/>
        </w:rPr>
      </w:pPr>
      <w:r>
        <w:rPr>
          <w:rFonts w:ascii="Times New Roman" w:hAnsi="Times New Roman"/>
          <w:b/>
          <w:sz w:val="24"/>
          <w:szCs w:val="24"/>
        </w:rPr>
        <w:t xml:space="preserve"> </w:t>
      </w:r>
      <w:r w:rsidR="004D4230" w:rsidRPr="004D4230">
        <w:rPr>
          <w:rFonts w:ascii="Times New Roman" w:hAnsi="Times New Roman"/>
          <w:b/>
          <w:sz w:val="24"/>
          <w:szCs w:val="24"/>
        </w:rPr>
        <w:t>ANNEXES</w:t>
      </w:r>
    </w:p>
    <w:p w:rsidR="004D4230" w:rsidRPr="004D4230" w:rsidRDefault="004D4230" w:rsidP="004D4230"/>
    <w:p w:rsidR="00637FA4" w:rsidRDefault="00637FA4" w:rsidP="00637FA4">
      <w:pPr>
        <w:pStyle w:val="Paragraphedeliste"/>
        <w:spacing w:after="0" w:line="240" w:lineRule="auto"/>
        <w:rPr>
          <w:rFonts w:ascii="Times New Roman" w:hAnsi="Times New Roman"/>
          <w:b/>
          <w:sz w:val="24"/>
          <w:szCs w:val="24"/>
        </w:rPr>
      </w:pPr>
    </w:p>
    <w:p w:rsidR="00637FA4" w:rsidRPr="00CE7FDD" w:rsidRDefault="00637FA4" w:rsidP="00CE7FDD">
      <w:pPr>
        <w:pStyle w:val="Paragraphedeliste"/>
        <w:numPr>
          <w:ilvl w:val="0"/>
          <w:numId w:val="48"/>
        </w:numPr>
        <w:spacing w:after="0" w:line="240" w:lineRule="auto"/>
        <w:ind w:left="426" w:hanging="284"/>
        <w:rPr>
          <w:rFonts w:ascii="Times New Roman" w:hAnsi="Times New Roman"/>
          <w:b/>
          <w:sz w:val="24"/>
          <w:szCs w:val="24"/>
        </w:rPr>
      </w:pPr>
      <w:r w:rsidRPr="00CE7FDD">
        <w:rPr>
          <w:rFonts w:ascii="Times New Roman" w:hAnsi="Times New Roman"/>
          <w:b/>
          <w:sz w:val="24"/>
          <w:szCs w:val="24"/>
        </w:rPr>
        <w:t xml:space="preserve">Annexe 1: </w:t>
      </w:r>
      <w:r w:rsidR="00CE7FDD" w:rsidRPr="004D4230">
        <w:rPr>
          <w:rFonts w:ascii="Times New Roman" w:hAnsi="Times New Roman"/>
          <w:b/>
          <w:sz w:val="24"/>
          <w:szCs w:val="24"/>
        </w:rPr>
        <w:t xml:space="preserve">Canevas </w:t>
      </w:r>
      <w:r w:rsidRPr="00CE7FDD">
        <w:rPr>
          <w:rFonts w:ascii="Times New Roman" w:hAnsi="Times New Roman"/>
          <w:b/>
          <w:sz w:val="24"/>
          <w:szCs w:val="24"/>
        </w:rPr>
        <w:t xml:space="preserve">Modèle de rapport d’évaluation </w:t>
      </w:r>
    </w:p>
    <w:p w:rsidR="00CE7FDD" w:rsidRDefault="00CE7FDD" w:rsidP="00CE7FDD">
      <w:pPr>
        <w:tabs>
          <w:tab w:val="left" w:pos="426"/>
        </w:tabs>
        <w:ind w:left="720"/>
        <w:rPr>
          <w:b/>
          <w:bCs/>
        </w:rPr>
      </w:pP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Titre et pages de démarrage</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Nom de l’intervention d’évaluation</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Calendrier de l’évaluation et date du rapport</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 xml:space="preserve">Pays de l’intervention d’évaluation </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Noms des évaluateurs</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Nom de l’organisation initiant l’évaluation</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lastRenderedPageBreak/>
        <w:t xml:space="preserve">Remerciements </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 xml:space="preserve">Table des matières </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 xml:space="preserve">Inclure les encadrés, schémas, tableaux et annexes avec les références des pages. </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Liste des acronymes et abréviations</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 xml:space="preserve">Document de synthèse (une section indépendante de 3-4 pages </w:t>
      </w:r>
      <w:r w:rsidRPr="00397077">
        <w:rPr>
          <w:rFonts w:ascii="Times New Roman" w:hAnsi="Times New Roman"/>
          <w:color w:val="000000"/>
        </w:rPr>
        <w:t>y compris les principales conclusions et recommandations</w:t>
      </w:r>
      <w:r w:rsidRPr="00397077">
        <w:rPr>
          <w:rFonts w:ascii="Times New Roman" w:hAnsi="Times New Roman"/>
        </w:rPr>
        <w:t>)</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 xml:space="preserve">Introduction </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 xml:space="preserve">Description de I’ intervention </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Etendue de l’évaluation et objectifs</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 xml:space="preserve">Approche et méthodes d’évaluation </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Analyse des données</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 xml:space="preserve">Déductions et conclusions </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color w:val="000000"/>
        </w:rPr>
        <w:t>Résultats et conclusions globaux</w:t>
      </w:r>
      <w:r w:rsidRPr="00397077">
        <w:rPr>
          <w:rFonts w:ascii="Times New Roman" w:hAnsi="Times New Roman"/>
        </w:rPr>
        <w:t xml:space="preserve"> (y compris des réponses aux questions principales d’évaluation)</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color w:val="000000"/>
        </w:rPr>
        <w:t xml:space="preserve">Résultats et conclusions </w:t>
      </w:r>
      <w:r w:rsidRPr="00397077">
        <w:rPr>
          <w:rFonts w:ascii="Times New Roman" w:hAnsi="Times New Roman"/>
        </w:rPr>
        <w:t>par effet</w:t>
      </w:r>
    </w:p>
    <w:p w:rsidR="00637FA4" w:rsidRPr="00397077" w:rsidRDefault="00637FA4" w:rsidP="00637FA4">
      <w:pPr>
        <w:pStyle w:val="Paragraphedeliste"/>
        <w:numPr>
          <w:ilvl w:val="2"/>
          <w:numId w:val="52"/>
        </w:numPr>
        <w:spacing w:after="0" w:line="240" w:lineRule="auto"/>
        <w:rPr>
          <w:rFonts w:ascii="Times New Roman" w:hAnsi="Times New Roman"/>
        </w:rPr>
      </w:pPr>
      <w:r w:rsidRPr="00397077">
        <w:rPr>
          <w:rFonts w:ascii="Times New Roman" w:hAnsi="Times New Roman"/>
        </w:rPr>
        <w:t>Effet 1 (</w:t>
      </w:r>
      <w:r w:rsidRPr="00397077">
        <w:rPr>
          <w:rFonts w:ascii="Times New Roman" w:hAnsi="Times New Roman"/>
          <w:color w:val="000000"/>
        </w:rPr>
        <w:t>sous-section spécifique y compris sur le genre</w:t>
      </w:r>
      <w:r w:rsidRPr="00397077">
        <w:rPr>
          <w:rFonts w:ascii="Times New Roman" w:hAnsi="Times New Roman"/>
        </w:rPr>
        <w:t>)</w:t>
      </w:r>
    </w:p>
    <w:p w:rsidR="00637FA4" w:rsidRPr="00397077" w:rsidRDefault="00637FA4" w:rsidP="00637FA4">
      <w:pPr>
        <w:pStyle w:val="Paragraphedeliste"/>
        <w:numPr>
          <w:ilvl w:val="2"/>
          <w:numId w:val="52"/>
        </w:numPr>
        <w:spacing w:after="0" w:line="240" w:lineRule="auto"/>
        <w:rPr>
          <w:rFonts w:ascii="Times New Roman" w:hAnsi="Times New Roman"/>
        </w:rPr>
      </w:pPr>
      <w:r w:rsidRPr="00397077">
        <w:rPr>
          <w:rFonts w:ascii="Times New Roman" w:hAnsi="Times New Roman"/>
        </w:rPr>
        <w:t>Effet 2 (</w:t>
      </w:r>
      <w:r w:rsidRPr="00397077">
        <w:rPr>
          <w:rFonts w:ascii="Times New Roman" w:hAnsi="Times New Roman"/>
          <w:color w:val="000000"/>
        </w:rPr>
        <w:t>sous-section spécifique y compris sur le genre</w:t>
      </w:r>
      <w:r w:rsidRPr="00397077">
        <w:rPr>
          <w:rFonts w:ascii="Times New Roman" w:hAnsi="Times New Roman"/>
        </w:rPr>
        <w:t>)</w:t>
      </w:r>
    </w:p>
    <w:p w:rsidR="00637FA4" w:rsidRPr="00397077" w:rsidRDefault="00637FA4" w:rsidP="00637FA4">
      <w:pPr>
        <w:pStyle w:val="Paragraphedeliste"/>
        <w:numPr>
          <w:ilvl w:val="2"/>
          <w:numId w:val="52"/>
        </w:numPr>
        <w:spacing w:after="0" w:line="240" w:lineRule="auto"/>
        <w:rPr>
          <w:rFonts w:ascii="Times New Roman" w:hAnsi="Times New Roman"/>
        </w:rPr>
      </w:pPr>
      <w:r w:rsidRPr="00397077">
        <w:rPr>
          <w:rFonts w:ascii="Times New Roman" w:hAnsi="Times New Roman"/>
        </w:rPr>
        <w:t>Effet 3 (</w:t>
      </w:r>
      <w:r w:rsidRPr="00397077">
        <w:rPr>
          <w:rFonts w:ascii="Times New Roman" w:hAnsi="Times New Roman"/>
          <w:color w:val="000000"/>
        </w:rPr>
        <w:t>sous-section spécifique y compris sur le genre</w:t>
      </w:r>
      <w:r w:rsidRPr="00397077">
        <w:rPr>
          <w:rFonts w:ascii="Times New Roman" w:hAnsi="Times New Roman"/>
        </w:rPr>
        <w:t>)</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Conclusions globales</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 xml:space="preserve">Recommandations </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Recommandations globales (y compris les recommandations produites de répondre aux questions principales d’évaluation)</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 xml:space="preserve">Recommandations par effet </w:t>
      </w:r>
    </w:p>
    <w:p w:rsidR="00637FA4" w:rsidRPr="00397077" w:rsidRDefault="00637FA4" w:rsidP="00637FA4">
      <w:pPr>
        <w:pStyle w:val="Paragraphedeliste"/>
        <w:numPr>
          <w:ilvl w:val="2"/>
          <w:numId w:val="52"/>
        </w:numPr>
        <w:spacing w:after="0" w:line="240" w:lineRule="auto"/>
        <w:rPr>
          <w:rFonts w:ascii="Times New Roman" w:hAnsi="Times New Roman"/>
        </w:rPr>
      </w:pPr>
      <w:r w:rsidRPr="00397077">
        <w:rPr>
          <w:rFonts w:ascii="Times New Roman" w:hAnsi="Times New Roman"/>
        </w:rPr>
        <w:t>Effet 1 (</w:t>
      </w:r>
      <w:r w:rsidRPr="00397077">
        <w:rPr>
          <w:rFonts w:ascii="Times New Roman" w:hAnsi="Times New Roman"/>
          <w:color w:val="000000"/>
        </w:rPr>
        <w:t>sous-section spécifique y compris sur le genre</w:t>
      </w:r>
      <w:r w:rsidRPr="00397077">
        <w:rPr>
          <w:rFonts w:ascii="Times New Roman" w:hAnsi="Times New Roman"/>
        </w:rPr>
        <w:t>)</w:t>
      </w:r>
    </w:p>
    <w:p w:rsidR="00637FA4" w:rsidRPr="00397077" w:rsidRDefault="00637FA4" w:rsidP="00637FA4">
      <w:pPr>
        <w:pStyle w:val="Paragraphedeliste"/>
        <w:numPr>
          <w:ilvl w:val="2"/>
          <w:numId w:val="52"/>
        </w:numPr>
        <w:spacing w:after="0" w:line="240" w:lineRule="auto"/>
        <w:rPr>
          <w:rFonts w:ascii="Times New Roman" w:hAnsi="Times New Roman"/>
        </w:rPr>
      </w:pPr>
      <w:r w:rsidRPr="00397077">
        <w:rPr>
          <w:rFonts w:ascii="Times New Roman" w:hAnsi="Times New Roman"/>
        </w:rPr>
        <w:t>Effet 2 (</w:t>
      </w:r>
      <w:r w:rsidRPr="00397077">
        <w:rPr>
          <w:rFonts w:ascii="Times New Roman" w:hAnsi="Times New Roman"/>
          <w:color w:val="000000"/>
        </w:rPr>
        <w:t>sous-section spécifique y compris sur le genre</w:t>
      </w:r>
      <w:r w:rsidRPr="00397077">
        <w:rPr>
          <w:rFonts w:ascii="Times New Roman" w:hAnsi="Times New Roman"/>
        </w:rPr>
        <w:t>)</w:t>
      </w:r>
    </w:p>
    <w:p w:rsidR="00637FA4" w:rsidRPr="00397077" w:rsidRDefault="00637FA4" w:rsidP="00637FA4">
      <w:pPr>
        <w:pStyle w:val="Paragraphedeliste"/>
        <w:numPr>
          <w:ilvl w:val="2"/>
          <w:numId w:val="52"/>
        </w:numPr>
        <w:spacing w:after="0" w:line="240" w:lineRule="auto"/>
        <w:rPr>
          <w:rFonts w:ascii="Times New Roman" w:hAnsi="Times New Roman"/>
        </w:rPr>
      </w:pPr>
      <w:r w:rsidRPr="00397077">
        <w:rPr>
          <w:rFonts w:ascii="Times New Roman" w:hAnsi="Times New Roman"/>
        </w:rPr>
        <w:t>Effet 3 (</w:t>
      </w:r>
      <w:r w:rsidRPr="00397077">
        <w:rPr>
          <w:rFonts w:ascii="Times New Roman" w:hAnsi="Times New Roman"/>
          <w:color w:val="000000"/>
        </w:rPr>
        <w:t>sous-section spécifique y compris sur le genre</w:t>
      </w:r>
      <w:r w:rsidRPr="00397077">
        <w:rPr>
          <w:rFonts w:ascii="Times New Roman" w:hAnsi="Times New Roman"/>
        </w:rPr>
        <w:t>)</w:t>
      </w:r>
    </w:p>
    <w:p w:rsidR="00637FA4" w:rsidRPr="00397077" w:rsidRDefault="00637FA4" w:rsidP="00637FA4">
      <w:pPr>
        <w:pStyle w:val="Paragraphedeliste"/>
        <w:numPr>
          <w:ilvl w:val="1"/>
          <w:numId w:val="52"/>
        </w:numPr>
        <w:shd w:val="clear" w:color="auto" w:fill="FFFFFF"/>
        <w:spacing w:after="240" w:line="240" w:lineRule="auto"/>
        <w:jc w:val="both"/>
        <w:rPr>
          <w:rFonts w:ascii="Times New Roman" w:hAnsi="Times New Roman"/>
          <w:color w:val="000000"/>
        </w:rPr>
      </w:pPr>
      <w:r w:rsidRPr="00397077">
        <w:rPr>
          <w:rFonts w:ascii="Times New Roman" w:hAnsi="Times New Roman"/>
          <w:color w:val="000000"/>
        </w:rPr>
        <w:t xml:space="preserve">Les axes stratégiques d’orientation pour la période 2015-2017 notamment le secteur agro-pastoral, l’emploi et. </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 xml:space="preserve">Enseignement tirés </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 </w:t>
      </w:r>
      <w:r w:rsidRPr="00397077">
        <w:rPr>
          <w:rFonts w:ascii="Times New Roman" w:hAnsi="Times New Roman"/>
          <w:color w:val="000000"/>
        </w:rPr>
        <w:t>sous-section spécifique y compris sur le genre</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 xml:space="preserve">Annexes du rapport </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TDR pour l’évaluation</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Matrice de conception d’évaluation</w:t>
      </w:r>
    </w:p>
    <w:p w:rsidR="00856712" w:rsidRDefault="00637FA4" w:rsidP="00856712">
      <w:pPr>
        <w:pStyle w:val="Paragraphedeliste"/>
        <w:numPr>
          <w:ilvl w:val="1"/>
          <w:numId w:val="51"/>
        </w:numPr>
        <w:spacing w:after="0" w:line="240" w:lineRule="auto"/>
        <w:rPr>
          <w:rFonts w:ascii="Times New Roman" w:hAnsi="Times New Roman"/>
        </w:rPr>
      </w:pPr>
      <w:r w:rsidRPr="00397077">
        <w:rPr>
          <w:rFonts w:ascii="Times New Roman" w:hAnsi="Times New Roman"/>
        </w:rPr>
        <w:t>Liste des personnes ou groupes interviewés ou consultés et des sites visités</w:t>
      </w:r>
    </w:p>
    <w:p w:rsidR="00856712" w:rsidRDefault="00637FA4" w:rsidP="00856712">
      <w:pPr>
        <w:pStyle w:val="Paragraphedeliste"/>
        <w:numPr>
          <w:ilvl w:val="1"/>
          <w:numId w:val="51"/>
        </w:numPr>
        <w:spacing w:after="0" w:line="240" w:lineRule="auto"/>
        <w:rPr>
          <w:rFonts w:ascii="Times New Roman" w:hAnsi="Times New Roman"/>
        </w:rPr>
      </w:pPr>
      <w:r w:rsidRPr="00856712">
        <w:rPr>
          <w:rFonts w:ascii="Times New Roman" w:hAnsi="Times New Roman"/>
        </w:rPr>
        <w:t>Liste des documents d’aide révises</w:t>
      </w:r>
      <w:r w:rsidR="00856712" w:rsidRPr="00856712">
        <w:rPr>
          <w:rFonts w:ascii="Times New Roman" w:hAnsi="Times New Roman"/>
        </w:rPr>
        <w:t xml:space="preserve"> </w:t>
      </w:r>
    </w:p>
    <w:p w:rsidR="00856712" w:rsidRDefault="00637FA4" w:rsidP="00856712">
      <w:pPr>
        <w:pStyle w:val="Paragraphedeliste"/>
        <w:numPr>
          <w:ilvl w:val="1"/>
          <w:numId w:val="51"/>
        </w:numPr>
        <w:spacing w:after="0" w:line="240" w:lineRule="auto"/>
        <w:rPr>
          <w:rFonts w:ascii="Times New Roman" w:hAnsi="Times New Roman"/>
        </w:rPr>
      </w:pPr>
      <w:r w:rsidRPr="00856712">
        <w:rPr>
          <w:rFonts w:ascii="Times New Roman" w:hAnsi="Times New Roman"/>
        </w:rPr>
        <w:t xml:space="preserve">Cadre des résultats du programme </w:t>
      </w:r>
    </w:p>
    <w:p w:rsidR="00637FA4" w:rsidRPr="00856712" w:rsidRDefault="00637FA4" w:rsidP="00856712">
      <w:pPr>
        <w:pStyle w:val="Paragraphedeliste"/>
        <w:numPr>
          <w:ilvl w:val="1"/>
          <w:numId w:val="51"/>
        </w:numPr>
        <w:spacing w:after="0" w:line="240" w:lineRule="auto"/>
        <w:rPr>
          <w:rFonts w:ascii="Times New Roman" w:hAnsi="Times New Roman"/>
        </w:rPr>
      </w:pPr>
      <w:r w:rsidRPr="00856712">
        <w:rPr>
          <w:rFonts w:ascii="Times New Roman" w:hAnsi="Times New Roman"/>
        </w:rPr>
        <w:t>Tableaux de résumé des déductions</w:t>
      </w:r>
    </w:p>
    <w:p w:rsidR="004D4230" w:rsidRPr="00856712" w:rsidRDefault="004D4230" w:rsidP="004D4230"/>
    <w:p w:rsidR="004D4230" w:rsidRPr="004D4230" w:rsidRDefault="00CE7FDD" w:rsidP="00CE7FDD">
      <w:pPr>
        <w:pStyle w:val="Paragraphedeliste"/>
        <w:numPr>
          <w:ilvl w:val="0"/>
          <w:numId w:val="48"/>
        </w:numPr>
        <w:spacing w:after="0" w:line="240" w:lineRule="auto"/>
        <w:ind w:left="426" w:hanging="284"/>
        <w:rPr>
          <w:rFonts w:ascii="Times New Roman" w:hAnsi="Times New Roman"/>
          <w:b/>
          <w:sz w:val="24"/>
          <w:szCs w:val="24"/>
        </w:rPr>
      </w:pPr>
      <w:r w:rsidRPr="00CE7FDD">
        <w:rPr>
          <w:rFonts w:ascii="Times New Roman" w:hAnsi="Times New Roman"/>
          <w:b/>
          <w:sz w:val="24"/>
          <w:szCs w:val="24"/>
        </w:rPr>
        <w:t xml:space="preserve">Annexe 2 : </w:t>
      </w:r>
      <w:r w:rsidR="004D4230" w:rsidRPr="004D4230">
        <w:rPr>
          <w:rFonts w:ascii="Times New Roman" w:hAnsi="Times New Roman"/>
          <w:b/>
          <w:sz w:val="24"/>
          <w:szCs w:val="24"/>
        </w:rPr>
        <w:t>Documents utiles pour l’évaluation</w:t>
      </w:r>
    </w:p>
    <w:p w:rsidR="004D4230" w:rsidRPr="004D4230" w:rsidRDefault="004D4230" w:rsidP="004D4230">
      <w:pPr>
        <w:rPr>
          <w:b/>
        </w:rPr>
      </w:pPr>
    </w:p>
    <w:p w:rsidR="004D4230" w:rsidRPr="004D4230" w:rsidRDefault="004D4230" w:rsidP="004D4230">
      <w:r w:rsidRPr="004D4230">
        <w:t>Les consultants pourront exploiter plusieurs documents pour le besoin de l’évaluation. Les documents suivants en font partie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les documents de programme CPP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les rapports annuels de mise en œuvre des sous-Programmes CPP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 document de programme pays du PNUD (PCD)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 plan d’action du document pays (CPAP)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 rapport de revue à mi-parcours du CPAP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 document de l’UNDAF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les rapports de revue annuelle de l’UNDAF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 rapport d’évaluation à mi-parcours de l’UNDAF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 xml:space="preserve">les </w:t>
      </w:r>
      <w:proofErr w:type="spellStart"/>
      <w:r w:rsidRPr="004D4230">
        <w:rPr>
          <w:rFonts w:ascii="Times New Roman" w:hAnsi="Times New Roman"/>
          <w:sz w:val="24"/>
          <w:szCs w:val="24"/>
        </w:rPr>
        <w:t>ROARs</w:t>
      </w:r>
      <w:proofErr w:type="spellEnd"/>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 document de la SCADD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lastRenderedPageBreak/>
        <w:t>les rapports de revues annuelles de la SCADD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 rapport d’évaluation de l’impact de la SCADD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les rapports de suivi du CONEDD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w:t>
      </w:r>
      <w:r w:rsidR="009A78F4">
        <w:rPr>
          <w:rFonts w:ascii="Times New Roman" w:hAnsi="Times New Roman"/>
          <w:sz w:val="24"/>
          <w:szCs w:val="24"/>
        </w:rPr>
        <w:t>s</w:t>
      </w:r>
      <w:r w:rsidRPr="004D4230">
        <w:rPr>
          <w:rFonts w:ascii="Times New Roman" w:hAnsi="Times New Roman"/>
          <w:sz w:val="24"/>
          <w:szCs w:val="24"/>
        </w:rPr>
        <w:t xml:space="preserve"> rapport</w:t>
      </w:r>
      <w:r w:rsidR="009A78F4">
        <w:rPr>
          <w:rFonts w:ascii="Times New Roman" w:hAnsi="Times New Roman"/>
          <w:sz w:val="24"/>
          <w:szCs w:val="24"/>
        </w:rPr>
        <w:t>s d</w:t>
      </w:r>
      <w:r w:rsidRPr="004D4230">
        <w:rPr>
          <w:rFonts w:ascii="Times New Roman" w:hAnsi="Times New Roman"/>
          <w:sz w:val="24"/>
          <w:szCs w:val="24"/>
        </w:rPr>
        <w:t>’évaluation à mi-parcours du Programme CPP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Etc.</w:t>
      </w:r>
    </w:p>
    <w:p w:rsidR="004D4230" w:rsidRPr="004D4230" w:rsidRDefault="004D4230" w:rsidP="004D4230">
      <w:pPr>
        <w:jc w:val="both"/>
        <w:rPr>
          <w:bCs/>
        </w:rPr>
      </w:pPr>
    </w:p>
    <w:p w:rsidR="00654DAA" w:rsidRPr="004D4230" w:rsidRDefault="00654DAA" w:rsidP="00222F15">
      <w:pPr>
        <w:autoSpaceDE w:val="0"/>
        <w:autoSpaceDN w:val="0"/>
        <w:adjustRightInd w:val="0"/>
        <w:spacing w:line="276" w:lineRule="auto"/>
        <w:ind w:right="566"/>
        <w:jc w:val="both"/>
        <w:rPr>
          <w:bCs/>
          <w:iCs/>
          <w:u w:val="single"/>
        </w:rPr>
      </w:pPr>
    </w:p>
    <w:sectPr w:rsidR="00654DAA" w:rsidRPr="004D4230" w:rsidSect="00912D99">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9D" w:rsidRDefault="0065179D" w:rsidP="00857329">
      <w:r>
        <w:separator/>
      </w:r>
    </w:p>
  </w:endnote>
  <w:endnote w:type="continuationSeparator" w:id="0">
    <w:p w:rsidR="0065179D" w:rsidRDefault="0065179D" w:rsidP="0085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FE" w:rsidRDefault="00C32EF2">
    <w:pPr>
      <w:pStyle w:val="Pieddepage"/>
      <w:jc w:val="center"/>
    </w:pPr>
    <w:r>
      <w:fldChar w:fldCharType="begin"/>
    </w:r>
    <w:r>
      <w:instrText xml:space="preserve"> PAGE   \* MERGEFORMAT </w:instrText>
    </w:r>
    <w:r>
      <w:fldChar w:fldCharType="separate"/>
    </w:r>
    <w:r w:rsidR="00117332">
      <w:rPr>
        <w:noProof/>
      </w:rPr>
      <w:t>8</w:t>
    </w:r>
    <w:r>
      <w:rPr>
        <w:noProof/>
      </w:rPr>
      <w:fldChar w:fldCharType="end"/>
    </w:r>
  </w:p>
  <w:p w:rsidR="003B47FE" w:rsidRDefault="003B47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9D" w:rsidRDefault="0065179D" w:rsidP="00857329">
      <w:r>
        <w:separator/>
      </w:r>
    </w:p>
  </w:footnote>
  <w:footnote w:type="continuationSeparator" w:id="0">
    <w:p w:rsidR="0065179D" w:rsidRDefault="0065179D" w:rsidP="00857329">
      <w:r>
        <w:continuationSeparator/>
      </w:r>
    </w:p>
  </w:footnote>
  <w:footnote w:id="1">
    <w:p w:rsidR="004D4230" w:rsidRPr="004214BF" w:rsidRDefault="004D4230" w:rsidP="004D4230">
      <w:pPr>
        <w:pStyle w:val="Notedebasdepage"/>
        <w:rPr>
          <w:lang w:val="en-US"/>
        </w:rPr>
      </w:pPr>
      <w:r>
        <w:rPr>
          <w:rStyle w:val="Appelnotedebasdep"/>
        </w:rPr>
        <w:footnoteRef/>
      </w:r>
      <w:r w:rsidRPr="00732A30">
        <w:rPr>
          <w:lang w:val="en-US"/>
        </w:rPr>
        <w:t xml:space="preserve"> </w:t>
      </w:r>
      <w:r w:rsidRPr="00732A30">
        <w:rPr>
          <w:sz w:val="20"/>
          <w:lang w:val="en-US"/>
        </w:rPr>
        <w:t>UNEG, ‘Ethical Guidelines for Evaluation’, June 2008. Available at http://www.uneval.org/ search/</w:t>
      </w:r>
      <w:proofErr w:type="spellStart"/>
      <w:r w:rsidRPr="00732A30">
        <w:rPr>
          <w:sz w:val="20"/>
          <w:lang w:val="en-US"/>
        </w:rPr>
        <w:t>index.jsp?q</w:t>
      </w:r>
      <w:proofErr w:type="spellEnd"/>
      <w:r w:rsidRPr="00732A30">
        <w:rPr>
          <w:sz w:val="20"/>
          <w:lang w:val="en-US"/>
        </w:rPr>
        <w:t>=</w:t>
      </w:r>
      <w:proofErr w:type="spellStart"/>
      <w:r w:rsidRPr="00732A30">
        <w:rPr>
          <w:sz w:val="20"/>
          <w:lang w:val="en-US"/>
        </w:rPr>
        <w:t>ethical+guidelines</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1CC3"/>
    <w:multiLevelType w:val="hybridMultilevel"/>
    <w:tmpl w:val="30E2D6CC"/>
    <w:lvl w:ilvl="0" w:tplc="8F4CE656">
      <w:numFmt w:val="bullet"/>
      <w:lvlText w:val="-"/>
      <w:lvlJc w:val="left"/>
      <w:pPr>
        <w:ind w:left="360" w:hanging="360"/>
      </w:pPr>
      <w:rPr>
        <w:rFonts w:ascii="Bookman Old Style" w:eastAsia="Calibri" w:hAnsi="Bookman Old Style"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313DE0"/>
    <w:multiLevelType w:val="hybridMultilevel"/>
    <w:tmpl w:val="F3F0F696"/>
    <w:lvl w:ilvl="0" w:tplc="8F4CE656">
      <w:numFmt w:val="bullet"/>
      <w:lvlText w:val="-"/>
      <w:lvlJc w:val="left"/>
      <w:pPr>
        <w:ind w:left="360" w:hanging="360"/>
      </w:pPr>
      <w:rPr>
        <w:rFonts w:ascii="Bookman Old Style" w:eastAsia="Calibri" w:hAnsi="Bookman Old Style"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8793BBF"/>
    <w:multiLevelType w:val="hybridMultilevel"/>
    <w:tmpl w:val="72161044"/>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3" w15:restartNumberingAfterBreak="0">
    <w:nsid w:val="0AFD3D7D"/>
    <w:multiLevelType w:val="hybridMultilevel"/>
    <w:tmpl w:val="81EA6202"/>
    <w:lvl w:ilvl="0" w:tplc="185CEC8E">
      <w:start w:val="1"/>
      <w:numFmt w:val="upperRoman"/>
      <w:lvlText w:val="%1-"/>
      <w:lvlJc w:val="left"/>
      <w:pPr>
        <w:ind w:left="1080" w:hanging="720"/>
      </w:pPr>
      <w:rPr>
        <w:rFonts w:hint="default"/>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5F5AF7"/>
    <w:multiLevelType w:val="hybridMultilevel"/>
    <w:tmpl w:val="EEFCDCEC"/>
    <w:lvl w:ilvl="0" w:tplc="BDE4842A">
      <w:start w:val="1"/>
      <w:numFmt w:val="bullet"/>
      <w:lvlText w:val="-"/>
      <w:lvlJc w:val="left"/>
      <w:pPr>
        <w:ind w:left="720" w:hanging="360"/>
      </w:pPr>
      <w:rPr>
        <w:rFonts w:ascii="Times New Roman" w:eastAsia="Calibri" w:hAnsi="Times New Roman" w:cs="Times New Roman" w:hint="default"/>
        <w:w w:val="103"/>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A2375D"/>
    <w:multiLevelType w:val="multilevel"/>
    <w:tmpl w:val="8B2CB9E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6" w15:restartNumberingAfterBreak="0">
    <w:nsid w:val="0F6961CA"/>
    <w:multiLevelType w:val="hybridMultilevel"/>
    <w:tmpl w:val="A900F14C"/>
    <w:lvl w:ilvl="0" w:tplc="059EDAD2">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10A5284"/>
    <w:multiLevelType w:val="hybridMultilevel"/>
    <w:tmpl w:val="A1FE2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180936"/>
    <w:multiLevelType w:val="hybridMultilevel"/>
    <w:tmpl w:val="2C68D6E8"/>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9" w15:restartNumberingAfterBreak="0">
    <w:nsid w:val="1ACF1C6F"/>
    <w:multiLevelType w:val="hybridMultilevel"/>
    <w:tmpl w:val="21A06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F75499"/>
    <w:multiLevelType w:val="hybridMultilevel"/>
    <w:tmpl w:val="01487DB2"/>
    <w:lvl w:ilvl="0" w:tplc="040C000F">
      <w:start w:val="1"/>
      <w:numFmt w:val="decimal"/>
      <w:lvlText w:val="%1."/>
      <w:lvlJc w:val="left"/>
      <w:pPr>
        <w:ind w:left="720" w:hanging="360"/>
      </w:pPr>
      <w:rPr>
        <w:rFonts w:hint="default"/>
      </w:rPr>
    </w:lvl>
    <w:lvl w:ilvl="1" w:tplc="8B4A16E2">
      <w:start w:val="1"/>
      <w:numFmt w:val="upp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267829"/>
    <w:multiLevelType w:val="hybridMultilevel"/>
    <w:tmpl w:val="36082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86316B"/>
    <w:multiLevelType w:val="hybridMultilevel"/>
    <w:tmpl w:val="487AD27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FFE1DA2"/>
    <w:multiLevelType w:val="hybridMultilevel"/>
    <w:tmpl w:val="F22870C6"/>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2573"/>
        </w:tabs>
        <w:ind w:left="2573" w:hanging="360"/>
      </w:pPr>
      <w:rPr>
        <w:rFonts w:ascii="Courier New" w:hAnsi="Courier New" w:cs="Courier New" w:hint="default"/>
      </w:rPr>
    </w:lvl>
    <w:lvl w:ilvl="2" w:tplc="040C0005" w:tentative="1">
      <w:start w:val="1"/>
      <w:numFmt w:val="bullet"/>
      <w:lvlText w:val=""/>
      <w:lvlJc w:val="left"/>
      <w:pPr>
        <w:tabs>
          <w:tab w:val="num" w:pos="3293"/>
        </w:tabs>
        <w:ind w:left="3293" w:hanging="360"/>
      </w:pPr>
      <w:rPr>
        <w:rFonts w:ascii="Wingdings" w:hAnsi="Wingdings" w:hint="default"/>
      </w:rPr>
    </w:lvl>
    <w:lvl w:ilvl="3" w:tplc="040C0001" w:tentative="1">
      <w:start w:val="1"/>
      <w:numFmt w:val="bullet"/>
      <w:lvlText w:val=""/>
      <w:lvlJc w:val="left"/>
      <w:pPr>
        <w:tabs>
          <w:tab w:val="num" w:pos="4013"/>
        </w:tabs>
        <w:ind w:left="4013" w:hanging="360"/>
      </w:pPr>
      <w:rPr>
        <w:rFonts w:ascii="Symbol" w:hAnsi="Symbol" w:hint="default"/>
      </w:rPr>
    </w:lvl>
    <w:lvl w:ilvl="4" w:tplc="040C0003" w:tentative="1">
      <w:start w:val="1"/>
      <w:numFmt w:val="bullet"/>
      <w:lvlText w:val="o"/>
      <w:lvlJc w:val="left"/>
      <w:pPr>
        <w:tabs>
          <w:tab w:val="num" w:pos="4733"/>
        </w:tabs>
        <w:ind w:left="4733" w:hanging="360"/>
      </w:pPr>
      <w:rPr>
        <w:rFonts w:ascii="Courier New" w:hAnsi="Courier New" w:cs="Courier New" w:hint="default"/>
      </w:rPr>
    </w:lvl>
    <w:lvl w:ilvl="5" w:tplc="040C0005" w:tentative="1">
      <w:start w:val="1"/>
      <w:numFmt w:val="bullet"/>
      <w:lvlText w:val=""/>
      <w:lvlJc w:val="left"/>
      <w:pPr>
        <w:tabs>
          <w:tab w:val="num" w:pos="5453"/>
        </w:tabs>
        <w:ind w:left="5453" w:hanging="360"/>
      </w:pPr>
      <w:rPr>
        <w:rFonts w:ascii="Wingdings" w:hAnsi="Wingdings" w:hint="default"/>
      </w:rPr>
    </w:lvl>
    <w:lvl w:ilvl="6" w:tplc="040C0001" w:tentative="1">
      <w:start w:val="1"/>
      <w:numFmt w:val="bullet"/>
      <w:lvlText w:val=""/>
      <w:lvlJc w:val="left"/>
      <w:pPr>
        <w:tabs>
          <w:tab w:val="num" w:pos="6173"/>
        </w:tabs>
        <w:ind w:left="6173" w:hanging="360"/>
      </w:pPr>
      <w:rPr>
        <w:rFonts w:ascii="Symbol" w:hAnsi="Symbol" w:hint="default"/>
      </w:rPr>
    </w:lvl>
    <w:lvl w:ilvl="7" w:tplc="040C0003" w:tentative="1">
      <w:start w:val="1"/>
      <w:numFmt w:val="bullet"/>
      <w:lvlText w:val="o"/>
      <w:lvlJc w:val="left"/>
      <w:pPr>
        <w:tabs>
          <w:tab w:val="num" w:pos="6893"/>
        </w:tabs>
        <w:ind w:left="6893" w:hanging="360"/>
      </w:pPr>
      <w:rPr>
        <w:rFonts w:ascii="Courier New" w:hAnsi="Courier New" w:cs="Courier New" w:hint="default"/>
      </w:rPr>
    </w:lvl>
    <w:lvl w:ilvl="8" w:tplc="040C0005" w:tentative="1">
      <w:start w:val="1"/>
      <w:numFmt w:val="bullet"/>
      <w:lvlText w:val=""/>
      <w:lvlJc w:val="left"/>
      <w:pPr>
        <w:tabs>
          <w:tab w:val="num" w:pos="7613"/>
        </w:tabs>
        <w:ind w:left="7613" w:hanging="360"/>
      </w:pPr>
      <w:rPr>
        <w:rFonts w:ascii="Wingdings" w:hAnsi="Wingdings" w:hint="default"/>
      </w:rPr>
    </w:lvl>
  </w:abstractNum>
  <w:abstractNum w:abstractNumId="14" w15:restartNumberingAfterBreak="0">
    <w:nsid w:val="20C56170"/>
    <w:multiLevelType w:val="hybridMultilevel"/>
    <w:tmpl w:val="7D884954"/>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180"/>
      </w:pPr>
      <w:rPr>
        <w:rFonts w:ascii="Wingdings" w:hAnsi="Wingdings"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21EB7D7F"/>
    <w:multiLevelType w:val="hybridMultilevel"/>
    <w:tmpl w:val="4DE487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331984"/>
    <w:multiLevelType w:val="hybridMultilevel"/>
    <w:tmpl w:val="9228B18E"/>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7" w15:restartNumberingAfterBreak="0">
    <w:nsid w:val="27731D40"/>
    <w:multiLevelType w:val="hybridMultilevel"/>
    <w:tmpl w:val="91528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8D1028F"/>
    <w:multiLevelType w:val="hybridMultilevel"/>
    <w:tmpl w:val="808E6AF2"/>
    <w:lvl w:ilvl="0" w:tplc="31620874">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E815778"/>
    <w:multiLevelType w:val="hybridMultilevel"/>
    <w:tmpl w:val="28FCA56C"/>
    <w:lvl w:ilvl="0" w:tplc="9D0A05D6">
      <w:start w:val="1"/>
      <w:numFmt w:val="upperRoman"/>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0" w15:restartNumberingAfterBreak="0">
    <w:nsid w:val="30892455"/>
    <w:multiLevelType w:val="hybridMultilevel"/>
    <w:tmpl w:val="2D2C78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131652E"/>
    <w:multiLevelType w:val="hybridMultilevel"/>
    <w:tmpl w:val="404ACEA2"/>
    <w:lvl w:ilvl="0" w:tplc="08669C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21E599E"/>
    <w:multiLevelType w:val="hybridMultilevel"/>
    <w:tmpl w:val="0BFE57CC"/>
    <w:lvl w:ilvl="0" w:tplc="080C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3" w15:restartNumberingAfterBreak="0">
    <w:nsid w:val="336B411B"/>
    <w:multiLevelType w:val="hybridMultilevel"/>
    <w:tmpl w:val="F65CCC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62C6C62"/>
    <w:multiLevelType w:val="hybridMultilevel"/>
    <w:tmpl w:val="942A9C7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5" w15:restartNumberingAfterBreak="0">
    <w:nsid w:val="368A110C"/>
    <w:multiLevelType w:val="hybridMultilevel"/>
    <w:tmpl w:val="6D3C0C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2E7996"/>
    <w:multiLevelType w:val="hybridMultilevel"/>
    <w:tmpl w:val="9E4EC238"/>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7" w15:restartNumberingAfterBreak="0">
    <w:nsid w:val="3F4D24B0"/>
    <w:multiLevelType w:val="hybridMultilevel"/>
    <w:tmpl w:val="0A2C84BE"/>
    <w:lvl w:ilvl="0" w:tplc="AECE9CC8">
      <w:start w:val="14"/>
      <w:numFmt w:val="bullet"/>
      <w:lvlText w:val="-"/>
      <w:lvlJc w:val="left"/>
      <w:pPr>
        <w:ind w:left="1068" w:hanging="360"/>
      </w:pPr>
      <w:rPr>
        <w:rFonts w:ascii="Bookman Old Style" w:eastAsia="Times New Roman" w:hAnsi="Bookman Old Style"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3FD174E9"/>
    <w:multiLevelType w:val="hybridMultilevel"/>
    <w:tmpl w:val="D8723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19E10D6"/>
    <w:multiLevelType w:val="hybridMultilevel"/>
    <w:tmpl w:val="8F5E854E"/>
    <w:lvl w:ilvl="0" w:tplc="677C61AC">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4924992"/>
    <w:multiLevelType w:val="hybridMultilevel"/>
    <w:tmpl w:val="84264976"/>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1" w15:restartNumberingAfterBreak="0">
    <w:nsid w:val="48564C8E"/>
    <w:multiLevelType w:val="hybridMultilevel"/>
    <w:tmpl w:val="480C8086"/>
    <w:lvl w:ilvl="0" w:tplc="D29C2F5C">
      <w:start w:val="7"/>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95B636B"/>
    <w:multiLevelType w:val="hybridMultilevel"/>
    <w:tmpl w:val="8C143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9742155"/>
    <w:multiLevelType w:val="hybridMultilevel"/>
    <w:tmpl w:val="FD52F8A0"/>
    <w:lvl w:ilvl="0" w:tplc="040C000F">
      <w:start w:val="1"/>
      <w:numFmt w:val="decimal"/>
      <w:lvlText w:val="%1."/>
      <w:lvlJc w:val="left"/>
      <w:pPr>
        <w:ind w:left="786" w:hanging="360"/>
      </w:pPr>
      <w:rPr>
        <w:rFonts w:hint="default"/>
      </w:rPr>
    </w:lvl>
    <w:lvl w:ilvl="1" w:tplc="040C0003">
      <w:start w:val="1"/>
      <w:numFmt w:val="bullet"/>
      <w:lvlText w:val="o"/>
      <w:lvlJc w:val="left"/>
      <w:pPr>
        <w:tabs>
          <w:tab w:val="num" w:pos="720"/>
        </w:tabs>
        <w:ind w:left="72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9C5469F"/>
    <w:multiLevelType w:val="hybridMultilevel"/>
    <w:tmpl w:val="F65CCC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ADB70D9"/>
    <w:multiLevelType w:val="hybridMultilevel"/>
    <w:tmpl w:val="0DD05724"/>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50B5044C"/>
    <w:multiLevelType w:val="hybridMultilevel"/>
    <w:tmpl w:val="E59C33D2"/>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37" w15:restartNumberingAfterBreak="0">
    <w:nsid w:val="50C1401D"/>
    <w:multiLevelType w:val="hybridMultilevel"/>
    <w:tmpl w:val="B494158C"/>
    <w:lvl w:ilvl="0" w:tplc="040C0019">
      <w:start w:val="1"/>
      <w:numFmt w:val="lowerLetter"/>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8" w15:restartNumberingAfterBreak="0">
    <w:nsid w:val="51C95989"/>
    <w:multiLevelType w:val="hybridMultilevel"/>
    <w:tmpl w:val="33465412"/>
    <w:lvl w:ilvl="0" w:tplc="040C000F">
      <w:start w:val="1"/>
      <w:numFmt w:val="bullet"/>
      <w:lvlText w:val="-"/>
      <w:lvlJc w:val="left"/>
      <w:pPr>
        <w:ind w:left="360" w:hanging="360"/>
      </w:pPr>
      <w:rPr>
        <w:rFonts w:ascii="Times New Roman" w:eastAsia="Times New Roman" w:hAnsi="Times New Roman" w:cs="Times New Roman" w:hint="default"/>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531B7D37"/>
    <w:multiLevelType w:val="hybridMultilevel"/>
    <w:tmpl w:val="F0884882"/>
    <w:lvl w:ilvl="0" w:tplc="BDE4842A">
      <w:start w:val="1"/>
      <w:numFmt w:val="bullet"/>
      <w:lvlText w:val="-"/>
      <w:lvlJc w:val="left"/>
      <w:pPr>
        <w:ind w:left="1077" w:hanging="360"/>
      </w:pPr>
      <w:rPr>
        <w:rFonts w:ascii="Times New Roman" w:eastAsia="Calibri" w:hAnsi="Times New Roman" w:cs="Times New Roman" w:hint="default"/>
        <w:w w:val="103"/>
        <w:sz w:val="22"/>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0" w15:restartNumberingAfterBreak="0">
    <w:nsid w:val="56E14E65"/>
    <w:multiLevelType w:val="hybridMultilevel"/>
    <w:tmpl w:val="FA425B6C"/>
    <w:lvl w:ilvl="0" w:tplc="834C8880">
      <w:start w:val="3"/>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575761F8"/>
    <w:multiLevelType w:val="hybridMultilevel"/>
    <w:tmpl w:val="BC72F62C"/>
    <w:lvl w:ilvl="0" w:tplc="7F985F9C">
      <w:start w:val="1"/>
      <w:numFmt w:val="decimal"/>
      <w:lvlText w:val="%1."/>
      <w:lvlJc w:val="left"/>
      <w:pPr>
        <w:ind w:left="360" w:hanging="360"/>
      </w:pPr>
      <w:rPr>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59805E38"/>
    <w:multiLevelType w:val="hybridMultilevel"/>
    <w:tmpl w:val="90800E82"/>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5CB96588"/>
    <w:multiLevelType w:val="hybridMultilevel"/>
    <w:tmpl w:val="89F2B2BA"/>
    <w:lvl w:ilvl="0" w:tplc="86FA8BE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F91785C"/>
    <w:multiLevelType w:val="hybridMultilevel"/>
    <w:tmpl w:val="28FCA56C"/>
    <w:lvl w:ilvl="0" w:tplc="9D0A05D6">
      <w:start w:val="1"/>
      <w:numFmt w:val="upperRoman"/>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5" w15:restartNumberingAfterBreak="0">
    <w:nsid w:val="60015DA4"/>
    <w:multiLevelType w:val="multilevel"/>
    <w:tmpl w:val="34F8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10F5039"/>
    <w:multiLevelType w:val="hybridMultilevel"/>
    <w:tmpl w:val="BE264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23F4D52"/>
    <w:multiLevelType w:val="hybridMultilevel"/>
    <w:tmpl w:val="FB569A82"/>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8" w15:restartNumberingAfterBreak="0">
    <w:nsid w:val="626B75A0"/>
    <w:multiLevelType w:val="hybridMultilevel"/>
    <w:tmpl w:val="A544BD6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632A0558"/>
    <w:multiLevelType w:val="hybridMultilevel"/>
    <w:tmpl w:val="4C9416DE"/>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3CA079B"/>
    <w:multiLevelType w:val="hybridMultilevel"/>
    <w:tmpl w:val="2B524C76"/>
    <w:lvl w:ilvl="0" w:tplc="20D055C2">
      <w:start w:val="1"/>
      <w:numFmt w:val="bullet"/>
      <w:lvlText w:val=""/>
      <w:lvlJc w:val="left"/>
      <w:pPr>
        <w:ind w:left="1069" w:hanging="360"/>
      </w:pPr>
      <w:rPr>
        <w:rFonts w:ascii="Symbol" w:hAnsi="Symbol" w:hint="default"/>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51" w15:restartNumberingAfterBreak="0">
    <w:nsid w:val="6C4159D7"/>
    <w:multiLevelType w:val="hybridMultilevel"/>
    <w:tmpl w:val="F0186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37363F7"/>
    <w:multiLevelType w:val="hybridMultilevel"/>
    <w:tmpl w:val="8250D9C4"/>
    <w:lvl w:ilvl="0" w:tplc="3490EFCE">
      <w:start w:val="3"/>
      <w:numFmt w:val="bullet"/>
      <w:lvlText w:val="-"/>
      <w:lvlJc w:val="left"/>
      <w:pPr>
        <w:tabs>
          <w:tab w:val="num" w:pos="360"/>
        </w:tabs>
        <w:ind w:left="360" w:hanging="360"/>
      </w:pPr>
      <w:rPr>
        <w:rFonts w:hint="default"/>
      </w:rPr>
    </w:lvl>
    <w:lvl w:ilvl="1" w:tplc="ADC83D36">
      <w:start w:val="1"/>
      <w:numFmt w:val="bullet"/>
      <w:lvlText w:val="-"/>
      <w:lvlJc w:val="left"/>
      <w:pPr>
        <w:tabs>
          <w:tab w:val="num" w:pos="1080"/>
        </w:tabs>
        <w:ind w:left="1080" w:hanging="360"/>
      </w:pPr>
      <w:rPr>
        <w:rFonts w:ascii="Times New Roman" w:eastAsia="Times New Roman" w:hAnsi="Times New Roman" w:cs="Times New Roman" w:hint="default"/>
      </w:rPr>
    </w:lvl>
    <w:lvl w:ilvl="2" w:tplc="181096D2">
      <w:numFmt w:val="bullet"/>
      <w:lvlText w:val="-"/>
      <w:lvlJc w:val="left"/>
      <w:pPr>
        <w:tabs>
          <w:tab w:val="num" w:pos="2100"/>
        </w:tabs>
        <w:ind w:left="2100" w:hanging="480"/>
      </w:pPr>
      <w:rPr>
        <w:rFonts w:ascii="Times New Roman" w:eastAsia="Times New Roman" w:hAnsi="Times New Roman" w:cs="Times New Roman" w:hint="default"/>
      </w:r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3" w15:restartNumberingAfterBreak="0">
    <w:nsid w:val="73DC0C43"/>
    <w:multiLevelType w:val="hybridMultilevel"/>
    <w:tmpl w:val="57D8741E"/>
    <w:lvl w:ilvl="0" w:tplc="4B22CBB6">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4" w15:restartNumberingAfterBreak="0">
    <w:nsid w:val="74F651FF"/>
    <w:multiLevelType w:val="hybridMultilevel"/>
    <w:tmpl w:val="D66A3534"/>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55" w15:restartNumberingAfterBreak="0">
    <w:nsid w:val="75AA5B9C"/>
    <w:multiLevelType w:val="hybridMultilevel"/>
    <w:tmpl w:val="8694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094C80"/>
    <w:multiLevelType w:val="hybridMultilevel"/>
    <w:tmpl w:val="A754C4A4"/>
    <w:lvl w:ilvl="0" w:tplc="4C220B80">
      <w:start w:val="18"/>
      <w:numFmt w:val="bullet"/>
      <w:lvlText w:val="•"/>
      <w:lvlJc w:val="left"/>
      <w:pPr>
        <w:ind w:left="1069" w:hanging="360"/>
      </w:pPr>
      <w:rPr>
        <w:rFonts w:ascii="Times New Roman" w:eastAsia="Calibr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7" w15:restartNumberingAfterBreak="0">
    <w:nsid w:val="783975B6"/>
    <w:multiLevelType w:val="multilevel"/>
    <w:tmpl w:val="36B64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9" w15:restartNumberingAfterBreak="0">
    <w:nsid w:val="7CA93D40"/>
    <w:multiLevelType w:val="hybridMultilevel"/>
    <w:tmpl w:val="B3C89C1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0" w15:restartNumberingAfterBreak="0">
    <w:nsid w:val="7DE8136F"/>
    <w:multiLevelType w:val="hybridMultilevel"/>
    <w:tmpl w:val="917EF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4"/>
  </w:num>
  <w:num w:numId="2">
    <w:abstractNumId w:val="53"/>
  </w:num>
  <w:num w:numId="3">
    <w:abstractNumId w:val="40"/>
  </w:num>
  <w:num w:numId="4">
    <w:abstractNumId w:val="21"/>
  </w:num>
  <w:num w:numId="5">
    <w:abstractNumId w:val="9"/>
  </w:num>
  <w:num w:numId="6">
    <w:abstractNumId w:val="28"/>
  </w:num>
  <w:num w:numId="7">
    <w:abstractNumId w:val="13"/>
  </w:num>
  <w:num w:numId="8">
    <w:abstractNumId w:val="33"/>
  </w:num>
  <w:num w:numId="9">
    <w:abstractNumId w:val="0"/>
  </w:num>
  <w:num w:numId="10">
    <w:abstractNumId w:val="30"/>
  </w:num>
  <w:num w:numId="11">
    <w:abstractNumId w:val="1"/>
  </w:num>
  <w:num w:numId="12">
    <w:abstractNumId w:val="49"/>
  </w:num>
  <w:num w:numId="13">
    <w:abstractNumId w:val="42"/>
  </w:num>
  <w:num w:numId="14">
    <w:abstractNumId w:val="37"/>
  </w:num>
  <w:num w:numId="15">
    <w:abstractNumId w:val="56"/>
  </w:num>
  <w:num w:numId="16">
    <w:abstractNumId w:val="47"/>
  </w:num>
  <w:num w:numId="17">
    <w:abstractNumId w:val="52"/>
  </w:num>
  <w:num w:numId="18">
    <w:abstractNumId w:val="35"/>
  </w:num>
  <w:num w:numId="19">
    <w:abstractNumId w:val="22"/>
  </w:num>
  <w:num w:numId="20">
    <w:abstractNumId w:val="50"/>
  </w:num>
  <w:num w:numId="21">
    <w:abstractNumId w:val="26"/>
  </w:num>
  <w:num w:numId="22">
    <w:abstractNumId w:val="8"/>
  </w:num>
  <w:num w:numId="23">
    <w:abstractNumId w:val="36"/>
  </w:num>
  <w:num w:numId="24">
    <w:abstractNumId w:val="2"/>
  </w:num>
  <w:num w:numId="25">
    <w:abstractNumId w:val="16"/>
  </w:num>
  <w:num w:numId="26">
    <w:abstractNumId w:val="48"/>
  </w:num>
  <w:num w:numId="27">
    <w:abstractNumId w:val="5"/>
  </w:num>
  <w:num w:numId="28">
    <w:abstractNumId w:val="29"/>
  </w:num>
  <w:num w:numId="29">
    <w:abstractNumId w:val="12"/>
  </w:num>
  <w:num w:numId="30">
    <w:abstractNumId w:val="51"/>
  </w:num>
  <w:num w:numId="31">
    <w:abstractNumId w:val="3"/>
  </w:num>
  <w:num w:numId="32">
    <w:abstractNumId w:val="44"/>
  </w:num>
  <w:num w:numId="33">
    <w:abstractNumId w:val="46"/>
  </w:num>
  <w:num w:numId="34">
    <w:abstractNumId w:val="19"/>
  </w:num>
  <w:num w:numId="35">
    <w:abstractNumId w:val="59"/>
  </w:num>
  <w:num w:numId="36">
    <w:abstractNumId w:val="45"/>
  </w:num>
  <w:num w:numId="37">
    <w:abstractNumId w:val="57"/>
  </w:num>
  <w:num w:numId="38">
    <w:abstractNumId w:val="31"/>
  </w:num>
  <w:num w:numId="39">
    <w:abstractNumId w:val="43"/>
  </w:num>
  <w:num w:numId="40">
    <w:abstractNumId w:val="23"/>
  </w:num>
  <w:num w:numId="41">
    <w:abstractNumId w:val="34"/>
  </w:num>
  <w:num w:numId="42">
    <w:abstractNumId w:val="38"/>
  </w:num>
  <w:num w:numId="43">
    <w:abstractNumId w:val="39"/>
  </w:num>
  <w:num w:numId="44">
    <w:abstractNumId w:val="11"/>
  </w:num>
  <w:num w:numId="45">
    <w:abstractNumId w:val="55"/>
  </w:num>
  <w:num w:numId="46">
    <w:abstractNumId w:val="4"/>
  </w:num>
  <w:num w:numId="47">
    <w:abstractNumId w:val="32"/>
  </w:num>
  <w:num w:numId="48">
    <w:abstractNumId w:val="17"/>
  </w:num>
  <w:num w:numId="49">
    <w:abstractNumId w:val="24"/>
  </w:num>
  <w:num w:numId="50">
    <w:abstractNumId w:val="20"/>
  </w:num>
  <w:num w:numId="51">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60"/>
  </w:num>
  <w:num w:numId="55">
    <w:abstractNumId w:val="18"/>
  </w:num>
  <w:num w:numId="56">
    <w:abstractNumId w:val="27"/>
  </w:num>
  <w:num w:numId="57">
    <w:abstractNumId w:val="7"/>
  </w:num>
  <w:num w:numId="58">
    <w:abstractNumId w:val="41"/>
  </w:num>
  <w:num w:numId="59">
    <w:abstractNumId w:val="6"/>
  </w:num>
  <w:num w:numId="60">
    <w:abstractNumId w:val="10"/>
  </w:num>
  <w:num w:numId="61">
    <w:abstractNumId w:val="25"/>
  </w:num>
  <w:num w:numId="62">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D6"/>
    <w:rsid w:val="00000EC4"/>
    <w:rsid w:val="00002E55"/>
    <w:rsid w:val="000063AE"/>
    <w:rsid w:val="00006B42"/>
    <w:rsid w:val="000077F7"/>
    <w:rsid w:val="000336D1"/>
    <w:rsid w:val="00035F75"/>
    <w:rsid w:val="00036C84"/>
    <w:rsid w:val="0004274C"/>
    <w:rsid w:val="00053EDE"/>
    <w:rsid w:val="00057458"/>
    <w:rsid w:val="00070289"/>
    <w:rsid w:val="00072C3D"/>
    <w:rsid w:val="0007665D"/>
    <w:rsid w:val="00076A43"/>
    <w:rsid w:val="000A3A59"/>
    <w:rsid w:val="000A3FDC"/>
    <w:rsid w:val="000B06DD"/>
    <w:rsid w:val="000D5CB1"/>
    <w:rsid w:val="000E3F14"/>
    <w:rsid w:val="000E79D9"/>
    <w:rsid w:val="000F4611"/>
    <w:rsid w:val="000F562E"/>
    <w:rsid w:val="00100930"/>
    <w:rsid w:val="0010169D"/>
    <w:rsid w:val="0010734D"/>
    <w:rsid w:val="00117332"/>
    <w:rsid w:val="00130AAF"/>
    <w:rsid w:val="0013560A"/>
    <w:rsid w:val="0013622D"/>
    <w:rsid w:val="00142B06"/>
    <w:rsid w:val="00146F2A"/>
    <w:rsid w:val="00147BA2"/>
    <w:rsid w:val="00151B41"/>
    <w:rsid w:val="001525F7"/>
    <w:rsid w:val="00153F20"/>
    <w:rsid w:val="00160A3C"/>
    <w:rsid w:val="00161567"/>
    <w:rsid w:val="001712F4"/>
    <w:rsid w:val="00184FE9"/>
    <w:rsid w:val="00186B39"/>
    <w:rsid w:val="00192571"/>
    <w:rsid w:val="0019637E"/>
    <w:rsid w:val="0019657E"/>
    <w:rsid w:val="001A0D2E"/>
    <w:rsid w:val="001B0282"/>
    <w:rsid w:val="001B0DCD"/>
    <w:rsid w:val="001C32DC"/>
    <w:rsid w:val="001C7D52"/>
    <w:rsid w:val="001F16AE"/>
    <w:rsid w:val="001F7710"/>
    <w:rsid w:val="001F7ABE"/>
    <w:rsid w:val="00221223"/>
    <w:rsid w:val="00222F15"/>
    <w:rsid w:val="002236AA"/>
    <w:rsid w:val="002261A8"/>
    <w:rsid w:val="00227D61"/>
    <w:rsid w:val="002626F3"/>
    <w:rsid w:val="00263923"/>
    <w:rsid w:val="002725EF"/>
    <w:rsid w:val="002729D7"/>
    <w:rsid w:val="00275CBE"/>
    <w:rsid w:val="002A2CDC"/>
    <w:rsid w:val="002A4070"/>
    <w:rsid w:val="002A4E07"/>
    <w:rsid w:val="002B4AD3"/>
    <w:rsid w:val="002C3DB5"/>
    <w:rsid w:val="002D7579"/>
    <w:rsid w:val="0030081C"/>
    <w:rsid w:val="003135C2"/>
    <w:rsid w:val="0033486F"/>
    <w:rsid w:val="00335D3A"/>
    <w:rsid w:val="00344979"/>
    <w:rsid w:val="00345276"/>
    <w:rsid w:val="003529AF"/>
    <w:rsid w:val="0035382B"/>
    <w:rsid w:val="003604DF"/>
    <w:rsid w:val="003677D7"/>
    <w:rsid w:val="0038363F"/>
    <w:rsid w:val="00383BB9"/>
    <w:rsid w:val="0038400B"/>
    <w:rsid w:val="00391C30"/>
    <w:rsid w:val="00396F14"/>
    <w:rsid w:val="00397077"/>
    <w:rsid w:val="003A134F"/>
    <w:rsid w:val="003B47FE"/>
    <w:rsid w:val="003C3429"/>
    <w:rsid w:val="003C378A"/>
    <w:rsid w:val="003C6C95"/>
    <w:rsid w:val="003D7B92"/>
    <w:rsid w:val="003E04DB"/>
    <w:rsid w:val="003E0A4F"/>
    <w:rsid w:val="003F0C69"/>
    <w:rsid w:val="003F437D"/>
    <w:rsid w:val="00412049"/>
    <w:rsid w:val="00412367"/>
    <w:rsid w:val="004145BF"/>
    <w:rsid w:val="00432556"/>
    <w:rsid w:val="00434339"/>
    <w:rsid w:val="00434A7F"/>
    <w:rsid w:val="00445590"/>
    <w:rsid w:val="00453548"/>
    <w:rsid w:val="00453C5A"/>
    <w:rsid w:val="00471803"/>
    <w:rsid w:val="0047299F"/>
    <w:rsid w:val="00473AAA"/>
    <w:rsid w:val="00481336"/>
    <w:rsid w:val="0048188B"/>
    <w:rsid w:val="0049012E"/>
    <w:rsid w:val="004A4CBA"/>
    <w:rsid w:val="004A4E8A"/>
    <w:rsid w:val="004B1521"/>
    <w:rsid w:val="004B4184"/>
    <w:rsid w:val="004D3126"/>
    <w:rsid w:val="004D4230"/>
    <w:rsid w:val="004E15CA"/>
    <w:rsid w:val="004E44B2"/>
    <w:rsid w:val="004F01AE"/>
    <w:rsid w:val="004F64F1"/>
    <w:rsid w:val="00500645"/>
    <w:rsid w:val="0050320D"/>
    <w:rsid w:val="00503F2C"/>
    <w:rsid w:val="00505E4D"/>
    <w:rsid w:val="00506A8E"/>
    <w:rsid w:val="0051285A"/>
    <w:rsid w:val="00537321"/>
    <w:rsid w:val="0054578B"/>
    <w:rsid w:val="0055687A"/>
    <w:rsid w:val="00567E91"/>
    <w:rsid w:val="005740C6"/>
    <w:rsid w:val="00580C8B"/>
    <w:rsid w:val="00581089"/>
    <w:rsid w:val="00585A10"/>
    <w:rsid w:val="005967D4"/>
    <w:rsid w:val="005A4A1F"/>
    <w:rsid w:val="005C1961"/>
    <w:rsid w:val="005C5D99"/>
    <w:rsid w:val="005D5A22"/>
    <w:rsid w:val="005D77B9"/>
    <w:rsid w:val="005E09AA"/>
    <w:rsid w:val="005F0DD7"/>
    <w:rsid w:val="005F548C"/>
    <w:rsid w:val="0060032D"/>
    <w:rsid w:val="00627330"/>
    <w:rsid w:val="00634014"/>
    <w:rsid w:val="00637FA4"/>
    <w:rsid w:val="006405D1"/>
    <w:rsid w:val="00645A8B"/>
    <w:rsid w:val="0065179D"/>
    <w:rsid w:val="00654DAA"/>
    <w:rsid w:val="006559DC"/>
    <w:rsid w:val="006646B0"/>
    <w:rsid w:val="006669C3"/>
    <w:rsid w:val="006675B7"/>
    <w:rsid w:val="00667D38"/>
    <w:rsid w:val="00686E1E"/>
    <w:rsid w:val="00691726"/>
    <w:rsid w:val="00695D2D"/>
    <w:rsid w:val="006A3C7C"/>
    <w:rsid w:val="006A5B6F"/>
    <w:rsid w:val="006A7EE4"/>
    <w:rsid w:val="006B475C"/>
    <w:rsid w:val="006C5A89"/>
    <w:rsid w:val="006C7265"/>
    <w:rsid w:val="006D17D5"/>
    <w:rsid w:val="006D2F3A"/>
    <w:rsid w:val="006D50C9"/>
    <w:rsid w:val="006D7182"/>
    <w:rsid w:val="006E3ED5"/>
    <w:rsid w:val="006E568F"/>
    <w:rsid w:val="006E5909"/>
    <w:rsid w:val="006F31A6"/>
    <w:rsid w:val="006F7C09"/>
    <w:rsid w:val="0070101C"/>
    <w:rsid w:val="0070233A"/>
    <w:rsid w:val="007329F8"/>
    <w:rsid w:val="007342F0"/>
    <w:rsid w:val="0074484D"/>
    <w:rsid w:val="00744A18"/>
    <w:rsid w:val="007462E2"/>
    <w:rsid w:val="00747365"/>
    <w:rsid w:val="0075033C"/>
    <w:rsid w:val="00755990"/>
    <w:rsid w:val="00762E4A"/>
    <w:rsid w:val="00773005"/>
    <w:rsid w:val="007841A7"/>
    <w:rsid w:val="00784A68"/>
    <w:rsid w:val="00797F8B"/>
    <w:rsid w:val="007A02EF"/>
    <w:rsid w:val="007A65F3"/>
    <w:rsid w:val="007B1749"/>
    <w:rsid w:val="007C68E8"/>
    <w:rsid w:val="007D0A21"/>
    <w:rsid w:val="007E1E43"/>
    <w:rsid w:val="007E3182"/>
    <w:rsid w:val="007F41A8"/>
    <w:rsid w:val="00806E1E"/>
    <w:rsid w:val="00817B9F"/>
    <w:rsid w:val="00823535"/>
    <w:rsid w:val="008349D3"/>
    <w:rsid w:val="00844550"/>
    <w:rsid w:val="008449AE"/>
    <w:rsid w:val="00856712"/>
    <w:rsid w:val="00857329"/>
    <w:rsid w:val="00867FE1"/>
    <w:rsid w:val="00873EBD"/>
    <w:rsid w:val="008742C0"/>
    <w:rsid w:val="00875156"/>
    <w:rsid w:val="00881A4A"/>
    <w:rsid w:val="00891E24"/>
    <w:rsid w:val="008978F1"/>
    <w:rsid w:val="008A0D8E"/>
    <w:rsid w:val="008A0E10"/>
    <w:rsid w:val="008A7ACC"/>
    <w:rsid w:val="008A7F26"/>
    <w:rsid w:val="008B0ECB"/>
    <w:rsid w:val="008B6856"/>
    <w:rsid w:val="008C6A3B"/>
    <w:rsid w:val="008C721F"/>
    <w:rsid w:val="008D4FF0"/>
    <w:rsid w:val="008D6F03"/>
    <w:rsid w:val="008E35E6"/>
    <w:rsid w:val="008F4195"/>
    <w:rsid w:val="008F4396"/>
    <w:rsid w:val="008F625C"/>
    <w:rsid w:val="009047F7"/>
    <w:rsid w:val="00912D99"/>
    <w:rsid w:val="00912E5F"/>
    <w:rsid w:val="00913A8A"/>
    <w:rsid w:val="009147A3"/>
    <w:rsid w:val="00922604"/>
    <w:rsid w:val="00922AEF"/>
    <w:rsid w:val="00935204"/>
    <w:rsid w:val="0095021C"/>
    <w:rsid w:val="009567BD"/>
    <w:rsid w:val="0096135B"/>
    <w:rsid w:val="009637A4"/>
    <w:rsid w:val="00965419"/>
    <w:rsid w:val="009673AF"/>
    <w:rsid w:val="0097052F"/>
    <w:rsid w:val="009710EC"/>
    <w:rsid w:val="00977E4F"/>
    <w:rsid w:val="00981636"/>
    <w:rsid w:val="00983F38"/>
    <w:rsid w:val="00993C99"/>
    <w:rsid w:val="009A62A3"/>
    <w:rsid w:val="009A78F4"/>
    <w:rsid w:val="009B1B78"/>
    <w:rsid w:val="009B443C"/>
    <w:rsid w:val="009B4C5B"/>
    <w:rsid w:val="009B7B28"/>
    <w:rsid w:val="009C7D1C"/>
    <w:rsid w:val="009D16D1"/>
    <w:rsid w:val="009F0968"/>
    <w:rsid w:val="009F69A0"/>
    <w:rsid w:val="00A16F17"/>
    <w:rsid w:val="00A25BE2"/>
    <w:rsid w:val="00A34FE1"/>
    <w:rsid w:val="00A367C7"/>
    <w:rsid w:val="00A40BB2"/>
    <w:rsid w:val="00A41492"/>
    <w:rsid w:val="00A422CA"/>
    <w:rsid w:val="00A43D8A"/>
    <w:rsid w:val="00A511BC"/>
    <w:rsid w:val="00A71773"/>
    <w:rsid w:val="00A72E96"/>
    <w:rsid w:val="00A97311"/>
    <w:rsid w:val="00AA101B"/>
    <w:rsid w:val="00AA7683"/>
    <w:rsid w:val="00AB118F"/>
    <w:rsid w:val="00AC0A9C"/>
    <w:rsid w:val="00AC1B81"/>
    <w:rsid w:val="00AD40FF"/>
    <w:rsid w:val="00AD6FE2"/>
    <w:rsid w:val="00B004D7"/>
    <w:rsid w:val="00B03CCA"/>
    <w:rsid w:val="00B301EB"/>
    <w:rsid w:val="00B307C8"/>
    <w:rsid w:val="00B7373B"/>
    <w:rsid w:val="00B74C5D"/>
    <w:rsid w:val="00BA06AC"/>
    <w:rsid w:val="00BA3B78"/>
    <w:rsid w:val="00BA4158"/>
    <w:rsid w:val="00BB7391"/>
    <w:rsid w:val="00BC66BE"/>
    <w:rsid w:val="00BC76A2"/>
    <w:rsid w:val="00BE06C8"/>
    <w:rsid w:val="00BF5AB1"/>
    <w:rsid w:val="00BF76D9"/>
    <w:rsid w:val="00C04A25"/>
    <w:rsid w:val="00C056E5"/>
    <w:rsid w:val="00C26607"/>
    <w:rsid w:val="00C32EF2"/>
    <w:rsid w:val="00C37A90"/>
    <w:rsid w:val="00C37C02"/>
    <w:rsid w:val="00C4738B"/>
    <w:rsid w:val="00C5611B"/>
    <w:rsid w:val="00C61FC2"/>
    <w:rsid w:val="00C65B08"/>
    <w:rsid w:val="00C7089A"/>
    <w:rsid w:val="00C70B43"/>
    <w:rsid w:val="00C72DEB"/>
    <w:rsid w:val="00C80F26"/>
    <w:rsid w:val="00C833BC"/>
    <w:rsid w:val="00C86F58"/>
    <w:rsid w:val="00C947C7"/>
    <w:rsid w:val="00C95201"/>
    <w:rsid w:val="00CB0D3C"/>
    <w:rsid w:val="00CB2D65"/>
    <w:rsid w:val="00CC3E7D"/>
    <w:rsid w:val="00CC6EB6"/>
    <w:rsid w:val="00CD1897"/>
    <w:rsid w:val="00CD2E00"/>
    <w:rsid w:val="00CD7D50"/>
    <w:rsid w:val="00CE26B0"/>
    <w:rsid w:val="00CE4C3F"/>
    <w:rsid w:val="00CE7EB4"/>
    <w:rsid w:val="00CE7FDD"/>
    <w:rsid w:val="00CF0234"/>
    <w:rsid w:val="00CF0636"/>
    <w:rsid w:val="00CF0B8A"/>
    <w:rsid w:val="00CF49F6"/>
    <w:rsid w:val="00D00ED7"/>
    <w:rsid w:val="00D10722"/>
    <w:rsid w:val="00D12D2C"/>
    <w:rsid w:val="00D237D3"/>
    <w:rsid w:val="00D3541D"/>
    <w:rsid w:val="00D37B9F"/>
    <w:rsid w:val="00D411E1"/>
    <w:rsid w:val="00D4600B"/>
    <w:rsid w:val="00D5220B"/>
    <w:rsid w:val="00D53BFD"/>
    <w:rsid w:val="00D53D62"/>
    <w:rsid w:val="00D54E22"/>
    <w:rsid w:val="00D56EAB"/>
    <w:rsid w:val="00D6102C"/>
    <w:rsid w:val="00D74802"/>
    <w:rsid w:val="00D74B87"/>
    <w:rsid w:val="00D85B90"/>
    <w:rsid w:val="00D91A51"/>
    <w:rsid w:val="00D96562"/>
    <w:rsid w:val="00D965D4"/>
    <w:rsid w:val="00DB1001"/>
    <w:rsid w:val="00DB5A5B"/>
    <w:rsid w:val="00DE61C3"/>
    <w:rsid w:val="00DF1C50"/>
    <w:rsid w:val="00E042C4"/>
    <w:rsid w:val="00E06D36"/>
    <w:rsid w:val="00E0730E"/>
    <w:rsid w:val="00E12A24"/>
    <w:rsid w:val="00E33BD5"/>
    <w:rsid w:val="00E33EDE"/>
    <w:rsid w:val="00E35898"/>
    <w:rsid w:val="00E41A34"/>
    <w:rsid w:val="00E63B1D"/>
    <w:rsid w:val="00E65E28"/>
    <w:rsid w:val="00E73CCF"/>
    <w:rsid w:val="00E74610"/>
    <w:rsid w:val="00E750B0"/>
    <w:rsid w:val="00E835F2"/>
    <w:rsid w:val="00E86E98"/>
    <w:rsid w:val="00E97CFB"/>
    <w:rsid w:val="00EA2A51"/>
    <w:rsid w:val="00EA3A00"/>
    <w:rsid w:val="00EB03DE"/>
    <w:rsid w:val="00EB09D4"/>
    <w:rsid w:val="00EB2064"/>
    <w:rsid w:val="00EC0EEF"/>
    <w:rsid w:val="00EF29C4"/>
    <w:rsid w:val="00EF7DCD"/>
    <w:rsid w:val="00F15B91"/>
    <w:rsid w:val="00F23E3D"/>
    <w:rsid w:val="00F46C8C"/>
    <w:rsid w:val="00F473C4"/>
    <w:rsid w:val="00F517E1"/>
    <w:rsid w:val="00F73BCD"/>
    <w:rsid w:val="00F755FA"/>
    <w:rsid w:val="00F863C2"/>
    <w:rsid w:val="00F90D92"/>
    <w:rsid w:val="00F93CD6"/>
    <w:rsid w:val="00FB314F"/>
    <w:rsid w:val="00FB3A82"/>
    <w:rsid w:val="00FB4AA1"/>
    <w:rsid w:val="00FC3779"/>
    <w:rsid w:val="00FD07A4"/>
    <w:rsid w:val="00FD21F8"/>
    <w:rsid w:val="00FE1631"/>
    <w:rsid w:val="00FE75D6"/>
    <w:rsid w:val="00FF0D9E"/>
    <w:rsid w:val="00FF1E37"/>
    <w:rsid w:val="00FF46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FEED3-9454-48F5-83CC-70951632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CD6"/>
    <w:rPr>
      <w:rFonts w:ascii="Times New Roman" w:eastAsia="Times New Roman" w:hAnsi="Times New Roman"/>
      <w:sz w:val="24"/>
      <w:szCs w:val="24"/>
    </w:rPr>
  </w:style>
  <w:style w:type="paragraph" w:styleId="Titre1">
    <w:name w:val="heading 1"/>
    <w:basedOn w:val="Normal"/>
    <w:next w:val="Normal"/>
    <w:link w:val="Titre1Car"/>
    <w:uiPriority w:val="9"/>
    <w:qFormat/>
    <w:rsid w:val="008F625C"/>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qFormat/>
    <w:rsid w:val="000A3FDC"/>
    <w:pPr>
      <w:keepNext/>
      <w:spacing w:before="240" w:after="60"/>
      <w:outlineLvl w:val="1"/>
    </w:pPr>
    <w:rPr>
      <w:rFonts w:ascii="Arial" w:hAnsi="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00930"/>
    <w:rPr>
      <w:rFonts w:eastAsia="Times New Roman"/>
      <w:sz w:val="22"/>
      <w:szCs w:val="22"/>
    </w:rPr>
  </w:style>
  <w:style w:type="paragraph" w:styleId="Paragraphedeliste">
    <w:name w:val="List Paragraph"/>
    <w:basedOn w:val="Normal"/>
    <w:link w:val="ParagraphedelisteCar"/>
    <w:uiPriority w:val="34"/>
    <w:qFormat/>
    <w:rsid w:val="00100930"/>
    <w:pPr>
      <w:spacing w:after="200" w:line="276" w:lineRule="auto"/>
      <w:ind w:left="720"/>
      <w:contextualSpacing/>
    </w:pPr>
    <w:rPr>
      <w:rFonts w:ascii="Calibri" w:hAnsi="Calibri"/>
      <w:sz w:val="22"/>
      <w:szCs w:val="22"/>
    </w:rPr>
  </w:style>
  <w:style w:type="paragraph" w:styleId="En-tte">
    <w:name w:val="header"/>
    <w:basedOn w:val="Normal"/>
    <w:link w:val="En-tteCar"/>
    <w:uiPriority w:val="99"/>
    <w:unhideWhenUsed/>
    <w:rsid w:val="00857329"/>
    <w:pPr>
      <w:tabs>
        <w:tab w:val="center" w:pos="4536"/>
        <w:tab w:val="right" w:pos="9072"/>
      </w:tabs>
    </w:pPr>
  </w:style>
  <w:style w:type="character" w:customStyle="1" w:styleId="En-tteCar">
    <w:name w:val="En-tête Car"/>
    <w:link w:val="En-tte"/>
    <w:uiPriority w:val="99"/>
    <w:rsid w:val="0085732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57329"/>
    <w:pPr>
      <w:tabs>
        <w:tab w:val="center" w:pos="4536"/>
        <w:tab w:val="right" w:pos="9072"/>
      </w:tabs>
    </w:pPr>
  </w:style>
  <w:style w:type="character" w:customStyle="1" w:styleId="PieddepageCar">
    <w:name w:val="Pied de page Car"/>
    <w:link w:val="Pieddepage"/>
    <w:uiPriority w:val="99"/>
    <w:rsid w:val="00857329"/>
    <w:rPr>
      <w:rFonts w:ascii="Times New Roman" w:eastAsia="Times New Roman" w:hAnsi="Times New Roman" w:cs="Times New Roman"/>
      <w:sz w:val="24"/>
      <w:szCs w:val="24"/>
      <w:lang w:eastAsia="fr-FR"/>
    </w:rPr>
  </w:style>
  <w:style w:type="character" w:customStyle="1" w:styleId="Titre2Car">
    <w:name w:val="Titre 2 Car"/>
    <w:link w:val="Titre2"/>
    <w:rsid w:val="000A3FDC"/>
    <w:rPr>
      <w:rFonts w:ascii="Arial" w:eastAsia="Times New Roman" w:hAnsi="Arial" w:cs="Arial"/>
      <w:b/>
      <w:bCs/>
      <w:i/>
      <w:iCs/>
      <w:sz w:val="28"/>
      <w:szCs w:val="28"/>
      <w:lang w:eastAsia="fr-FR"/>
    </w:rPr>
  </w:style>
  <w:style w:type="paragraph" w:styleId="Corpsdetexte">
    <w:name w:val="Body Text"/>
    <w:basedOn w:val="Normal"/>
    <w:link w:val="CorpsdetexteCar"/>
    <w:rsid w:val="000A3FDC"/>
    <w:pPr>
      <w:spacing w:after="120"/>
    </w:pPr>
  </w:style>
  <w:style w:type="character" w:customStyle="1" w:styleId="CorpsdetexteCar">
    <w:name w:val="Corps de texte Car"/>
    <w:link w:val="Corpsdetexte"/>
    <w:rsid w:val="000A3FDC"/>
    <w:rPr>
      <w:rFonts w:ascii="Times New Roman" w:eastAsia="Times New Roman" w:hAnsi="Times New Roman" w:cs="Times New Roman"/>
      <w:sz w:val="24"/>
      <w:szCs w:val="24"/>
      <w:lang w:eastAsia="fr-FR"/>
    </w:rPr>
  </w:style>
  <w:style w:type="paragraph" w:customStyle="1" w:styleId="Default">
    <w:name w:val="Default"/>
    <w:rsid w:val="00C04A25"/>
    <w:pPr>
      <w:autoSpaceDE w:val="0"/>
      <w:autoSpaceDN w:val="0"/>
      <w:adjustRightInd w:val="0"/>
    </w:pPr>
    <w:rPr>
      <w:rFonts w:ascii="Verdana" w:hAnsi="Verdana" w:cs="Verdana"/>
      <w:color w:val="000000"/>
      <w:sz w:val="24"/>
      <w:szCs w:val="24"/>
      <w:lang w:eastAsia="en-US"/>
    </w:rPr>
  </w:style>
  <w:style w:type="paragraph" w:styleId="Textedebulles">
    <w:name w:val="Balloon Text"/>
    <w:basedOn w:val="Normal"/>
    <w:link w:val="TextedebullesCar"/>
    <w:uiPriority w:val="99"/>
    <w:semiHidden/>
    <w:unhideWhenUsed/>
    <w:rsid w:val="00CC3E7D"/>
    <w:rPr>
      <w:rFonts w:ascii="Tahoma" w:hAnsi="Tahoma"/>
      <w:sz w:val="16"/>
      <w:szCs w:val="16"/>
    </w:rPr>
  </w:style>
  <w:style w:type="character" w:customStyle="1" w:styleId="TextedebullesCar">
    <w:name w:val="Texte de bulles Car"/>
    <w:link w:val="Textedebulles"/>
    <w:uiPriority w:val="99"/>
    <w:semiHidden/>
    <w:rsid w:val="00CC3E7D"/>
    <w:rPr>
      <w:rFonts w:ascii="Tahoma" w:eastAsia="Times New Roman" w:hAnsi="Tahoma" w:cs="Tahoma"/>
      <w:sz w:val="16"/>
      <w:szCs w:val="16"/>
      <w:lang w:eastAsia="fr-FR"/>
    </w:rPr>
  </w:style>
  <w:style w:type="paragraph" w:styleId="Titre">
    <w:name w:val="Title"/>
    <w:basedOn w:val="Normal"/>
    <w:link w:val="TitreCar"/>
    <w:qFormat/>
    <w:rsid w:val="00D74802"/>
    <w:pPr>
      <w:spacing w:before="240" w:after="60"/>
      <w:jc w:val="center"/>
      <w:outlineLvl w:val="0"/>
    </w:pPr>
    <w:rPr>
      <w:rFonts w:ascii="Arial" w:hAnsi="Arial"/>
      <w:b/>
      <w:bCs/>
      <w:kern w:val="28"/>
      <w:sz w:val="32"/>
      <w:szCs w:val="32"/>
    </w:rPr>
  </w:style>
  <w:style w:type="character" w:customStyle="1" w:styleId="TitreCar">
    <w:name w:val="Titre Car"/>
    <w:link w:val="Titre"/>
    <w:rsid w:val="00D74802"/>
    <w:rPr>
      <w:rFonts w:ascii="Arial" w:eastAsia="Times New Roman" w:hAnsi="Arial" w:cs="Arial"/>
      <w:b/>
      <w:bCs/>
      <w:kern w:val="28"/>
      <w:sz w:val="32"/>
      <w:szCs w:val="32"/>
      <w:lang w:eastAsia="fr-FR"/>
    </w:rPr>
  </w:style>
  <w:style w:type="character" w:styleId="Marquedecommentaire">
    <w:name w:val="annotation reference"/>
    <w:uiPriority w:val="99"/>
    <w:semiHidden/>
    <w:unhideWhenUsed/>
    <w:rsid w:val="00192571"/>
    <w:rPr>
      <w:sz w:val="16"/>
      <w:szCs w:val="16"/>
    </w:rPr>
  </w:style>
  <w:style w:type="paragraph" w:styleId="Commentaire">
    <w:name w:val="annotation text"/>
    <w:basedOn w:val="Normal"/>
    <w:link w:val="CommentaireCar"/>
    <w:uiPriority w:val="99"/>
    <w:semiHidden/>
    <w:unhideWhenUsed/>
    <w:rsid w:val="00192571"/>
    <w:rPr>
      <w:sz w:val="20"/>
      <w:szCs w:val="20"/>
    </w:rPr>
  </w:style>
  <w:style w:type="character" w:customStyle="1" w:styleId="CommentaireCar">
    <w:name w:val="Commentaire Car"/>
    <w:link w:val="Commentaire"/>
    <w:uiPriority w:val="99"/>
    <w:semiHidden/>
    <w:rsid w:val="00192571"/>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192571"/>
    <w:rPr>
      <w:b/>
      <w:bCs/>
    </w:rPr>
  </w:style>
  <w:style w:type="character" w:customStyle="1" w:styleId="ObjetducommentaireCar">
    <w:name w:val="Objet du commentaire Car"/>
    <w:link w:val="Objetducommentaire"/>
    <w:uiPriority w:val="99"/>
    <w:semiHidden/>
    <w:rsid w:val="00192571"/>
    <w:rPr>
      <w:rFonts w:ascii="Times New Roman" w:eastAsia="Times New Roman" w:hAnsi="Times New Roman"/>
      <w:b/>
      <w:bCs/>
    </w:rPr>
  </w:style>
  <w:style w:type="character" w:customStyle="1" w:styleId="Titre1Car">
    <w:name w:val="Titre 1 Car"/>
    <w:link w:val="Titre1"/>
    <w:uiPriority w:val="9"/>
    <w:rsid w:val="008F625C"/>
    <w:rPr>
      <w:rFonts w:ascii="Cambria" w:eastAsia="Times New Roman" w:hAnsi="Cambria" w:cs="Times New Roman"/>
      <w:b/>
      <w:bCs/>
      <w:kern w:val="32"/>
      <w:sz w:val="32"/>
      <w:szCs w:val="32"/>
      <w:lang w:val="fr-FR" w:eastAsia="fr-FR"/>
    </w:rPr>
  </w:style>
  <w:style w:type="paragraph" w:styleId="Corpsdetexte3">
    <w:name w:val="Body Text 3"/>
    <w:basedOn w:val="Normal"/>
    <w:link w:val="Corpsdetexte3Car"/>
    <w:uiPriority w:val="99"/>
    <w:unhideWhenUsed/>
    <w:rsid w:val="00EB03DE"/>
    <w:pPr>
      <w:spacing w:after="120"/>
    </w:pPr>
    <w:rPr>
      <w:rFonts w:eastAsia="Calibri"/>
      <w:sz w:val="16"/>
      <w:szCs w:val="16"/>
      <w:lang w:val="en-CA" w:eastAsia="en-US"/>
    </w:rPr>
  </w:style>
  <w:style w:type="character" w:customStyle="1" w:styleId="Corpsdetexte3Car">
    <w:name w:val="Corps de texte 3 Car"/>
    <w:link w:val="Corpsdetexte3"/>
    <w:uiPriority w:val="99"/>
    <w:rsid w:val="00EB03DE"/>
    <w:rPr>
      <w:rFonts w:ascii="Times New Roman" w:hAnsi="Times New Roman"/>
      <w:sz w:val="16"/>
      <w:szCs w:val="16"/>
      <w:lang w:val="en-CA" w:eastAsia="en-US"/>
    </w:rPr>
  </w:style>
  <w:style w:type="character" w:customStyle="1" w:styleId="longtext">
    <w:name w:val="long_text"/>
    <w:basedOn w:val="Policepardfaut"/>
    <w:rsid w:val="00CE26B0"/>
  </w:style>
  <w:style w:type="character" w:customStyle="1" w:styleId="ParagraphedelisteCar">
    <w:name w:val="Paragraphe de liste Car"/>
    <w:link w:val="Paragraphedeliste"/>
    <w:uiPriority w:val="34"/>
    <w:locked/>
    <w:rsid w:val="00DB5A5B"/>
    <w:rPr>
      <w:rFonts w:eastAsia="Times New Roman"/>
      <w:sz w:val="22"/>
      <w:szCs w:val="22"/>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 Text Char,Geneva 9,f"/>
    <w:basedOn w:val="Normal"/>
    <w:link w:val="NotedebasdepageCar"/>
    <w:unhideWhenUsed/>
    <w:rsid w:val="004D4230"/>
    <w:pPr>
      <w:spacing w:after="200"/>
    </w:pPr>
    <w:rPr>
      <w:rFonts w:ascii="Calibri" w:eastAsia="Calibri" w:hAnsi="Calibri"/>
      <w:sz w:val="22"/>
      <w:szCs w:val="20"/>
      <w:lang w:eastAsia="en-US"/>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Geneva 9 Car"/>
    <w:link w:val="Notedebasdepage"/>
    <w:rsid w:val="004D4230"/>
    <w:rPr>
      <w:sz w:val="22"/>
      <w:lang w:eastAsia="en-US"/>
    </w:rPr>
  </w:style>
  <w:style w:type="character" w:styleId="Appelnotedebasdep">
    <w:name w:val="footnote reference"/>
    <w:aliases w:val="ftref,16 Point,Superscript 6 Point,Car Car Char Car Char Car Car Char Car Char Char,Car Car Car Car Car Car Car Car Char Car Car Char Car Car Car Char Car Char Char Char,SUPERS,Error-Fußnotenzeichen5,Error-Fußnotenzeichen6"/>
    <w:unhideWhenUsed/>
    <w:rsid w:val="004D42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11</Pages>
  <Words>3820</Words>
  <Characters>21012</Characters>
  <Application>Microsoft Office Word</Application>
  <DocSecurity>0</DocSecurity>
  <Lines>175</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Salifou Zoungrana</cp:lastModifiedBy>
  <cp:revision>8</cp:revision>
  <cp:lastPrinted>2013-10-30T16:28:00Z</cp:lastPrinted>
  <dcterms:created xsi:type="dcterms:W3CDTF">2017-09-10T18:19:00Z</dcterms:created>
  <dcterms:modified xsi:type="dcterms:W3CDTF">2017-11-08T11:10:00Z</dcterms:modified>
</cp:coreProperties>
</file>