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2D8F"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753ACD71" w14:textId="77777777" w:rsidR="006C1964" w:rsidRDefault="00B913F1" w:rsidP="00F05366">
      <w:pPr>
        <w:pStyle w:val="Heading51"/>
      </w:pPr>
      <w:bookmarkStart w:id="2" w:name="_Toc299126613"/>
      <w:r>
        <w:t>INTRODUCTION</w:t>
      </w:r>
    </w:p>
    <w:p w14:paraId="6BE86A0D"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In accordance with UNDP and GEF M&amp;E policies and procedures, all full and medium-sized UNDP support GEF financed projects are required to undergo a terminal evaluation</w:t>
      </w:r>
      <w:r w:rsidR="0043763A">
        <w:rPr>
          <w:rFonts w:ascii="Calibri" w:eastAsia="Times New Roman" w:hAnsi="Calibri" w:cs="Times New Roman"/>
          <w:sz w:val="20"/>
          <w:szCs w:val="20"/>
        </w:rPr>
        <w:t xml:space="preserve"> (TE)</w:t>
      </w:r>
      <w:r w:rsidRPr="00D6638C">
        <w:rPr>
          <w:rFonts w:ascii="Calibri" w:eastAsia="Times New Roman" w:hAnsi="Calibri" w:cs="Times New Roman"/>
          <w:sz w:val="20"/>
          <w:szCs w:val="20"/>
        </w:rPr>
        <w:t xml:space="preserve">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4205A4">
        <w:rPr>
          <w:rFonts w:ascii="Calibri" w:eastAsia="Times New Roman" w:hAnsi="Calibri" w:cs="Times New Roman"/>
          <w:i/>
          <w:sz w:val="20"/>
          <w:szCs w:val="20"/>
          <w:highlight w:val="lightGray"/>
        </w:rPr>
        <w:t>“Green Urban Lighting”</w:t>
      </w:r>
      <w:r w:rsidRPr="00D6638C">
        <w:rPr>
          <w:rFonts w:ascii="Calibri" w:eastAsia="Times New Roman" w:hAnsi="Calibri" w:cs="Times New Roman"/>
          <w:sz w:val="20"/>
          <w:szCs w:val="20"/>
        </w:rPr>
        <w:t xml:space="preserve"> </w:t>
      </w:r>
      <w:r w:rsidR="000B40AF">
        <w:rPr>
          <w:rFonts w:ascii="Calibri" w:eastAsia="Times New Roman" w:hAnsi="Calibri" w:cs="Times New Roman"/>
          <w:sz w:val="20"/>
          <w:szCs w:val="20"/>
        </w:rPr>
        <w:t xml:space="preserve">UNDP-GEF Project </w:t>
      </w:r>
      <w:r w:rsidRPr="00D6638C">
        <w:rPr>
          <w:rFonts w:ascii="Calibri" w:eastAsia="Times New Roman" w:hAnsi="Calibri" w:cs="Times New Roman"/>
          <w:sz w:val="20"/>
          <w:szCs w:val="20"/>
        </w:rPr>
        <w:t xml:space="preserve">(PIMS </w:t>
      </w:r>
      <w:r w:rsidRPr="00D6638C">
        <w:rPr>
          <w:rFonts w:ascii="Calibri" w:eastAsia="Times New Roman" w:hAnsi="Calibri" w:cs="Times New Roman"/>
          <w:sz w:val="20"/>
          <w:szCs w:val="20"/>
          <w:highlight w:val="lightGray"/>
        </w:rPr>
        <w:t>#</w:t>
      </w:r>
      <w:r w:rsidR="004205A4">
        <w:rPr>
          <w:rFonts w:ascii="Calibri" w:eastAsia="Times New Roman" w:hAnsi="Calibri" w:cs="Times New Roman"/>
          <w:sz w:val="20"/>
          <w:szCs w:val="20"/>
          <w:highlight w:val="lightGray"/>
        </w:rPr>
        <w:t>4669</w:t>
      </w:r>
      <w:r w:rsidRPr="00D6638C">
        <w:rPr>
          <w:rFonts w:ascii="Calibri" w:eastAsia="Times New Roman" w:hAnsi="Calibri" w:cs="Times New Roman"/>
          <w:sz w:val="20"/>
          <w:szCs w:val="20"/>
          <w:highlight w:val="lightGray"/>
        </w:rPr>
        <w:t>)</w:t>
      </w:r>
      <w:r w:rsidR="0043763A">
        <w:rPr>
          <w:rFonts w:ascii="Calibri" w:eastAsia="Times New Roman" w:hAnsi="Calibri" w:cs="Times New Roman"/>
          <w:sz w:val="20"/>
          <w:szCs w:val="20"/>
        </w:rPr>
        <w:t xml:space="preserve"> under implementation by UNDP Armenia CO.</w:t>
      </w:r>
    </w:p>
    <w:p w14:paraId="4E395441"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0862323C" w14:textId="77777777" w:rsidR="00D6638C" w:rsidRPr="00D6638C" w:rsidRDefault="00D6638C" w:rsidP="00F05366">
      <w:pPr>
        <w:pStyle w:val="Heading51"/>
      </w:pPr>
      <w:bookmarkStart w:id="3" w:name="_Toc321341548"/>
      <w:r w:rsidRPr="00D6638C">
        <w:t>Project Summary Table</w:t>
      </w:r>
      <w:bookmarkEnd w:id="3"/>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18"/>
        <w:gridCol w:w="616"/>
        <w:gridCol w:w="2389"/>
        <w:gridCol w:w="1983"/>
        <w:gridCol w:w="1645"/>
        <w:gridCol w:w="11"/>
        <w:gridCol w:w="1882"/>
        <w:gridCol w:w="11"/>
      </w:tblGrid>
      <w:tr w:rsidR="00D6638C" w:rsidRPr="00D6638C" w14:paraId="20C5A282" w14:textId="77777777" w:rsidTr="0044228D">
        <w:trPr>
          <w:gridAfter w:val="1"/>
          <w:wAfter w:w="6" w:type="pct"/>
          <w:trHeight w:val="359"/>
          <w:jc w:val="center"/>
        </w:trPr>
        <w:tc>
          <w:tcPr>
            <w:tcW w:w="437" w:type="pct"/>
            <w:shd w:val="clear" w:color="auto" w:fill="7F7F7F"/>
            <w:vAlign w:val="center"/>
          </w:tcPr>
          <w:p w14:paraId="3A2DDB80"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57" w:type="pct"/>
            <w:gridSpan w:val="6"/>
            <w:shd w:val="clear" w:color="auto" w:fill="FFFFFF"/>
            <w:vAlign w:val="center"/>
          </w:tcPr>
          <w:p w14:paraId="0C4A7DB8" w14:textId="38C7632C"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5FB07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74pt;height:18pt" o:ole="">
                  <v:imagedata r:id="rId8" o:title=""/>
                </v:shape>
                <w:control r:id="rId9" w:name="TextBox10" w:shapeid="_x0000_i1038"/>
              </w:object>
            </w:r>
          </w:p>
        </w:tc>
      </w:tr>
      <w:tr w:rsidR="00D6638C" w:rsidRPr="00D6638C" w14:paraId="34516CD8" w14:textId="77777777" w:rsidTr="00A869AA">
        <w:trPr>
          <w:gridAfter w:val="1"/>
          <w:wAfter w:w="6" w:type="pct"/>
          <w:trHeight w:val="553"/>
          <w:jc w:val="center"/>
        </w:trPr>
        <w:tc>
          <w:tcPr>
            <w:tcW w:w="766" w:type="pct"/>
            <w:gridSpan w:val="2"/>
          </w:tcPr>
          <w:p w14:paraId="58F8249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277" w:type="pct"/>
            <w:vAlign w:val="center"/>
          </w:tcPr>
          <w:p w14:paraId="42A002F4" w14:textId="77777777" w:rsidR="00D6638C" w:rsidRPr="00D6638C" w:rsidRDefault="00D522C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4742</w:t>
            </w:r>
          </w:p>
        </w:tc>
        <w:tc>
          <w:tcPr>
            <w:tcW w:w="1060" w:type="pct"/>
          </w:tcPr>
          <w:p w14:paraId="0F9E2588"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879" w:type="pct"/>
          </w:tcPr>
          <w:p w14:paraId="4112928C"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1012" w:type="pct"/>
            <w:gridSpan w:val="2"/>
          </w:tcPr>
          <w:p w14:paraId="008CCAEC"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4A3B76D0" w14:textId="77777777" w:rsidTr="00A869AA">
        <w:trPr>
          <w:gridAfter w:val="1"/>
          <w:wAfter w:w="6" w:type="pct"/>
          <w:trHeight w:val="278"/>
          <w:jc w:val="center"/>
        </w:trPr>
        <w:tc>
          <w:tcPr>
            <w:tcW w:w="766" w:type="pct"/>
            <w:gridSpan w:val="2"/>
          </w:tcPr>
          <w:p w14:paraId="32C95B4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277" w:type="pct"/>
            <w:vAlign w:val="center"/>
          </w:tcPr>
          <w:p w14:paraId="71BFC311" w14:textId="77777777" w:rsidR="00D6638C" w:rsidRPr="00D6638C" w:rsidRDefault="00D522C8"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4669</w:t>
            </w:r>
          </w:p>
        </w:tc>
        <w:tc>
          <w:tcPr>
            <w:tcW w:w="1060" w:type="pct"/>
          </w:tcPr>
          <w:p w14:paraId="64AB4691" w14:textId="77777777" w:rsidR="001E4420" w:rsidRDefault="00D6638C" w:rsidP="00B71DC1">
            <w:pPr>
              <w:spacing w:after="0" w:line="240" w:lineRule="auto"/>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GEF financing</w:t>
            </w:r>
            <w:r w:rsidR="001E4420">
              <w:rPr>
                <w:rFonts w:ascii="Calibri" w:eastAsia="Times New Roman" w:hAnsi="Calibri" w:cs="Times New Roman"/>
                <w:color w:val="000000"/>
                <w:sz w:val="20"/>
                <w:szCs w:val="20"/>
              </w:rPr>
              <w:t xml:space="preserve"> </w:t>
            </w:r>
          </w:p>
          <w:p w14:paraId="19BF13C0" w14:textId="77777777" w:rsidR="00D6638C" w:rsidRPr="00D6638C" w:rsidRDefault="001E4420" w:rsidP="00B71DC1">
            <w:pPr>
              <w:spacing w:after="0" w:line="240" w:lineRule="auto"/>
              <w:jc w:val="right"/>
              <w:rPr>
                <w:rFonts w:ascii="Calibri" w:eastAsia="Arial Unicode MS" w:hAnsi="Calibri" w:cs="Times New Roman"/>
                <w:color w:val="000000"/>
                <w:sz w:val="20"/>
                <w:szCs w:val="20"/>
              </w:rPr>
            </w:pPr>
            <w:r>
              <w:rPr>
                <w:rFonts w:ascii="Calibri" w:eastAsia="Times New Roman" w:hAnsi="Calibri" w:cs="Times New Roman"/>
                <w:color w:val="000000"/>
                <w:sz w:val="20"/>
                <w:szCs w:val="20"/>
              </w:rPr>
              <w:t>(in cash)</w:t>
            </w:r>
            <w:r w:rsidR="00D6638C" w:rsidRPr="00D6638C">
              <w:rPr>
                <w:rFonts w:ascii="Calibri" w:eastAsia="Times New Roman" w:hAnsi="Calibri" w:cs="Times New Roman"/>
                <w:color w:val="000000"/>
                <w:sz w:val="20"/>
                <w:szCs w:val="20"/>
              </w:rPr>
              <w:t xml:space="preserve">: </w:t>
            </w:r>
          </w:p>
        </w:tc>
        <w:tc>
          <w:tcPr>
            <w:tcW w:w="879" w:type="pct"/>
            <w:vAlign w:val="center"/>
          </w:tcPr>
          <w:p w14:paraId="526575E1" w14:textId="77777777" w:rsidR="00D6638C" w:rsidRPr="00D6638C" w:rsidRDefault="001A2A27" w:rsidP="001955F4">
            <w:pPr>
              <w:spacing w:after="0"/>
              <w:jc w:val="center"/>
              <w:rPr>
                <w:rFonts w:ascii="Calibri" w:eastAsia="Arial Unicode MS" w:hAnsi="Calibri" w:cs="Times New Roman"/>
                <w:sz w:val="20"/>
                <w:szCs w:val="20"/>
              </w:rPr>
            </w:pPr>
            <w:r>
              <w:rPr>
                <w:rFonts w:ascii="Calibri" w:eastAsia="Times New Roman" w:hAnsi="Calibri" w:cs="Times New Roman"/>
                <w:sz w:val="20"/>
                <w:szCs w:val="20"/>
              </w:rPr>
              <w:t>1.6</w:t>
            </w:r>
          </w:p>
        </w:tc>
        <w:tc>
          <w:tcPr>
            <w:tcW w:w="1012" w:type="pct"/>
            <w:gridSpan w:val="2"/>
            <w:vAlign w:val="center"/>
          </w:tcPr>
          <w:p w14:paraId="19681D5F" w14:textId="77777777" w:rsidR="00D6638C" w:rsidRPr="00D6638C" w:rsidRDefault="001A2A27" w:rsidP="001955F4">
            <w:pPr>
              <w:spacing w:after="0"/>
              <w:jc w:val="center"/>
              <w:rPr>
                <w:rFonts w:ascii="Calibri" w:eastAsia="Arial Unicode MS" w:hAnsi="Calibri" w:cs="Times New Roman"/>
                <w:sz w:val="20"/>
                <w:szCs w:val="20"/>
              </w:rPr>
            </w:pPr>
            <w:r>
              <w:rPr>
                <w:rFonts w:ascii="Calibri" w:eastAsia="Times New Roman" w:hAnsi="Calibri" w:cs="Times New Roman"/>
                <w:sz w:val="20"/>
                <w:szCs w:val="20"/>
              </w:rPr>
              <w:t>1.6</w:t>
            </w:r>
          </w:p>
        </w:tc>
      </w:tr>
      <w:tr w:rsidR="00D6638C" w:rsidRPr="00D6638C" w14:paraId="2A6D6A2C" w14:textId="77777777" w:rsidTr="00A869AA">
        <w:trPr>
          <w:gridAfter w:val="1"/>
          <w:wAfter w:w="6" w:type="pct"/>
          <w:trHeight w:val="269"/>
          <w:jc w:val="center"/>
        </w:trPr>
        <w:tc>
          <w:tcPr>
            <w:tcW w:w="766" w:type="pct"/>
            <w:gridSpan w:val="2"/>
          </w:tcPr>
          <w:p w14:paraId="6649F755"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277" w:type="pct"/>
            <w:vAlign w:val="center"/>
          </w:tcPr>
          <w:p w14:paraId="3EA255B1" w14:textId="77777777" w:rsidR="00D6638C" w:rsidRPr="00D6638C" w:rsidRDefault="001A2A2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Armenia</w:t>
            </w:r>
          </w:p>
        </w:tc>
        <w:tc>
          <w:tcPr>
            <w:tcW w:w="1060" w:type="pct"/>
          </w:tcPr>
          <w:p w14:paraId="74BE2AA9" w14:textId="77777777" w:rsidR="001E4420" w:rsidRDefault="000B40AF" w:rsidP="00B71DC1">
            <w:pPr>
              <w:spacing w:after="0" w:line="240" w:lineRule="auto"/>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Government</w:t>
            </w:r>
            <w:r w:rsidR="001E4420">
              <w:rPr>
                <w:rFonts w:ascii="Calibri" w:eastAsia="Times New Roman" w:hAnsi="Calibri" w:cs="Times New Roman"/>
                <w:bCs/>
                <w:sz w:val="20"/>
                <w:szCs w:val="20"/>
              </w:rPr>
              <w:t xml:space="preserve"> </w:t>
            </w:r>
          </w:p>
          <w:p w14:paraId="3E777A8C" w14:textId="77777777" w:rsidR="00D6638C" w:rsidRPr="00D6638C" w:rsidRDefault="001E4420" w:rsidP="00B71DC1">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bCs/>
                <w:sz w:val="20"/>
                <w:szCs w:val="20"/>
              </w:rPr>
              <w:t>(in kind)</w:t>
            </w:r>
            <w:r w:rsidR="000B40AF" w:rsidRPr="00D6638C">
              <w:rPr>
                <w:rFonts w:ascii="Calibri" w:eastAsia="Times New Roman" w:hAnsi="Calibri" w:cs="Times New Roman"/>
                <w:bCs/>
                <w:sz w:val="20"/>
                <w:szCs w:val="20"/>
              </w:rPr>
              <w:t>:</w:t>
            </w:r>
          </w:p>
        </w:tc>
        <w:tc>
          <w:tcPr>
            <w:tcW w:w="879" w:type="pct"/>
            <w:vAlign w:val="center"/>
          </w:tcPr>
          <w:p w14:paraId="08A52F18" w14:textId="77777777" w:rsidR="00D6638C" w:rsidRPr="00D6638C" w:rsidRDefault="000B40AF" w:rsidP="001955F4">
            <w:pPr>
              <w:spacing w:after="0"/>
              <w:jc w:val="center"/>
              <w:rPr>
                <w:rFonts w:ascii="Calibri" w:eastAsia="Arial Unicode MS" w:hAnsi="Calibri" w:cs="Times New Roman"/>
                <w:sz w:val="20"/>
                <w:szCs w:val="20"/>
              </w:rPr>
            </w:pPr>
            <w:r>
              <w:rPr>
                <w:rFonts w:ascii="Calibri" w:eastAsia="Times New Roman" w:hAnsi="Calibri" w:cs="Times New Roman"/>
                <w:sz w:val="20"/>
                <w:szCs w:val="20"/>
              </w:rPr>
              <w:t>0.32</w:t>
            </w:r>
          </w:p>
        </w:tc>
        <w:tc>
          <w:tcPr>
            <w:tcW w:w="1012" w:type="pct"/>
            <w:gridSpan w:val="2"/>
            <w:vAlign w:val="center"/>
          </w:tcPr>
          <w:p w14:paraId="440C6437" w14:textId="77777777" w:rsidR="00D6638C" w:rsidRPr="00D6638C" w:rsidRDefault="000B40AF" w:rsidP="001955F4">
            <w:pPr>
              <w:spacing w:after="0"/>
              <w:jc w:val="center"/>
              <w:rPr>
                <w:rFonts w:ascii="Calibri" w:eastAsia="Arial Unicode MS" w:hAnsi="Calibri" w:cs="Times New Roman"/>
                <w:sz w:val="20"/>
                <w:szCs w:val="20"/>
              </w:rPr>
            </w:pPr>
            <w:r>
              <w:rPr>
                <w:rFonts w:ascii="Calibri" w:eastAsia="Times New Roman" w:hAnsi="Calibri" w:cs="Times New Roman"/>
                <w:sz w:val="20"/>
                <w:szCs w:val="20"/>
              </w:rPr>
              <w:t>0.32</w:t>
            </w:r>
          </w:p>
        </w:tc>
      </w:tr>
      <w:tr w:rsidR="000B40AF" w:rsidRPr="00D6638C" w14:paraId="376F97BB" w14:textId="77777777" w:rsidTr="00A869AA">
        <w:trPr>
          <w:gridAfter w:val="1"/>
          <w:wAfter w:w="6" w:type="pct"/>
          <w:trHeight w:val="269"/>
          <w:jc w:val="center"/>
        </w:trPr>
        <w:tc>
          <w:tcPr>
            <w:tcW w:w="766" w:type="pct"/>
            <w:gridSpan w:val="2"/>
          </w:tcPr>
          <w:p w14:paraId="428EEBCE" w14:textId="77777777" w:rsidR="000B40AF" w:rsidRPr="00D6638C" w:rsidRDefault="000B40AF" w:rsidP="00D6638C">
            <w:pPr>
              <w:spacing w:after="0"/>
              <w:jc w:val="right"/>
              <w:rPr>
                <w:rFonts w:ascii="Calibri" w:eastAsia="Times New Roman" w:hAnsi="Calibri" w:cs="Times New Roman"/>
                <w:color w:val="000000"/>
                <w:sz w:val="20"/>
                <w:szCs w:val="20"/>
              </w:rPr>
            </w:pPr>
          </w:p>
        </w:tc>
        <w:tc>
          <w:tcPr>
            <w:tcW w:w="1277" w:type="pct"/>
            <w:vAlign w:val="center"/>
          </w:tcPr>
          <w:p w14:paraId="7FF92529" w14:textId="77777777" w:rsidR="000B40AF" w:rsidRDefault="000B40AF" w:rsidP="00D6638C">
            <w:pPr>
              <w:tabs>
                <w:tab w:val="right" w:pos="0"/>
              </w:tabs>
              <w:spacing w:after="0"/>
              <w:rPr>
                <w:rFonts w:ascii="Calibri" w:eastAsia="Times New Roman" w:hAnsi="Calibri" w:cs="Times New Roman"/>
                <w:sz w:val="20"/>
                <w:szCs w:val="20"/>
              </w:rPr>
            </w:pPr>
          </w:p>
        </w:tc>
        <w:tc>
          <w:tcPr>
            <w:tcW w:w="1060" w:type="pct"/>
          </w:tcPr>
          <w:p w14:paraId="1413823E" w14:textId="77777777" w:rsidR="00470811" w:rsidRDefault="000B40AF" w:rsidP="00B71DC1">
            <w:pPr>
              <w:spacing w:after="0" w:line="240" w:lineRule="auto"/>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IA/EA own</w:t>
            </w:r>
            <w:r w:rsidR="001E4420">
              <w:rPr>
                <w:rFonts w:ascii="Calibri" w:eastAsia="Times New Roman" w:hAnsi="Calibri" w:cs="Times New Roman"/>
                <w:bCs/>
                <w:sz w:val="20"/>
                <w:szCs w:val="20"/>
              </w:rPr>
              <w:t xml:space="preserve"> </w:t>
            </w:r>
          </w:p>
          <w:p w14:paraId="4B78512D" w14:textId="77777777" w:rsidR="000B40AF" w:rsidRPr="00D6638C" w:rsidRDefault="001E4420" w:rsidP="00B71DC1">
            <w:pPr>
              <w:spacing w:after="0" w:line="240" w:lineRule="auto"/>
              <w:jc w:val="right"/>
              <w:rPr>
                <w:rFonts w:ascii="Calibri" w:eastAsia="Times New Roman" w:hAnsi="Calibri" w:cs="Times New Roman"/>
                <w:bCs/>
                <w:sz w:val="20"/>
                <w:szCs w:val="20"/>
              </w:rPr>
            </w:pPr>
            <w:r>
              <w:rPr>
                <w:rFonts w:ascii="Calibri" w:eastAsia="Times New Roman" w:hAnsi="Calibri" w:cs="Times New Roman"/>
                <w:color w:val="000000"/>
                <w:sz w:val="20"/>
                <w:szCs w:val="20"/>
              </w:rPr>
              <w:t>(in cash)</w:t>
            </w:r>
            <w:r w:rsidRPr="00D6638C">
              <w:rPr>
                <w:rFonts w:ascii="Calibri" w:eastAsia="Times New Roman" w:hAnsi="Calibri" w:cs="Times New Roman"/>
                <w:color w:val="000000"/>
                <w:sz w:val="20"/>
                <w:szCs w:val="20"/>
              </w:rPr>
              <w:t>:</w:t>
            </w:r>
          </w:p>
        </w:tc>
        <w:tc>
          <w:tcPr>
            <w:tcW w:w="879" w:type="pct"/>
            <w:vAlign w:val="center"/>
          </w:tcPr>
          <w:p w14:paraId="61CEFE37" w14:textId="77777777" w:rsidR="000B40AF" w:rsidRDefault="000B40AF" w:rsidP="001955F4">
            <w:pPr>
              <w:spacing w:after="0"/>
              <w:jc w:val="center"/>
              <w:rPr>
                <w:rFonts w:ascii="Calibri" w:eastAsia="Times New Roman" w:hAnsi="Calibri" w:cs="Times New Roman"/>
                <w:sz w:val="20"/>
                <w:szCs w:val="20"/>
              </w:rPr>
            </w:pPr>
            <w:r>
              <w:rPr>
                <w:rFonts w:ascii="Calibri" w:eastAsia="Times New Roman" w:hAnsi="Calibri" w:cs="Times New Roman"/>
                <w:sz w:val="20"/>
                <w:szCs w:val="20"/>
              </w:rPr>
              <w:t xml:space="preserve">0.12 </w:t>
            </w:r>
          </w:p>
        </w:tc>
        <w:tc>
          <w:tcPr>
            <w:tcW w:w="1012" w:type="pct"/>
            <w:gridSpan w:val="2"/>
            <w:vAlign w:val="center"/>
          </w:tcPr>
          <w:p w14:paraId="5CFB8023" w14:textId="77777777" w:rsidR="000B40AF" w:rsidRDefault="00C83F69" w:rsidP="0044228D">
            <w:pPr>
              <w:spacing w:after="0"/>
              <w:jc w:val="center"/>
              <w:rPr>
                <w:rFonts w:ascii="Calibri" w:eastAsia="Times New Roman" w:hAnsi="Calibri" w:cs="Times New Roman"/>
                <w:sz w:val="20"/>
                <w:szCs w:val="20"/>
              </w:rPr>
            </w:pPr>
            <w:r>
              <w:rPr>
                <w:rFonts w:ascii="Calibri" w:eastAsia="Times New Roman" w:hAnsi="Calibri" w:cs="Times New Roman"/>
                <w:sz w:val="20"/>
                <w:szCs w:val="20"/>
              </w:rPr>
              <w:t>0.12</w:t>
            </w:r>
          </w:p>
        </w:tc>
      </w:tr>
      <w:tr w:rsidR="000B40AF" w:rsidRPr="00D6638C" w14:paraId="618E0C69" w14:textId="77777777" w:rsidTr="00A869AA">
        <w:trPr>
          <w:gridAfter w:val="1"/>
          <w:wAfter w:w="6" w:type="pct"/>
          <w:trHeight w:val="269"/>
          <w:jc w:val="center"/>
        </w:trPr>
        <w:tc>
          <w:tcPr>
            <w:tcW w:w="766" w:type="pct"/>
            <w:gridSpan w:val="2"/>
          </w:tcPr>
          <w:p w14:paraId="4F1CB2AE" w14:textId="77777777" w:rsidR="000B40AF" w:rsidRPr="00D6638C" w:rsidRDefault="000B40AF" w:rsidP="00D6638C">
            <w:pPr>
              <w:spacing w:after="0"/>
              <w:jc w:val="right"/>
              <w:rPr>
                <w:rFonts w:ascii="Calibri" w:eastAsia="Times New Roman" w:hAnsi="Calibri" w:cs="Times New Roman"/>
                <w:color w:val="000000"/>
                <w:sz w:val="20"/>
                <w:szCs w:val="20"/>
              </w:rPr>
            </w:pPr>
          </w:p>
        </w:tc>
        <w:tc>
          <w:tcPr>
            <w:tcW w:w="1277" w:type="pct"/>
            <w:vAlign w:val="center"/>
          </w:tcPr>
          <w:p w14:paraId="1AFF9D92" w14:textId="77777777" w:rsidR="000B40AF" w:rsidRDefault="000B40AF" w:rsidP="00D6638C">
            <w:pPr>
              <w:tabs>
                <w:tab w:val="right" w:pos="0"/>
              </w:tabs>
              <w:spacing w:after="0"/>
              <w:rPr>
                <w:rFonts w:ascii="Calibri" w:eastAsia="Times New Roman" w:hAnsi="Calibri" w:cs="Times New Roman"/>
                <w:sz w:val="20"/>
                <w:szCs w:val="20"/>
              </w:rPr>
            </w:pPr>
          </w:p>
        </w:tc>
        <w:tc>
          <w:tcPr>
            <w:tcW w:w="1060" w:type="pct"/>
          </w:tcPr>
          <w:p w14:paraId="5B4CB424" w14:textId="77777777" w:rsidR="000B40AF" w:rsidRPr="00D6638C" w:rsidRDefault="001E4420" w:rsidP="00B71DC1">
            <w:pPr>
              <w:spacing w:after="0" w:line="240" w:lineRule="auto"/>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IA/EA</w:t>
            </w:r>
            <w:r>
              <w:rPr>
                <w:rFonts w:ascii="Calibri" w:eastAsia="Times New Roman" w:hAnsi="Calibri" w:cs="Times New Roman"/>
                <w:bCs/>
                <w:sz w:val="20"/>
                <w:szCs w:val="20"/>
              </w:rPr>
              <w:t xml:space="preserve"> (in kind)</w:t>
            </w:r>
            <w:r w:rsidRPr="00D6638C">
              <w:rPr>
                <w:rFonts w:ascii="Calibri" w:eastAsia="Times New Roman" w:hAnsi="Calibri" w:cs="Times New Roman"/>
                <w:bCs/>
                <w:sz w:val="20"/>
                <w:szCs w:val="20"/>
              </w:rPr>
              <w:t>:</w:t>
            </w:r>
          </w:p>
        </w:tc>
        <w:tc>
          <w:tcPr>
            <w:tcW w:w="879" w:type="pct"/>
            <w:vAlign w:val="center"/>
          </w:tcPr>
          <w:p w14:paraId="28A7BB92" w14:textId="77777777" w:rsidR="000B40AF" w:rsidRDefault="000B40AF" w:rsidP="001E4420">
            <w:pPr>
              <w:spacing w:after="0"/>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012" w:type="pct"/>
            <w:gridSpan w:val="2"/>
            <w:vAlign w:val="center"/>
          </w:tcPr>
          <w:p w14:paraId="45D3987F" w14:textId="77777777" w:rsidR="000B40AF" w:rsidRDefault="001E4420" w:rsidP="001955F4">
            <w:pPr>
              <w:spacing w:after="0"/>
              <w:jc w:val="center"/>
              <w:rPr>
                <w:rFonts w:ascii="Calibri" w:eastAsia="Times New Roman" w:hAnsi="Calibri" w:cs="Times New Roman"/>
                <w:sz w:val="20"/>
                <w:szCs w:val="20"/>
              </w:rPr>
            </w:pPr>
            <w:r>
              <w:rPr>
                <w:rFonts w:ascii="Calibri" w:eastAsia="Times New Roman" w:hAnsi="Calibri" w:cs="Times New Roman"/>
                <w:sz w:val="20"/>
                <w:szCs w:val="20"/>
              </w:rPr>
              <w:t>1.0</w:t>
            </w:r>
          </w:p>
        </w:tc>
      </w:tr>
      <w:tr w:rsidR="000B40AF" w:rsidRPr="00D6638C" w14:paraId="298A11C7" w14:textId="77777777" w:rsidTr="00A869AA">
        <w:trPr>
          <w:gridAfter w:val="1"/>
          <w:wAfter w:w="6" w:type="pct"/>
          <w:trHeight w:val="269"/>
          <w:jc w:val="center"/>
        </w:trPr>
        <w:tc>
          <w:tcPr>
            <w:tcW w:w="766" w:type="pct"/>
            <w:gridSpan w:val="2"/>
          </w:tcPr>
          <w:p w14:paraId="217F14E7" w14:textId="77777777" w:rsidR="000B40AF" w:rsidRPr="00D6638C" w:rsidRDefault="000B40AF" w:rsidP="00D6638C">
            <w:pPr>
              <w:spacing w:after="0"/>
              <w:jc w:val="right"/>
              <w:rPr>
                <w:rFonts w:ascii="Calibri" w:eastAsia="Times New Roman" w:hAnsi="Calibri" w:cs="Times New Roman"/>
                <w:color w:val="000000"/>
                <w:sz w:val="20"/>
                <w:szCs w:val="20"/>
              </w:rPr>
            </w:pPr>
          </w:p>
        </w:tc>
        <w:tc>
          <w:tcPr>
            <w:tcW w:w="1277" w:type="pct"/>
            <w:vAlign w:val="center"/>
          </w:tcPr>
          <w:p w14:paraId="2351A5F4" w14:textId="77777777" w:rsidR="000B40AF" w:rsidRDefault="000B40AF" w:rsidP="00D6638C">
            <w:pPr>
              <w:tabs>
                <w:tab w:val="right" w:pos="0"/>
              </w:tabs>
              <w:spacing w:after="0"/>
              <w:rPr>
                <w:rFonts w:ascii="Calibri" w:eastAsia="Times New Roman" w:hAnsi="Calibri" w:cs="Times New Roman"/>
                <w:sz w:val="20"/>
                <w:szCs w:val="20"/>
              </w:rPr>
            </w:pPr>
          </w:p>
        </w:tc>
        <w:tc>
          <w:tcPr>
            <w:tcW w:w="1060" w:type="pct"/>
          </w:tcPr>
          <w:p w14:paraId="0E5858C9" w14:textId="77777777" w:rsidR="00470811" w:rsidRDefault="000B40AF" w:rsidP="00B71DC1">
            <w:pPr>
              <w:spacing w:after="0" w:line="240" w:lineRule="auto"/>
              <w:jc w:val="right"/>
              <w:rPr>
                <w:rFonts w:ascii="Calibri" w:eastAsia="Times New Roman" w:hAnsi="Calibri" w:cs="Times New Roman"/>
                <w:bCs/>
                <w:sz w:val="20"/>
                <w:szCs w:val="20"/>
              </w:rPr>
            </w:pPr>
            <w:r>
              <w:rPr>
                <w:rFonts w:ascii="Calibri" w:eastAsia="Times New Roman" w:hAnsi="Calibri" w:cs="Times New Roman"/>
                <w:bCs/>
                <w:sz w:val="20"/>
                <w:szCs w:val="20"/>
              </w:rPr>
              <w:t>Local Administration</w:t>
            </w:r>
            <w:r w:rsidR="001E4420">
              <w:rPr>
                <w:rFonts w:ascii="Calibri" w:eastAsia="Times New Roman" w:hAnsi="Calibri" w:cs="Times New Roman"/>
                <w:bCs/>
                <w:sz w:val="20"/>
                <w:szCs w:val="20"/>
              </w:rPr>
              <w:t xml:space="preserve"> </w:t>
            </w:r>
          </w:p>
          <w:p w14:paraId="6E52D402" w14:textId="77777777" w:rsidR="000B40AF" w:rsidRPr="00D6638C" w:rsidRDefault="001E4420" w:rsidP="00B71DC1">
            <w:pPr>
              <w:spacing w:after="0" w:line="240" w:lineRule="auto"/>
              <w:jc w:val="right"/>
              <w:rPr>
                <w:rFonts w:ascii="Calibri" w:eastAsia="Times New Roman" w:hAnsi="Calibri" w:cs="Times New Roman"/>
                <w:bCs/>
                <w:sz w:val="20"/>
                <w:szCs w:val="20"/>
              </w:rPr>
            </w:pPr>
            <w:r>
              <w:rPr>
                <w:rFonts w:ascii="Calibri" w:eastAsia="Times New Roman" w:hAnsi="Calibri" w:cs="Times New Roman"/>
                <w:bCs/>
                <w:sz w:val="20"/>
                <w:szCs w:val="20"/>
              </w:rPr>
              <w:t>(in cash)</w:t>
            </w:r>
            <w:r w:rsidR="000B40AF">
              <w:rPr>
                <w:rFonts w:ascii="Calibri" w:eastAsia="Times New Roman" w:hAnsi="Calibri" w:cs="Times New Roman"/>
                <w:bCs/>
                <w:sz w:val="20"/>
                <w:szCs w:val="20"/>
              </w:rPr>
              <w:t>:</w:t>
            </w:r>
          </w:p>
        </w:tc>
        <w:tc>
          <w:tcPr>
            <w:tcW w:w="879" w:type="pct"/>
            <w:vAlign w:val="center"/>
          </w:tcPr>
          <w:p w14:paraId="7A9C4B62" w14:textId="77777777" w:rsidR="000B40AF" w:rsidRDefault="000B40AF" w:rsidP="001E4420">
            <w:pPr>
              <w:spacing w:after="0"/>
              <w:jc w:val="center"/>
              <w:rPr>
                <w:rFonts w:ascii="Calibri" w:eastAsia="Times New Roman" w:hAnsi="Calibri" w:cs="Times New Roman"/>
                <w:sz w:val="20"/>
                <w:szCs w:val="20"/>
              </w:rPr>
            </w:pPr>
            <w:r>
              <w:rPr>
                <w:rFonts w:ascii="Calibri" w:eastAsia="Times New Roman" w:hAnsi="Calibri" w:cs="Times New Roman"/>
                <w:sz w:val="20"/>
                <w:szCs w:val="20"/>
              </w:rPr>
              <w:t>7.</w:t>
            </w:r>
            <w:r w:rsidR="001E4420">
              <w:rPr>
                <w:rFonts w:ascii="Calibri" w:eastAsia="Times New Roman" w:hAnsi="Calibri" w:cs="Times New Roman"/>
                <w:sz w:val="20"/>
                <w:szCs w:val="20"/>
              </w:rPr>
              <w:t>0</w:t>
            </w:r>
            <w:r>
              <w:rPr>
                <w:rFonts w:ascii="Calibri" w:eastAsia="Times New Roman" w:hAnsi="Calibri" w:cs="Times New Roman"/>
                <w:sz w:val="20"/>
                <w:szCs w:val="20"/>
              </w:rPr>
              <w:t>5</w:t>
            </w:r>
            <w:r w:rsidR="001E4420">
              <w:rPr>
                <w:rFonts w:ascii="Calibri" w:eastAsia="Times New Roman" w:hAnsi="Calibri" w:cs="Times New Roman"/>
                <w:sz w:val="20"/>
                <w:szCs w:val="20"/>
              </w:rPr>
              <w:t>5</w:t>
            </w:r>
          </w:p>
        </w:tc>
        <w:tc>
          <w:tcPr>
            <w:tcW w:w="1012" w:type="pct"/>
            <w:gridSpan w:val="2"/>
            <w:vAlign w:val="center"/>
          </w:tcPr>
          <w:p w14:paraId="5904D5C7" w14:textId="77777777" w:rsidR="000B40AF" w:rsidRDefault="000B40AF" w:rsidP="001955F4">
            <w:pPr>
              <w:spacing w:after="0"/>
              <w:jc w:val="center"/>
              <w:rPr>
                <w:rFonts w:ascii="Calibri" w:eastAsia="Times New Roman" w:hAnsi="Calibri" w:cs="Times New Roman"/>
                <w:sz w:val="20"/>
                <w:szCs w:val="20"/>
              </w:rPr>
            </w:pPr>
            <w:r>
              <w:rPr>
                <w:rFonts w:ascii="Calibri" w:eastAsia="Times New Roman" w:hAnsi="Calibri" w:cs="Times New Roman"/>
                <w:sz w:val="20"/>
                <w:szCs w:val="20"/>
              </w:rPr>
              <w:t>9.17</w:t>
            </w:r>
          </w:p>
        </w:tc>
      </w:tr>
      <w:tr w:rsidR="00D6638C" w:rsidRPr="00D6638C" w14:paraId="1EAA7A25" w14:textId="77777777" w:rsidTr="00A869AA">
        <w:trPr>
          <w:gridAfter w:val="1"/>
          <w:wAfter w:w="6" w:type="pct"/>
          <w:trHeight w:val="51"/>
          <w:jc w:val="center"/>
        </w:trPr>
        <w:tc>
          <w:tcPr>
            <w:tcW w:w="766" w:type="pct"/>
            <w:gridSpan w:val="2"/>
          </w:tcPr>
          <w:p w14:paraId="30D8DB02" w14:textId="77777777" w:rsidR="00D6638C" w:rsidRPr="00D6638C" w:rsidRDefault="00D6638C" w:rsidP="008D248F">
            <w:pPr>
              <w:spacing w:after="0" w:line="240" w:lineRule="auto"/>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277" w:type="pct"/>
            <w:vAlign w:val="center"/>
          </w:tcPr>
          <w:p w14:paraId="0A569BCB" w14:textId="77777777" w:rsidR="00D6638C" w:rsidRPr="00D6638C" w:rsidRDefault="00E10486" w:rsidP="008D248F">
            <w:pPr>
              <w:tabs>
                <w:tab w:val="right" w:pos="0"/>
              </w:tabs>
              <w:spacing w:after="0" w:line="240" w:lineRule="auto"/>
              <w:rPr>
                <w:rFonts w:ascii="Calibri" w:eastAsia="Times New Roman" w:hAnsi="Calibri" w:cs="Times New Roman"/>
                <w:sz w:val="20"/>
                <w:szCs w:val="20"/>
                <w:lang w:val="es-ES_tradnl"/>
              </w:rPr>
            </w:pPr>
            <w:r>
              <w:rPr>
                <w:rFonts w:ascii="Calibri" w:eastAsia="Times New Roman" w:hAnsi="Calibri" w:cs="Times New Roman"/>
                <w:sz w:val="20"/>
                <w:szCs w:val="20"/>
              </w:rPr>
              <w:t>Europe and Central Asia</w:t>
            </w:r>
          </w:p>
        </w:tc>
        <w:tc>
          <w:tcPr>
            <w:tcW w:w="1060" w:type="pct"/>
          </w:tcPr>
          <w:p w14:paraId="37A379D6" w14:textId="77777777" w:rsidR="00D6638C" w:rsidRPr="00D6638C" w:rsidRDefault="00D6638C" w:rsidP="00D6638C">
            <w:pPr>
              <w:spacing w:after="0"/>
              <w:jc w:val="right"/>
              <w:rPr>
                <w:rFonts w:ascii="Calibri" w:eastAsia="Times New Roman" w:hAnsi="Calibri" w:cs="Times New Roman"/>
                <w:color w:val="000000"/>
                <w:sz w:val="20"/>
                <w:szCs w:val="20"/>
              </w:rPr>
            </w:pPr>
          </w:p>
        </w:tc>
        <w:tc>
          <w:tcPr>
            <w:tcW w:w="879" w:type="pct"/>
            <w:vAlign w:val="center"/>
          </w:tcPr>
          <w:p w14:paraId="1585DE56" w14:textId="77777777" w:rsidR="00D6638C" w:rsidRPr="00D6638C" w:rsidRDefault="00D6638C" w:rsidP="00A27240">
            <w:pPr>
              <w:spacing w:after="0"/>
              <w:jc w:val="center"/>
              <w:rPr>
                <w:rFonts w:ascii="Calibri" w:eastAsia="Arial Unicode MS" w:hAnsi="Calibri" w:cs="Times New Roman"/>
                <w:sz w:val="20"/>
                <w:szCs w:val="20"/>
              </w:rPr>
            </w:pPr>
          </w:p>
        </w:tc>
        <w:tc>
          <w:tcPr>
            <w:tcW w:w="1012" w:type="pct"/>
            <w:gridSpan w:val="2"/>
            <w:vAlign w:val="center"/>
          </w:tcPr>
          <w:p w14:paraId="4BAF49AE" w14:textId="77777777" w:rsidR="00D6638C" w:rsidRPr="00D6638C" w:rsidRDefault="00D6638C" w:rsidP="00B34219">
            <w:pPr>
              <w:spacing w:after="0"/>
              <w:jc w:val="center"/>
              <w:rPr>
                <w:rFonts w:ascii="Calibri" w:eastAsia="Times New Roman" w:hAnsi="Calibri" w:cs="Times New Roman"/>
                <w:sz w:val="20"/>
                <w:szCs w:val="20"/>
              </w:rPr>
            </w:pPr>
          </w:p>
        </w:tc>
      </w:tr>
      <w:tr w:rsidR="00D6638C" w:rsidRPr="00D6638C" w14:paraId="30A4CC33" w14:textId="77777777" w:rsidTr="00A869AA">
        <w:trPr>
          <w:gridAfter w:val="1"/>
          <w:wAfter w:w="6" w:type="pct"/>
          <w:trHeight w:val="314"/>
          <w:jc w:val="center"/>
        </w:trPr>
        <w:tc>
          <w:tcPr>
            <w:tcW w:w="766" w:type="pct"/>
            <w:gridSpan w:val="2"/>
          </w:tcPr>
          <w:p w14:paraId="0D1CA06E" w14:textId="77777777" w:rsidR="00D6638C" w:rsidRPr="00D6638C" w:rsidRDefault="00D6638C" w:rsidP="008D248F">
            <w:pPr>
              <w:spacing w:after="0" w:line="240" w:lineRule="auto"/>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277" w:type="pct"/>
            <w:vAlign w:val="center"/>
          </w:tcPr>
          <w:p w14:paraId="1E435E46" w14:textId="77777777" w:rsidR="00D6638C" w:rsidRPr="00D6638C" w:rsidRDefault="001A2A27" w:rsidP="008D248F">
            <w:pPr>
              <w:tabs>
                <w:tab w:val="right" w:pos="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Climate Change </w:t>
            </w:r>
          </w:p>
        </w:tc>
        <w:tc>
          <w:tcPr>
            <w:tcW w:w="1060" w:type="pct"/>
          </w:tcPr>
          <w:p w14:paraId="198473C1" w14:textId="77777777" w:rsidR="00D6638C" w:rsidRPr="00D6638C" w:rsidRDefault="00D6638C" w:rsidP="00D6638C">
            <w:pPr>
              <w:spacing w:after="0"/>
              <w:jc w:val="right"/>
              <w:rPr>
                <w:rFonts w:ascii="Calibri" w:eastAsia="Times New Roman" w:hAnsi="Calibri" w:cs="Times New Roman"/>
                <w:color w:val="000000"/>
                <w:sz w:val="20"/>
                <w:szCs w:val="20"/>
              </w:rPr>
            </w:pPr>
          </w:p>
        </w:tc>
        <w:tc>
          <w:tcPr>
            <w:tcW w:w="879" w:type="pct"/>
            <w:vAlign w:val="center"/>
          </w:tcPr>
          <w:p w14:paraId="0959822B" w14:textId="77777777" w:rsidR="00D6638C" w:rsidRPr="00D6638C" w:rsidRDefault="00D6638C" w:rsidP="001955F4">
            <w:pPr>
              <w:spacing w:after="0"/>
              <w:jc w:val="center"/>
              <w:rPr>
                <w:rFonts w:ascii="Calibri" w:eastAsia="Times New Roman" w:hAnsi="Calibri" w:cs="Times New Roman"/>
                <w:sz w:val="20"/>
                <w:szCs w:val="20"/>
              </w:rPr>
            </w:pPr>
          </w:p>
        </w:tc>
        <w:tc>
          <w:tcPr>
            <w:tcW w:w="1012" w:type="pct"/>
            <w:gridSpan w:val="2"/>
            <w:vAlign w:val="center"/>
          </w:tcPr>
          <w:p w14:paraId="49E350EF" w14:textId="77777777" w:rsidR="00D6638C" w:rsidRPr="00D6638C" w:rsidRDefault="00D6638C" w:rsidP="001955F4">
            <w:pPr>
              <w:spacing w:after="0"/>
              <w:jc w:val="center"/>
              <w:rPr>
                <w:rFonts w:ascii="Calibri" w:eastAsia="Times New Roman" w:hAnsi="Calibri" w:cs="Times New Roman"/>
                <w:sz w:val="20"/>
                <w:szCs w:val="20"/>
              </w:rPr>
            </w:pPr>
          </w:p>
        </w:tc>
      </w:tr>
      <w:tr w:rsidR="00A27240" w:rsidRPr="0043763A" w14:paraId="5D429400" w14:textId="77777777" w:rsidTr="00A869AA">
        <w:trPr>
          <w:gridAfter w:val="1"/>
          <w:wAfter w:w="6" w:type="pct"/>
          <w:trHeight w:val="553"/>
          <w:jc w:val="center"/>
        </w:trPr>
        <w:tc>
          <w:tcPr>
            <w:tcW w:w="766" w:type="pct"/>
            <w:gridSpan w:val="2"/>
          </w:tcPr>
          <w:p w14:paraId="3D3A7F2B" w14:textId="77777777" w:rsidR="00A27240" w:rsidRPr="0043763A" w:rsidRDefault="00A27240" w:rsidP="008D248F">
            <w:pPr>
              <w:spacing w:after="0" w:line="240" w:lineRule="auto"/>
              <w:jc w:val="right"/>
              <w:rPr>
                <w:rFonts w:ascii="Calibri" w:eastAsia="Arial Unicode MS" w:hAnsi="Calibri" w:cs="Times New Roman"/>
                <w:color w:val="000000"/>
                <w:sz w:val="20"/>
                <w:szCs w:val="20"/>
              </w:rPr>
            </w:pPr>
            <w:r w:rsidRPr="0043763A">
              <w:rPr>
                <w:rFonts w:ascii="Calibri" w:eastAsia="Times New Roman" w:hAnsi="Calibri" w:cs="Times New Roman"/>
                <w:color w:val="000000"/>
                <w:sz w:val="20"/>
                <w:szCs w:val="20"/>
              </w:rPr>
              <w:t>FA Objectives, (OP/SP):</w:t>
            </w:r>
          </w:p>
        </w:tc>
        <w:tc>
          <w:tcPr>
            <w:tcW w:w="1277" w:type="pct"/>
            <w:vAlign w:val="center"/>
          </w:tcPr>
          <w:p w14:paraId="082D68C5" w14:textId="77777777" w:rsidR="008D248F" w:rsidRPr="0043763A" w:rsidRDefault="00A27240" w:rsidP="008D248F">
            <w:pPr>
              <w:spacing w:after="0" w:line="240" w:lineRule="auto"/>
              <w:rPr>
                <w:rFonts w:ascii="Calibri" w:eastAsia="Times New Roman" w:hAnsi="Calibri" w:cs="Times New Roman"/>
                <w:sz w:val="20"/>
                <w:szCs w:val="20"/>
              </w:rPr>
            </w:pPr>
            <w:r w:rsidRPr="0043763A">
              <w:rPr>
                <w:rFonts w:ascii="Calibri" w:eastAsia="Times New Roman" w:hAnsi="Calibri" w:cs="Times New Roman"/>
                <w:sz w:val="20"/>
                <w:szCs w:val="20"/>
              </w:rPr>
              <w:t>CC</w:t>
            </w:r>
            <w:r w:rsidR="008D248F" w:rsidRPr="0043763A">
              <w:rPr>
                <w:rFonts w:ascii="Calibri" w:eastAsia="Times New Roman" w:hAnsi="Calibri" w:cs="Times New Roman"/>
                <w:sz w:val="20"/>
                <w:szCs w:val="20"/>
              </w:rPr>
              <w:t>M-2</w:t>
            </w:r>
          </w:p>
          <w:p w14:paraId="5119005E" w14:textId="77777777" w:rsidR="008D248F" w:rsidRPr="0043763A" w:rsidRDefault="008D248F" w:rsidP="008D248F">
            <w:pPr>
              <w:spacing w:after="0" w:line="240" w:lineRule="auto"/>
              <w:rPr>
                <w:sz w:val="20"/>
                <w:szCs w:val="20"/>
              </w:rPr>
            </w:pPr>
            <w:r w:rsidRPr="0043763A">
              <w:rPr>
                <w:i/>
                <w:sz w:val="20"/>
                <w:szCs w:val="20"/>
              </w:rPr>
              <w:t>Outcome 2.1</w:t>
            </w:r>
            <w:r w:rsidRPr="0043763A">
              <w:rPr>
                <w:sz w:val="20"/>
                <w:szCs w:val="20"/>
              </w:rPr>
              <w:t xml:space="preserve"> Appropriate policy, legal and</w:t>
            </w:r>
          </w:p>
          <w:p w14:paraId="472FF5D5" w14:textId="77777777" w:rsidR="008D248F" w:rsidRPr="0043763A" w:rsidRDefault="008D248F" w:rsidP="008D248F">
            <w:pPr>
              <w:spacing w:after="0" w:line="240" w:lineRule="auto"/>
              <w:rPr>
                <w:sz w:val="20"/>
                <w:szCs w:val="20"/>
              </w:rPr>
            </w:pPr>
            <w:r w:rsidRPr="0043763A">
              <w:rPr>
                <w:sz w:val="20"/>
                <w:szCs w:val="20"/>
              </w:rPr>
              <w:t>regulatory frameworks adopted and enforced</w:t>
            </w:r>
            <w:r w:rsidR="00A27240" w:rsidRPr="0043763A">
              <w:rPr>
                <w:rFonts w:ascii="Calibri" w:eastAsia="Times New Roman" w:hAnsi="Calibri" w:cs="Times New Roman"/>
                <w:sz w:val="20"/>
                <w:szCs w:val="20"/>
              </w:rPr>
              <w:t>-</w:t>
            </w:r>
            <w:r w:rsidRPr="0043763A">
              <w:rPr>
                <w:i/>
                <w:sz w:val="20"/>
                <w:szCs w:val="20"/>
              </w:rPr>
              <w:t>Outcome 2.2</w:t>
            </w:r>
            <w:r w:rsidRPr="0043763A">
              <w:rPr>
                <w:sz w:val="20"/>
                <w:szCs w:val="20"/>
              </w:rPr>
              <w:t xml:space="preserve"> Sustainable financing and</w:t>
            </w:r>
          </w:p>
          <w:p w14:paraId="15F6C47F" w14:textId="77777777" w:rsidR="008D248F" w:rsidRPr="0043763A" w:rsidRDefault="008D248F" w:rsidP="008D248F">
            <w:pPr>
              <w:spacing w:after="0" w:line="240" w:lineRule="auto"/>
              <w:rPr>
                <w:sz w:val="20"/>
                <w:szCs w:val="20"/>
              </w:rPr>
            </w:pPr>
            <w:r w:rsidRPr="0043763A">
              <w:rPr>
                <w:sz w:val="20"/>
                <w:szCs w:val="20"/>
              </w:rPr>
              <w:t>delivery mechanisms</w:t>
            </w:r>
          </w:p>
          <w:p w14:paraId="36DD06FE" w14:textId="77777777" w:rsidR="00A27240" w:rsidRPr="0043763A" w:rsidRDefault="008D248F" w:rsidP="008D248F">
            <w:pPr>
              <w:spacing w:after="0" w:line="240" w:lineRule="auto"/>
              <w:rPr>
                <w:rFonts w:ascii="Calibri" w:eastAsia="Times New Roman" w:hAnsi="Calibri" w:cs="Times New Roman"/>
                <w:sz w:val="20"/>
                <w:szCs w:val="20"/>
              </w:rPr>
            </w:pPr>
            <w:r w:rsidRPr="0043763A">
              <w:rPr>
                <w:sz w:val="20"/>
                <w:szCs w:val="20"/>
              </w:rPr>
              <w:t>established and operational</w:t>
            </w:r>
          </w:p>
        </w:tc>
        <w:tc>
          <w:tcPr>
            <w:tcW w:w="1060" w:type="pct"/>
          </w:tcPr>
          <w:p w14:paraId="5862035B" w14:textId="77777777" w:rsidR="00A27240" w:rsidRPr="0043763A" w:rsidRDefault="00A27240" w:rsidP="00A27240">
            <w:pPr>
              <w:spacing w:after="0"/>
              <w:jc w:val="right"/>
              <w:rPr>
                <w:rFonts w:ascii="Calibri" w:eastAsia="Times New Roman" w:hAnsi="Calibri" w:cs="Times New Roman"/>
                <w:color w:val="000000"/>
                <w:sz w:val="20"/>
                <w:szCs w:val="20"/>
              </w:rPr>
            </w:pPr>
            <w:r w:rsidRPr="0043763A">
              <w:rPr>
                <w:rFonts w:ascii="Calibri" w:eastAsia="Times New Roman" w:hAnsi="Calibri" w:cs="Times New Roman"/>
                <w:color w:val="000000"/>
                <w:sz w:val="20"/>
                <w:szCs w:val="20"/>
              </w:rPr>
              <w:t>Total co-financing:</w:t>
            </w:r>
          </w:p>
        </w:tc>
        <w:tc>
          <w:tcPr>
            <w:tcW w:w="879" w:type="pct"/>
            <w:vAlign w:val="center"/>
          </w:tcPr>
          <w:p w14:paraId="4327A608" w14:textId="77777777" w:rsidR="00A27240" w:rsidRPr="0043763A" w:rsidRDefault="001E4420" w:rsidP="00A27240">
            <w:pPr>
              <w:spacing w:after="0"/>
              <w:jc w:val="center"/>
              <w:rPr>
                <w:rFonts w:ascii="Calibri" w:eastAsia="Arial Unicode MS" w:hAnsi="Calibri" w:cs="Times New Roman"/>
                <w:sz w:val="20"/>
                <w:szCs w:val="20"/>
              </w:rPr>
            </w:pPr>
            <w:r w:rsidRPr="0043763A">
              <w:rPr>
                <w:rFonts w:ascii="Calibri" w:eastAsia="Times New Roman" w:hAnsi="Calibri" w:cs="Times New Roman"/>
                <w:sz w:val="20"/>
                <w:szCs w:val="20"/>
              </w:rPr>
              <w:t>8.495</w:t>
            </w:r>
          </w:p>
        </w:tc>
        <w:tc>
          <w:tcPr>
            <w:tcW w:w="1012" w:type="pct"/>
            <w:gridSpan w:val="2"/>
            <w:vAlign w:val="center"/>
          </w:tcPr>
          <w:p w14:paraId="631950EE" w14:textId="77777777" w:rsidR="00A27240" w:rsidRPr="0043763A" w:rsidRDefault="00B34219" w:rsidP="00A27240">
            <w:pPr>
              <w:spacing w:after="0"/>
              <w:jc w:val="center"/>
              <w:rPr>
                <w:rFonts w:ascii="Calibri" w:eastAsia="Times New Roman" w:hAnsi="Calibri" w:cs="Times New Roman"/>
                <w:sz w:val="20"/>
                <w:szCs w:val="20"/>
              </w:rPr>
            </w:pPr>
            <w:r w:rsidRPr="0043763A">
              <w:rPr>
                <w:rFonts w:ascii="Calibri" w:eastAsia="Times New Roman" w:hAnsi="Calibri" w:cs="Times New Roman"/>
                <w:sz w:val="20"/>
                <w:szCs w:val="20"/>
              </w:rPr>
              <w:t>9.17</w:t>
            </w:r>
          </w:p>
        </w:tc>
      </w:tr>
      <w:tr w:rsidR="00E10486" w:rsidRPr="0043763A" w14:paraId="5B82F304" w14:textId="77777777" w:rsidTr="00A869AA">
        <w:trPr>
          <w:gridAfter w:val="1"/>
          <w:wAfter w:w="6" w:type="pct"/>
          <w:trHeight w:val="341"/>
          <w:jc w:val="center"/>
        </w:trPr>
        <w:tc>
          <w:tcPr>
            <w:tcW w:w="766" w:type="pct"/>
            <w:gridSpan w:val="2"/>
          </w:tcPr>
          <w:p w14:paraId="5E34A029" w14:textId="77777777" w:rsidR="00E10486" w:rsidRPr="0043763A" w:rsidRDefault="00E10486" w:rsidP="00E10486">
            <w:pPr>
              <w:spacing w:after="0"/>
              <w:jc w:val="right"/>
              <w:rPr>
                <w:rFonts w:ascii="Calibri" w:eastAsia="Arial Unicode MS" w:hAnsi="Calibri" w:cs="Times New Roman"/>
                <w:color w:val="000000"/>
                <w:sz w:val="20"/>
                <w:szCs w:val="20"/>
              </w:rPr>
            </w:pPr>
            <w:r w:rsidRPr="0043763A">
              <w:rPr>
                <w:rFonts w:ascii="Calibri" w:eastAsia="Times New Roman" w:hAnsi="Calibri" w:cs="Times New Roman"/>
                <w:color w:val="000000"/>
                <w:sz w:val="20"/>
                <w:szCs w:val="20"/>
              </w:rPr>
              <w:t>Executing Agency:</w:t>
            </w:r>
          </w:p>
        </w:tc>
        <w:tc>
          <w:tcPr>
            <w:tcW w:w="1277" w:type="pct"/>
            <w:vAlign w:val="center"/>
          </w:tcPr>
          <w:p w14:paraId="23F12EC5" w14:textId="77777777" w:rsidR="00E10486" w:rsidRPr="0043763A" w:rsidRDefault="00E10486" w:rsidP="008D248F">
            <w:pPr>
              <w:tabs>
                <w:tab w:val="right" w:pos="0"/>
              </w:tabs>
              <w:spacing w:after="0" w:line="240" w:lineRule="auto"/>
              <w:rPr>
                <w:rFonts w:ascii="Calibri" w:eastAsia="Times New Roman" w:hAnsi="Calibri" w:cs="Times New Roman"/>
                <w:sz w:val="20"/>
                <w:szCs w:val="20"/>
              </w:rPr>
            </w:pPr>
            <w:r w:rsidRPr="0043763A">
              <w:rPr>
                <w:rFonts w:ascii="Calibri" w:eastAsia="Times New Roman" w:hAnsi="Calibri" w:cs="Times New Roman"/>
                <w:sz w:val="20"/>
                <w:szCs w:val="20"/>
              </w:rPr>
              <w:t>Ministry of Nature Protection</w:t>
            </w:r>
            <w:r w:rsidR="00C83F69" w:rsidRPr="0043763A">
              <w:rPr>
                <w:rFonts w:ascii="Calibri" w:eastAsia="Times New Roman" w:hAnsi="Calibri" w:cs="Times New Roman"/>
                <w:sz w:val="20"/>
                <w:szCs w:val="20"/>
              </w:rPr>
              <w:t xml:space="preserve"> of the R</w:t>
            </w:r>
            <w:r w:rsidR="00470811">
              <w:rPr>
                <w:rFonts w:ascii="Calibri" w:eastAsia="Times New Roman" w:hAnsi="Calibri" w:cs="Times New Roman"/>
                <w:sz w:val="20"/>
                <w:szCs w:val="20"/>
              </w:rPr>
              <w:t>epublic of Armenia</w:t>
            </w:r>
          </w:p>
        </w:tc>
        <w:tc>
          <w:tcPr>
            <w:tcW w:w="1060" w:type="pct"/>
          </w:tcPr>
          <w:p w14:paraId="769C084A" w14:textId="77777777" w:rsidR="00E10486" w:rsidRPr="0043763A" w:rsidRDefault="00E10486" w:rsidP="00E10486">
            <w:pPr>
              <w:spacing w:after="0"/>
              <w:jc w:val="right"/>
              <w:rPr>
                <w:rFonts w:ascii="Calibri" w:eastAsia="Arial Unicode MS" w:hAnsi="Calibri" w:cs="Times New Roman"/>
                <w:color w:val="000000"/>
                <w:sz w:val="20"/>
                <w:szCs w:val="20"/>
              </w:rPr>
            </w:pPr>
            <w:r w:rsidRPr="0043763A">
              <w:rPr>
                <w:rFonts w:ascii="Calibri" w:eastAsia="Times New Roman" w:hAnsi="Calibri" w:cs="Times New Roman"/>
                <w:color w:val="000000"/>
                <w:sz w:val="20"/>
                <w:szCs w:val="20"/>
              </w:rPr>
              <w:t>Total Project Cost:</w:t>
            </w:r>
          </w:p>
        </w:tc>
        <w:tc>
          <w:tcPr>
            <w:tcW w:w="879" w:type="pct"/>
            <w:vAlign w:val="center"/>
          </w:tcPr>
          <w:p w14:paraId="5AF6FF15" w14:textId="77777777" w:rsidR="00E10486" w:rsidRPr="0043763A" w:rsidRDefault="00A27240" w:rsidP="001955F4">
            <w:pPr>
              <w:spacing w:after="0"/>
              <w:jc w:val="center"/>
              <w:rPr>
                <w:rFonts w:ascii="Calibri" w:eastAsia="Arial Unicode MS" w:hAnsi="Calibri" w:cs="Times New Roman"/>
                <w:sz w:val="20"/>
                <w:szCs w:val="20"/>
              </w:rPr>
            </w:pPr>
            <w:r w:rsidRPr="0043763A">
              <w:rPr>
                <w:rFonts w:ascii="Calibri" w:eastAsia="Times New Roman" w:hAnsi="Calibri" w:cs="Times New Roman"/>
                <w:sz w:val="20"/>
                <w:szCs w:val="20"/>
              </w:rPr>
              <w:t>10.095</w:t>
            </w:r>
          </w:p>
        </w:tc>
        <w:tc>
          <w:tcPr>
            <w:tcW w:w="1012" w:type="pct"/>
            <w:gridSpan w:val="2"/>
            <w:vAlign w:val="center"/>
          </w:tcPr>
          <w:p w14:paraId="50A4C0BD" w14:textId="77777777" w:rsidR="00E10486" w:rsidRPr="0043763A" w:rsidRDefault="00D04B09" w:rsidP="00B34219">
            <w:pPr>
              <w:spacing w:after="0"/>
              <w:jc w:val="center"/>
              <w:rPr>
                <w:rFonts w:ascii="Calibri" w:eastAsia="Arial Unicode MS" w:hAnsi="Calibri" w:cs="Times New Roman"/>
                <w:sz w:val="20"/>
                <w:szCs w:val="20"/>
              </w:rPr>
            </w:pPr>
            <w:r w:rsidRPr="0043763A">
              <w:rPr>
                <w:rFonts w:ascii="Calibri" w:eastAsia="Times New Roman" w:hAnsi="Calibri" w:cs="Times New Roman"/>
                <w:sz w:val="20"/>
                <w:szCs w:val="20"/>
              </w:rPr>
              <w:t>1</w:t>
            </w:r>
            <w:r w:rsidR="00B34219" w:rsidRPr="0043763A">
              <w:rPr>
                <w:rFonts w:ascii="Calibri" w:eastAsia="Times New Roman" w:hAnsi="Calibri" w:cs="Times New Roman"/>
                <w:sz w:val="20"/>
                <w:szCs w:val="20"/>
              </w:rPr>
              <w:t>1.89</w:t>
            </w:r>
          </w:p>
        </w:tc>
      </w:tr>
      <w:tr w:rsidR="00D6638C" w:rsidRPr="00D6638C" w14:paraId="14FFA485" w14:textId="77777777" w:rsidTr="00B71DC1">
        <w:trPr>
          <w:gridAfter w:val="1"/>
          <w:wAfter w:w="6" w:type="pct"/>
          <w:trHeight w:val="368"/>
          <w:jc w:val="center"/>
        </w:trPr>
        <w:tc>
          <w:tcPr>
            <w:tcW w:w="766" w:type="pct"/>
            <w:gridSpan w:val="2"/>
            <w:vMerge w:val="restart"/>
          </w:tcPr>
          <w:p w14:paraId="49B1D0EC"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277" w:type="pct"/>
            <w:vMerge w:val="restart"/>
            <w:vAlign w:val="center"/>
          </w:tcPr>
          <w:p w14:paraId="45A8B9DD" w14:textId="77777777" w:rsidR="00D6638C" w:rsidRPr="00D6638C" w:rsidRDefault="00E10486" w:rsidP="009F5C8A">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Yerevan Municipality, other </w:t>
            </w:r>
            <w:r w:rsidR="009F5C8A">
              <w:rPr>
                <w:rFonts w:ascii="Calibri" w:eastAsia="Times New Roman" w:hAnsi="Calibri" w:cs="Times New Roman"/>
                <w:sz w:val="20"/>
                <w:szCs w:val="20"/>
              </w:rPr>
              <w:t>partner</w:t>
            </w:r>
            <w:r>
              <w:rPr>
                <w:rFonts w:ascii="Calibri" w:eastAsia="Times New Roman" w:hAnsi="Calibri" w:cs="Times New Roman"/>
                <w:sz w:val="20"/>
                <w:szCs w:val="20"/>
              </w:rPr>
              <w:t xml:space="preserve"> municipalities</w:t>
            </w:r>
          </w:p>
        </w:tc>
        <w:tc>
          <w:tcPr>
            <w:tcW w:w="1939" w:type="pct"/>
            <w:gridSpan w:val="2"/>
          </w:tcPr>
          <w:p w14:paraId="74EF1BBD"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1012" w:type="pct"/>
            <w:gridSpan w:val="2"/>
            <w:vAlign w:val="center"/>
          </w:tcPr>
          <w:p w14:paraId="1408144E" w14:textId="77777777" w:rsidR="00D6638C" w:rsidRPr="00D6638C" w:rsidRDefault="00E1048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15 November 2013</w:t>
            </w:r>
          </w:p>
        </w:tc>
      </w:tr>
      <w:tr w:rsidR="00D6638C" w:rsidRPr="00D6638C" w14:paraId="33155F14" w14:textId="77777777" w:rsidTr="00A869AA">
        <w:trPr>
          <w:trHeight w:val="144"/>
          <w:jc w:val="center"/>
        </w:trPr>
        <w:tc>
          <w:tcPr>
            <w:tcW w:w="766" w:type="pct"/>
            <w:gridSpan w:val="2"/>
            <w:vMerge/>
            <w:vAlign w:val="center"/>
          </w:tcPr>
          <w:p w14:paraId="2E572DED" w14:textId="77777777" w:rsidR="00D6638C" w:rsidRPr="00D6638C" w:rsidRDefault="00D6638C" w:rsidP="00D6638C">
            <w:pPr>
              <w:spacing w:after="0"/>
              <w:rPr>
                <w:rFonts w:ascii="Calibri" w:eastAsia="Arial Unicode MS" w:hAnsi="Calibri" w:cs="Times New Roman"/>
                <w:sz w:val="20"/>
                <w:szCs w:val="20"/>
              </w:rPr>
            </w:pPr>
          </w:p>
        </w:tc>
        <w:tc>
          <w:tcPr>
            <w:tcW w:w="1277" w:type="pct"/>
            <w:vMerge/>
          </w:tcPr>
          <w:p w14:paraId="6189ABFF"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060" w:type="pct"/>
          </w:tcPr>
          <w:p w14:paraId="799839B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5" w:type="pct"/>
            <w:gridSpan w:val="2"/>
          </w:tcPr>
          <w:p w14:paraId="5FEBFB46"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7B1390C1" w14:textId="77777777" w:rsidR="00D6638C" w:rsidRPr="00D6638C" w:rsidRDefault="00E10486" w:rsidP="00E10486">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November 2017</w:t>
            </w:r>
          </w:p>
        </w:tc>
        <w:tc>
          <w:tcPr>
            <w:tcW w:w="1012" w:type="pct"/>
            <w:gridSpan w:val="2"/>
          </w:tcPr>
          <w:p w14:paraId="38A544A2"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3746D2E5" w14:textId="77777777" w:rsidR="00D6638C" w:rsidRPr="00D6638C" w:rsidRDefault="00E10486" w:rsidP="00E10486">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November 2018</w:t>
            </w:r>
          </w:p>
        </w:tc>
      </w:tr>
    </w:tbl>
    <w:p w14:paraId="2846F959" w14:textId="77777777" w:rsidR="00D6638C" w:rsidRPr="00B913F1" w:rsidRDefault="00D6638C" w:rsidP="00F05366">
      <w:pPr>
        <w:pStyle w:val="Heading51"/>
      </w:pPr>
      <w:bookmarkStart w:id="4" w:name="_Toc321341549"/>
      <w:r w:rsidRPr="00B913F1">
        <w:t>Objective and Scope</w:t>
      </w:r>
      <w:bookmarkEnd w:id="4"/>
    </w:p>
    <w:p w14:paraId="45D8931D" w14:textId="77777777" w:rsidR="00382BC6" w:rsidRPr="00382BC6" w:rsidRDefault="00D6638C" w:rsidP="00F82AF5">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470811">
        <w:rPr>
          <w:rFonts w:ascii="Calibri" w:eastAsia="Times New Roman" w:hAnsi="Calibri" w:cs="Times New Roman"/>
          <w:sz w:val="20"/>
          <w:szCs w:val="20"/>
        </w:rPr>
        <w:t>“</w:t>
      </w:r>
      <w:r w:rsidR="00AC573E">
        <w:rPr>
          <w:rFonts w:ascii="Calibri" w:eastAsia="Times New Roman" w:hAnsi="Calibri" w:cs="Times New Roman"/>
          <w:sz w:val="20"/>
          <w:szCs w:val="20"/>
        </w:rPr>
        <w:t>Green Urban Lighting</w:t>
      </w:r>
      <w:r w:rsidR="00470811">
        <w:rPr>
          <w:rFonts w:ascii="Calibri" w:eastAsia="Times New Roman" w:hAnsi="Calibri" w:cs="Times New Roman"/>
          <w:sz w:val="20"/>
          <w:szCs w:val="20"/>
        </w:rPr>
        <w:t>”</w:t>
      </w:r>
      <w:r w:rsidR="00AC573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project was designed </w:t>
      </w:r>
      <w:r w:rsidR="00382BC6" w:rsidRPr="00382BC6">
        <w:rPr>
          <w:rFonts w:ascii="Calibri" w:eastAsia="Times New Roman" w:hAnsi="Calibri" w:cs="Times New Roman"/>
          <w:sz w:val="20"/>
          <w:szCs w:val="20"/>
        </w:rPr>
        <w:t xml:space="preserve">to save energy and to reduce emissions of greenhouse gases by increasing energy efficiency of municipal lighting in the cities of Armenia via implementation of municipal investment programs and national policies. The project is in compliance with the national priorities to strengthen the economic and energy independence of the Republic of Armenia by promoting resources efficient and climate </w:t>
      </w:r>
      <w:r w:rsidR="00382BC6" w:rsidRPr="00382BC6">
        <w:rPr>
          <w:rFonts w:ascii="Calibri" w:eastAsia="Times New Roman" w:hAnsi="Calibri" w:cs="Times New Roman"/>
          <w:sz w:val="20"/>
          <w:szCs w:val="20"/>
        </w:rPr>
        <w:lastRenderedPageBreak/>
        <w:t xml:space="preserve">resilient growth. Collectively, these components </w:t>
      </w:r>
      <w:r w:rsidR="00382BC6">
        <w:rPr>
          <w:rFonts w:ascii="Calibri" w:eastAsia="Times New Roman" w:hAnsi="Calibri" w:cs="Times New Roman"/>
          <w:sz w:val="20"/>
          <w:szCs w:val="20"/>
        </w:rPr>
        <w:t>contribute to</w:t>
      </w:r>
      <w:r w:rsidR="00382BC6" w:rsidRPr="00382BC6">
        <w:rPr>
          <w:rFonts w:ascii="Calibri" w:eastAsia="Times New Roman" w:hAnsi="Calibri" w:cs="Times New Roman"/>
          <w:sz w:val="20"/>
          <w:szCs w:val="20"/>
        </w:rPr>
        <w:t xml:space="preserve"> put</w:t>
      </w:r>
      <w:r w:rsidR="00382BC6">
        <w:rPr>
          <w:rFonts w:ascii="Calibri" w:eastAsia="Times New Roman" w:hAnsi="Calibri" w:cs="Times New Roman"/>
          <w:sz w:val="20"/>
          <w:szCs w:val="20"/>
        </w:rPr>
        <w:t>ting</w:t>
      </w:r>
      <w:r w:rsidR="00382BC6" w:rsidRPr="00382BC6">
        <w:rPr>
          <w:rFonts w:ascii="Calibri" w:eastAsia="Times New Roman" w:hAnsi="Calibri" w:cs="Times New Roman"/>
          <w:sz w:val="20"/>
          <w:szCs w:val="20"/>
        </w:rPr>
        <w:t xml:space="preserve"> in place cornerstone policy instruments at both the municipal and national level, supported by technical, policy-related, educational, and financial measures to raise capacity, reduce investor risk, and help assure successful implementation. These activities contribute to UNDP’s goal of increasing access to sustainable energy services by introducing regulatory and institutions frameworks, promoting technology transfer.</w:t>
      </w:r>
      <w:r w:rsidR="00C83F69">
        <w:rPr>
          <w:rFonts w:ascii="Calibri" w:eastAsia="Times New Roman" w:hAnsi="Calibri" w:cs="Times New Roman"/>
          <w:sz w:val="20"/>
          <w:szCs w:val="20"/>
        </w:rPr>
        <w:t xml:space="preserve"> </w:t>
      </w:r>
    </w:p>
    <w:p w14:paraId="209099D3" w14:textId="77777777" w:rsidR="00D6638C" w:rsidRPr="00D6638C" w:rsidRDefault="00D6638C" w:rsidP="0043763A">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666A08C5" w14:textId="77777777" w:rsidR="00D6638C" w:rsidRDefault="00D6638C" w:rsidP="0043763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0CDF5499" w14:textId="77777777"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14:paraId="6EBD1BB0" w14:textId="77777777" w:rsidR="00D6638C" w:rsidRPr="00D6638C" w:rsidRDefault="00D6638C" w:rsidP="0043763A">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008725CB" w:rsidRPr="00016CB9">
        <w:rPr>
          <w:rFonts w:ascii="Calibri" w:eastAsia="Times New Roman" w:hAnsi="Calibri" w:cs="Times New Roman"/>
          <w:sz w:val="20"/>
          <w:szCs w:val="20"/>
        </w:rPr>
        <w:t>(</w:t>
      </w:r>
      <w:hyperlink w:anchor="Annex_C" w:history="1">
        <w:r w:rsidR="0017155D" w:rsidRPr="007C5239">
          <w:rPr>
            <w:rStyle w:val="Hyperlink"/>
            <w:rFonts w:ascii="Calibri" w:eastAsia="Times New Roman" w:hAnsi="Calibri" w:cs="Times New Roman"/>
            <w:sz w:val="20"/>
            <w:szCs w:val="20"/>
            <w:shd w:val="clear" w:color="auto" w:fill="FFFFFF"/>
          </w:rPr>
          <w:t>Annex C</w:t>
        </w:r>
      </w:hyperlink>
      <w:r w:rsidR="0017155D">
        <w:rPr>
          <w:rFonts w:ascii="Calibri" w:eastAsia="Times New Roman" w:hAnsi="Calibri" w:cs="Times New Roman"/>
          <w:sz w:val="20"/>
          <w:szCs w:val="20"/>
        </w:rPr>
        <w:t>).</w:t>
      </w:r>
      <w:r w:rsidR="008725CB"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evaluator is expected to amend, complete and submit this matrix as part of  an evaluation inception report, and shall include it as an annex to the final report.  </w:t>
      </w:r>
    </w:p>
    <w:p w14:paraId="67DC3249" w14:textId="77777777" w:rsidR="009F5C8A" w:rsidRDefault="00D6638C" w:rsidP="0043763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9F5C8A">
        <w:rPr>
          <w:rFonts w:ascii="Calibri" w:eastAsia="Times New Roman" w:hAnsi="Calibri" w:cs="Times New Roman"/>
          <w:i/>
          <w:sz w:val="20"/>
          <w:szCs w:val="20"/>
          <w:highlight w:val="lightGray"/>
          <w:shd w:val="clear" w:color="auto" w:fill="DDD9C3"/>
        </w:rPr>
        <w:t>Yerevan, Armenia</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project </w:t>
      </w:r>
      <w:r w:rsidRPr="00D6638C">
        <w:rPr>
          <w:rFonts w:ascii="Calibri" w:eastAsia="Times New Roman" w:hAnsi="Calibri" w:cs="Times New Roman"/>
          <w:sz w:val="20"/>
          <w:szCs w:val="20"/>
          <w:shd w:val="clear" w:color="auto" w:fill="FFFFFF"/>
        </w:rPr>
        <w:t>sites</w:t>
      </w:r>
      <w:r w:rsidR="009F5C8A">
        <w:rPr>
          <w:rFonts w:ascii="Calibri" w:eastAsia="Times New Roman" w:hAnsi="Calibri" w:cs="Times New Roman"/>
          <w:sz w:val="20"/>
          <w:szCs w:val="20"/>
          <w:shd w:val="clear" w:color="auto" w:fill="FFFFFF"/>
        </w:rPr>
        <w:t xml:space="preserve"> in selected partner towns</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009F5C8A">
        <w:rPr>
          <w:rFonts w:ascii="Calibri" w:eastAsia="Times New Roman" w:hAnsi="Calibri" w:cs="Times New Roman"/>
          <w:sz w:val="20"/>
          <w:szCs w:val="20"/>
        </w:rPr>
        <w:t>Ministry of Nature Protection, State Urban Development Committee, Municipality of Yerevan</w:t>
      </w:r>
      <w:r w:rsidR="00CA2383">
        <w:rPr>
          <w:rFonts w:ascii="Calibri" w:eastAsia="Times New Roman" w:hAnsi="Calibri" w:cs="Times New Roman"/>
          <w:sz w:val="20"/>
          <w:szCs w:val="20"/>
        </w:rPr>
        <w:t>,</w:t>
      </w:r>
      <w:r w:rsidR="009F5C8A">
        <w:rPr>
          <w:rFonts w:ascii="Calibri" w:eastAsia="Times New Roman" w:hAnsi="Calibri" w:cs="Times New Roman"/>
          <w:sz w:val="20"/>
          <w:szCs w:val="20"/>
        </w:rPr>
        <w:t xml:space="preserve"> other </w:t>
      </w:r>
      <w:r w:rsidR="00CA2383">
        <w:rPr>
          <w:rFonts w:ascii="Calibri" w:eastAsia="Times New Roman" w:hAnsi="Calibri" w:cs="Times New Roman"/>
          <w:sz w:val="20"/>
          <w:szCs w:val="20"/>
        </w:rPr>
        <w:t xml:space="preserve">selected </w:t>
      </w:r>
      <w:r w:rsidR="009F5C8A">
        <w:rPr>
          <w:rFonts w:ascii="Calibri" w:eastAsia="Times New Roman" w:hAnsi="Calibri" w:cs="Times New Roman"/>
          <w:sz w:val="20"/>
          <w:szCs w:val="20"/>
        </w:rPr>
        <w:t xml:space="preserve">partner municipalities, Yerevan Municipal Illumination CJSC, </w:t>
      </w:r>
      <w:r w:rsidR="007A5733">
        <w:rPr>
          <w:rFonts w:ascii="Calibri" w:eastAsia="Times New Roman" w:hAnsi="Calibri" w:cs="Times New Roman"/>
          <w:sz w:val="20"/>
          <w:szCs w:val="20"/>
        </w:rPr>
        <w:t>Armenian Territorial Development Fund</w:t>
      </w:r>
      <w:r w:rsidR="009F5C8A">
        <w:rPr>
          <w:rFonts w:ascii="Calibri" w:eastAsia="Times New Roman" w:hAnsi="Calibri" w:cs="Times New Roman"/>
          <w:sz w:val="20"/>
          <w:szCs w:val="20"/>
        </w:rPr>
        <w:t>.</w:t>
      </w:r>
    </w:p>
    <w:p w14:paraId="05820466" w14:textId="77777777" w:rsidR="00D6638C" w:rsidRPr="00D6638C" w:rsidRDefault="00D6638C" w:rsidP="0043763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Annex_B" w:history="1">
        <w:r w:rsidRPr="002B3FDE">
          <w:rPr>
            <w:rStyle w:val="Hyperlink"/>
            <w:rFonts w:ascii="Calibri" w:eastAsia="Times New Roman" w:hAnsi="Calibri" w:cs="Times New Roman"/>
            <w:sz w:val="20"/>
            <w:szCs w:val="20"/>
            <w:shd w:val="clear" w:color="auto" w:fill="FFFFFF"/>
          </w:rPr>
          <w:t>Annex B</w:t>
        </w:r>
      </w:hyperlink>
      <w:r w:rsidR="007C5239"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of this Terms of Reference.</w:t>
      </w:r>
    </w:p>
    <w:p w14:paraId="67EF636A" w14:textId="77777777" w:rsidR="00D6638C" w:rsidRPr="00D6638C" w:rsidRDefault="00D6638C" w:rsidP="00F05366">
      <w:pPr>
        <w:pStyle w:val="Heading51"/>
      </w:pPr>
      <w:bookmarkStart w:id="7" w:name="_Toc321341551"/>
      <w:r w:rsidRPr="00D6638C">
        <w:t>Evaluation Criteria &amp; Ratings</w:t>
      </w:r>
      <w:bookmarkEnd w:id="7"/>
    </w:p>
    <w:p w14:paraId="65C5D9B5" w14:textId="77777777" w:rsidR="00D6638C" w:rsidRPr="00D6638C" w:rsidRDefault="00D6638C" w:rsidP="0043763A">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Annex_A" w:history="1">
        <w:r w:rsidRPr="00D6638C">
          <w:rPr>
            <w:rFonts w:ascii="Calibri" w:eastAsia="Times New Roman" w:hAnsi="Calibri" w:cs="Times New Roman"/>
            <w:color w:val="0000FF"/>
            <w:sz w:val="20"/>
            <w:szCs w:val="20"/>
            <w:u w:val="single"/>
          </w:rPr>
          <w:t>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Annex_D" w:history="1">
        <w:r w:rsidRPr="00D6638C">
          <w:rPr>
            <w:rFonts w:ascii="Calibri" w:eastAsia="Times New Roman" w:hAnsi="Calibri" w:cs="Times New Roman"/>
            <w:color w:val="0000FF"/>
            <w:sz w:val="20"/>
            <w:szCs w:val="20"/>
            <w:u w:val="single"/>
          </w:rPr>
          <w:t>Annex D</w:t>
        </w:r>
      </w:hyperlink>
      <w:r w:rsidRPr="00D6638C">
        <w:rPr>
          <w:rFonts w:ascii="Calibri" w:eastAsia="Times New Roman" w:hAnsi="Calibri" w:cs="Times New Roman"/>
          <w:sz w:val="20"/>
          <w:szCs w:val="20"/>
        </w:rPr>
        <w:t>.</w:t>
      </w:r>
    </w:p>
    <w:p w14:paraId="723DECC9" w14:textId="77777777" w:rsidR="00D6638C" w:rsidRDefault="00D6638C" w:rsidP="00D6638C">
      <w:pPr>
        <w:autoSpaceDE w:val="0"/>
        <w:autoSpaceDN w:val="0"/>
        <w:adjustRightInd w:val="0"/>
        <w:spacing w:after="0"/>
        <w:rPr>
          <w:rFonts w:ascii="Calibri" w:eastAsia="Times New Roman" w:hAnsi="Calibri" w:cs="Times New Roman"/>
          <w:sz w:val="20"/>
          <w:szCs w:val="20"/>
        </w:rPr>
      </w:pPr>
    </w:p>
    <w:p w14:paraId="4371DBD6" w14:textId="77777777" w:rsidR="008F7DD0" w:rsidRDefault="008F7DD0" w:rsidP="00D6638C">
      <w:pPr>
        <w:autoSpaceDE w:val="0"/>
        <w:autoSpaceDN w:val="0"/>
        <w:adjustRightInd w:val="0"/>
        <w:spacing w:after="0"/>
        <w:rPr>
          <w:rFonts w:ascii="Calibri" w:eastAsia="Times New Roman" w:hAnsi="Calibri" w:cs="Times New Roman"/>
          <w:sz w:val="20"/>
          <w:szCs w:val="20"/>
        </w:rPr>
      </w:pPr>
    </w:p>
    <w:p w14:paraId="24731B59" w14:textId="77777777" w:rsidR="00A869AA" w:rsidRPr="00D6638C" w:rsidRDefault="00A869AA"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723"/>
        <w:gridCol w:w="4582"/>
        <w:gridCol w:w="723"/>
      </w:tblGrid>
      <w:tr w:rsidR="00D6638C" w:rsidRPr="00D6638C" w14:paraId="5E22AC3A" w14:textId="77777777" w:rsidTr="006C1964">
        <w:trPr>
          <w:trHeight w:val="206"/>
        </w:trPr>
        <w:tc>
          <w:tcPr>
            <w:tcW w:w="5000" w:type="pct"/>
            <w:gridSpan w:val="4"/>
            <w:vAlign w:val="center"/>
          </w:tcPr>
          <w:p w14:paraId="4CB1DAC6"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lastRenderedPageBreak/>
              <w:t>Evaluation Ratings:</w:t>
            </w:r>
          </w:p>
        </w:tc>
      </w:tr>
      <w:tr w:rsidR="00D6638C" w:rsidRPr="00D6638C" w14:paraId="501FCC8D" w14:textId="77777777" w:rsidTr="00A05A98">
        <w:tblPrEx>
          <w:shd w:val="clear" w:color="auto" w:fill="4F81BD"/>
        </w:tblPrEx>
        <w:tc>
          <w:tcPr>
            <w:tcW w:w="1622" w:type="pct"/>
            <w:shd w:val="clear" w:color="auto" w:fill="7F7F7F"/>
          </w:tcPr>
          <w:p w14:paraId="73362627"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405" w:type="pct"/>
            <w:shd w:val="clear" w:color="auto" w:fill="7F7F7F"/>
          </w:tcPr>
          <w:p w14:paraId="7F629462"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68" w:type="pct"/>
            <w:shd w:val="clear" w:color="auto" w:fill="7F7F7F"/>
          </w:tcPr>
          <w:p w14:paraId="03E37B4D"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405" w:type="pct"/>
            <w:shd w:val="clear" w:color="auto" w:fill="7F7F7F"/>
          </w:tcPr>
          <w:p w14:paraId="48FDEAA6"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0E898BC6"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6EF72CC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405" w:type="pct"/>
            <w:tcBorders>
              <w:bottom w:val="single" w:sz="4" w:space="0" w:color="auto"/>
            </w:tcBorders>
          </w:tcPr>
          <w:p w14:paraId="1B7E2C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68" w:type="pct"/>
            <w:tcBorders>
              <w:bottom w:val="single" w:sz="4" w:space="0" w:color="auto"/>
            </w:tcBorders>
          </w:tcPr>
          <w:p w14:paraId="52906C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405" w:type="pct"/>
            <w:tcBorders>
              <w:bottom w:val="single" w:sz="4" w:space="0" w:color="auto"/>
            </w:tcBorders>
          </w:tcPr>
          <w:p w14:paraId="09A809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B29791A"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4DC3D9A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405" w:type="pct"/>
            <w:tcBorders>
              <w:bottom w:val="single" w:sz="4" w:space="0" w:color="auto"/>
            </w:tcBorders>
          </w:tcPr>
          <w:p w14:paraId="6D82F5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68" w:type="pct"/>
            <w:tcBorders>
              <w:bottom w:val="single" w:sz="4" w:space="0" w:color="auto"/>
            </w:tcBorders>
          </w:tcPr>
          <w:p w14:paraId="5414E5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405" w:type="pct"/>
            <w:tcBorders>
              <w:bottom w:val="single" w:sz="4" w:space="0" w:color="auto"/>
            </w:tcBorders>
          </w:tcPr>
          <w:p w14:paraId="40B2170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A59DBD1"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511797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405" w:type="pct"/>
            <w:tcBorders>
              <w:bottom w:val="single" w:sz="4" w:space="0" w:color="auto"/>
            </w:tcBorders>
          </w:tcPr>
          <w:p w14:paraId="112D97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68" w:type="pct"/>
            <w:tcBorders>
              <w:bottom w:val="single" w:sz="4" w:space="0" w:color="auto"/>
            </w:tcBorders>
          </w:tcPr>
          <w:p w14:paraId="1D09A4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405" w:type="pct"/>
            <w:tcBorders>
              <w:bottom w:val="single" w:sz="4" w:space="0" w:color="auto"/>
            </w:tcBorders>
          </w:tcPr>
          <w:p w14:paraId="15F95C6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E19885C" w14:textId="77777777" w:rsidTr="00A05A98">
        <w:tblPrEx>
          <w:shd w:val="clear" w:color="auto" w:fill="4F81BD"/>
        </w:tblPrEx>
        <w:tc>
          <w:tcPr>
            <w:tcW w:w="1622" w:type="pct"/>
            <w:shd w:val="clear" w:color="auto" w:fill="7F7F7F"/>
          </w:tcPr>
          <w:p w14:paraId="0452ADF5"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405" w:type="pct"/>
            <w:shd w:val="clear" w:color="auto" w:fill="7F7F7F"/>
          </w:tcPr>
          <w:p w14:paraId="72E838F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68" w:type="pct"/>
            <w:shd w:val="clear" w:color="auto" w:fill="7F7F7F"/>
          </w:tcPr>
          <w:p w14:paraId="51DF2976"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405" w:type="pct"/>
            <w:shd w:val="clear" w:color="auto" w:fill="7F7F7F"/>
          </w:tcPr>
          <w:p w14:paraId="79466EE7"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366D8022"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5490EF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405" w:type="pct"/>
          </w:tcPr>
          <w:p w14:paraId="573C8B1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68" w:type="pct"/>
          </w:tcPr>
          <w:p w14:paraId="48B1FC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405" w:type="pct"/>
          </w:tcPr>
          <w:p w14:paraId="6F23407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BFD52E8"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21D95C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405" w:type="pct"/>
          </w:tcPr>
          <w:p w14:paraId="2ACE38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68" w:type="pct"/>
          </w:tcPr>
          <w:p w14:paraId="444EE9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405" w:type="pct"/>
          </w:tcPr>
          <w:p w14:paraId="225CC4F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F1C5795"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20626EF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405" w:type="pct"/>
          </w:tcPr>
          <w:p w14:paraId="7B46D3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68" w:type="pct"/>
          </w:tcPr>
          <w:p w14:paraId="671FD44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405" w:type="pct"/>
          </w:tcPr>
          <w:p w14:paraId="4B1EFEA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446FD2C"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7D58E63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405" w:type="pct"/>
          </w:tcPr>
          <w:p w14:paraId="5683B1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68" w:type="pct"/>
          </w:tcPr>
          <w:p w14:paraId="1539A0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405" w:type="pct"/>
          </w:tcPr>
          <w:p w14:paraId="5EDE61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62C4233"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026B37B0" w14:textId="77777777" w:rsidR="00D6638C" w:rsidRPr="00D6638C" w:rsidRDefault="00D6638C" w:rsidP="00D6638C">
            <w:pPr>
              <w:spacing w:after="0"/>
              <w:rPr>
                <w:rFonts w:ascii="Calibri" w:eastAsia="Times New Roman" w:hAnsi="Calibri" w:cs="Times New Roman"/>
                <w:sz w:val="20"/>
                <w:szCs w:val="20"/>
              </w:rPr>
            </w:pPr>
          </w:p>
        </w:tc>
        <w:tc>
          <w:tcPr>
            <w:tcW w:w="405" w:type="pct"/>
          </w:tcPr>
          <w:p w14:paraId="6643FEFA" w14:textId="77777777" w:rsidR="00D6638C" w:rsidRPr="00D6638C" w:rsidRDefault="00D6638C" w:rsidP="00D6638C">
            <w:pPr>
              <w:spacing w:after="0"/>
              <w:rPr>
                <w:rFonts w:ascii="Calibri" w:eastAsia="Times New Roman" w:hAnsi="Calibri" w:cs="Times New Roman"/>
                <w:sz w:val="20"/>
                <w:szCs w:val="20"/>
              </w:rPr>
            </w:pPr>
          </w:p>
        </w:tc>
        <w:tc>
          <w:tcPr>
            <w:tcW w:w="2568" w:type="pct"/>
          </w:tcPr>
          <w:p w14:paraId="5999A4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405" w:type="pct"/>
          </w:tcPr>
          <w:p w14:paraId="765501A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A05A98" w:rsidRPr="00D6638C" w14:paraId="09A08166"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5AF467BB"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Calibri"/>
                <w:b/>
                <w:bCs/>
                <w:color w:val="FFFFFF"/>
                <w:sz w:val="20"/>
                <w:szCs w:val="20"/>
              </w:rPr>
              <w:t>5. Impact:</w:t>
            </w:r>
          </w:p>
        </w:tc>
        <w:tc>
          <w:tcPr>
            <w:tcW w:w="405" w:type="pct"/>
          </w:tcPr>
          <w:p w14:paraId="6D3C5C87"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Calibri"/>
                <w:b/>
                <w:bCs/>
                <w:i/>
                <w:color w:val="FFFFFF"/>
                <w:sz w:val="20"/>
                <w:szCs w:val="20"/>
              </w:rPr>
              <w:t>rating</w:t>
            </w:r>
          </w:p>
        </w:tc>
        <w:tc>
          <w:tcPr>
            <w:tcW w:w="2568" w:type="pct"/>
          </w:tcPr>
          <w:p w14:paraId="3FB6A0F4" w14:textId="77777777" w:rsidR="00A05A98" w:rsidRPr="00D6638C" w:rsidRDefault="00A05A98" w:rsidP="00A05A98">
            <w:pPr>
              <w:spacing w:after="0"/>
              <w:rPr>
                <w:rFonts w:ascii="Calibri" w:eastAsia="Times New Roman" w:hAnsi="Calibri" w:cs="Times New Roman"/>
                <w:sz w:val="20"/>
                <w:szCs w:val="20"/>
              </w:rPr>
            </w:pPr>
          </w:p>
        </w:tc>
        <w:tc>
          <w:tcPr>
            <w:tcW w:w="405" w:type="pct"/>
          </w:tcPr>
          <w:p w14:paraId="5C49787F"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t>rating</w:t>
            </w:r>
          </w:p>
        </w:tc>
      </w:tr>
      <w:tr w:rsidR="00A05A98" w:rsidRPr="00D6638C" w14:paraId="01F85957"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6D90D0B0"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t xml:space="preserve">Environmental Status Improvement </w:t>
            </w:r>
          </w:p>
        </w:tc>
        <w:tc>
          <w:tcPr>
            <w:tcW w:w="405" w:type="pct"/>
          </w:tcPr>
          <w:p w14:paraId="67A2D756"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fldChar w:fldCharType="end"/>
            </w:r>
          </w:p>
        </w:tc>
        <w:tc>
          <w:tcPr>
            <w:tcW w:w="2568" w:type="pct"/>
          </w:tcPr>
          <w:p w14:paraId="6D2BF18E" w14:textId="77777777" w:rsidR="00A05A98" w:rsidRPr="00D6638C" w:rsidRDefault="00A05A98" w:rsidP="00A05A98">
            <w:pPr>
              <w:spacing w:after="0"/>
              <w:rPr>
                <w:rFonts w:ascii="Calibri" w:eastAsia="Times New Roman" w:hAnsi="Calibri" w:cs="Times New Roman"/>
                <w:sz w:val="20"/>
                <w:szCs w:val="20"/>
              </w:rPr>
            </w:pPr>
          </w:p>
        </w:tc>
        <w:tc>
          <w:tcPr>
            <w:tcW w:w="405" w:type="pct"/>
          </w:tcPr>
          <w:p w14:paraId="49DEC354"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fldChar w:fldCharType="end"/>
            </w:r>
          </w:p>
        </w:tc>
      </w:tr>
      <w:tr w:rsidR="00A05A98" w:rsidRPr="00D6638C" w14:paraId="3DC68E3C"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2F8820B2"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t xml:space="preserve">Environmental Status Reduction </w:t>
            </w:r>
          </w:p>
        </w:tc>
        <w:tc>
          <w:tcPr>
            <w:tcW w:w="405" w:type="pct"/>
          </w:tcPr>
          <w:p w14:paraId="145B0816"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fldChar w:fldCharType="end"/>
            </w:r>
          </w:p>
        </w:tc>
        <w:tc>
          <w:tcPr>
            <w:tcW w:w="2568" w:type="pct"/>
          </w:tcPr>
          <w:p w14:paraId="0352000C" w14:textId="77777777" w:rsidR="00A05A98" w:rsidRPr="00D6638C" w:rsidRDefault="00A05A98" w:rsidP="00A05A98">
            <w:pPr>
              <w:spacing w:after="0"/>
              <w:rPr>
                <w:rFonts w:ascii="Calibri" w:eastAsia="Times New Roman" w:hAnsi="Calibri" w:cs="Times New Roman"/>
                <w:sz w:val="20"/>
                <w:szCs w:val="20"/>
              </w:rPr>
            </w:pPr>
          </w:p>
        </w:tc>
        <w:tc>
          <w:tcPr>
            <w:tcW w:w="405" w:type="pct"/>
          </w:tcPr>
          <w:p w14:paraId="7BD88DD8"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fldChar w:fldCharType="end"/>
            </w:r>
          </w:p>
        </w:tc>
      </w:tr>
      <w:tr w:rsidR="00A05A98" w:rsidRPr="00D6638C" w14:paraId="790E074E"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22" w:type="pct"/>
          </w:tcPr>
          <w:p w14:paraId="054B5A75"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t xml:space="preserve">Progress towards status change </w:t>
            </w:r>
          </w:p>
        </w:tc>
        <w:tc>
          <w:tcPr>
            <w:tcW w:w="405" w:type="pct"/>
          </w:tcPr>
          <w:p w14:paraId="36D9F8FF"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fldChar w:fldCharType="end"/>
            </w:r>
          </w:p>
        </w:tc>
        <w:tc>
          <w:tcPr>
            <w:tcW w:w="2568" w:type="pct"/>
          </w:tcPr>
          <w:p w14:paraId="633214D8" w14:textId="77777777" w:rsidR="00A05A98" w:rsidRPr="00D6638C" w:rsidRDefault="00A05A98" w:rsidP="00A05A98">
            <w:pPr>
              <w:spacing w:after="0"/>
              <w:rPr>
                <w:rFonts w:ascii="Calibri" w:eastAsia="Times New Roman" w:hAnsi="Calibri" w:cs="Times New Roman"/>
                <w:sz w:val="20"/>
                <w:szCs w:val="20"/>
              </w:rPr>
            </w:pPr>
          </w:p>
        </w:tc>
        <w:tc>
          <w:tcPr>
            <w:tcW w:w="405" w:type="pct"/>
          </w:tcPr>
          <w:p w14:paraId="135683E1"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fldChar w:fldCharType="end"/>
            </w:r>
          </w:p>
        </w:tc>
      </w:tr>
      <w:tr w:rsidR="00A05A98" w:rsidRPr="00D6638C" w14:paraId="6CCE4C34" w14:textId="77777777" w:rsidTr="00A05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95" w:type="pct"/>
            <w:gridSpan w:val="3"/>
          </w:tcPr>
          <w:p w14:paraId="2A3B40DC"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Calibri"/>
                <w:b/>
                <w:bCs/>
                <w:color w:val="FFFFFF"/>
                <w:sz w:val="20"/>
                <w:szCs w:val="20"/>
              </w:rPr>
              <w:t xml:space="preserve">Overall Project Results </w:t>
            </w:r>
          </w:p>
        </w:tc>
        <w:tc>
          <w:tcPr>
            <w:tcW w:w="405" w:type="pct"/>
          </w:tcPr>
          <w:p w14:paraId="3E3405C6" w14:textId="77777777" w:rsidR="00A05A98" w:rsidRPr="00D6638C" w:rsidRDefault="00A05A98" w:rsidP="00A05A98">
            <w:pPr>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t> </w:t>
            </w:r>
            <w:r>
              <w:rPr>
                <w:rFonts w:ascii="Calibri" w:eastAsia="Times New Roman" w:hAnsi="Calibri" w:cs="Times New Roman"/>
                <w:sz w:val="20"/>
                <w:szCs w:val="20"/>
              </w:rPr>
              <w:fldChar w:fldCharType="end"/>
            </w:r>
          </w:p>
        </w:tc>
      </w:tr>
    </w:tbl>
    <w:p w14:paraId="414E4779"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14:paraId="7318CC0A" w14:textId="77777777" w:rsidR="00D6638C" w:rsidRPr="00D6638C" w:rsidRDefault="00D6638C" w:rsidP="0043763A">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900"/>
        <w:gridCol w:w="943"/>
        <w:gridCol w:w="992"/>
        <w:gridCol w:w="992"/>
        <w:gridCol w:w="939"/>
        <w:gridCol w:w="990"/>
        <w:gridCol w:w="906"/>
        <w:gridCol w:w="733"/>
      </w:tblGrid>
      <w:tr w:rsidR="00D6638C" w:rsidRPr="00D6638C" w14:paraId="21D44F40" w14:textId="77777777" w:rsidTr="005E7E20">
        <w:tc>
          <w:tcPr>
            <w:tcW w:w="1838" w:type="dxa"/>
            <w:vMerge w:val="restart"/>
          </w:tcPr>
          <w:p w14:paraId="195888B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748233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843" w:type="dxa"/>
            <w:gridSpan w:val="2"/>
          </w:tcPr>
          <w:p w14:paraId="41FA6B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1984" w:type="dxa"/>
            <w:gridSpan w:val="2"/>
          </w:tcPr>
          <w:p w14:paraId="3F0593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53EDDB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29" w:type="dxa"/>
            <w:gridSpan w:val="2"/>
          </w:tcPr>
          <w:p w14:paraId="66F990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w:t>
            </w:r>
            <w:r w:rsidR="009E0CB3">
              <w:rPr>
                <w:rFonts w:ascii="Calibri" w:eastAsia="Times New Roman" w:hAnsi="Calibri" w:cs="Times New Roman"/>
                <w:sz w:val="20"/>
                <w:szCs w:val="20"/>
              </w:rPr>
              <w:t>ies</w:t>
            </w:r>
          </w:p>
          <w:p w14:paraId="0F33592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639" w:type="dxa"/>
            <w:gridSpan w:val="2"/>
          </w:tcPr>
          <w:p w14:paraId="3FF06F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05EAF56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9B37C6" w:rsidRPr="00D6638C" w14:paraId="571FBEFA" w14:textId="77777777" w:rsidTr="005E7E20">
        <w:trPr>
          <w:trHeight w:val="143"/>
        </w:trPr>
        <w:tc>
          <w:tcPr>
            <w:tcW w:w="1838" w:type="dxa"/>
            <w:vMerge/>
          </w:tcPr>
          <w:p w14:paraId="68F108E3" w14:textId="77777777" w:rsidR="009B37C6" w:rsidRPr="00D6638C" w:rsidRDefault="009B37C6" w:rsidP="009B37C6">
            <w:pPr>
              <w:spacing w:after="0"/>
              <w:rPr>
                <w:rFonts w:ascii="Calibri" w:eastAsia="Times New Roman" w:hAnsi="Calibri" w:cs="Times New Roman"/>
                <w:sz w:val="20"/>
                <w:szCs w:val="20"/>
              </w:rPr>
            </w:pPr>
          </w:p>
        </w:tc>
        <w:tc>
          <w:tcPr>
            <w:tcW w:w="900" w:type="dxa"/>
          </w:tcPr>
          <w:p w14:paraId="01EEE6FA"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43" w:type="dxa"/>
          </w:tcPr>
          <w:p w14:paraId="451FB79F"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992" w:type="dxa"/>
          </w:tcPr>
          <w:p w14:paraId="6CD42E72"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2" w:type="dxa"/>
          </w:tcPr>
          <w:p w14:paraId="2306BA89"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39" w:type="dxa"/>
          </w:tcPr>
          <w:p w14:paraId="542EDBA1"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4ACA2BB"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06" w:type="dxa"/>
          </w:tcPr>
          <w:p w14:paraId="0DEBA159"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733" w:type="dxa"/>
          </w:tcPr>
          <w:p w14:paraId="23999CC4" w14:textId="77777777" w:rsidR="009B37C6" w:rsidRPr="00D6638C" w:rsidRDefault="009B37C6" w:rsidP="009B37C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3F667C" w:rsidRPr="00D6638C" w14:paraId="3BD4BB27" w14:textId="77777777" w:rsidTr="005E7E20">
        <w:tc>
          <w:tcPr>
            <w:tcW w:w="1838" w:type="dxa"/>
          </w:tcPr>
          <w:p w14:paraId="77EE6A5D" w14:textId="77777777" w:rsidR="003F667C" w:rsidRPr="00D6638C" w:rsidRDefault="003F667C" w:rsidP="003F667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vAlign w:val="center"/>
          </w:tcPr>
          <w:p w14:paraId="1073610F" w14:textId="77777777" w:rsidR="003F667C" w:rsidRPr="00D6638C" w:rsidRDefault="003F667C" w:rsidP="003F667C">
            <w:pPr>
              <w:spacing w:after="0"/>
              <w:jc w:val="center"/>
              <w:rPr>
                <w:rFonts w:ascii="Calibri" w:eastAsia="Times New Roman" w:hAnsi="Calibri" w:cs="Times New Roman"/>
                <w:sz w:val="20"/>
                <w:szCs w:val="20"/>
              </w:rPr>
            </w:pPr>
          </w:p>
        </w:tc>
        <w:tc>
          <w:tcPr>
            <w:tcW w:w="943" w:type="dxa"/>
            <w:vAlign w:val="center"/>
          </w:tcPr>
          <w:p w14:paraId="355F25E3" w14:textId="77777777" w:rsidR="003F667C" w:rsidRPr="00D6638C" w:rsidRDefault="003F667C" w:rsidP="003F667C">
            <w:pPr>
              <w:spacing w:after="0"/>
              <w:jc w:val="center"/>
              <w:rPr>
                <w:rFonts w:ascii="Calibri" w:eastAsia="Times New Roman" w:hAnsi="Calibri" w:cs="Times New Roman"/>
                <w:sz w:val="20"/>
                <w:szCs w:val="20"/>
              </w:rPr>
            </w:pPr>
          </w:p>
        </w:tc>
        <w:tc>
          <w:tcPr>
            <w:tcW w:w="992" w:type="dxa"/>
            <w:vAlign w:val="center"/>
          </w:tcPr>
          <w:p w14:paraId="1E3D3A1A" w14:textId="77777777" w:rsidR="003F667C" w:rsidRPr="00D6638C" w:rsidRDefault="003F667C" w:rsidP="003F667C">
            <w:pPr>
              <w:spacing w:after="0"/>
              <w:jc w:val="center"/>
              <w:rPr>
                <w:rFonts w:ascii="Calibri" w:eastAsia="Times New Roman" w:hAnsi="Calibri" w:cs="Times New Roman"/>
                <w:sz w:val="20"/>
                <w:szCs w:val="20"/>
              </w:rPr>
            </w:pPr>
          </w:p>
        </w:tc>
        <w:tc>
          <w:tcPr>
            <w:tcW w:w="992" w:type="dxa"/>
            <w:vAlign w:val="center"/>
          </w:tcPr>
          <w:p w14:paraId="2DEAB99C" w14:textId="77777777" w:rsidR="003F667C" w:rsidRPr="00D6638C" w:rsidRDefault="003F667C" w:rsidP="003F667C">
            <w:pPr>
              <w:spacing w:after="0"/>
              <w:jc w:val="center"/>
              <w:rPr>
                <w:rFonts w:ascii="Calibri" w:eastAsia="Times New Roman" w:hAnsi="Calibri" w:cs="Times New Roman"/>
                <w:sz w:val="20"/>
                <w:szCs w:val="20"/>
              </w:rPr>
            </w:pPr>
          </w:p>
        </w:tc>
        <w:tc>
          <w:tcPr>
            <w:tcW w:w="939" w:type="dxa"/>
            <w:vAlign w:val="center"/>
          </w:tcPr>
          <w:p w14:paraId="20DF5810" w14:textId="77777777" w:rsidR="003F667C" w:rsidRPr="00D6638C" w:rsidRDefault="003F667C" w:rsidP="003F667C">
            <w:pPr>
              <w:spacing w:after="0"/>
              <w:jc w:val="center"/>
              <w:rPr>
                <w:rFonts w:ascii="Calibri" w:eastAsia="Times New Roman" w:hAnsi="Calibri" w:cs="Times New Roman"/>
                <w:sz w:val="20"/>
                <w:szCs w:val="20"/>
              </w:rPr>
            </w:pPr>
          </w:p>
        </w:tc>
        <w:tc>
          <w:tcPr>
            <w:tcW w:w="990" w:type="dxa"/>
            <w:vAlign w:val="center"/>
          </w:tcPr>
          <w:p w14:paraId="33420EBE" w14:textId="77777777" w:rsidR="003F667C" w:rsidRPr="005E7E20" w:rsidRDefault="003F667C" w:rsidP="003F667C">
            <w:pPr>
              <w:spacing w:after="0"/>
              <w:jc w:val="center"/>
              <w:rPr>
                <w:rFonts w:ascii="Calibri" w:eastAsia="Times New Roman" w:hAnsi="Calibri" w:cs="Times New Roman"/>
                <w:color w:val="FF0000"/>
                <w:sz w:val="20"/>
                <w:szCs w:val="20"/>
              </w:rPr>
            </w:pPr>
          </w:p>
        </w:tc>
        <w:tc>
          <w:tcPr>
            <w:tcW w:w="906" w:type="dxa"/>
            <w:vAlign w:val="bottom"/>
          </w:tcPr>
          <w:p w14:paraId="083C59F5" w14:textId="77777777" w:rsidR="003F667C" w:rsidRPr="003F667C" w:rsidRDefault="003F667C" w:rsidP="003F667C">
            <w:pPr>
              <w:spacing w:after="0"/>
              <w:jc w:val="center"/>
              <w:rPr>
                <w:rFonts w:ascii="Calibri" w:eastAsia="Times New Roman" w:hAnsi="Calibri" w:cs="Times New Roman"/>
                <w:sz w:val="20"/>
                <w:szCs w:val="20"/>
              </w:rPr>
            </w:pPr>
          </w:p>
        </w:tc>
        <w:tc>
          <w:tcPr>
            <w:tcW w:w="733" w:type="dxa"/>
            <w:vAlign w:val="bottom"/>
          </w:tcPr>
          <w:p w14:paraId="0E53B1B2" w14:textId="77777777" w:rsidR="003F667C" w:rsidRPr="003F667C" w:rsidRDefault="003F667C" w:rsidP="003F667C">
            <w:pPr>
              <w:spacing w:after="0"/>
              <w:jc w:val="center"/>
              <w:rPr>
                <w:rFonts w:ascii="Calibri" w:eastAsia="Times New Roman" w:hAnsi="Calibri" w:cs="Times New Roman"/>
                <w:sz w:val="20"/>
                <w:szCs w:val="20"/>
              </w:rPr>
            </w:pPr>
          </w:p>
        </w:tc>
      </w:tr>
      <w:tr w:rsidR="003F667C" w:rsidRPr="00D6638C" w14:paraId="0A89BBCF" w14:textId="77777777" w:rsidTr="005E7E20">
        <w:trPr>
          <w:trHeight w:val="332"/>
        </w:trPr>
        <w:tc>
          <w:tcPr>
            <w:tcW w:w="1838" w:type="dxa"/>
          </w:tcPr>
          <w:p w14:paraId="6B1C9790" w14:textId="77777777" w:rsidR="003F667C" w:rsidRPr="00D6638C" w:rsidRDefault="003F667C" w:rsidP="003F667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vAlign w:val="center"/>
          </w:tcPr>
          <w:p w14:paraId="42EF6BB2" w14:textId="77777777" w:rsidR="003F667C" w:rsidRPr="00D6638C" w:rsidRDefault="003F667C" w:rsidP="003F667C">
            <w:pPr>
              <w:spacing w:after="0"/>
              <w:jc w:val="center"/>
              <w:rPr>
                <w:rFonts w:ascii="Calibri" w:eastAsia="Times New Roman" w:hAnsi="Calibri" w:cs="Times New Roman"/>
                <w:sz w:val="20"/>
                <w:szCs w:val="20"/>
              </w:rPr>
            </w:pPr>
          </w:p>
        </w:tc>
        <w:tc>
          <w:tcPr>
            <w:tcW w:w="943" w:type="dxa"/>
            <w:vAlign w:val="center"/>
          </w:tcPr>
          <w:p w14:paraId="76035338" w14:textId="77777777" w:rsidR="003F667C" w:rsidRPr="00D6638C" w:rsidRDefault="003F667C" w:rsidP="003F667C">
            <w:pPr>
              <w:spacing w:after="0"/>
              <w:jc w:val="center"/>
              <w:rPr>
                <w:rFonts w:ascii="Calibri" w:eastAsia="Times New Roman" w:hAnsi="Calibri" w:cs="Times New Roman"/>
                <w:sz w:val="20"/>
                <w:szCs w:val="20"/>
              </w:rPr>
            </w:pPr>
          </w:p>
        </w:tc>
        <w:tc>
          <w:tcPr>
            <w:tcW w:w="992" w:type="dxa"/>
            <w:vAlign w:val="center"/>
          </w:tcPr>
          <w:p w14:paraId="789C7716" w14:textId="77777777" w:rsidR="003F667C" w:rsidRPr="00D6638C" w:rsidRDefault="003F667C" w:rsidP="003F667C">
            <w:pPr>
              <w:spacing w:after="0"/>
              <w:jc w:val="center"/>
              <w:rPr>
                <w:rFonts w:ascii="Calibri" w:eastAsia="Times New Roman" w:hAnsi="Calibri" w:cs="Times New Roman"/>
                <w:sz w:val="20"/>
                <w:szCs w:val="20"/>
              </w:rPr>
            </w:pPr>
          </w:p>
        </w:tc>
        <w:tc>
          <w:tcPr>
            <w:tcW w:w="992" w:type="dxa"/>
            <w:vAlign w:val="center"/>
          </w:tcPr>
          <w:p w14:paraId="25918EFD" w14:textId="77777777" w:rsidR="003F667C" w:rsidRPr="00D6638C" w:rsidRDefault="003F667C" w:rsidP="003F667C">
            <w:pPr>
              <w:spacing w:after="0"/>
              <w:jc w:val="center"/>
              <w:rPr>
                <w:rFonts w:ascii="Calibri" w:eastAsia="Times New Roman" w:hAnsi="Calibri" w:cs="Times New Roman"/>
                <w:sz w:val="20"/>
                <w:szCs w:val="20"/>
              </w:rPr>
            </w:pPr>
          </w:p>
        </w:tc>
        <w:tc>
          <w:tcPr>
            <w:tcW w:w="939" w:type="dxa"/>
            <w:vAlign w:val="center"/>
          </w:tcPr>
          <w:p w14:paraId="5C274D76" w14:textId="77777777" w:rsidR="003F667C" w:rsidRPr="00D6638C" w:rsidRDefault="003F667C" w:rsidP="003F667C">
            <w:pPr>
              <w:spacing w:after="0"/>
              <w:jc w:val="center"/>
              <w:rPr>
                <w:rFonts w:ascii="Calibri" w:eastAsia="Times New Roman" w:hAnsi="Calibri" w:cs="Times New Roman"/>
                <w:sz w:val="20"/>
                <w:szCs w:val="20"/>
              </w:rPr>
            </w:pPr>
          </w:p>
        </w:tc>
        <w:tc>
          <w:tcPr>
            <w:tcW w:w="990" w:type="dxa"/>
            <w:vAlign w:val="center"/>
          </w:tcPr>
          <w:p w14:paraId="6AD381A1" w14:textId="77777777" w:rsidR="003F667C" w:rsidRPr="005E7E20" w:rsidRDefault="003F667C" w:rsidP="003F667C">
            <w:pPr>
              <w:spacing w:after="0"/>
              <w:jc w:val="center"/>
              <w:rPr>
                <w:rFonts w:ascii="Calibri" w:eastAsia="Times New Roman" w:hAnsi="Calibri" w:cs="Times New Roman"/>
                <w:color w:val="FF0000"/>
                <w:sz w:val="20"/>
                <w:szCs w:val="20"/>
              </w:rPr>
            </w:pPr>
          </w:p>
        </w:tc>
        <w:tc>
          <w:tcPr>
            <w:tcW w:w="906" w:type="dxa"/>
            <w:vAlign w:val="bottom"/>
          </w:tcPr>
          <w:p w14:paraId="4F20EE8E" w14:textId="77777777" w:rsidR="003F667C" w:rsidRPr="003F667C" w:rsidRDefault="003F667C" w:rsidP="003F667C">
            <w:pPr>
              <w:spacing w:after="0"/>
              <w:jc w:val="center"/>
              <w:rPr>
                <w:rFonts w:ascii="Calibri" w:eastAsia="Times New Roman" w:hAnsi="Calibri" w:cs="Times New Roman"/>
                <w:sz w:val="20"/>
                <w:szCs w:val="20"/>
              </w:rPr>
            </w:pPr>
          </w:p>
        </w:tc>
        <w:tc>
          <w:tcPr>
            <w:tcW w:w="733" w:type="dxa"/>
            <w:vAlign w:val="bottom"/>
          </w:tcPr>
          <w:p w14:paraId="3D6C9B2C" w14:textId="77777777" w:rsidR="003F667C" w:rsidRPr="003F667C" w:rsidRDefault="003F667C" w:rsidP="003F667C">
            <w:pPr>
              <w:spacing w:after="0"/>
              <w:jc w:val="center"/>
              <w:rPr>
                <w:rFonts w:ascii="Calibri" w:eastAsia="Times New Roman" w:hAnsi="Calibri" w:cs="Times New Roman"/>
                <w:sz w:val="20"/>
                <w:szCs w:val="20"/>
              </w:rPr>
            </w:pPr>
          </w:p>
        </w:tc>
      </w:tr>
      <w:tr w:rsidR="003F667C" w:rsidRPr="00D6638C" w14:paraId="7F646F52" w14:textId="77777777" w:rsidTr="005E7E20">
        <w:tc>
          <w:tcPr>
            <w:tcW w:w="1838" w:type="dxa"/>
          </w:tcPr>
          <w:p w14:paraId="60F698FD" w14:textId="77777777" w:rsidR="003F667C" w:rsidRPr="00D6638C" w:rsidRDefault="003F667C" w:rsidP="003F667C">
            <w:pPr>
              <w:numPr>
                <w:ilvl w:val="0"/>
                <w:numId w:val="17"/>
              </w:numPr>
              <w:spacing w:before="60" w:after="60" w:line="240" w:lineRule="auto"/>
              <w:ind w:left="171" w:hanging="171"/>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vAlign w:val="center"/>
          </w:tcPr>
          <w:p w14:paraId="6F5802DD" w14:textId="77777777" w:rsidR="003F667C" w:rsidRPr="00D6638C" w:rsidRDefault="003F667C" w:rsidP="003F667C">
            <w:pPr>
              <w:spacing w:after="0"/>
              <w:jc w:val="center"/>
              <w:rPr>
                <w:rFonts w:ascii="Calibri" w:eastAsia="Times New Roman" w:hAnsi="Calibri" w:cs="Times New Roman"/>
                <w:sz w:val="20"/>
                <w:szCs w:val="20"/>
              </w:rPr>
            </w:pPr>
          </w:p>
        </w:tc>
        <w:tc>
          <w:tcPr>
            <w:tcW w:w="943" w:type="dxa"/>
            <w:vAlign w:val="center"/>
          </w:tcPr>
          <w:p w14:paraId="1E72DA23" w14:textId="77777777" w:rsidR="003F667C" w:rsidRPr="00D6638C" w:rsidRDefault="003F667C" w:rsidP="003F667C">
            <w:pPr>
              <w:spacing w:after="0"/>
              <w:jc w:val="center"/>
              <w:rPr>
                <w:rFonts w:ascii="Calibri" w:eastAsia="Times New Roman" w:hAnsi="Calibri" w:cs="Times New Roman"/>
                <w:sz w:val="20"/>
                <w:szCs w:val="20"/>
              </w:rPr>
            </w:pPr>
          </w:p>
        </w:tc>
        <w:tc>
          <w:tcPr>
            <w:tcW w:w="992" w:type="dxa"/>
            <w:vAlign w:val="center"/>
          </w:tcPr>
          <w:p w14:paraId="37274250" w14:textId="77777777" w:rsidR="003F667C" w:rsidRPr="00D6638C" w:rsidRDefault="003F667C" w:rsidP="003F667C">
            <w:pPr>
              <w:spacing w:after="0"/>
              <w:jc w:val="center"/>
              <w:rPr>
                <w:rFonts w:ascii="Calibri" w:eastAsia="Times New Roman" w:hAnsi="Calibri" w:cs="Times New Roman"/>
                <w:sz w:val="20"/>
                <w:szCs w:val="20"/>
              </w:rPr>
            </w:pPr>
          </w:p>
        </w:tc>
        <w:tc>
          <w:tcPr>
            <w:tcW w:w="992" w:type="dxa"/>
            <w:vAlign w:val="center"/>
          </w:tcPr>
          <w:p w14:paraId="7827C97B" w14:textId="77777777" w:rsidR="003F667C" w:rsidRPr="00D6638C" w:rsidRDefault="003F667C" w:rsidP="003F667C">
            <w:pPr>
              <w:spacing w:after="0"/>
              <w:jc w:val="center"/>
              <w:rPr>
                <w:rFonts w:ascii="Calibri" w:eastAsia="Times New Roman" w:hAnsi="Calibri" w:cs="Times New Roman"/>
                <w:sz w:val="20"/>
                <w:szCs w:val="20"/>
              </w:rPr>
            </w:pPr>
          </w:p>
        </w:tc>
        <w:tc>
          <w:tcPr>
            <w:tcW w:w="939" w:type="dxa"/>
            <w:vAlign w:val="center"/>
          </w:tcPr>
          <w:p w14:paraId="29696C65" w14:textId="77777777" w:rsidR="003F667C" w:rsidRPr="00D6638C" w:rsidRDefault="003F667C" w:rsidP="003F667C">
            <w:pPr>
              <w:spacing w:after="0"/>
              <w:jc w:val="center"/>
              <w:rPr>
                <w:rFonts w:ascii="Calibri" w:eastAsia="Times New Roman" w:hAnsi="Calibri" w:cs="Times New Roman"/>
                <w:sz w:val="20"/>
                <w:szCs w:val="20"/>
              </w:rPr>
            </w:pPr>
          </w:p>
        </w:tc>
        <w:tc>
          <w:tcPr>
            <w:tcW w:w="990" w:type="dxa"/>
            <w:vAlign w:val="center"/>
          </w:tcPr>
          <w:p w14:paraId="4C702A25" w14:textId="77777777" w:rsidR="003F667C" w:rsidRPr="005E7E20" w:rsidRDefault="003F667C" w:rsidP="003F667C">
            <w:pPr>
              <w:spacing w:after="0"/>
              <w:jc w:val="center"/>
              <w:rPr>
                <w:rFonts w:ascii="Calibri" w:eastAsia="Times New Roman" w:hAnsi="Calibri" w:cs="Times New Roman"/>
                <w:color w:val="FF0000"/>
                <w:sz w:val="20"/>
                <w:szCs w:val="20"/>
              </w:rPr>
            </w:pPr>
          </w:p>
        </w:tc>
        <w:tc>
          <w:tcPr>
            <w:tcW w:w="906" w:type="dxa"/>
            <w:vAlign w:val="bottom"/>
          </w:tcPr>
          <w:p w14:paraId="060DA3EA" w14:textId="77777777" w:rsidR="003F667C" w:rsidRPr="003F667C" w:rsidRDefault="003F667C" w:rsidP="003F667C">
            <w:pPr>
              <w:spacing w:after="0"/>
              <w:jc w:val="center"/>
              <w:rPr>
                <w:rFonts w:ascii="Calibri" w:eastAsia="Times New Roman" w:hAnsi="Calibri" w:cs="Times New Roman"/>
                <w:sz w:val="20"/>
                <w:szCs w:val="20"/>
              </w:rPr>
            </w:pPr>
          </w:p>
        </w:tc>
        <w:tc>
          <w:tcPr>
            <w:tcW w:w="733" w:type="dxa"/>
            <w:vAlign w:val="bottom"/>
          </w:tcPr>
          <w:p w14:paraId="5455ECA6" w14:textId="77777777" w:rsidR="003F667C" w:rsidRPr="003F667C" w:rsidRDefault="003F667C" w:rsidP="003F667C">
            <w:pPr>
              <w:spacing w:after="0"/>
              <w:jc w:val="center"/>
              <w:rPr>
                <w:rFonts w:ascii="Calibri" w:eastAsia="Times New Roman" w:hAnsi="Calibri" w:cs="Times New Roman"/>
                <w:sz w:val="20"/>
                <w:szCs w:val="20"/>
              </w:rPr>
            </w:pPr>
          </w:p>
        </w:tc>
      </w:tr>
      <w:tr w:rsidR="003268FC" w:rsidRPr="00D6638C" w14:paraId="3B112140" w14:textId="77777777" w:rsidTr="005E7E20">
        <w:tc>
          <w:tcPr>
            <w:tcW w:w="1838" w:type="dxa"/>
          </w:tcPr>
          <w:p w14:paraId="4B0FA6E2" w14:textId="77777777" w:rsidR="003268FC" w:rsidRPr="00D6638C" w:rsidRDefault="003268FC" w:rsidP="003268FC">
            <w:pPr>
              <w:numPr>
                <w:ilvl w:val="0"/>
                <w:numId w:val="17"/>
              </w:numPr>
              <w:spacing w:before="60" w:after="60" w:line="240" w:lineRule="auto"/>
              <w:ind w:left="171" w:hanging="171"/>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vAlign w:val="center"/>
          </w:tcPr>
          <w:p w14:paraId="3281FCF3" w14:textId="77777777" w:rsidR="003268FC" w:rsidRPr="00D6638C" w:rsidRDefault="003268FC" w:rsidP="003268FC">
            <w:pPr>
              <w:spacing w:after="0"/>
              <w:jc w:val="center"/>
              <w:rPr>
                <w:rFonts w:ascii="Calibri" w:eastAsia="Times New Roman" w:hAnsi="Calibri" w:cs="Times New Roman"/>
                <w:sz w:val="20"/>
                <w:szCs w:val="20"/>
              </w:rPr>
            </w:pPr>
          </w:p>
        </w:tc>
        <w:tc>
          <w:tcPr>
            <w:tcW w:w="943" w:type="dxa"/>
            <w:vAlign w:val="center"/>
          </w:tcPr>
          <w:p w14:paraId="3FD1CFBE" w14:textId="77777777" w:rsidR="003268FC" w:rsidRPr="00D6638C" w:rsidRDefault="003268FC" w:rsidP="003268FC">
            <w:pPr>
              <w:spacing w:after="0"/>
              <w:jc w:val="center"/>
              <w:rPr>
                <w:rFonts w:ascii="Calibri" w:eastAsia="Times New Roman" w:hAnsi="Calibri" w:cs="Times New Roman"/>
                <w:sz w:val="20"/>
                <w:szCs w:val="20"/>
              </w:rPr>
            </w:pPr>
          </w:p>
        </w:tc>
        <w:tc>
          <w:tcPr>
            <w:tcW w:w="992" w:type="dxa"/>
            <w:vAlign w:val="center"/>
          </w:tcPr>
          <w:p w14:paraId="6F1B8137" w14:textId="77777777" w:rsidR="003268FC" w:rsidRPr="005E7E20" w:rsidRDefault="003268FC" w:rsidP="003268FC">
            <w:pPr>
              <w:spacing w:after="0"/>
              <w:jc w:val="center"/>
              <w:rPr>
                <w:rFonts w:ascii="Calibri" w:eastAsia="Times New Roman" w:hAnsi="Calibri" w:cs="Times New Roman"/>
                <w:color w:val="FF0000"/>
                <w:sz w:val="20"/>
                <w:szCs w:val="20"/>
              </w:rPr>
            </w:pPr>
          </w:p>
        </w:tc>
        <w:tc>
          <w:tcPr>
            <w:tcW w:w="992" w:type="dxa"/>
            <w:vAlign w:val="center"/>
          </w:tcPr>
          <w:p w14:paraId="0D3908FB" w14:textId="77777777" w:rsidR="003268FC" w:rsidRPr="005E7E20" w:rsidRDefault="003268FC" w:rsidP="003268FC">
            <w:pPr>
              <w:spacing w:after="0"/>
              <w:jc w:val="center"/>
              <w:rPr>
                <w:rFonts w:ascii="Calibri" w:eastAsia="Times New Roman" w:hAnsi="Calibri" w:cs="Times New Roman"/>
                <w:sz w:val="20"/>
                <w:szCs w:val="20"/>
              </w:rPr>
            </w:pPr>
          </w:p>
        </w:tc>
        <w:tc>
          <w:tcPr>
            <w:tcW w:w="939" w:type="dxa"/>
            <w:vAlign w:val="center"/>
          </w:tcPr>
          <w:p w14:paraId="601A2B2C" w14:textId="77777777" w:rsidR="003268FC" w:rsidRPr="005E7E20" w:rsidRDefault="003268FC" w:rsidP="003268FC">
            <w:pPr>
              <w:spacing w:after="0"/>
              <w:jc w:val="center"/>
              <w:rPr>
                <w:rFonts w:ascii="Calibri" w:eastAsia="Times New Roman" w:hAnsi="Calibri" w:cs="Times New Roman"/>
                <w:sz w:val="20"/>
                <w:szCs w:val="20"/>
              </w:rPr>
            </w:pPr>
          </w:p>
        </w:tc>
        <w:tc>
          <w:tcPr>
            <w:tcW w:w="990" w:type="dxa"/>
            <w:vAlign w:val="center"/>
          </w:tcPr>
          <w:p w14:paraId="66F71458" w14:textId="77777777" w:rsidR="003268FC" w:rsidRPr="005E7E20" w:rsidRDefault="003268FC" w:rsidP="003268FC">
            <w:pPr>
              <w:spacing w:after="0"/>
              <w:jc w:val="center"/>
              <w:rPr>
                <w:rFonts w:ascii="Calibri" w:eastAsia="Times New Roman" w:hAnsi="Calibri" w:cs="Times New Roman"/>
                <w:color w:val="FF0000"/>
                <w:sz w:val="20"/>
                <w:szCs w:val="20"/>
              </w:rPr>
            </w:pPr>
          </w:p>
        </w:tc>
        <w:tc>
          <w:tcPr>
            <w:tcW w:w="906" w:type="dxa"/>
            <w:vAlign w:val="bottom"/>
          </w:tcPr>
          <w:p w14:paraId="2FD45A3F" w14:textId="77777777" w:rsidR="003268FC" w:rsidRPr="003F667C" w:rsidRDefault="003268FC" w:rsidP="003268FC">
            <w:pPr>
              <w:spacing w:after="0"/>
              <w:jc w:val="center"/>
              <w:rPr>
                <w:rFonts w:ascii="Calibri" w:eastAsia="Times New Roman" w:hAnsi="Calibri" w:cs="Times New Roman"/>
                <w:sz w:val="20"/>
                <w:szCs w:val="20"/>
              </w:rPr>
            </w:pPr>
          </w:p>
        </w:tc>
        <w:tc>
          <w:tcPr>
            <w:tcW w:w="733" w:type="dxa"/>
            <w:vAlign w:val="bottom"/>
          </w:tcPr>
          <w:p w14:paraId="0096FA68" w14:textId="77777777" w:rsidR="003268FC" w:rsidRPr="003F667C" w:rsidRDefault="003268FC" w:rsidP="003268FC">
            <w:pPr>
              <w:spacing w:after="0"/>
              <w:jc w:val="center"/>
              <w:rPr>
                <w:rFonts w:ascii="Calibri" w:eastAsia="Times New Roman" w:hAnsi="Calibri" w:cs="Times New Roman"/>
                <w:sz w:val="20"/>
                <w:szCs w:val="20"/>
              </w:rPr>
            </w:pPr>
          </w:p>
        </w:tc>
      </w:tr>
      <w:tr w:rsidR="003268FC" w:rsidRPr="00D6638C" w14:paraId="3BF6DAFD" w14:textId="77777777" w:rsidTr="005E7E20">
        <w:trPr>
          <w:trHeight w:val="215"/>
        </w:trPr>
        <w:tc>
          <w:tcPr>
            <w:tcW w:w="1838" w:type="dxa"/>
          </w:tcPr>
          <w:p w14:paraId="1B357A4E" w14:textId="77777777" w:rsidR="003268FC" w:rsidRPr="00D6638C" w:rsidRDefault="003268FC" w:rsidP="003268F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vAlign w:val="center"/>
          </w:tcPr>
          <w:p w14:paraId="6DA1D069" w14:textId="77777777" w:rsidR="003268FC" w:rsidRPr="00D6638C" w:rsidRDefault="003268FC" w:rsidP="003268FC">
            <w:pPr>
              <w:spacing w:after="0"/>
              <w:jc w:val="center"/>
              <w:rPr>
                <w:rFonts w:ascii="Calibri" w:eastAsia="Times New Roman" w:hAnsi="Calibri" w:cs="Times New Roman"/>
                <w:sz w:val="20"/>
                <w:szCs w:val="20"/>
              </w:rPr>
            </w:pPr>
          </w:p>
        </w:tc>
        <w:tc>
          <w:tcPr>
            <w:tcW w:w="943" w:type="dxa"/>
            <w:vAlign w:val="center"/>
          </w:tcPr>
          <w:p w14:paraId="73C53052" w14:textId="77777777" w:rsidR="003268FC" w:rsidRPr="00D6638C" w:rsidRDefault="003268FC" w:rsidP="003268FC">
            <w:pPr>
              <w:spacing w:after="0"/>
              <w:jc w:val="center"/>
              <w:rPr>
                <w:rFonts w:ascii="Calibri" w:eastAsia="Times New Roman" w:hAnsi="Calibri" w:cs="Times New Roman"/>
                <w:sz w:val="20"/>
                <w:szCs w:val="20"/>
              </w:rPr>
            </w:pPr>
          </w:p>
        </w:tc>
        <w:tc>
          <w:tcPr>
            <w:tcW w:w="992" w:type="dxa"/>
            <w:vAlign w:val="center"/>
          </w:tcPr>
          <w:p w14:paraId="6EDBB472" w14:textId="77777777" w:rsidR="003268FC" w:rsidRPr="005E7E20" w:rsidRDefault="003268FC" w:rsidP="003268FC">
            <w:pPr>
              <w:spacing w:after="0"/>
              <w:jc w:val="center"/>
              <w:rPr>
                <w:rFonts w:ascii="Calibri" w:eastAsia="Times New Roman" w:hAnsi="Calibri" w:cs="Times New Roman"/>
                <w:color w:val="FF0000"/>
                <w:sz w:val="20"/>
                <w:szCs w:val="20"/>
              </w:rPr>
            </w:pPr>
          </w:p>
        </w:tc>
        <w:tc>
          <w:tcPr>
            <w:tcW w:w="992" w:type="dxa"/>
            <w:vAlign w:val="center"/>
          </w:tcPr>
          <w:p w14:paraId="7DA66096" w14:textId="77777777" w:rsidR="003268FC" w:rsidRPr="00D6638C" w:rsidRDefault="003268FC" w:rsidP="003268FC">
            <w:pPr>
              <w:spacing w:after="0"/>
              <w:jc w:val="center"/>
              <w:rPr>
                <w:rFonts w:ascii="Calibri" w:eastAsia="Times New Roman" w:hAnsi="Calibri" w:cs="Times New Roman"/>
                <w:sz w:val="20"/>
                <w:szCs w:val="20"/>
              </w:rPr>
            </w:pPr>
          </w:p>
        </w:tc>
        <w:tc>
          <w:tcPr>
            <w:tcW w:w="939" w:type="dxa"/>
            <w:vAlign w:val="center"/>
          </w:tcPr>
          <w:p w14:paraId="72D45F56" w14:textId="77777777" w:rsidR="003268FC" w:rsidRPr="00D6638C" w:rsidRDefault="003268FC" w:rsidP="003268FC">
            <w:pPr>
              <w:spacing w:after="0"/>
              <w:jc w:val="center"/>
              <w:rPr>
                <w:rFonts w:ascii="Calibri" w:eastAsia="Times New Roman" w:hAnsi="Calibri" w:cs="Times New Roman"/>
                <w:sz w:val="20"/>
                <w:szCs w:val="20"/>
              </w:rPr>
            </w:pPr>
          </w:p>
        </w:tc>
        <w:tc>
          <w:tcPr>
            <w:tcW w:w="990" w:type="dxa"/>
            <w:vAlign w:val="center"/>
          </w:tcPr>
          <w:p w14:paraId="585A6864" w14:textId="77777777" w:rsidR="003268FC" w:rsidRPr="005E7E20" w:rsidRDefault="003268FC" w:rsidP="003268FC">
            <w:pPr>
              <w:spacing w:after="0"/>
              <w:jc w:val="center"/>
              <w:rPr>
                <w:rFonts w:ascii="Calibri" w:eastAsia="Times New Roman" w:hAnsi="Calibri" w:cs="Times New Roman"/>
                <w:color w:val="FF0000"/>
                <w:sz w:val="20"/>
                <w:szCs w:val="20"/>
              </w:rPr>
            </w:pPr>
          </w:p>
        </w:tc>
        <w:tc>
          <w:tcPr>
            <w:tcW w:w="906" w:type="dxa"/>
            <w:vAlign w:val="bottom"/>
          </w:tcPr>
          <w:p w14:paraId="1F63B1CD" w14:textId="77777777" w:rsidR="003268FC" w:rsidRPr="003F667C" w:rsidRDefault="003268FC" w:rsidP="003268FC">
            <w:pPr>
              <w:spacing w:after="0"/>
              <w:jc w:val="center"/>
              <w:rPr>
                <w:rFonts w:ascii="Calibri" w:eastAsia="Times New Roman" w:hAnsi="Calibri" w:cs="Times New Roman"/>
                <w:sz w:val="20"/>
                <w:szCs w:val="20"/>
              </w:rPr>
            </w:pPr>
          </w:p>
        </w:tc>
        <w:tc>
          <w:tcPr>
            <w:tcW w:w="733" w:type="dxa"/>
            <w:vAlign w:val="bottom"/>
          </w:tcPr>
          <w:p w14:paraId="4EA8C769" w14:textId="77777777" w:rsidR="003268FC" w:rsidRPr="003F667C" w:rsidRDefault="003268FC" w:rsidP="003268FC">
            <w:pPr>
              <w:spacing w:after="0"/>
              <w:jc w:val="center"/>
              <w:rPr>
                <w:rFonts w:ascii="Calibri" w:eastAsia="Times New Roman" w:hAnsi="Calibri" w:cs="Times New Roman"/>
                <w:sz w:val="20"/>
                <w:szCs w:val="20"/>
              </w:rPr>
            </w:pPr>
          </w:p>
        </w:tc>
      </w:tr>
    </w:tbl>
    <w:p w14:paraId="083BFF92" w14:textId="77777777" w:rsidR="00D6638C" w:rsidRPr="00D6638C" w:rsidRDefault="00D6638C" w:rsidP="00F05366">
      <w:pPr>
        <w:pStyle w:val="Heading51"/>
      </w:pPr>
      <w:bookmarkStart w:id="16" w:name="_Toc321341553"/>
      <w:r w:rsidRPr="00D6638C">
        <w:t>Mainstreaming</w:t>
      </w:r>
      <w:bookmarkEnd w:id="10"/>
      <w:bookmarkEnd w:id="16"/>
    </w:p>
    <w:p w14:paraId="00C8277C"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199F704E" w14:textId="77777777" w:rsidR="00D6638C" w:rsidRPr="00D6638C" w:rsidRDefault="00D6638C" w:rsidP="00F05366">
      <w:pPr>
        <w:pStyle w:val="Heading51"/>
      </w:pPr>
      <w:bookmarkStart w:id="17" w:name="_Toc277677980"/>
      <w:bookmarkStart w:id="18" w:name="_Toc321341554"/>
      <w:r w:rsidRPr="00D6638C">
        <w:t>Impact</w:t>
      </w:r>
      <w:bookmarkEnd w:id="17"/>
      <w:bookmarkEnd w:id="18"/>
    </w:p>
    <w:p w14:paraId="14A412EB"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w:t>
      </w:r>
      <w:r w:rsidRPr="00D6638C">
        <w:rPr>
          <w:rFonts w:ascii="Calibri" w:eastAsia="Times New Roman" w:hAnsi="Calibri" w:cs="Times New Roman"/>
          <w:sz w:val="20"/>
          <w:szCs w:val="20"/>
        </w:rPr>
        <w:lastRenderedPageBreak/>
        <w:t xml:space="preserve">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75767149"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14:paraId="5BE4F0A5"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78F0DA8E" w14:textId="77777777"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4AFD7A03"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3268FC" w:rsidRPr="008725CB">
        <w:rPr>
          <w:rFonts w:ascii="Calibri" w:eastAsia="Times New Roman" w:hAnsi="Calibri" w:cs="Times New Roman"/>
          <w:sz w:val="20"/>
          <w:szCs w:val="20"/>
        </w:rPr>
        <w:t>Armenia</w:t>
      </w:r>
      <w:r w:rsidRPr="008725CB">
        <w:rPr>
          <w:rFonts w:ascii="Calibri" w:eastAsia="Times New Roman" w:hAnsi="Calibri" w:cs="Times New Roman"/>
          <w:sz w:val="20"/>
          <w:szCs w:val="20"/>
        </w:rPr>
        <w:t>.</w:t>
      </w:r>
      <w:r w:rsidR="007C5239">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UNDP CO will contract the evaluator and ensure the timely provision of per diems and travel arrangements within the country for the evaluation team. The Project Team will be responsible for liaising with the </w:t>
      </w:r>
      <w:r w:rsidR="00D522C8">
        <w:rPr>
          <w:rFonts w:ascii="Calibri" w:eastAsia="Times New Roman" w:hAnsi="Calibri" w:cs="Times New Roman"/>
          <w:sz w:val="20"/>
          <w:szCs w:val="20"/>
        </w:rPr>
        <w:t>e</w:t>
      </w:r>
      <w:r w:rsidRPr="00D6638C">
        <w:rPr>
          <w:rFonts w:ascii="Calibri" w:eastAsia="Times New Roman" w:hAnsi="Calibri" w:cs="Times New Roman"/>
          <w:sz w:val="20"/>
          <w:szCs w:val="20"/>
        </w:rPr>
        <w:t>valuators to set up stakeholder interviews, arrange field visits, coordinate with the Government</w:t>
      </w:r>
      <w:r w:rsidR="00D522C8">
        <w:rPr>
          <w:rFonts w:ascii="Calibri" w:eastAsia="Times New Roman" w:hAnsi="Calibri" w:cs="Times New Roman"/>
          <w:sz w:val="20"/>
          <w:szCs w:val="20"/>
        </w:rPr>
        <w:t>, provide interpreter for full period of the mission, and transportation support for demonstration sites visits,</w:t>
      </w:r>
      <w:r w:rsidRPr="00D6638C">
        <w:rPr>
          <w:rFonts w:ascii="Calibri" w:eastAsia="Times New Roman" w:hAnsi="Calibri" w:cs="Times New Roman"/>
          <w:sz w:val="20"/>
          <w:szCs w:val="20"/>
        </w:rPr>
        <w:t xml:space="preserve"> etc.  </w:t>
      </w:r>
      <w:bookmarkStart w:id="27" w:name="_Toc299133047"/>
      <w:bookmarkStart w:id="28" w:name="_Toc299122838"/>
      <w:bookmarkStart w:id="29" w:name="_Toc299122860"/>
      <w:bookmarkStart w:id="30" w:name="_Toc299126629"/>
      <w:bookmarkEnd w:id="22"/>
    </w:p>
    <w:p w14:paraId="793EABD0" w14:textId="77777777" w:rsidR="00D6638C" w:rsidRPr="00D6638C" w:rsidRDefault="00D6638C" w:rsidP="00022F8E">
      <w:pPr>
        <w:pStyle w:val="Heading51"/>
      </w:pPr>
      <w:r w:rsidRPr="00D6638C">
        <w:t>Evaluation timeframe</w:t>
      </w:r>
      <w:bookmarkEnd w:id="27"/>
      <w:bookmarkEnd w:id="28"/>
      <w:bookmarkEnd w:id="29"/>
      <w:bookmarkEnd w:id="30"/>
    </w:p>
    <w:p w14:paraId="74524BE3"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152BDC">
        <w:rPr>
          <w:rFonts w:ascii="Calibri" w:eastAsia="Times New Roman" w:hAnsi="Calibri" w:cs="Times New Roman"/>
          <w:i/>
          <w:sz w:val="20"/>
          <w:szCs w:val="20"/>
          <w:highlight w:val="lightGray"/>
        </w:rPr>
        <w:t>20</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348"/>
        <w:gridCol w:w="2928"/>
      </w:tblGrid>
      <w:tr w:rsidR="00D6638C" w:rsidRPr="00D6638C" w14:paraId="2663DDB2" w14:textId="77777777" w:rsidTr="00224F9C">
        <w:trPr>
          <w:trHeight w:val="440"/>
        </w:trPr>
        <w:tc>
          <w:tcPr>
            <w:tcW w:w="2988" w:type="dxa"/>
            <w:shd w:val="clear" w:color="auto" w:fill="7F7F7F"/>
          </w:tcPr>
          <w:p w14:paraId="14363117"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7E05E8F0"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43C6381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4AEC6965" w14:textId="77777777" w:rsidTr="00224F9C">
        <w:tc>
          <w:tcPr>
            <w:tcW w:w="2988" w:type="dxa"/>
          </w:tcPr>
          <w:p w14:paraId="603CC6B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16A108AB" w14:textId="77777777" w:rsidR="00D6638C" w:rsidRPr="00D6638C" w:rsidRDefault="00152BDC" w:rsidP="00152BD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4</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rPr>
              <w:t>(</w:t>
            </w:r>
            <w:r w:rsidR="00D6638C" w:rsidRPr="00224F9C">
              <w:rPr>
                <w:rFonts w:ascii="Calibri" w:eastAsia="Times New Roman" w:hAnsi="Calibri" w:cs="Times New Roman"/>
                <w:i/>
                <w:sz w:val="20"/>
                <w:szCs w:val="20"/>
                <w:highlight w:val="lightGray"/>
              </w:rPr>
              <w:t>recommended: 2-4)</w:t>
            </w:r>
          </w:p>
        </w:tc>
        <w:tc>
          <w:tcPr>
            <w:tcW w:w="3071" w:type="dxa"/>
          </w:tcPr>
          <w:p w14:paraId="3AD650F4" w14:textId="77777777" w:rsidR="00D6638C" w:rsidRPr="00224F9C" w:rsidRDefault="00152BDC"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May 2018</w:t>
            </w:r>
          </w:p>
        </w:tc>
      </w:tr>
      <w:tr w:rsidR="00D6638C" w:rsidRPr="00D6638C" w14:paraId="1E4BF9FD" w14:textId="77777777" w:rsidTr="00224F9C">
        <w:tc>
          <w:tcPr>
            <w:tcW w:w="2988" w:type="dxa"/>
          </w:tcPr>
          <w:p w14:paraId="6A942FD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51FC3760" w14:textId="77777777" w:rsidR="00D6638C" w:rsidRPr="00D6638C" w:rsidRDefault="00152BDC" w:rsidP="00152BDC">
            <w:pPr>
              <w:spacing w:after="0"/>
              <w:rPr>
                <w:rFonts w:ascii="Calibri" w:eastAsia="Times New Roman" w:hAnsi="Calibri" w:cs="Times New Roman"/>
                <w:b/>
                <w:sz w:val="20"/>
                <w:szCs w:val="20"/>
              </w:rPr>
            </w:pPr>
            <w:r w:rsidRPr="00152BDC">
              <w:rPr>
                <w:rFonts w:ascii="Calibri" w:eastAsia="Times New Roman" w:hAnsi="Calibri" w:cs="Times New Roman"/>
                <w:i/>
                <w:sz w:val="20"/>
                <w:szCs w:val="20"/>
                <w:highlight w:val="lightGray"/>
              </w:rPr>
              <w:t>7</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r: 7-15)</w:t>
            </w:r>
          </w:p>
        </w:tc>
        <w:tc>
          <w:tcPr>
            <w:tcW w:w="3071" w:type="dxa"/>
          </w:tcPr>
          <w:p w14:paraId="53E549C5" w14:textId="77777777" w:rsidR="00D6638C" w:rsidRPr="00224F9C" w:rsidRDefault="00152BDC" w:rsidP="00152BD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June 2018</w:t>
            </w:r>
          </w:p>
        </w:tc>
      </w:tr>
      <w:tr w:rsidR="00D6638C" w:rsidRPr="00D6638C" w14:paraId="5B21E9E0" w14:textId="77777777" w:rsidTr="00224F9C">
        <w:tc>
          <w:tcPr>
            <w:tcW w:w="2988" w:type="dxa"/>
          </w:tcPr>
          <w:p w14:paraId="63C2163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27DACB0B" w14:textId="77777777" w:rsidR="00D6638C" w:rsidRPr="00D6638C" w:rsidRDefault="00152BDC" w:rsidP="00152BDC">
            <w:pPr>
              <w:spacing w:after="0"/>
              <w:rPr>
                <w:rFonts w:ascii="Calibri" w:eastAsia="Times New Roman" w:hAnsi="Calibri" w:cs="Times New Roman"/>
                <w:b/>
                <w:sz w:val="20"/>
                <w:szCs w:val="20"/>
              </w:rPr>
            </w:pPr>
            <w:r w:rsidRPr="00152BDC">
              <w:rPr>
                <w:rFonts w:ascii="Calibri" w:eastAsia="Times New Roman" w:hAnsi="Calibri" w:cs="Times New Roman"/>
                <w:i/>
                <w:sz w:val="20"/>
                <w:szCs w:val="20"/>
                <w:highlight w:val="lightGray"/>
              </w:rPr>
              <w:t>7</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shd w:val="clear" w:color="auto" w:fill="FFFFFF"/>
              </w:rPr>
              <w:t>r: 5-10</w:t>
            </w:r>
            <w:r w:rsidR="00D6638C" w:rsidRPr="00D6638C">
              <w:rPr>
                <w:rFonts w:ascii="Calibri" w:eastAsia="Times New Roman" w:hAnsi="Calibri" w:cs="Times New Roman"/>
                <w:sz w:val="20"/>
                <w:szCs w:val="20"/>
                <w:highlight w:val="lightGray"/>
                <w:shd w:val="clear" w:color="auto" w:fill="FFFFFF"/>
              </w:rPr>
              <w:t>)</w:t>
            </w:r>
          </w:p>
        </w:tc>
        <w:tc>
          <w:tcPr>
            <w:tcW w:w="3071" w:type="dxa"/>
          </w:tcPr>
          <w:p w14:paraId="0FAC2C08" w14:textId="77777777" w:rsidR="00D6638C" w:rsidRPr="00224F9C" w:rsidRDefault="00152BDC"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July 2018</w:t>
            </w:r>
          </w:p>
        </w:tc>
      </w:tr>
      <w:tr w:rsidR="00D6638C" w:rsidRPr="00D6638C" w14:paraId="6D27AF9A" w14:textId="77777777" w:rsidTr="00224F9C">
        <w:tc>
          <w:tcPr>
            <w:tcW w:w="2988" w:type="dxa"/>
          </w:tcPr>
          <w:p w14:paraId="3F160E5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4C3102E3" w14:textId="77777777" w:rsidR="00D6638C" w:rsidRPr="00D6638C" w:rsidRDefault="00152BDC" w:rsidP="00152BDC">
            <w:pPr>
              <w:spacing w:after="0"/>
              <w:rPr>
                <w:rFonts w:ascii="Calibri" w:eastAsia="Times New Roman" w:hAnsi="Calibri" w:cs="Times New Roman"/>
                <w:sz w:val="20"/>
                <w:szCs w:val="20"/>
              </w:rPr>
            </w:pPr>
            <w:r>
              <w:rPr>
                <w:rFonts w:ascii="Calibri" w:eastAsia="Times New Roman" w:hAnsi="Calibri" w:cs="Times New Roman"/>
                <w:i/>
                <w:sz w:val="20"/>
                <w:szCs w:val="20"/>
                <w:highlight w:val="lightGray"/>
              </w:rPr>
              <w:t>2</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(r: 1-2</w:t>
            </w:r>
            <w:r w:rsidR="00D6638C" w:rsidRPr="00D6638C">
              <w:rPr>
                <w:rFonts w:ascii="Calibri" w:eastAsia="Times New Roman" w:hAnsi="Calibri" w:cs="Times New Roman"/>
                <w:sz w:val="20"/>
                <w:szCs w:val="20"/>
                <w:highlight w:val="lightGray"/>
              </w:rPr>
              <w:t>)</w:t>
            </w:r>
          </w:p>
        </w:tc>
        <w:tc>
          <w:tcPr>
            <w:tcW w:w="3071" w:type="dxa"/>
          </w:tcPr>
          <w:p w14:paraId="0F488BCB" w14:textId="77777777" w:rsidR="00D6638C" w:rsidRPr="00224F9C" w:rsidRDefault="00152BDC" w:rsidP="008725CB">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August 2018</w:t>
            </w:r>
          </w:p>
        </w:tc>
      </w:tr>
    </w:tbl>
    <w:p w14:paraId="2688A461" w14:textId="77777777"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14:paraId="6316D369"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300"/>
        <w:gridCol w:w="2268"/>
        <w:gridCol w:w="3039"/>
      </w:tblGrid>
      <w:tr w:rsidR="00D6638C" w:rsidRPr="00D6638C" w14:paraId="4ACB64F2" w14:textId="77777777" w:rsidTr="00A869AA">
        <w:tc>
          <w:tcPr>
            <w:tcW w:w="1523" w:type="dxa"/>
            <w:shd w:val="clear" w:color="auto" w:fill="7F7F7F"/>
          </w:tcPr>
          <w:p w14:paraId="7DB9497E"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00" w:type="dxa"/>
            <w:shd w:val="clear" w:color="auto" w:fill="7F7F7F"/>
          </w:tcPr>
          <w:p w14:paraId="48456B9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268" w:type="dxa"/>
            <w:shd w:val="clear" w:color="auto" w:fill="7F7F7F"/>
          </w:tcPr>
          <w:p w14:paraId="2A3E8E8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39" w:type="dxa"/>
            <w:shd w:val="clear" w:color="auto" w:fill="7F7F7F"/>
          </w:tcPr>
          <w:p w14:paraId="3CEF7E41"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235335EF" w14:textId="77777777" w:rsidTr="00A869AA">
        <w:tc>
          <w:tcPr>
            <w:tcW w:w="1523" w:type="dxa"/>
          </w:tcPr>
          <w:p w14:paraId="77EC6FE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00" w:type="dxa"/>
          </w:tcPr>
          <w:p w14:paraId="448CEE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268" w:type="dxa"/>
          </w:tcPr>
          <w:p w14:paraId="6D9403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39" w:type="dxa"/>
          </w:tcPr>
          <w:p w14:paraId="624C472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17C02CF4" w14:textId="77777777" w:rsidTr="00A869AA">
        <w:tc>
          <w:tcPr>
            <w:tcW w:w="1523" w:type="dxa"/>
          </w:tcPr>
          <w:p w14:paraId="4A48C83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00" w:type="dxa"/>
          </w:tcPr>
          <w:p w14:paraId="653607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268" w:type="dxa"/>
          </w:tcPr>
          <w:p w14:paraId="64CE71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39" w:type="dxa"/>
          </w:tcPr>
          <w:p w14:paraId="5ED476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385789D1" w14:textId="77777777" w:rsidTr="00A869AA">
        <w:tc>
          <w:tcPr>
            <w:tcW w:w="1523" w:type="dxa"/>
          </w:tcPr>
          <w:p w14:paraId="42895AA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00" w:type="dxa"/>
          </w:tcPr>
          <w:p w14:paraId="2A6722CA"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268" w:type="dxa"/>
          </w:tcPr>
          <w:p w14:paraId="51AE77B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39" w:type="dxa"/>
          </w:tcPr>
          <w:p w14:paraId="2D33D3F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44EF339F" w14:textId="77777777" w:rsidTr="00A869AA">
        <w:tc>
          <w:tcPr>
            <w:tcW w:w="1523" w:type="dxa"/>
          </w:tcPr>
          <w:p w14:paraId="114EDDA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00" w:type="dxa"/>
          </w:tcPr>
          <w:p w14:paraId="199A61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268" w:type="dxa"/>
          </w:tcPr>
          <w:p w14:paraId="52A8D0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39" w:type="dxa"/>
          </w:tcPr>
          <w:p w14:paraId="31592BB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279C2551" w14:textId="77777777" w:rsid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report</w:t>
      </w:r>
      <w:r w:rsidR="002B3FDE">
        <w:rPr>
          <w:rFonts w:ascii="Calibri" w:eastAsia="Times New Roman" w:hAnsi="Calibri" w:cs="Times New Roman"/>
          <w:sz w:val="20"/>
          <w:szCs w:val="20"/>
        </w:rPr>
        <w:t xml:space="preserve"> (</w:t>
      </w:r>
      <w:hyperlink w:anchor="Annex_H" w:history="1">
        <w:r w:rsidR="002B3FDE" w:rsidRPr="002B3FDE">
          <w:rPr>
            <w:rStyle w:val="Hyperlink"/>
            <w:rFonts w:ascii="Calibri" w:eastAsia="Times New Roman" w:hAnsi="Calibri" w:cs="Times New Roman"/>
            <w:i/>
            <w:sz w:val="20"/>
            <w:szCs w:val="20"/>
          </w:rPr>
          <w:t>Annex H</w:t>
        </w:r>
      </w:hyperlink>
      <w:r w:rsidR="002B3FDE">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w:t>
      </w:r>
    </w:p>
    <w:p w14:paraId="6EECE77E" w14:textId="77777777" w:rsidR="00A869AA" w:rsidRDefault="00A869AA" w:rsidP="00D6638C">
      <w:pPr>
        <w:spacing w:before="200"/>
        <w:jc w:val="both"/>
        <w:rPr>
          <w:rFonts w:ascii="Calibri" w:eastAsia="Times New Roman" w:hAnsi="Calibri" w:cs="Times New Roman"/>
          <w:sz w:val="20"/>
          <w:szCs w:val="20"/>
        </w:rPr>
      </w:pPr>
    </w:p>
    <w:p w14:paraId="1179B587" w14:textId="77777777" w:rsidR="00A869AA" w:rsidRPr="00D6638C" w:rsidRDefault="00A869AA" w:rsidP="00D6638C">
      <w:pPr>
        <w:spacing w:before="200"/>
        <w:jc w:val="both"/>
        <w:rPr>
          <w:rFonts w:ascii="Calibri" w:eastAsia="Times New Roman" w:hAnsi="Calibri" w:cs="Times New Roman"/>
          <w:sz w:val="20"/>
          <w:szCs w:val="20"/>
        </w:rPr>
      </w:pPr>
    </w:p>
    <w:p w14:paraId="2C506400" w14:textId="77777777" w:rsidR="00D6638C" w:rsidRPr="00D6638C" w:rsidRDefault="00470811" w:rsidP="00F05366">
      <w:pPr>
        <w:pStyle w:val="Heading51"/>
      </w:pPr>
      <w:r>
        <w:lastRenderedPageBreak/>
        <w:t xml:space="preserve">EVALUATORS COMPETeNCIES and QUALIFICATION REQUIREMENTS </w:t>
      </w:r>
    </w:p>
    <w:p w14:paraId="23192A1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D522C8">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1770A93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D522C8" w:rsidRPr="00D6638C">
        <w:rPr>
          <w:rFonts w:ascii="Calibri" w:eastAsia="Times New Roman" w:hAnsi="Calibri" w:cs="Times New Roman"/>
          <w:sz w:val="20"/>
          <w:szCs w:val="20"/>
        </w:rPr>
        <w:t xml:space="preserve"> evaluator</w:t>
      </w:r>
      <w:r w:rsidRPr="00D6638C">
        <w:rPr>
          <w:rFonts w:ascii="Calibri" w:eastAsia="Times New Roman" w:hAnsi="Calibri" w:cs="Times New Roman"/>
          <w:sz w:val="20"/>
          <w:szCs w:val="20"/>
        </w:rPr>
        <w:t xml:space="preserve"> must present the following qualifications:</w:t>
      </w:r>
    </w:p>
    <w:p w14:paraId="58199726" w14:textId="77777777" w:rsidR="00577D76" w:rsidRPr="00FF0300" w:rsidRDefault="00577D76" w:rsidP="00577D76">
      <w:pPr>
        <w:numPr>
          <w:ilvl w:val="0"/>
          <w:numId w:val="17"/>
        </w:numPr>
        <w:spacing w:before="60" w:after="60" w:line="240" w:lineRule="auto"/>
        <w:rPr>
          <w:rFonts w:ascii="Calibri" w:eastAsia="Times New Roman" w:hAnsi="Calibri" w:cs="Times New Roman"/>
          <w:sz w:val="20"/>
          <w:szCs w:val="20"/>
          <w:shd w:val="clear" w:color="auto" w:fill="FFFFFF"/>
        </w:rPr>
      </w:pPr>
      <w:r w:rsidRPr="00FF0300">
        <w:rPr>
          <w:rFonts w:ascii="Calibri" w:eastAsia="Times New Roman" w:hAnsi="Calibri" w:cs="Times New Roman"/>
          <w:sz w:val="20"/>
          <w:szCs w:val="20"/>
          <w:shd w:val="clear" w:color="auto" w:fill="FFFFFF"/>
        </w:rPr>
        <w:t>Education</w:t>
      </w:r>
      <w:r>
        <w:rPr>
          <w:rFonts w:ascii="Calibri" w:eastAsia="Times New Roman" w:hAnsi="Calibri" w:cs="Times New Roman"/>
          <w:sz w:val="20"/>
          <w:szCs w:val="20"/>
          <w:shd w:val="clear" w:color="auto" w:fill="FFFFFF"/>
        </w:rPr>
        <w:t>: degree in energy, environment, economics, climate change or similar;</w:t>
      </w:r>
      <w:r w:rsidRPr="00FF0300">
        <w:rPr>
          <w:rFonts w:ascii="Calibri" w:eastAsia="Times New Roman" w:hAnsi="Calibri" w:cs="Times New Roman"/>
          <w:sz w:val="20"/>
          <w:szCs w:val="20"/>
          <w:shd w:val="clear" w:color="auto" w:fill="FFFFFF"/>
        </w:rPr>
        <w:t xml:space="preserve"> </w:t>
      </w:r>
    </w:p>
    <w:p w14:paraId="68C86EA9"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8B5CC8">
        <w:rPr>
          <w:rFonts w:ascii="Calibri" w:eastAsia="Times New Roman" w:hAnsi="Calibri" w:cs="Times New Roman"/>
          <w:i/>
          <w:sz w:val="20"/>
          <w:szCs w:val="20"/>
          <w:highlight w:val="lightGray"/>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r w:rsidR="00D522C8">
        <w:rPr>
          <w:rFonts w:ascii="Calibri" w:eastAsia="Times New Roman" w:hAnsi="Calibri" w:cs="Times New Roman"/>
          <w:sz w:val="20"/>
          <w:szCs w:val="20"/>
        </w:rPr>
        <w:t>;</w:t>
      </w:r>
    </w:p>
    <w:p w14:paraId="6C4A2BC6"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Knowledge of UNDP and GEF</w:t>
      </w:r>
      <w:r w:rsidR="00470811">
        <w:rPr>
          <w:rFonts w:ascii="Calibri" w:eastAsia="Times New Roman" w:hAnsi="Calibri" w:cs="Times New Roman"/>
          <w:sz w:val="20"/>
          <w:szCs w:val="20"/>
        </w:rPr>
        <w:t xml:space="preserve"> procedures and requirements</w:t>
      </w:r>
      <w:r w:rsidR="00D522C8">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p>
    <w:p w14:paraId="747E37B9"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292CAA85"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r w:rsidR="00577D76">
        <w:rPr>
          <w:rFonts w:ascii="Calibri" w:eastAsia="Times New Roman" w:hAnsi="Calibri" w:cs="Times New Roman"/>
          <w:sz w:val="20"/>
          <w:szCs w:val="20"/>
        </w:rPr>
        <w:t>: Energy Efficiency in Lighting Systems, Energy Conservation; Lighting sector regulatory framework;</w:t>
      </w:r>
    </w:p>
    <w:p w14:paraId="319682F7" w14:textId="77777777" w:rsidR="00D6638C" w:rsidRPr="00D6638C" w:rsidRDefault="00577D76"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shd w:val="clear" w:color="auto" w:fill="FFFFFF"/>
        </w:rPr>
        <w:t>Knowledge of the CIS, Eastern Europe lighting sector specifics.</w:t>
      </w:r>
    </w:p>
    <w:p w14:paraId="762AFE9E" w14:textId="77777777" w:rsidR="00D6638C" w:rsidRDefault="00D6638C" w:rsidP="00F05366">
      <w:pPr>
        <w:pStyle w:val="Heading51"/>
      </w:pPr>
      <w:bookmarkStart w:id="35" w:name="_Toc278193977"/>
      <w:bookmarkStart w:id="36" w:name="_Toc299122835"/>
      <w:bookmarkStart w:id="37" w:name="_Toc299122857"/>
      <w:bookmarkStart w:id="38" w:name="_Toc299126624"/>
      <w:bookmarkStart w:id="39" w:name="_Toc299133050"/>
      <w:bookmarkStart w:id="40" w:name="_Toc321341559"/>
      <w:r w:rsidRPr="00D6638C">
        <w:t>Evaluator Ethics</w:t>
      </w:r>
      <w:bookmarkEnd w:id="35"/>
      <w:bookmarkEnd w:id="36"/>
      <w:bookmarkEnd w:id="37"/>
      <w:bookmarkEnd w:id="38"/>
      <w:bookmarkEnd w:id="39"/>
      <w:bookmarkEnd w:id="40"/>
    </w:p>
    <w:p w14:paraId="6C671AFD" w14:textId="77777777" w:rsidR="00D6638C" w:rsidRDefault="00D6638C" w:rsidP="00022F8E">
      <w:r w:rsidRPr="0044228D">
        <w:t>Evaluat</w:t>
      </w:r>
      <w:r w:rsidR="00D522C8" w:rsidRPr="00473683">
        <w:t>or</w:t>
      </w:r>
      <w:r w:rsidRPr="0044228D">
        <w:t xml:space="preserve"> will be held to the highest ethical standards and </w:t>
      </w:r>
      <w:r w:rsidR="00D522C8" w:rsidRPr="0044228D">
        <w:t xml:space="preserve">is </w:t>
      </w:r>
      <w:r w:rsidRPr="0044228D">
        <w:t>required to sign a</w:t>
      </w:r>
      <w:r w:rsidRPr="00D6638C">
        <w:t xml:space="preserve"> Code of Conduct </w:t>
      </w:r>
      <w:r w:rsidR="00F05366">
        <w:t>(</w:t>
      </w:r>
      <w:hyperlink w:anchor="Annex_E" w:history="1">
        <w:r w:rsidR="00F05366" w:rsidRPr="007C5239">
          <w:rPr>
            <w:rStyle w:val="Hyperlink"/>
          </w:rPr>
          <w:t>Annex E</w:t>
        </w:r>
      </w:hyperlink>
      <w:r w:rsidR="00F05366">
        <w:t>)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4A834DCD" w14:textId="77777777" w:rsidR="00D6638C" w:rsidRDefault="00D6638C" w:rsidP="00F05366">
      <w:pPr>
        <w:pStyle w:val="Heading51"/>
      </w:pPr>
      <w:bookmarkStart w:id="41" w:name="_Toc299126626"/>
      <w:bookmarkStart w:id="42" w:name="_Toc299133051"/>
      <w:bookmarkStart w:id="43" w:name="_Toc321341560"/>
      <w:bookmarkStart w:id="44" w:name="_Toc299122837"/>
      <w:bookmarkStart w:id="45" w:name="_Toc299122859"/>
      <w:bookmarkStart w:id="46" w:name="_Toc299126627"/>
      <w:r w:rsidRPr="00D6638C">
        <w:t>Payment modalities and specifications</w:t>
      </w:r>
      <w:bookmarkEnd w:id="41"/>
      <w:bookmarkEnd w:id="42"/>
      <w:bookmarkEnd w:id="43"/>
      <w:r w:rsidR="00E2320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915"/>
      </w:tblGrid>
      <w:tr w:rsidR="00D6638C" w:rsidRPr="00D6638C" w14:paraId="27C17DE6" w14:textId="77777777" w:rsidTr="008A6C9E">
        <w:tc>
          <w:tcPr>
            <w:tcW w:w="1215" w:type="dxa"/>
            <w:shd w:val="clear" w:color="auto" w:fill="7F7F7F"/>
          </w:tcPr>
          <w:p w14:paraId="56134787"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7915" w:type="dxa"/>
            <w:shd w:val="clear" w:color="auto" w:fill="7F7F7F"/>
          </w:tcPr>
          <w:p w14:paraId="3CABD970"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32F1AA79" w14:textId="77777777" w:rsidTr="008A6C9E">
        <w:tc>
          <w:tcPr>
            <w:tcW w:w="1215" w:type="dxa"/>
          </w:tcPr>
          <w:p w14:paraId="45079CB9" w14:textId="75C6B353" w:rsidR="00D6638C" w:rsidRPr="00A869AA" w:rsidRDefault="00A869AA" w:rsidP="00D6638C">
            <w:pPr>
              <w:spacing w:after="0"/>
              <w:jc w:val="center"/>
              <w:rPr>
                <w:rFonts w:ascii="Calibri" w:eastAsia="Times New Roman" w:hAnsi="Calibri" w:cs="Times New Roman"/>
                <w:i/>
                <w:sz w:val="20"/>
                <w:szCs w:val="20"/>
                <w:highlight w:val="yellow"/>
              </w:rPr>
            </w:pPr>
            <w:r w:rsidRPr="00A869AA">
              <w:rPr>
                <w:rFonts w:ascii="Calibri" w:eastAsia="Times New Roman" w:hAnsi="Calibri" w:cs="Times New Roman"/>
                <w:i/>
                <w:sz w:val="20"/>
                <w:szCs w:val="20"/>
                <w:highlight w:val="yellow"/>
              </w:rPr>
              <w:t>6</w:t>
            </w:r>
            <w:r w:rsidR="00D6638C" w:rsidRPr="00A869AA">
              <w:rPr>
                <w:rFonts w:ascii="Calibri" w:eastAsia="Times New Roman" w:hAnsi="Calibri" w:cs="Times New Roman"/>
                <w:i/>
                <w:sz w:val="20"/>
                <w:szCs w:val="20"/>
                <w:highlight w:val="yellow"/>
              </w:rPr>
              <w:t>0%</w:t>
            </w:r>
          </w:p>
        </w:tc>
        <w:tc>
          <w:tcPr>
            <w:tcW w:w="7915" w:type="dxa"/>
          </w:tcPr>
          <w:p w14:paraId="50143993" w14:textId="77777777" w:rsidR="00D6638C" w:rsidRPr="00D6638C" w:rsidRDefault="00D6638C" w:rsidP="00476646">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00476646" w:rsidRPr="00476646">
              <w:rPr>
                <w:rFonts w:ascii="Calibri" w:eastAsia="Times New Roman" w:hAnsi="Calibri" w:cs="Times New Roman"/>
                <w:sz w:val="20"/>
                <w:szCs w:val="20"/>
                <w:vertAlign w:val="superscript"/>
              </w:rPr>
              <w:t>st</w:t>
            </w:r>
            <w:r w:rsidR="00476646">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14:paraId="49DC31A2" w14:textId="77777777" w:rsidTr="008A6C9E">
        <w:tc>
          <w:tcPr>
            <w:tcW w:w="1215" w:type="dxa"/>
          </w:tcPr>
          <w:p w14:paraId="7C25B746" w14:textId="704A4503" w:rsidR="00D6638C" w:rsidRPr="00A869AA" w:rsidRDefault="00A869AA" w:rsidP="00D6638C">
            <w:pPr>
              <w:spacing w:after="0"/>
              <w:jc w:val="center"/>
              <w:rPr>
                <w:rFonts w:ascii="Calibri" w:eastAsia="Times New Roman" w:hAnsi="Calibri" w:cs="Times New Roman"/>
                <w:i/>
                <w:sz w:val="20"/>
                <w:szCs w:val="20"/>
                <w:highlight w:val="yellow"/>
              </w:rPr>
            </w:pPr>
            <w:r w:rsidRPr="00A869AA">
              <w:rPr>
                <w:rFonts w:ascii="Calibri" w:eastAsia="Times New Roman" w:hAnsi="Calibri" w:cs="Times New Roman"/>
                <w:i/>
                <w:sz w:val="20"/>
                <w:szCs w:val="20"/>
                <w:highlight w:val="yellow"/>
              </w:rPr>
              <w:t>4</w:t>
            </w:r>
            <w:r w:rsidR="00D6638C" w:rsidRPr="00A869AA">
              <w:rPr>
                <w:rFonts w:ascii="Calibri" w:eastAsia="Times New Roman" w:hAnsi="Calibri" w:cs="Times New Roman"/>
                <w:i/>
                <w:sz w:val="20"/>
                <w:szCs w:val="20"/>
                <w:highlight w:val="yellow"/>
              </w:rPr>
              <w:t>0%</w:t>
            </w:r>
          </w:p>
        </w:tc>
        <w:tc>
          <w:tcPr>
            <w:tcW w:w="7915" w:type="dxa"/>
          </w:tcPr>
          <w:p w14:paraId="4DF4F8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1F68EED1" w14:textId="77777777" w:rsidR="00D6638C" w:rsidRPr="00D6638C" w:rsidRDefault="00D6638C" w:rsidP="00F05366">
      <w:pPr>
        <w:pStyle w:val="Heading51"/>
      </w:pPr>
      <w:bookmarkStart w:id="47" w:name="_Toc299133052"/>
      <w:bookmarkStart w:id="48" w:name="_Toc321341561"/>
      <w:r w:rsidRPr="00D6638C">
        <w:t>Application process</w:t>
      </w:r>
      <w:bookmarkEnd w:id="44"/>
      <w:bookmarkEnd w:id="45"/>
      <w:bookmarkEnd w:id="46"/>
      <w:bookmarkEnd w:id="47"/>
      <w:bookmarkEnd w:id="48"/>
    </w:p>
    <w:p w14:paraId="179E8F09" w14:textId="77777777" w:rsidR="00D6638C" w:rsidRPr="0038683D" w:rsidRDefault="00D6638C" w:rsidP="00473683">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522C8">
        <w:rPr>
          <w:rFonts w:ascii="Calibri" w:eastAsia="Times New Roman" w:hAnsi="Calibri" w:cs="Times New Roman"/>
          <w:sz w:val="20"/>
          <w:szCs w:val="20"/>
          <w:highlight w:val="yellow"/>
          <w:shd w:val="clear" w:color="auto" w:fill="BFBFBF"/>
        </w:rPr>
        <w:t>(indicate the site, such as http://jobs.undp.org, etc.)</w:t>
      </w:r>
      <w:r w:rsidRPr="00D522C8">
        <w:rPr>
          <w:rFonts w:ascii="Calibri" w:eastAsia="Times New Roman" w:hAnsi="Calibri" w:cs="Times New Roman"/>
          <w:sz w:val="20"/>
          <w:szCs w:val="20"/>
          <w:highlight w:val="yellow"/>
        </w:rPr>
        <w:t xml:space="preserve"> by (date).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with indication of the e‐mail and phone contact. </w:t>
      </w:r>
      <w:r w:rsidR="0038683D">
        <w:rPr>
          <w:rFonts w:ascii="Calibri" w:eastAsia="Times New Roman" w:hAnsi="Calibri" w:cs="Times New Roman"/>
          <w:sz w:val="20"/>
          <w:szCs w:val="20"/>
        </w:rPr>
        <w:t xml:space="preserve">The application should contain </w:t>
      </w:r>
      <w:r w:rsidR="0038683D" w:rsidRPr="0038683D">
        <w:rPr>
          <w:rFonts w:ascii="Calibri" w:eastAsia="Times New Roman" w:hAnsi="Calibri" w:cs="Times New Roman"/>
          <w:sz w:val="20"/>
          <w:szCs w:val="20"/>
        </w:rPr>
        <w:t xml:space="preserve">a </w:t>
      </w:r>
      <w:r w:rsidR="0038683D">
        <w:rPr>
          <w:rFonts w:ascii="Calibri" w:eastAsia="Times New Roman" w:hAnsi="Calibri" w:cs="Times New Roman"/>
          <w:sz w:val="20"/>
          <w:szCs w:val="20"/>
        </w:rPr>
        <w:t>b</w:t>
      </w:r>
      <w:r w:rsidR="0038683D" w:rsidRPr="0038683D">
        <w:rPr>
          <w:rFonts w:ascii="Calibri" w:hAnsi="Calibri" w:cs="Times New Roman"/>
          <w:sz w:val="20"/>
          <w:szCs w:val="20"/>
        </w:rPr>
        <w:t xml:space="preserve">rief description of </w:t>
      </w:r>
      <w:r w:rsidR="0038683D">
        <w:rPr>
          <w:rFonts w:ascii="Calibri" w:hAnsi="Calibri" w:cs="Times New Roman"/>
          <w:sz w:val="20"/>
          <w:szCs w:val="20"/>
        </w:rPr>
        <w:t xml:space="preserve">the work </w:t>
      </w:r>
      <w:r w:rsidR="0038683D" w:rsidRPr="0038683D">
        <w:rPr>
          <w:rFonts w:ascii="Calibri" w:hAnsi="Calibri" w:cs="Times New Roman"/>
          <w:sz w:val="20"/>
          <w:szCs w:val="20"/>
        </w:rPr>
        <w:t xml:space="preserve">approach and a proposed methodology </w:t>
      </w:r>
      <w:r w:rsidR="0038683D">
        <w:rPr>
          <w:rFonts w:ascii="Calibri" w:hAnsi="Calibri" w:cs="Times New Roman"/>
          <w:sz w:val="20"/>
          <w:szCs w:val="20"/>
        </w:rPr>
        <w:t>for</w:t>
      </w:r>
      <w:r w:rsidR="0038683D" w:rsidRPr="0038683D">
        <w:rPr>
          <w:rFonts w:ascii="Calibri" w:hAnsi="Calibri" w:cs="Times New Roman"/>
          <w:sz w:val="20"/>
          <w:szCs w:val="20"/>
        </w:rPr>
        <w:t xml:space="preserve"> the assignment</w:t>
      </w:r>
      <w:r w:rsidR="0038683D">
        <w:rPr>
          <w:rFonts w:ascii="Calibri" w:hAnsi="Calibri" w:cs="Times New Roman"/>
          <w:sz w:val="20"/>
          <w:szCs w:val="20"/>
        </w:rPr>
        <w:t xml:space="preserve">. </w:t>
      </w:r>
      <w:r w:rsidRPr="00D6638C">
        <w:rPr>
          <w:rFonts w:ascii="Calibri" w:eastAsia="Times New Roman" w:hAnsi="Calibri" w:cs="Times New Roman"/>
          <w:sz w:val="20"/>
          <w:szCs w:val="20"/>
        </w:rPr>
        <w:t xml:space="preserve">Shortlisted candidates will be requested to submit a price offer indicating the total cost of the assignment (including daily fee, per diem and travel costs). </w:t>
      </w:r>
    </w:p>
    <w:p w14:paraId="7909DBC1" w14:textId="77777777" w:rsidR="00323E7A" w:rsidRDefault="00D6638C" w:rsidP="00323E7A">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5347DB19" w14:textId="0A406571" w:rsidR="0038683D" w:rsidRPr="0038683D" w:rsidRDefault="0038683D" w:rsidP="00323E7A">
      <w:pPr>
        <w:spacing w:before="200"/>
        <w:jc w:val="both"/>
        <w:rPr>
          <w:rFonts w:ascii="Calibri" w:eastAsia="Times New Roman" w:hAnsi="Calibri" w:cs="Times New Roman"/>
          <w:b/>
          <w:sz w:val="20"/>
          <w:szCs w:val="20"/>
        </w:rPr>
      </w:pPr>
      <w:r w:rsidRPr="0038683D">
        <w:rPr>
          <w:rFonts w:ascii="Calibri" w:eastAsia="Times New Roman" w:hAnsi="Calibri" w:cs="Times New Roman"/>
          <w:b/>
          <w:sz w:val="20"/>
          <w:szCs w:val="20"/>
        </w:rPr>
        <w:t>Criteria for evaluation of the proposal</w:t>
      </w:r>
    </w:p>
    <w:p w14:paraId="06AD31BE" w14:textId="77777777" w:rsidR="0038683D" w:rsidRPr="0038683D" w:rsidRDefault="0038683D" w:rsidP="0038683D">
      <w:pPr>
        <w:jc w:val="both"/>
        <w:rPr>
          <w:sz w:val="20"/>
          <w:szCs w:val="20"/>
        </w:rPr>
      </w:pPr>
      <w:r w:rsidRPr="0038683D">
        <w:rPr>
          <w:sz w:val="20"/>
          <w:szCs w:val="20"/>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3D5E50D9" w14:textId="528608D1" w:rsidR="00476646" w:rsidRPr="00A57AEF" w:rsidRDefault="0038683D" w:rsidP="00323E7A">
      <w:pPr>
        <w:spacing w:before="200"/>
        <w:rPr>
          <w:szCs w:val="17"/>
        </w:rPr>
      </w:pPr>
      <w:r w:rsidRPr="0038683D">
        <w:rPr>
          <w:sz w:val="20"/>
          <w:szCs w:val="20"/>
        </w:rPr>
        <w:t>Only candidates obtaining a maximum of 70% of the total technical points would be considered for the Financial Evaluation.</w:t>
      </w:r>
      <w:bookmarkStart w:id="49" w:name="_TOR_Annex_A:"/>
      <w:bookmarkStart w:id="50" w:name="_Toc299122844"/>
      <w:bookmarkStart w:id="51" w:name="_Toc299122866"/>
      <w:bookmarkStart w:id="52" w:name="_Toc299126630"/>
      <w:bookmarkStart w:id="53" w:name="_Toc299133053"/>
      <w:bookmarkStart w:id="54" w:name="_Toc321341562"/>
      <w:bookmarkEnd w:id="49"/>
    </w:p>
    <w:p w14:paraId="66506DC5" w14:textId="77777777" w:rsidR="00476646" w:rsidRDefault="00476646" w:rsidP="00476646">
      <w:pPr>
        <w:spacing w:before="200"/>
        <w:rPr>
          <w:rFonts w:ascii="Calibri" w:eastAsia="Times New Roman" w:hAnsi="Calibri" w:cs="Times New Roman"/>
          <w:i/>
          <w:sz w:val="20"/>
          <w:szCs w:val="20"/>
          <w:lang w:val="en-GB"/>
        </w:rPr>
        <w:sectPr w:rsidR="00476646" w:rsidSect="00A869AA">
          <w:pgSz w:w="11907" w:h="16839" w:code="9"/>
          <w:pgMar w:top="1440" w:right="1327" w:bottom="1134" w:left="1440" w:header="709" w:footer="709" w:gutter="0"/>
          <w:cols w:space="708"/>
          <w:docGrid w:linePitch="360"/>
        </w:sectPr>
      </w:pPr>
      <w:bookmarkStart w:id="55" w:name="_GoBack"/>
      <w:bookmarkEnd w:id="55"/>
    </w:p>
    <w:p w14:paraId="36900FB6" w14:textId="77777777" w:rsidR="00D6638C" w:rsidRPr="00D6638C" w:rsidRDefault="00D6638C" w:rsidP="007C5239">
      <w:pPr>
        <w:pStyle w:val="Heading31"/>
        <w:outlineLvl w:val="1"/>
      </w:pPr>
      <w:bookmarkStart w:id="56" w:name="Annex_A"/>
      <w:r w:rsidRPr="00D6638C">
        <w:lastRenderedPageBreak/>
        <w:t>Annex A: Project Logical Framework</w:t>
      </w:r>
      <w:bookmarkEnd w:id="50"/>
      <w:bookmarkEnd w:id="51"/>
      <w:bookmarkEnd w:id="52"/>
      <w:bookmarkEnd w:id="53"/>
      <w:bookmarkEnd w:id="54"/>
      <w:r w:rsidR="003268FC">
        <w:t xml:space="preserve"> </w:t>
      </w:r>
    </w:p>
    <w:bookmarkEnd w:id="56"/>
    <w:p w14:paraId="4FB7773B" w14:textId="77777777" w:rsidR="00D6638C" w:rsidRDefault="00D6638C" w:rsidP="00923BF0">
      <w:pPr>
        <w:spacing w:after="0" w:line="240" w:lineRule="auto"/>
        <w:rPr>
          <w:rFonts w:ascii="Calibri" w:eastAsia="Times New Roman" w:hAnsi="Calibri" w:cs="Times New Roman"/>
          <w:i/>
          <w:sz w:val="20"/>
          <w:szCs w:val="20"/>
          <w:lang w:val="en-GB"/>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11"/>
        <w:gridCol w:w="1974"/>
        <w:gridCol w:w="3160"/>
        <w:gridCol w:w="1957"/>
        <w:gridCol w:w="2691"/>
      </w:tblGrid>
      <w:tr w:rsidR="007633DF" w:rsidRPr="00923BF0" w14:paraId="038A693C" w14:textId="77777777" w:rsidTr="00923BF0">
        <w:trPr>
          <w:trHeight w:val="544"/>
          <w:tblHeader/>
        </w:trPr>
        <w:tc>
          <w:tcPr>
            <w:tcW w:w="2085" w:type="dxa"/>
            <w:shd w:val="pct12" w:color="auto" w:fill="auto"/>
          </w:tcPr>
          <w:p w14:paraId="4C660287" w14:textId="77777777" w:rsidR="007633DF" w:rsidRPr="00923BF0" w:rsidRDefault="007633DF" w:rsidP="00565770">
            <w:pPr>
              <w:spacing w:after="0" w:line="240" w:lineRule="auto"/>
              <w:jc w:val="center"/>
              <w:rPr>
                <w:rFonts w:cstheme="minorHAnsi"/>
                <w:b/>
                <w:bCs/>
                <w:sz w:val="20"/>
                <w:szCs w:val="20"/>
              </w:rPr>
            </w:pPr>
          </w:p>
        </w:tc>
        <w:tc>
          <w:tcPr>
            <w:tcW w:w="2011" w:type="dxa"/>
            <w:shd w:val="pct12" w:color="auto" w:fill="auto"/>
          </w:tcPr>
          <w:p w14:paraId="007BC4B2" w14:textId="77777777" w:rsidR="007633DF" w:rsidRPr="00923BF0" w:rsidRDefault="007633DF" w:rsidP="00565770">
            <w:pPr>
              <w:spacing w:after="0" w:line="240" w:lineRule="auto"/>
              <w:jc w:val="center"/>
              <w:rPr>
                <w:rFonts w:cstheme="minorHAnsi"/>
                <w:b/>
                <w:bCs/>
                <w:sz w:val="20"/>
                <w:szCs w:val="20"/>
              </w:rPr>
            </w:pPr>
            <w:r w:rsidRPr="00923BF0">
              <w:rPr>
                <w:rFonts w:cstheme="minorHAnsi"/>
                <w:b/>
                <w:bCs/>
                <w:sz w:val="20"/>
                <w:szCs w:val="20"/>
              </w:rPr>
              <w:t>Indicator</w:t>
            </w:r>
          </w:p>
        </w:tc>
        <w:tc>
          <w:tcPr>
            <w:tcW w:w="1974" w:type="dxa"/>
            <w:shd w:val="pct12" w:color="auto" w:fill="auto"/>
          </w:tcPr>
          <w:p w14:paraId="2735975D" w14:textId="77777777" w:rsidR="007633DF" w:rsidRPr="00923BF0" w:rsidRDefault="007633DF" w:rsidP="00565770">
            <w:pPr>
              <w:spacing w:after="0" w:line="240" w:lineRule="auto"/>
              <w:jc w:val="center"/>
              <w:rPr>
                <w:rFonts w:cstheme="minorHAnsi"/>
                <w:b/>
                <w:bCs/>
                <w:sz w:val="20"/>
                <w:szCs w:val="20"/>
              </w:rPr>
            </w:pPr>
            <w:r w:rsidRPr="00923BF0">
              <w:rPr>
                <w:rFonts w:cstheme="minorHAnsi"/>
                <w:b/>
                <w:bCs/>
                <w:sz w:val="20"/>
                <w:szCs w:val="20"/>
              </w:rPr>
              <w:t>Baseline</w:t>
            </w:r>
          </w:p>
        </w:tc>
        <w:tc>
          <w:tcPr>
            <w:tcW w:w="3160" w:type="dxa"/>
            <w:shd w:val="pct12" w:color="auto" w:fill="auto"/>
          </w:tcPr>
          <w:p w14:paraId="4DFC9531" w14:textId="77777777" w:rsidR="007633DF" w:rsidRPr="00923BF0" w:rsidRDefault="007633DF" w:rsidP="00565770">
            <w:pPr>
              <w:spacing w:after="0" w:line="240" w:lineRule="auto"/>
              <w:jc w:val="center"/>
              <w:rPr>
                <w:rFonts w:cstheme="minorHAnsi"/>
                <w:b/>
                <w:bCs/>
                <w:sz w:val="20"/>
                <w:szCs w:val="20"/>
              </w:rPr>
            </w:pPr>
            <w:r w:rsidRPr="00923BF0">
              <w:rPr>
                <w:rFonts w:cstheme="minorHAnsi"/>
                <w:b/>
                <w:bCs/>
                <w:sz w:val="20"/>
                <w:szCs w:val="20"/>
              </w:rPr>
              <w:t xml:space="preserve">Targets </w:t>
            </w:r>
          </w:p>
          <w:p w14:paraId="6DF445F0" w14:textId="77777777" w:rsidR="007633DF" w:rsidRPr="00923BF0" w:rsidRDefault="007633DF" w:rsidP="00565770">
            <w:pPr>
              <w:spacing w:after="0" w:line="240" w:lineRule="auto"/>
              <w:jc w:val="center"/>
              <w:rPr>
                <w:rFonts w:cstheme="minorHAnsi"/>
                <w:b/>
                <w:bCs/>
                <w:sz w:val="20"/>
                <w:szCs w:val="20"/>
              </w:rPr>
            </w:pPr>
            <w:r w:rsidRPr="00923BF0">
              <w:rPr>
                <w:rFonts w:cstheme="minorHAnsi"/>
                <w:b/>
                <w:bCs/>
                <w:sz w:val="20"/>
                <w:szCs w:val="20"/>
              </w:rPr>
              <w:t>End of Project</w:t>
            </w:r>
          </w:p>
        </w:tc>
        <w:tc>
          <w:tcPr>
            <w:tcW w:w="1957" w:type="dxa"/>
            <w:shd w:val="pct12" w:color="auto" w:fill="auto"/>
          </w:tcPr>
          <w:p w14:paraId="4F2BF522" w14:textId="77777777" w:rsidR="007633DF" w:rsidRPr="00923BF0" w:rsidRDefault="007633DF" w:rsidP="00565770">
            <w:pPr>
              <w:spacing w:after="0" w:line="240" w:lineRule="auto"/>
              <w:jc w:val="center"/>
              <w:rPr>
                <w:rFonts w:cstheme="minorHAnsi"/>
                <w:b/>
                <w:bCs/>
                <w:sz w:val="20"/>
                <w:szCs w:val="20"/>
              </w:rPr>
            </w:pPr>
            <w:r w:rsidRPr="00923BF0">
              <w:rPr>
                <w:rFonts w:cstheme="minorHAnsi"/>
                <w:b/>
                <w:bCs/>
                <w:sz w:val="20"/>
                <w:szCs w:val="20"/>
              </w:rPr>
              <w:t>Source of verification</w:t>
            </w:r>
          </w:p>
        </w:tc>
        <w:tc>
          <w:tcPr>
            <w:tcW w:w="2691" w:type="dxa"/>
            <w:shd w:val="pct12" w:color="auto" w:fill="auto"/>
          </w:tcPr>
          <w:p w14:paraId="6467F762" w14:textId="77777777" w:rsidR="007633DF" w:rsidRPr="00923BF0" w:rsidRDefault="007633DF" w:rsidP="00565770">
            <w:pPr>
              <w:spacing w:after="0" w:line="240" w:lineRule="auto"/>
              <w:jc w:val="center"/>
              <w:rPr>
                <w:rFonts w:cstheme="minorHAnsi"/>
                <w:b/>
                <w:bCs/>
                <w:sz w:val="20"/>
                <w:szCs w:val="20"/>
              </w:rPr>
            </w:pPr>
            <w:r w:rsidRPr="00923BF0">
              <w:rPr>
                <w:rFonts w:cstheme="minorHAnsi"/>
                <w:b/>
                <w:bCs/>
                <w:sz w:val="20"/>
                <w:szCs w:val="20"/>
              </w:rPr>
              <w:t>Risks and Assumptions</w:t>
            </w:r>
          </w:p>
        </w:tc>
      </w:tr>
      <w:tr w:rsidR="007633DF" w:rsidRPr="00923BF0" w14:paraId="733FA080" w14:textId="77777777" w:rsidTr="00923BF0">
        <w:tc>
          <w:tcPr>
            <w:tcW w:w="2085" w:type="dxa"/>
            <w:shd w:val="pct12" w:color="auto" w:fill="auto"/>
          </w:tcPr>
          <w:p w14:paraId="6FF3D539" w14:textId="77777777" w:rsidR="007633DF" w:rsidRPr="00923BF0" w:rsidRDefault="007633DF" w:rsidP="00565770">
            <w:pPr>
              <w:spacing w:after="0" w:line="240" w:lineRule="auto"/>
              <w:rPr>
                <w:rFonts w:cstheme="minorHAnsi"/>
                <w:b/>
                <w:bCs/>
                <w:sz w:val="20"/>
                <w:szCs w:val="20"/>
              </w:rPr>
            </w:pPr>
            <w:r w:rsidRPr="00923BF0">
              <w:rPr>
                <w:rFonts w:cstheme="minorHAnsi"/>
                <w:b/>
                <w:bCs/>
                <w:sz w:val="20"/>
                <w:szCs w:val="20"/>
              </w:rPr>
              <w:t>Project Objective</w:t>
            </w:r>
          </w:p>
          <w:p w14:paraId="7847CEE9" w14:textId="77777777" w:rsidR="007633DF" w:rsidRPr="00923BF0" w:rsidRDefault="007633DF" w:rsidP="00565770">
            <w:pPr>
              <w:spacing w:after="0" w:line="240" w:lineRule="auto"/>
              <w:rPr>
                <w:rFonts w:cstheme="minorHAnsi"/>
                <w:b/>
                <w:bCs/>
                <w:sz w:val="20"/>
                <w:szCs w:val="20"/>
              </w:rPr>
            </w:pPr>
            <w:r w:rsidRPr="00923BF0">
              <w:rPr>
                <w:rFonts w:cstheme="minorHAnsi"/>
                <w:bCs/>
                <w:sz w:val="20"/>
                <w:szCs w:val="20"/>
              </w:rPr>
              <w:t>To remove barriers to energy-efficient lighting in Armenia, by means of technical assessment, facilitation of financing, and development and implementation of municipal programs and national policy</w:t>
            </w:r>
          </w:p>
        </w:tc>
        <w:tc>
          <w:tcPr>
            <w:tcW w:w="2011" w:type="dxa"/>
          </w:tcPr>
          <w:p w14:paraId="75D9AD5D"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Quantity of energy saved and GHG emissions avoided</w:t>
            </w:r>
          </w:p>
        </w:tc>
        <w:tc>
          <w:tcPr>
            <w:tcW w:w="1974" w:type="dxa"/>
          </w:tcPr>
          <w:p w14:paraId="3ADCB834"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Street lighting:</w:t>
            </w:r>
          </w:p>
          <w:p w14:paraId="409380A0"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40 GWh of electricity consumed for street lighting in 2011, accounting for about 16,000 tons of CO</w:t>
            </w:r>
            <w:r w:rsidRPr="00923BF0">
              <w:rPr>
                <w:rFonts w:cstheme="minorHAnsi"/>
                <w:bCs/>
                <w:sz w:val="20"/>
                <w:szCs w:val="20"/>
                <w:vertAlign w:val="subscript"/>
              </w:rPr>
              <w:t>2</w:t>
            </w:r>
            <w:r w:rsidRPr="00923BF0">
              <w:rPr>
                <w:rFonts w:cstheme="minorHAnsi"/>
                <w:bCs/>
                <w:sz w:val="20"/>
                <w:szCs w:val="20"/>
              </w:rPr>
              <w:t xml:space="preserve"> emissions. </w:t>
            </w:r>
          </w:p>
          <w:p w14:paraId="75BA5CE1" w14:textId="77777777" w:rsidR="007633DF" w:rsidRPr="00923BF0" w:rsidRDefault="007633DF" w:rsidP="00565770">
            <w:pPr>
              <w:spacing w:after="0" w:line="240" w:lineRule="auto"/>
              <w:rPr>
                <w:rFonts w:cstheme="minorHAnsi"/>
                <w:bCs/>
                <w:sz w:val="20"/>
                <w:szCs w:val="20"/>
              </w:rPr>
            </w:pPr>
            <w:r w:rsidRPr="00A263E6">
              <w:rPr>
                <w:rFonts w:cstheme="minorHAnsi"/>
                <w:bCs/>
                <w:sz w:val="12"/>
                <w:szCs w:val="12"/>
              </w:rPr>
              <w:br/>
            </w:r>
            <w:r w:rsidRPr="00923BF0">
              <w:rPr>
                <w:rFonts w:cstheme="minorHAnsi"/>
                <w:bCs/>
                <w:sz w:val="20"/>
                <w:szCs w:val="20"/>
              </w:rPr>
              <w:t>Average fixture power consumption is 210W in 2011.</w:t>
            </w:r>
          </w:p>
          <w:p w14:paraId="098A0D04" w14:textId="77777777" w:rsidR="007633DF" w:rsidRPr="00A263E6" w:rsidRDefault="007633DF" w:rsidP="00565770">
            <w:pPr>
              <w:spacing w:after="0" w:line="240" w:lineRule="auto"/>
              <w:rPr>
                <w:rFonts w:cstheme="minorHAnsi"/>
                <w:bCs/>
                <w:sz w:val="12"/>
                <w:szCs w:val="12"/>
              </w:rPr>
            </w:pPr>
          </w:p>
          <w:p w14:paraId="10220DE0"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Residential lighting:</w:t>
            </w:r>
          </w:p>
          <w:p w14:paraId="057AFF6E"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550 GWh consumed for residential lighting in 2011, accounting for about 220,000 tons of CO</w:t>
            </w:r>
            <w:r w:rsidRPr="00923BF0">
              <w:rPr>
                <w:rFonts w:cstheme="minorHAnsi"/>
                <w:bCs/>
                <w:sz w:val="20"/>
                <w:szCs w:val="20"/>
                <w:vertAlign w:val="subscript"/>
              </w:rPr>
              <w:t>2</w:t>
            </w:r>
            <w:r w:rsidRPr="00923BF0">
              <w:rPr>
                <w:rFonts w:cstheme="minorHAnsi"/>
                <w:bCs/>
                <w:sz w:val="20"/>
                <w:szCs w:val="20"/>
              </w:rPr>
              <w:t xml:space="preserve"> emissions.</w:t>
            </w:r>
          </w:p>
        </w:tc>
        <w:tc>
          <w:tcPr>
            <w:tcW w:w="3160" w:type="dxa"/>
          </w:tcPr>
          <w:p w14:paraId="5AA5C326"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Direct energy savings of 1.2 GWh per year from demonstration projects (474 tonnes of CO</w:t>
            </w:r>
            <w:r w:rsidRPr="00923BF0">
              <w:rPr>
                <w:rFonts w:cstheme="minorHAnsi"/>
                <w:bCs/>
                <w:sz w:val="20"/>
                <w:szCs w:val="20"/>
                <w:vertAlign w:val="subscript"/>
              </w:rPr>
              <w:t>2</w:t>
            </w:r>
            <w:r w:rsidRPr="00923BF0">
              <w:rPr>
                <w:rFonts w:cstheme="minorHAnsi"/>
                <w:bCs/>
                <w:sz w:val="20"/>
                <w:szCs w:val="20"/>
              </w:rPr>
              <w:t xml:space="preserve"> emissions)</w:t>
            </w:r>
          </w:p>
          <w:p w14:paraId="243C7EBE" w14:textId="77777777" w:rsidR="007633DF" w:rsidRPr="00923BF0" w:rsidRDefault="007633DF" w:rsidP="00565770">
            <w:pPr>
              <w:spacing w:after="0" w:line="240" w:lineRule="auto"/>
              <w:rPr>
                <w:rFonts w:cstheme="minorHAnsi"/>
                <w:bCs/>
                <w:sz w:val="20"/>
                <w:szCs w:val="20"/>
              </w:rPr>
            </w:pPr>
          </w:p>
          <w:p w14:paraId="3FD7151E"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Direct energy savings of 20 GWh per year from replication of demonstration projects via municipal programs (8000 tonnes of CO</w:t>
            </w:r>
            <w:r w:rsidRPr="00923BF0">
              <w:rPr>
                <w:rFonts w:cstheme="minorHAnsi"/>
                <w:bCs/>
                <w:sz w:val="20"/>
                <w:szCs w:val="20"/>
                <w:vertAlign w:val="subscript"/>
              </w:rPr>
              <w:t>2</w:t>
            </w:r>
            <w:r w:rsidRPr="00923BF0">
              <w:rPr>
                <w:rFonts w:cstheme="minorHAnsi"/>
                <w:bCs/>
                <w:sz w:val="20"/>
                <w:szCs w:val="20"/>
              </w:rPr>
              <w:t xml:space="preserve"> emissions).</w:t>
            </w:r>
          </w:p>
          <w:p w14:paraId="3951EE6D" w14:textId="77777777" w:rsidR="007633DF" w:rsidRPr="00923BF0" w:rsidRDefault="007633DF" w:rsidP="00565770">
            <w:pPr>
              <w:spacing w:after="0" w:line="240" w:lineRule="auto"/>
              <w:rPr>
                <w:rFonts w:cstheme="minorHAnsi"/>
                <w:bCs/>
                <w:sz w:val="20"/>
                <w:szCs w:val="20"/>
              </w:rPr>
            </w:pPr>
          </w:p>
          <w:p w14:paraId="17348CDD"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Indirect energy savings of 125 GWh per year from implementation of national lighting policy (50,000 tonnes of CO</w:t>
            </w:r>
            <w:r w:rsidRPr="00923BF0">
              <w:rPr>
                <w:rFonts w:cstheme="minorHAnsi"/>
                <w:bCs/>
                <w:sz w:val="20"/>
                <w:szCs w:val="20"/>
                <w:vertAlign w:val="subscript"/>
              </w:rPr>
              <w:t>2</w:t>
            </w:r>
            <w:r w:rsidRPr="00923BF0">
              <w:rPr>
                <w:rFonts w:cstheme="minorHAnsi"/>
                <w:bCs/>
                <w:sz w:val="20"/>
                <w:szCs w:val="20"/>
              </w:rPr>
              <w:t xml:space="preserve"> emissions)</w:t>
            </w:r>
          </w:p>
        </w:tc>
        <w:tc>
          <w:tcPr>
            <w:tcW w:w="1957" w:type="dxa"/>
          </w:tcPr>
          <w:p w14:paraId="560CB5C7"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Municipality data</w:t>
            </w:r>
          </w:p>
          <w:p w14:paraId="40A675AD" w14:textId="77777777" w:rsidR="007633DF" w:rsidRPr="00923BF0" w:rsidRDefault="007633DF" w:rsidP="00565770">
            <w:pPr>
              <w:spacing w:after="0" w:line="240" w:lineRule="auto"/>
              <w:rPr>
                <w:rFonts w:cstheme="minorHAnsi"/>
                <w:bCs/>
                <w:sz w:val="20"/>
                <w:szCs w:val="20"/>
              </w:rPr>
            </w:pPr>
          </w:p>
          <w:p w14:paraId="4CFD3448"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Pilot project monitoring reports.</w:t>
            </w:r>
          </w:p>
          <w:p w14:paraId="28CB7E1B" w14:textId="77777777" w:rsidR="007633DF" w:rsidRPr="00923BF0" w:rsidRDefault="007633DF" w:rsidP="00565770">
            <w:pPr>
              <w:spacing w:after="0" w:line="240" w:lineRule="auto"/>
              <w:rPr>
                <w:rFonts w:cstheme="minorHAnsi"/>
                <w:bCs/>
                <w:sz w:val="20"/>
                <w:szCs w:val="20"/>
              </w:rPr>
            </w:pPr>
          </w:p>
          <w:p w14:paraId="21B1A462"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Audit reports</w:t>
            </w:r>
          </w:p>
          <w:p w14:paraId="36FBFD86" w14:textId="77777777" w:rsidR="007633DF" w:rsidRPr="00923BF0" w:rsidRDefault="007633DF" w:rsidP="00565770">
            <w:pPr>
              <w:spacing w:after="0" w:line="240" w:lineRule="auto"/>
              <w:rPr>
                <w:rFonts w:cstheme="minorHAnsi"/>
                <w:bCs/>
                <w:sz w:val="20"/>
                <w:szCs w:val="20"/>
              </w:rPr>
            </w:pPr>
          </w:p>
          <w:p w14:paraId="7C39C0D0" w14:textId="77777777" w:rsidR="007633DF" w:rsidRPr="00923BF0" w:rsidRDefault="007633DF" w:rsidP="00565770">
            <w:pPr>
              <w:spacing w:after="0" w:line="240" w:lineRule="auto"/>
              <w:rPr>
                <w:rFonts w:cstheme="minorHAnsi"/>
                <w:bCs/>
                <w:sz w:val="20"/>
                <w:szCs w:val="20"/>
              </w:rPr>
            </w:pPr>
          </w:p>
        </w:tc>
        <w:tc>
          <w:tcPr>
            <w:tcW w:w="2691" w:type="dxa"/>
          </w:tcPr>
          <w:p w14:paraId="4EA6E22C" w14:textId="77777777" w:rsidR="007633DF" w:rsidRPr="00923BF0" w:rsidRDefault="007633DF" w:rsidP="00565770">
            <w:pPr>
              <w:spacing w:after="0" w:line="240" w:lineRule="auto"/>
              <w:rPr>
                <w:rFonts w:cstheme="minorHAnsi"/>
                <w:bCs/>
                <w:sz w:val="20"/>
                <w:szCs w:val="20"/>
              </w:rPr>
            </w:pPr>
            <w:r w:rsidRPr="00923BF0">
              <w:rPr>
                <w:rFonts w:cstheme="minorHAnsi"/>
                <w:bCs/>
                <w:sz w:val="20"/>
                <w:szCs w:val="20"/>
              </w:rPr>
              <w:t>Achievement of these targets depends on adoption and timely implementation of municipal programs and national policies, which in turn require sufficient political will and financing.</w:t>
            </w:r>
          </w:p>
        </w:tc>
      </w:tr>
      <w:tr w:rsidR="00A263E6" w:rsidRPr="00923BF0" w14:paraId="10281F57" w14:textId="77777777" w:rsidTr="00923BF0">
        <w:tc>
          <w:tcPr>
            <w:tcW w:w="2085" w:type="dxa"/>
            <w:shd w:val="pct12" w:color="auto" w:fill="auto"/>
          </w:tcPr>
          <w:p w14:paraId="6AFD4BA1" w14:textId="77777777" w:rsidR="00A263E6" w:rsidRPr="00923BF0" w:rsidRDefault="00A263E6" w:rsidP="00565770">
            <w:pPr>
              <w:spacing w:after="0" w:line="240" w:lineRule="auto"/>
              <w:rPr>
                <w:rFonts w:cstheme="minorHAnsi"/>
                <w:b/>
                <w:bCs/>
                <w:sz w:val="20"/>
                <w:szCs w:val="20"/>
              </w:rPr>
            </w:pPr>
            <w:r w:rsidRPr="00923BF0">
              <w:rPr>
                <w:rFonts w:cstheme="minorHAnsi"/>
                <w:b/>
                <w:bCs/>
                <w:sz w:val="20"/>
                <w:szCs w:val="20"/>
              </w:rPr>
              <w:t>Outcome 1</w:t>
            </w:r>
          </w:p>
          <w:p w14:paraId="124B4685"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Municipal energy audits, technical capacity-building and awareness raising</w:t>
            </w:r>
          </w:p>
        </w:tc>
        <w:tc>
          <w:tcPr>
            <w:tcW w:w="2011" w:type="dxa"/>
          </w:tcPr>
          <w:p w14:paraId="6CDD0680"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Methodology for energy/lighting audit</w:t>
            </w:r>
          </w:p>
          <w:p w14:paraId="764F4074" w14:textId="77777777" w:rsidR="00A263E6" w:rsidRPr="00923BF0" w:rsidRDefault="00A263E6" w:rsidP="00565770">
            <w:pPr>
              <w:spacing w:after="0" w:line="240" w:lineRule="auto"/>
              <w:rPr>
                <w:rFonts w:cstheme="minorHAnsi"/>
                <w:bCs/>
                <w:sz w:val="20"/>
                <w:szCs w:val="20"/>
              </w:rPr>
            </w:pPr>
          </w:p>
          <w:p w14:paraId="596887F8"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Number of municipal lighting systems energy audits conducted</w:t>
            </w:r>
          </w:p>
          <w:p w14:paraId="1A35093E" w14:textId="77777777" w:rsidR="00A263E6" w:rsidRPr="00923BF0" w:rsidRDefault="00A263E6" w:rsidP="00565770">
            <w:pPr>
              <w:spacing w:after="0" w:line="240" w:lineRule="auto"/>
              <w:rPr>
                <w:rFonts w:cstheme="minorHAnsi"/>
                <w:bCs/>
                <w:sz w:val="20"/>
                <w:szCs w:val="20"/>
              </w:rPr>
            </w:pPr>
          </w:p>
          <w:p w14:paraId="7FB04252"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Number of specialists and agency representatives trained</w:t>
            </w:r>
          </w:p>
          <w:p w14:paraId="27ED49D6" w14:textId="77777777" w:rsidR="00A263E6" w:rsidRPr="00923BF0" w:rsidRDefault="00A263E6" w:rsidP="00565770">
            <w:pPr>
              <w:spacing w:after="0" w:line="240" w:lineRule="auto"/>
              <w:rPr>
                <w:rFonts w:cstheme="minorHAnsi"/>
                <w:bCs/>
                <w:sz w:val="20"/>
                <w:szCs w:val="20"/>
              </w:rPr>
            </w:pPr>
          </w:p>
          <w:p w14:paraId="55366EEF"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Public media exposure</w:t>
            </w:r>
          </w:p>
          <w:p w14:paraId="244A98A6" w14:textId="77777777" w:rsidR="00A263E6" w:rsidRPr="00923BF0" w:rsidRDefault="00A263E6" w:rsidP="00565770">
            <w:pPr>
              <w:spacing w:after="0" w:line="240" w:lineRule="auto"/>
              <w:rPr>
                <w:rFonts w:cstheme="minorHAnsi"/>
                <w:bCs/>
                <w:sz w:val="20"/>
                <w:szCs w:val="20"/>
              </w:rPr>
            </w:pPr>
          </w:p>
        </w:tc>
        <w:tc>
          <w:tcPr>
            <w:tcW w:w="1974" w:type="dxa"/>
          </w:tcPr>
          <w:p w14:paraId="5CCED944"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Lack of methodology for assessing energy efficiency in lighting</w:t>
            </w:r>
          </w:p>
          <w:p w14:paraId="0671F20E" w14:textId="77777777" w:rsidR="00A263E6" w:rsidRPr="00923BF0" w:rsidRDefault="00A263E6" w:rsidP="00565770">
            <w:pPr>
              <w:spacing w:after="0" w:line="240" w:lineRule="auto"/>
              <w:rPr>
                <w:rFonts w:cstheme="minorHAnsi"/>
                <w:bCs/>
                <w:sz w:val="20"/>
                <w:szCs w:val="20"/>
              </w:rPr>
            </w:pPr>
          </w:p>
          <w:p w14:paraId="5C5FA939"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Municipalities are not aware of energy saving potential in lighting sector</w:t>
            </w:r>
          </w:p>
          <w:p w14:paraId="5CEBDB01" w14:textId="77777777" w:rsidR="00A263E6" w:rsidRPr="00923BF0" w:rsidRDefault="00A263E6" w:rsidP="00565770">
            <w:pPr>
              <w:spacing w:after="0" w:line="240" w:lineRule="auto"/>
              <w:rPr>
                <w:rFonts w:cstheme="minorHAnsi"/>
                <w:bCs/>
                <w:sz w:val="20"/>
                <w:szCs w:val="20"/>
              </w:rPr>
            </w:pPr>
          </w:p>
          <w:p w14:paraId="5F3D9366"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No specialized training or training materials on EE lighting is offered in Armenia</w:t>
            </w:r>
            <w:r w:rsidRPr="00923BF0" w:rsidDel="006A3B5A">
              <w:rPr>
                <w:rFonts w:cstheme="minorHAnsi"/>
                <w:bCs/>
                <w:sz w:val="20"/>
                <w:szCs w:val="20"/>
              </w:rPr>
              <w:t xml:space="preserve"> </w:t>
            </w:r>
          </w:p>
          <w:p w14:paraId="584C8852"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Limited broadcasting of information on EE lighting</w:t>
            </w:r>
          </w:p>
        </w:tc>
        <w:tc>
          <w:tcPr>
            <w:tcW w:w="3160" w:type="dxa"/>
          </w:tcPr>
          <w:p w14:paraId="0B168A95"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By the project midterm methodology established</w:t>
            </w:r>
          </w:p>
          <w:p w14:paraId="7ACF32F8" w14:textId="77777777" w:rsidR="00A263E6" w:rsidRPr="00923BF0" w:rsidRDefault="00A263E6" w:rsidP="00565770">
            <w:pPr>
              <w:spacing w:after="0" w:line="240" w:lineRule="auto"/>
              <w:rPr>
                <w:rFonts w:cstheme="minorHAnsi"/>
                <w:bCs/>
                <w:sz w:val="20"/>
                <w:szCs w:val="20"/>
              </w:rPr>
            </w:pPr>
          </w:p>
          <w:p w14:paraId="79E340D0"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At least 10 comprehensive audits of public lighting (including pilots) completed in Yerevan and other cities</w:t>
            </w:r>
          </w:p>
          <w:p w14:paraId="1E3A5AFC" w14:textId="77777777" w:rsidR="00A263E6" w:rsidRPr="00923BF0" w:rsidRDefault="00A263E6" w:rsidP="00565770">
            <w:pPr>
              <w:spacing w:after="0" w:line="240" w:lineRule="auto"/>
              <w:rPr>
                <w:rFonts w:cstheme="minorHAnsi"/>
                <w:bCs/>
                <w:sz w:val="20"/>
                <w:szCs w:val="20"/>
              </w:rPr>
            </w:pPr>
          </w:p>
          <w:p w14:paraId="3FC12CEB"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 xml:space="preserve">At least 20 specialists from private sector and  municipalities are trained on EE lighting and energy audit </w:t>
            </w:r>
          </w:p>
          <w:p w14:paraId="70E51620" w14:textId="77777777" w:rsidR="00A263E6" w:rsidRPr="00923BF0" w:rsidRDefault="00A263E6" w:rsidP="00565770">
            <w:pPr>
              <w:spacing w:after="0" w:line="240" w:lineRule="auto"/>
              <w:rPr>
                <w:rFonts w:cstheme="minorHAnsi"/>
                <w:bCs/>
                <w:sz w:val="20"/>
                <w:szCs w:val="20"/>
              </w:rPr>
            </w:pPr>
          </w:p>
          <w:p w14:paraId="1F8EB2E7" w14:textId="77777777" w:rsidR="00A263E6" w:rsidRPr="00923BF0" w:rsidRDefault="00A263E6" w:rsidP="00565770">
            <w:pPr>
              <w:spacing w:after="0" w:line="240" w:lineRule="auto"/>
              <w:rPr>
                <w:rFonts w:cstheme="minorHAnsi"/>
                <w:bCs/>
                <w:sz w:val="20"/>
                <w:szCs w:val="20"/>
              </w:rPr>
            </w:pPr>
          </w:p>
          <w:p w14:paraId="40720356"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 xml:space="preserve">Media releases on outcomes of each pilot. Awareness raising materials available  for general public </w:t>
            </w:r>
          </w:p>
        </w:tc>
        <w:tc>
          <w:tcPr>
            <w:tcW w:w="1957" w:type="dxa"/>
          </w:tcPr>
          <w:p w14:paraId="70F6D5A7"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Project annual reports</w:t>
            </w:r>
          </w:p>
          <w:p w14:paraId="486F5896" w14:textId="77777777" w:rsidR="00A263E6" w:rsidRPr="00923BF0" w:rsidRDefault="00A263E6" w:rsidP="00565770">
            <w:pPr>
              <w:spacing w:after="0" w:line="240" w:lineRule="auto"/>
              <w:rPr>
                <w:rFonts w:cstheme="minorHAnsi"/>
                <w:bCs/>
                <w:sz w:val="20"/>
                <w:szCs w:val="20"/>
              </w:rPr>
            </w:pPr>
          </w:p>
          <w:p w14:paraId="72A64223" w14:textId="77777777" w:rsidR="00A263E6" w:rsidRPr="00923BF0" w:rsidRDefault="00A263E6" w:rsidP="00565770">
            <w:pPr>
              <w:spacing w:after="0" w:line="240" w:lineRule="auto"/>
              <w:rPr>
                <w:rFonts w:cstheme="minorHAnsi"/>
                <w:bCs/>
                <w:sz w:val="20"/>
                <w:szCs w:val="20"/>
              </w:rPr>
            </w:pPr>
          </w:p>
          <w:p w14:paraId="6F443C23"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Audit reports</w:t>
            </w:r>
          </w:p>
          <w:p w14:paraId="27C3FBA2" w14:textId="77777777" w:rsidR="00A263E6" w:rsidRPr="00923BF0" w:rsidRDefault="00A263E6" w:rsidP="00565770">
            <w:pPr>
              <w:spacing w:after="0" w:line="240" w:lineRule="auto"/>
              <w:rPr>
                <w:rFonts w:cstheme="minorHAnsi"/>
                <w:bCs/>
                <w:sz w:val="20"/>
                <w:szCs w:val="20"/>
              </w:rPr>
            </w:pPr>
          </w:p>
          <w:p w14:paraId="24994581" w14:textId="77777777" w:rsidR="00A263E6" w:rsidRPr="00923BF0" w:rsidRDefault="00A263E6" w:rsidP="00565770">
            <w:pPr>
              <w:spacing w:after="0" w:line="240" w:lineRule="auto"/>
              <w:rPr>
                <w:rFonts w:cstheme="minorHAnsi"/>
                <w:bCs/>
                <w:sz w:val="20"/>
                <w:szCs w:val="20"/>
              </w:rPr>
            </w:pPr>
          </w:p>
          <w:p w14:paraId="270C1C90" w14:textId="77777777" w:rsidR="00A263E6" w:rsidRPr="00923BF0" w:rsidRDefault="00A263E6" w:rsidP="00565770">
            <w:pPr>
              <w:spacing w:after="0" w:line="240" w:lineRule="auto"/>
              <w:rPr>
                <w:rFonts w:cstheme="minorHAnsi"/>
                <w:bCs/>
                <w:sz w:val="20"/>
                <w:szCs w:val="20"/>
              </w:rPr>
            </w:pPr>
          </w:p>
          <w:p w14:paraId="16B08AB8"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Project annual reports</w:t>
            </w:r>
          </w:p>
          <w:p w14:paraId="0DC6767C" w14:textId="77777777" w:rsidR="00A263E6" w:rsidRPr="00923BF0" w:rsidRDefault="00A263E6" w:rsidP="00565770">
            <w:pPr>
              <w:spacing w:after="0" w:line="240" w:lineRule="auto"/>
              <w:rPr>
                <w:rFonts w:cstheme="minorHAnsi"/>
                <w:bCs/>
                <w:sz w:val="20"/>
                <w:szCs w:val="20"/>
              </w:rPr>
            </w:pPr>
          </w:p>
          <w:p w14:paraId="11BC2B05" w14:textId="77777777" w:rsidR="00A263E6" w:rsidRPr="00923BF0" w:rsidRDefault="00A263E6" w:rsidP="00565770">
            <w:pPr>
              <w:spacing w:after="0" w:line="240" w:lineRule="auto"/>
              <w:rPr>
                <w:rFonts w:cstheme="minorHAnsi"/>
                <w:bCs/>
                <w:sz w:val="20"/>
                <w:szCs w:val="20"/>
              </w:rPr>
            </w:pPr>
          </w:p>
          <w:p w14:paraId="7ACB2C97" w14:textId="77777777" w:rsidR="00A263E6" w:rsidRPr="00923BF0" w:rsidRDefault="00A263E6" w:rsidP="00565770">
            <w:pPr>
              <w:spacing w:after="0" w:line="240" w:lineRule="auto"/>
              <w:rPr>
                <w:rFonts w:cstheme="minorHAnsi"/>
                <w:bCs/>
                <w:sz w:val="20"/>
                <w:szCs w:val="20"/>
              </w:rPr>
            </w:pPr>
          </w:p>
          <w:p w14:paraId="5F7A8B86"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Public outreach materials and publications</w:t>
            </w:r>
            <w:r w:rsidRPr="00923BF0">
              <w:rPr>
                <w:rFonts w:cstheme="minorHAnsi"/>
                <w:bCs/>
                <w:sz w:val="20"/>
                <w:szCs w:val="20"/>
              </w:rPr>
              <w:br/>
            </w:r>
          </w:p>
          <w:p w14:paraId="7B477874"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Project web-site</w:t>
            </w:r>
          </w:p>
        </w:tc>
        <w:tc>
          <w:tcPr>
            <w:tcW w:w="2691" w:type="dxa"/>
          </w:tcPr>
          <w:p w14:paraId="7FE5061A"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lastRenderedPageBreak/>
              <w:t>Not observed</w:t>
            </w:r>
          </w:p>
        </w:tc>
      </w:tr>
      <w:tr w:rsidR="00A263E6" w:rsidRPr="00923BF0" w14:paraId="3871859F" w14:textId="77777777" w:rsidTr="00923BF0">
        <w:tc>
          <w:tcPr>
            <w:tcW w:w="2085" w:type="dxa"/>
            <w:shd w:val="pct12" w:color="auto" w:fill="auto"/>
          </w:tcPr>
          <w:p w14:paraId="6E4704E0" w14:textId="77777777" w:rsidR="00A263E6" w:rsidRPr="00923BF0" w:rsidRDefault="00A263E6" w:rsidP="00565770">
            <w:pPr>
              <w:spacing w:after="0" w:line="240" w:lineRule="auto"/>
              <w:rPr>
                <w:rFonts w:cstheme="minorHAnsi"/>
                <w:b/>
                <w:bCs/>
                <w:sz w:val="20"/>
                <w:szCs w:val="20"/>
              </w:rPr>
            </w:pPr>
            <w:r w:rsidRPr="00923BF0">
              <w:rPr>
                <w:rFonts w:cstheme="minorHAnsi"/>
                <w:b/>
                <w:bCs/>
                <w:sz w:val="20"/>
                <w:szCs w:val="20"/>
              </w:rPr>
              <w:t>Outcome 2</w:t>
            </w:r>
          </w:p>
          <w:p w14:paraId="3592EF06"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Demonstration projects</w:t>
            </w:r>
          </w:p>
          <w:p w14:paraId="60E89783" w14:textId="77777777" w:rsidR="00A263E6" w:rsidRPr="00923BF0" w:rsidRDefault="00A263E6" w:rsidP="00565770">
            <w:pPr>
              <w:spacing w:after="0" w:line="240" w:lineRule="auto"/>
              <w:rPr>
                <w:rFonts w:cstheme="minorHAnsi"/>
                <w:bCs/>
                <w:i/>
                <w:sz w:val="20"/>
                <w:szCs w:val="20"/>
              </w:rPr>
            </w:pPr>
            <w:r w:rsidRPr="00923BF0">
              <w:rPr>
                <w:rFonts w:cstheme="minorHAnsi"/>
                <w:bCs/>
                <w:i/>
                <w:sz w:val="20"/>
                <w:szCs w:val="20"/>
              </w:rPr>
              <w:t>Pilot projects yield cost-effective energy savings, raising the confidence of investors and decision-makers about EE lighting</w:t>
            </w:r>
          </w:p>
        </w:tc>
        <w:tc>
          <w:tcPr>
            <w:tcW w:w="2011" w:type="dxa"/>
          </w:tcPr>
          <w:p w14:paraId="560970BA"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Efficiency and energy savings of installed EE lighting</w:t>
            </w:r>
          </w:p>
          <w:p w14:paraId="43367E3D" w14:textId="77777777" w:rsidR="00A263E6" w:rsidRPr="00923BF0" w:rsidRDefault="00A263E6" w:rsidP="00565770">
            <w:pPr>
              <w:widowControl w:val="0"/>
              <w:spacing w:after="0" w:line="240" w:lineRule="auto"/>
              <w:rPr>
                <w:rFonts w:eastAsia="SimSun" w:cstheme="minorHAnsi"/>
                <w:color w:val="000000"/>
                <w:sz w:val="20"/>
                <w:szCs w:val="20"/>
              </w:rPr>
            </w:pPr>
          </w:p>
          <w:p w14:paraId="1C95CEDE" w14:textId="77777777" w:rsidR="00A263E6" w:rsidRPr="00923BF0" w:rsidRDefault="00A263E6" w:rsidP="00565770">
            <w:pPr>
              <w:widowControl w:val="0"/>
              <w:spacing w:after="0" w:line="240" w:lineRule="auto"/>
              <w:rPr>
                <w:rFonts w:eastAsia="SimSun" w:cstheme="minorHAnsi"/>
                <w:color w:val="000000"/>
                <w:sz w:val="20"/>
                <w:szCs w:val="20"/>
              </w:rPr>
            </w:pPr>
          </w:p>
          <w:p w14:paraId="3A2DD2EC" w14:textId="77777777" w:rsidR="00A263E6" w:rsidRPr="00923BF0" w:rsidRDefault="00A263E6" w:rsidP="00565770">
            <w:pPr>
              <w:widowControl w:val="0"/>
              <w:spacing w:after="0" w:line="240" w:lineRule="auto"/>
              <w:rPr>
                <w:rFonts w:eastAsia="SimSun" w:cstheme="minorHAnsi"/>
                <w:color w:val="000000"/>
                <w:sz w:val="20"/>
                <w:szCs w:val="20"/>
              </w:rPr>
            </w:pPr>
          </w:p>
          <w:p w14:paraId="0B016B06" w14:textId="77777777" w:rsidR="00A263E6" w:rsidRPr="00923BF0" w:rsidRDefault="00A263E6" w:rsidP="00565770">
            <w:pPr>
              <w:widowControl w:val="0"/>
              <w:spacing w:after="0" w:line="240" w:lineRule="auto"/>
              <w:rPr>
                <w:rFonts w:eastAsia="SimSun" w:cstheme="minorHAnsi"/>
                <w:color w:val="000000"/>
                <w:sz w:val="20"/>
                <w:szCs w:val="20"/>
              </w:rPr>
            </w:pPr>
          </w:p>
          <w:p w14:paraId="50737D00" w14:textId="77777777" w:rsidR="00A263E6" w:rsidRPr="00923BF0" w:rsidRDefault="00A263E6" w:rsidP="00565770">
            <w:pPr>
              <w:widowControl w:val="0"/>
              <w:spacing w:after="0" w:line="240" w:lineRule="auto"/>
              <w:rPr>
                <w:rFonts w:eastAsia="SimSun" w:cstheme="minorHAnsi"/>
                <w:color w:val="000000"/>
                <w:sz w:val="20"/>
                <w:szCs w:val="20"/>
              </w:rPr>
            </w:pPr>
          </w:p>
          <w:p w14:paraId="798F4F33" w14:textId="77777777" w:rsidR="00A263E6" w:rsidRPr="00923BF0" w:rsidRDefault="00A263E6" w:rsidP="00565770">
            <w:pPr>
              <w:widowControl w:val="0"/>
              <w:spacing w:after="0" w:line="240" w:lineRule="auto"/>
              <w:rPr>
                <w:rFonts w:eastAsia="SimSun" w:cstheme="minorHAnsi"/>
                <w:color w:val="000000"/>
                <w:sz w:val="20"/>
                <w:szCs w:val="20"/>
              </w:rPr>
            </w:pPr>
          </w:p>
          <w:p w14:paraId="09DE4E71" w14:textId="77777777" w:rsidR="00A263E6" w:rsidRPr="00923BF0" w:rsidRDefault="00A263E6" w:rsidP="00565770">
            <w:pPr>
              <w:widowControl w:val="0"/>
              <w:spacing w:after="0" w:line="240" w:lineRule="auto"/>
              <w:rPr>
                <w:rFonts w:eastAsia="SimSun" w:cstheme="minorHAnsi"/>
                <w:color w:val="000000"/>
                <w:sz w:val="20"/>
                <w:szCs w:val="20"/>
              </w:rPr>
            </w:pPr>
          </w:p>
          <w:p w14:paraId="307402B8"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Share of LED in demo-projects</w:t>
            </w:r>
          </w:p>
          <w:p w14:paraId="6D991320" w14:textId="77777777" w:rsidR="00A263E6" w:rsidRPr="00923BF0" w:rsidRDefault="00A263E6" w:rsidP="00565770">
            <w:pPr>
              <w:widowControl w:val="0"/>
              <w:spacing w:after="0" w:line="240" w:lineRule="auto"/>
              <w:rPr>
                <w:rFonts w:eastAsia="SimSun" w:cstheme="minorHAnsi"/>
                <w:color w:val="000000"/>
                <w:sz w:val="20"/>
                <w:szCs w:val="20"/>
              </w:rPr>
            </w:pPr>
          </w:p>
          <w:p w14:paraId="247F9B01" w14:textId="77777777" w:rsidR="00A263E6" w:rsidRPr="00923BF0" w:rsidRDefault="00A263E6" w:rsidP="00565770">
            <w:pPr>
              <w:widowControl w:val="0"/>
              <w:spacing w:after="0" w:line="240" w:lineRule="auto"/>
              <w:rPr>
                <w:rFonts w:eastAsia="SimSun" w:cstheme="minorHAnsi"/>
                <w:color w:val="000000"/>
                <w:sz w:val="20"/>
                <w:szCs w:val="20"/>
              </w:rPr>
            </w:pPr>
          </w:p>
        </w:tc>
        <w:tc>
          <w:tcPr>
            <w:tcW w:w="1974" w:type="dxa"/>
          </w:tcPr>
          <w:p w14:paraId="4E6A29E3"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 xml:space="preserve">The majority of fixtures in municipal outdoor lighting sector incorporate inefficient 250W HPS lamps or 400W mercury-vapor lamps. </w:t>
            </w:r>
          </w:p>
          <w:p w14:paraId="59D5CFF7" w14:textId="77777777" w:rsidR="00A263E6" w:rsidRPr="00923BF0" w:rsidRDefault="00A263E6" w:rsidP="00565770">
            <w:pPr>
              <w:widowControl w:val="0"/>
              <w:spacing w:after="0" w:line="240" w:lineRule="auto"/>
              <w:rPr>
                <w:rFonts w:eastAsia="SimSun" w:cstheme="minorHAnsi"/>
                <w:color w:val="000000"/>
                <w:sz w:val="20"/>
                <w:szCs w:val="20"/>
              </w:rPr>
            </w:pPr>
          </w:p>
          <w:p w14:paraId="7A982326"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 xml:space="preserve">The indoor lighting sector is dominated by inefficient incandescent lamps and fluorescent tubes. </w:t>
            </w:r>
          </w:p>
        </w:tc>
        <w:tc>
          <w:tcPr>
            <w:tcW w:w="3160" w:type="dxa"/>
          </w:tcPr>
          <w:p w14:paraId="398962A4"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 xml:space="preserve">At least five demonstration projects on a number of efficient lighting technologies completed for indoor, outdoor and street lighting. </w:t>
            </w:r>
          </w:p>
          <w:p w14:paraId="6699EE8A" w14:textId="77777777" w:rsidR="00A263E6" w:rsidRPr="00923BF0" w:rsidRDefault="00A263E6" w:rsidP="00565770">
            <w:pPr>
              <w:widowControl w:val="0"/>
              <w:spacing w:after="0" w:line="240" w:lineRule="auto"/>
              <w:rPr>
                <w:rFonts w:eastAsia="SimSun" w:cstheme="minorHAnsi"/>
                <w:color w:val="000000"/>
                <w:sz w:val="20"/>
                <w:szCs w:val="20"/>
              </w:rPr>
            </w:pPr>
          </w:p>
          <w:p w14:paraId="3A61107B"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Direct energy savings of up to 0.95 GWh per year by completion of all pilots (subject to final selection of pilot size and  technologies)</w:t>
            </w:r>
          </w:p>
          <w:p w14:paraId="38C20B30" w14:textId="77777777" w:rsidR="00A263E6" w:rsidRPr="00923BF0" w:rsidRDefault="00A263E6" w:rsidP="00565770">
            <w:pPr>
              <w:widowControl w:val="0"/>
              <w:spacing w:after="0" w:line="240" w:lineRule="auto"/>
              <w:rPr>
                <w:rFonts w:eastAsia="SimSun" w:cstheme="minorHAnsi"/>
                <w:color w:val="000000"/>
                <w:sz w:val="20"/>
                <w:szCs w:val="20"/>
              </w:rPr>
            </w:pPr>
          </w:p>
          <w:p w14:paraId="0733F560"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100% LED for outdoor (park) and indoor lighting pilots</w:t>
            </w:r>
          </w:p>
          <w:p w14:paraId="6F591B8B" w14:textId="77777777" w:rsidR="00A263E6" w:rsidRPr="00923BF0" w:rsidRDefault="00A263E6" w:rsidP="00565770">
            <w:pPr>
              <w:widowControl w:val="0"/>
              <w:spacing w:after="0" w:line="240" w:lineRule="auto"/>
              <w:rPr>
                <w:rFonts w:eastAsia="SimSun" w:cstheme="minorHAnsi"/>
                <w:color w:val="000000"/>
                <w:sz w:val="20"/>
                <w:szCs w:val="20"/>
              </w:rPr>
            </w:pPr>
          </w:p>
          <w:p w14:paraId="4882A220"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shd w:val="clear" w:color="auto" w:fill="FFFFFF" w:themeFill="background1"/>
              </w:rPr>
              <w:t xml:space="preserve">40% LED included in street lighting pilots </w:t>
            </w:r>
          </w:p>
        </w:tc>
        <w:tc>
          <w:tcPr>
            <w:tcW w:w="1957" w:type="dxa"/>
          </w:tcPr>
          <w:p w14:paraId="56927E90"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Project reports and audits</w:t>
            </w:r>
          </w:p>
        </w:tc>
        <w:tc>
          <w:tcPr>
            <w:tcW w:w="2691" w:type="dxa"/>
          </w:tcPr>
          <w:p w14:paraId="4D0E4B74"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Fulfillment of the target will depend on planning (e.g. final selection of pilot size and technologies), financing, and implementation according to strict timetables agreed upon by the project and its partners.</w:t>
            </w:r>
          </w:p>
        </w:tc>
      </w:tr>
      <w:tr w:rsidR="00A263E6" w:rsidRPr="00923BF0" w14:paraId="6BD0C1AA" w14:textId="77777777" w:rsidTr="00923BF0">
        <w:tc>
          <w:tcPr>
            <w:tcW w:w="2085" w:type="dxa"/>
            <w:shd w:val="pct12" w:color="auto" w:fill="auto"/>
          </w:tcPr>
          <w:p w14:paraId="761FEE7D" w14:textId="77777777" w:rsidR="00A263E6" w:rsidRPr="00923BF0" w:rsidRDefault="00A263E6" w:rsidP="00565770">
            <w:pPr>
              <w:spacing w:after="0" w:line="240" w:lineRule="auto"/>
              <w:rPr>
                <w:rFonts w:cstheme="minorHAnsi"/>
                <w:b/>
                <w:bCs/>
                <w:sz w:val="20"/>
                <w:szCs w:val="20"/>
              </w:rPr>
            </w:pPr>
            <w:r w:rsidRPr="00923BF0">
              <w:rPr>
                <w:rFonts w:cstheme="minorHAnsi"/>
                <w:b/>
                <w:bCs/>
                <w:sz w:val="20"/>
                <w:szCs w:val="20"/>
              </w:rPr>
              <w:t>Outcome 3</w:t>
            </w:r>
          </w:p>
          <w:p w14:paraId="420D276C"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Replication via municipal programs and associated financial instruments</w:t>
            </w:r>
          </w:p>
          <w:p w14:paraId="0DAE3760" w14:textId="77777777" w:rsidR="00A263E6" w:rsidRPr="00923BF0" w:rsidRDefault="00A263E6" w:rsidP="00565770">
            <w:pPr>
              <w:spacing w:after="0" w:line="240" w:lineRule="auto"/>
              <w:rPr>
                <w:rFonts w:cstheme="minorHAnsi"/>
                <w:bCs/>
                <w:i/>
                <w:sz w:val="20"/>
                <w:szCs w:val="20"/>
              </w:rPr>
            </w:pPr>
            <w:r w:rsidRPr="00923BF0">
              <w:rPr>
                <w:rFonts w:cstheme="minorHAnsi"/>
                <w:bCs/>
                <w:i/>
                <w:sz w:val="20"/>
                <w:szCs w:val="20"/>
              </w:rPr>
              <w:t>Municipal lighting programs lead to widespread deployment of EE lighting and associated energy savings</w:t>
            </w:r>
          </w:p>
        </w:tc>
        <w:tc>
          <w:tcPr>
            <w:tcW w:w="2011" w:type="dxa"/>
          </w:tcPr>
          <w:p w14:paraId="6F8F08E2" w14:textId="77777777" w:rsidR="00A263E6" w:rsidRPr="00923BF0" w:rsidRDefault="00A263E6" w:rsidP="00565770">
            <w:pPr>
              <w:widowControl w:val="0"/>
              <w:tabs>
                <w:tab w:val="num" w:pos="612"/>
              </w:tabs>
              <w:spacing w:after="0" w:line="240" w:lineRule="auto"/>
              <w:rPr>
                <w:rFonts w:eastAsia="SimSun" w:cstheme="minorHAnsi"/>
                <w:sz w:val="20"/>
                <w:szCs w:val="20"/>
              </w:rPr>
            </w:pPr>
            <w:r w:rsidRPr="00923BF0">
              <w:rPr>
                <w:rFonts w:eastAsia="SimSun" w:cstheme="minorHAnsi"/>
                <w:sz w:val="20"/>
                <w:szCs w:val="20"/>
              </w:rPr>
              <w:t>Municipal programs for EE public lighting</w:t>
            </w:r>
          </w:p>
          <w:p w14:paraId="5D54A9FB" w14:textId="77777777" w:rsidR="00A263E6" w:rsidRPr="00923BF0" w:rsidRDefault="00A263E6" w:rsidP="00565770">
            <w:pPr>
              <w:widowControl w:val="0"/>
              <w:tabs>
                <w:tab w:val="num" w:pos="612"/>
              </w:tabs>
              <w:spacing w:after="0" w:line="240" w:lineRule="auto"/>
              <w:rPr>
                <w:rFonts w:eastAsia="SimSun" w:cstheme="minorHAnsi"/>
                <w:sz w:val="20"/>
                <w:szCs w:val="20"/>
              </w:rPr>
            </w:pPr>
          </w:p>
          <w:p w14:paraId="1409E0F9" w14:textId="77777777" w:rsidR="00A263E6" w:rsidRPr="00923BF0" w:rsidRDefault="00A263E6" w:rsidP="00565770">
            <w:pPr>
              <w:widowControl w:val="0"/>
              <w:tabs>
                <w:tab w:val="num" w:pos="612"/>
              </w:tabs>
              <w:spacing w:after="0" w:line="240" w:lineRule="auto"/>
              <w:rPr>
                <w:rFonts w:eastAsia="SimSun" w:cstheme="minorHAnsi"/>
                <w:sz w:val="20"/>
                <w:szCs w:val="20"/>
              </w:rPr>
            </w:pPr>
          </w:p>
          <w:p w14:paraId="5A085B51" w14:textId="77777777" w:rsidR="00A263E6" w:rsidRPr="00923BF0" w:rsidRDefault="00A263E6" w:rsidP="00565770">
            <w:pPr>
              <w:widowControl w:val="0"/>
              <w:tabs>
                <w:tab w:val="num" w:pos="612"/>
              </w:tabs>
              <w:spacing w:after="0" w:line="240" w:lineRule="auto"/>
              <w:rPr>
                <w:rFonts w:eastAsia="SimSun" w:cstheme="minorHAnsi"/>
                <w:sz w:val="20"/>
                <w:szCs w:val="20"/>
              </w:rPr>
            </w:pPr>
          </w:p>
          <w:p w14:paraId="0DA4085F" w14:textId="77777777" w:rsidR="00A263E6" w:rsidRPr="00923BF0" w:rsidRDefault="00A263E6" w:rsidP="00565770">
            <w:pPr>
              <w:widowControl w:val="0"/>
              <w:tabs>
                <w:tab w:val="num" w:pos="612"/>
              </w:tabs>
              <w:spacing w:after="0" w:line="240" w:lineRule="auto"/>
              <w:rPr>
                <w:rFonts w:eastAsia="SimSun" w:cstheme="minorHAnsi"/>
                <w:sz w:val="20"/>
                <w:szCs w:val="20"/>
              </w:rPr>
            </w:pPr>
          </w:p>
          <w:p w14:paraId="68E1E519" w14:textId="77777777" w:rsidR="00A263E6" w:rsidRPr="00923BF0" w:rsidRDefault="00A263E6" w:rsidP="00565770">
            <w:pPr>
              <w:widowControl w:val="0"/>
              <w:tabs>
                <w:tab w:val="num" w:pos="612"/>
              </w:tabs>
              <w:spacing w:after="0" w:line="240" w:lineRule="auto"/>
              <w:rPr>
                <w:rFonts w:eastAsia="SimSun" w:cstheme="minorHAnsi"/>
                <w:sz w:val="20"/>
                <w:szCs w:val="20"/>
              </w:rPr>
            </w:pPr>
            <w:r w:rsidRPr="00923BF0">
              <w:rPr>
                <w:rFonts w:eastAsia="SimSun" w:cstheme="minorHAnsi"/>
                <w:sz w:val="20"/>
                <w:szCs w:val="20"/>
              </w:rPr>
              <w:t>Financial commitments for energy-efficient municipal lighting</w:t>
            </w:r>
          </w:p>
        </w:tc>
        <w:tc>
          <w:tcPr>
            <w:tcW w:w="1974" w:type="dxa"/>
          </w:tcPr>
          <w:p w14:paraId="3D1EDFF3" w14:textId="77777777" w:rsidR="00A263E6" w:rsidRPr="00923BF0" w:rsidRDefault="00A263E6" w:rsidP="00565770">
            <w:pPr>
              <w:spacing w:after="0" w:line="240" w:lineRule="auto"/>
              <w:rPr>
                <w:rFonts w:eastAsia="SimSun" w:cstheme="minorHAnsi"/>
                <w:sz w:val="20"/>
                <w:szCs w:val="20"/>
              </w:rPr>
            </w:pPr>
            <w:r w:rsidRPr="00923BF0">
              <w:rPr>
                <w:rFonts w:eastAsia="SimSun" w:cstheme="minorHAnsi"/>
                <w:sz w:val="20"/>
                <w:szCs w:val="20"/>
              </w:rPr>
              <w:t>Municipal programs for EE public lighting are desired but not comprehensively designed, financed, nor implemented</w:t>
            </w:r>
          </w:p>
          <w:p w14:paraId="64824E62" w14:textId="77777777" w:rsidR="00A263E6" w:rsidRPr="00923BF0" w:rsidRDefault="00A263E6" w:rsidP="00565770">
            <w:pPr>
              <w:spacing w:after="0" w:line="240" w:lineRule="auto"/>
              <w:rPr>
                <w:rFonts w:eastAsia="SimSun" w:cstheme="minorHAnsi"/>
                <w:sz w:val="20"/>
                <w:szCs w:val="20"/>
              </w:rPr>
            </w:pPr>
          </w:p>
          <w:p w14:paraId="7605EF06" w14:textId="77777777" w:rsidR="00A263E6" w:rsidRPr="00923BF0" w:rsidRDefault="00A263E6" w:rsidP="00565770">
            <w:pPr>
              <w:spacing w:after="0" w:line="240" w:lineRule="auto"/>
              <w:rPr>
                <w:rFonts w:eastAsia="SimSun" w:cstheme="minorHAnsi"/>
                <w:sz w:val="20"/>
                <w:szCs w:val="20"/>
              </w:rPr>
            </w:pPr>
          </w:p>
        </w:tc>
        <w:tc>
          <w:tcPr>
            <w:tcW w:w="3160" w:type="dxa"/>
          </w:tcPr>
          <w:p w14:paraId="5CAFA8D2"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Municipality of Yerevan develops and adopts program for upgrades of municipal lighting</w:t>
            </w:r>
          </w:p>
          <w:p w14:paraId="59EC7301"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Similar programs are adopted in other cities of Armenia</w:t>
            </w:r>
          </w:p>
          <w:p w14:paraId="5F04CAB9" w14:textId="77777777" w:rsidR="00A263E6" w:rsidRPr="00923BF0" w:rsidRDefault="00A263E6" w:rsidP="00565770">
            <w:pPr>
              <w:spacing w:after="0" w:line="240" w:lineRule="auto"/>
              <w:rPr>
                <w:rFonts w:eastAsia="SimSun" w:cstheme="minorHAnsi"/>
                <w:color w:val="000000"/>
                <w:sz w:val="20"/>
                <w:szCs w:val="20"/>
              </w:rPr>
            </w:pPr>
          </w:p>
          <w:p w14:paraId="55E2017C"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Establishment of financing mechanism for Yerevan (e.g. revolving fund)</w:t>
            </w:r>
          </w:p>
          <w:p w14:paraId="5A5FC990" w14:textId="77777777" w:rsidR="00A263E6" w:rsidRDefault="00A263E6" w:rsidP="00565770">
            <w:pPr>
              <w:spacing w:after="0" w:line="240" w:lineRule="auto"/>
              <w:rPr>
                <w:rFonts w:eastAsia="SimSun" w:cstheme="minorHAnsi"/>
                <w:color w:val="000000"/>
                <w:sz w:val="20"/>
                <w:szCs w:val="20"/>
              </w:rPr>
            </w:pPr>
          </w:p>
          <w:p w14:paraId="27C47926" w14:textId="77777777" w:rsidR="00A263E6" w:rsidRDefault="00A263E6" w:rsidP="00565770">
            <w:pPr>
              <w:spacing w:after="0" w:line="240" w:lineRule="auto"/>
              <w:rPr>
                <w:rFonts w:eastAsia="SimSun" w:cstheme="minorHAnsi"/>
                <w:color w:val="000000"/>
                <w:sz w:val="20"/>
                <w:szCs w:val="20"/>
              </w:rPr>
            </w:pPr>
          </w:p>
          <w:p w14:paraId="3768667F" w14:textId="77777777" w:rsidR="00A263E6" w:rsidRDefault="00A263E6" w:rsidP="00565770">
            <w:pPr>
              <w:spacing w:after="0" w:line="240" w:lineRule="auto"/>
              <w:rPr>
                <w:rFonts w:eastAsia="SimSun" w:cstheme="minorHAnsi"/>
                <w:color w:val="000000"/>
                <w:sz w:val="20"/>
                <w:szCs w:val="20"/>
              </w:rPr>
            </w:pPr>
          </w:p>
          <w:p w14:paraId="3B30D8C0" w14:textId="77777777" w:rsidR="00A263E6" w:rsidRPr="00923BF0" w:rsidRDefault="00A263E6" w:rsidP="00565770">
            <w:pPr>
              <w:spacing w:after="0" w:line="240" w:lineRule="auto"/>
              <w:rPr>
                <w:rFonts w:eastAsia="SimSun" w:cstheme="minorHAnsi"/>
                <w:color w:val="000000"/>
                <w:sz w:val="20"/>
                <w:szCs w:val="20"/>
              </w:rPr>
            </w:pPr>
          </w:p>
          <w:p w14:paraId="5BF80395"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lastRenderedPageBreak/>
              <w:t>Support in preparation of funding proposals (including tenders for ESCOs) for cities of Armenia</w:t>
            </w:r>
          </w:p>
          <w:p w14:paraId="54AE500E" w14:textId="77777777" w:rsidR="00A263E6" w:rsidRPr="00923BF0" w:rsidRDefault="00A263E6" w:rsidP="00565770">
            <w:pPr>
              <w:spacing w:after="0" w:line="240" w:lineRule="auto"/>
              <w:rPr>
                <w:rFonts w:eastAsia="SimSun" w:cstheme="minorHAnsi"/>
                <w:color w:val="000000"/>
                <w:sz w:val="20"/>
                <w:szCs w:val="20"/>
              </w:rPr>
            </w:pPr>
          </w:p>
        </w:tc>
        <w:tc>
          <w:tcPr>
            <w:tcW w:w="1957" w:type="dxa"/>
          </w:tcPr>
          <w:p w14:paraId="3E421CA0"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lastRenderedPageBreak/>
              <w:t>Municipal plans on EE lighting upgrades</w:t>
            </w:r>
          </w:p>
          <w:p w14:paraId="0951036A" w14:textId="77777777" w:rsidR="00A263E6" w:rsidRPr="00923BF0" w:rsidRDefault="00A263E6" w:rsidP="00565770">
            <w:pPr>
              <w:widowControl w:val="0"/>
              <w:spacing w:after="0" w:line="240" w:lineRule="auto"/>
              <w:rPr>
                <w:rFonts w:eastAsia="SimSun" w:cstheme="minorHAnsi"/>
                <w:color w:val="000000"/>
                <w:sz w:val="20"/>
                <w:szCs w:val="20"/>
              </w:rPr>
            </w:pPr>
          </w:p>
          <w:p w14:paraId="03FCB275" w14:textId="77777777" w:rsidR="00A263E6" w:rsidRPr="00923BF0" w:rsidRDefault="00A263E6" w:rsidP="00565770">
            <w:pPr>
              <w:widowControl w:val="0"/>
              <w:spacing w:after="0" w:line="240" w:lineRule="auto"/>
              <w:rPr>
                <w:rFonts w:eastAsia="SimSun" w:cstheme="minorHAnsi"/>
                <w:color w:val="000000"/>
                <w:sz w:val="20"/>
                <w:szCs w:val="20"/>
              </w:rPr>
            </w:pPr>
          </w:p>
          <w:p w14:paraId="1056E7C8" w14:textId="77777777" w:rsidR="00A263E6" w:rsidRPr="00923BF0" w:rsidRDefault="00A263E6" w:rsidP="00565770">
            <w:pPr>
              <w:widowControl w:val="0"/>
              <w:spacing w:after="0" w:line="240" w:lineRule="auto"/>
              <w:rPr>
                <w:rFonts w:eastAsia="SimSun" w:cstheme="minorHAnsi"/>
                <w:color w:val="000000"/>
                <w:sz w:val="20"/>
                <w:szCs w:val="20"/>
              </w:rPr>
            </w:pPr>
          </w:p>
          <w:p w14:paraId="71069CC0" w14:textId="77777777" w:rsidR="00A263E6" w:rsidRPr="00923BF0" w:rsidRDefault="00A263E6" w:rsidP="00565770">
            <w:pPr>
              <w:widowControl w:val="0"/>
              <w:spacing w:after="0" w:line="240" w:lineRule="auto"/>
              <w:rPr>
                <w:rFonts w:eastAsia="SimSun" w:cstheme="minorHAnsi"/>
                <w:color w:val="000000"/>
                <w:sz w:val="20"/>
                <w:szCs w:val="20"/>
              </w:rPr>
            </w:pPr>
          </w:p>
          <w:p w14:paraId="25B85B53"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Established separate account/budget line in Yerevan Lighting Company for funding of EE lighting projects/upgrades.</w:t>
            </w:r>
          </w:p>
          <w:p w14:paraId="2C945672" w14:textId="77777777" w:rsidR="00A263E6" w:rsidRPr="00923BF0" w:rsidRDefault="00A263E6" w:rsidP="00565770">
            <w:pPr>
              <w:widowControl w:val="0"/>
              <w:spacing w:after="0" w:line="240" w:lineRule="auto"/>
              <w:rPr>
                <w:rFonts w:eastAsia="SimSun" w:cstheme="minorHAnsi"/>
                <w:color w:val="000000"/>
                <w:sz w:val="20"/>
                <w:szCs w:val="20"/>
              </w:rPr>
            </w:pPr>
          </w:p>
          <w:p w14:paraId="51C51E57"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 xml:space="preserve">Number of investment </w:t>
            </w:r>
            <w:r w:rsidRPr="00923BF0">
              <w:rPr>
                <w:rFonts w:eastAsia="SimSun" w:cstheme="minorHAnsi"/>
                <w:color w:val="000000"/>
                <w:sz w:val="20"/>
                <w:szCs w:val="20"/>
              </w:rPr>
              <w:lastRenderedPageBreak/>
              <w:t>proposals applied for funding</w:t>
            </w:r>
          </w:p>
        </w:tc>
        <w:tc>
          <w:tcPr>
            <w:tcW w:w="2691" w:type="dxa"/>
          </w:tcPr>
          <w:p w14:paraId="1229E206"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lastRenderedPageBreak/>
              <w:t>Adoption of municipal programs requires sufficient funds from municipal budgets and/or public and private sources of financing</w:t>
            </w:r>
          </w:p>
        </w:tc>
      </w:tr>
      <w:tr w:rsidR="00A263E6" w:rsidRPr="00923BF0" w14:paraId="0A5B7C41" w14:textId="77777777" w:rsidTr="00923BF0">
        <w:tc>
          <w:tcPr>
            <w:tcW w:w="2085" w:type="dxa"/>
            <w:shd w:val="pct12" w:color="auto" w:fill="auto"/>
          </w:tcPr>
          <w:p w14:paraId="42A28D85" w14:textId="77777777" w:rsidR="00A263E6" w:rsidRPr="00923BF0" w:rsidRDefault="00A263E6" w:rsidP="00565770">
            <w:pPr>
              <w:spacing w:after="0" w:line="240" w:lineRule="auto"/>
              <w:rPr>
                <w:rFonts w:cstheme="minorHAnsi"/>
                <w:b/>
                <w:bCs/>
                <w:sz w:val="20"/>
                <w:szCs w:val="20"/>
              </w:rPr>
            </w:pPr>
            <w:r w:rsidRPr="00923BF0">
              <w:rPr>
                <w:rFonts w:cstheme="minorHAnsi"/>
                <w:b/>
                <w:bCs/>
                <w:sz w:val="20"/>
                <w:szCs w:val="20"/>
              </w:rPr>
              <w:t>Outcome 4</w:t>
            </w:r>
          </w:p>
          <w:p w14:paraId="711BFD68" w14:textId="77777777" w:rsidR="00A263E6" w:rsidRPr="00923BF0" w:rsidRDefault="00A263E6" w:rsidP="00565770">
            <w:pPr>
              <w:spacing w:after="0" w:line="240" w:lineRule="auto"/>
              <w:rPr>
                <w:rFonts w:cstheme="minorHAnsi"/>
                <w:bCs/>
                <w:sz w:val="20"/>
                <w:szCs w:val="20"/>
              </w:rPr>
            </w:pPr>
            <w:r w:rsidRPr="00923BF0">
              <w:rPr>
                <w:rFonts w:cstheme="minorHAnsi"/>
                <w:bCs/>
                <w:sz w:val="20"/>
                <w:szCs w:val="20"/>
              </w:rPr>
              <w:t>National policies, codes, and standards on lighting</w:t>
            </w:r>
          </w:p>
          <w:p w14:paraId="59D573AB" w14:textId="77777777" w:rsidR="00A263E6" w:rsidRPr="00923BF0" w:rsidRDefault="00A263E6" w:rsidP="00565770">
            <w:pPr>
              <w:spacing w:after="0" w:line="240" w:lineRule="auto"/>
              <w:rPr>
                <w:rFonts w:cstheme="minorHAnsi"/>
                <w:bCs/>
                <w:i/>
                <w:sz w:val="20"/>
                <w:szCs w:val="20"/>
              </w:rPr>
            </w:pPr>
            <w:r w:rsidRPr="00923BF0">
              <w:rPr>
                <w:rFonts w:cstheme="minorHAnsi"/>
                <w:bCs/>
                <w:i/>
                <w:sz w:val="20"/>
                <w:szCs w:val="20"/>
              </w:rPr>
              <w:t>New national policies mandate significantly greater energy efficiency and ensure product quality for lighting, particularly in residential buildings</w:t>
            </w:r>
          </w:p>
        </w:tc>
        <w:tc>
          <w:tcPr>
            <w:tcW w:w="2011" w:type="dxa"/>
          </w:tcPr>
          <w:p w14:paraId="6CC34EBF"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 xml:space="preserve">Existence of regulations that mandate improved energy efficiency of lighting products and installations </w:t>
            </w:r>
          </w:p>
          <w:p w14:paraId="1BB0D73F" w14:textId="77777777" w:rsidR="00A263E6" w:rsidRPr="00923BF0" w:rsidRDefault="00A263E6" w:rsidP="00565770">
            <w:pPr>
              <w:widowControl w:val="0"/>
              <w:spacing w:after="0" w:line="240" w:lineRule="auto"/>
              <w:rPr>
                <w:rFonts w:eastAsia="SimSun" w:cstheme="minorHAnsi"/>
                <w:color w:val="000000"/>
                <w:sz w:val="20"/>
                <w:szCs w:val="20"/>
              </w:rPr>
            </w:pPr>
          </w:p>
          <w:p w14:paraId="6A3E480D" w14:textId="77777777" w:rsidR="00A263E6" w:rsidRPr="00923BF0" w:rsidRDefault="00A263E6" w:rsidP="00565770">
            <w:pPr>
              <w:widowControl w:val="0"/>
              <w:spacing w:after="0" w:line="240" w:lineRule="auto"/>
              <w:rPr>
                <w:rFonts w:eastAsia="SimSun" w:cstheme="minorHAnsi"/>
                <w:color w:val="000000"/>
                <w:sz w:val="20"/>
                <w:szCs w:val="20"/>
              </w:rPr>
            </w:pPr>
          </w:p>
        </w:tc>
        <w:tc>
          <w:tcPr>
            <w:tcW w:w="1974" w:type="dxa"/>
          </w:tcPr>
          <w:p w14:paraId="725F1574"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 xml:space="preserve">There is no regulation on energy performance of lighting products in Armenia </w:t>
            </w:r>
          </w:p>
          <w:p w14:paraId="44C6F136" w14:textId="77777777" w:rsidR="00A263E6" w:rsidRPr="00923BF0" w:rsidRDefault="00A263E6" w:rsidP="00565770">
            <w:pPr>
              <w:spacing w:after="0" w:line="240" w:lineRule="auto"/>
              <w:rPr>
                <w:rFonts w:eastAsia="SimSun" w:cstheme="minorHAnsi"/>
                <w:color w:val="000000"/>
                <w:sz w:val="20"/>
                <w:szCs w:val="20"/>
              </w:rPr>
            </w:pPr>
          </w:p>
          <w:p w14:paraId="1F207804" w14:textId="77777777" w:rsidR="00A263E6" w:rsidRPr="00923BF0" w:rsidRDefault="00A263E6" w:rsidP="00565770">
            <w:pPr>
              <w:spacing w:after="0" w:line="240" w:lineRule="auto"/>
              <w:rPr>
                <w:rFonts w:eastAsia="SimSun" w:cstheme="minorHAnsi"/>
                <w:color w:val="000000"/>
                <w:sz w:val="20"/>
                <w:szCs w:val="20"/>
              </w:rPr>
            </w:pPr>
          </w:p>
          <w:p w14:paraId="3BA8EB4C" w14:textId="77777777" w:rsidR="00A263E6" w:rsidRPr="00923BF0" w:rsidRDefault="00A263E6" w:rsidP="00565770">
            <w:pPr>
              <w:spacing w:after="0" w:line="240" w:lineRule="auto"/>
              <w:rPr>
                <w:rFonts w:eastAsia="SimSun" w:cstheme="minorHAnsi"/>
                <w:color w:val="000000"/>
                <w:sz w:val="20"/>
                <w:szCs w:val="20"/>
              </w:rPr>
            </w:pPr>
          </w:p>
        </w:tc>
        <w:tc>
          <w:tcPr>
            <w:tcW w:w="3160" w:type="dxa"/>
          </w:tcPr>
          <w:p w14:paraId="5A57A524"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Proposed improvement to existing Law on Energy Efficiency addressing minimum energy performance requirements for lighting appliances</w:t>
            </w:r>
          </w:p>
          <w:p w14:paraId="6F672A72" w14:textId="77777777" w:rsidR="00A263E6" w:rsidRPr="00923BF0" w:rsidRDefault="00A263E6" w:rsidP="00565770">
            <w:pPr>
              <w:spacing w:after="0" w:line="240" w:lineRule="auto"/>
              <w:rPr>
                <w:rFonts w:eastAsia="SimSun" w:cstheme="minorHAnsi"/>
                <w:color w:val="000000"/>
                <w:sz w:val="20"/>
                <w:szCs w:val="20"/>
              </w:rPr>
            </w:pPr>
          </w:p>
          <w:p w14:paraId="63D4457B"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 xml:space="preserve">A national phase-out plan of conventional incandescent lighting is adopted </w:t>
            </w:r>
          </w:p>
          <w:p w14:paraId="617A7971"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 xml:space="preserve">Other adopted policies and standards supporting </w:t>
            </w:r>
            <w:r>
              <w:rPr>
                <w:rFonts w:eastAsia="SimSun" w:cstheme="minorHAnsi"/>
                <w:color w:val="000000"/>
                <w:sz w:val="20"/>
                <w:szCs w:val="20"/>
              </w:rPr>
              <w:t>the phase-out</w:t>
            </w:r>
          </w:p>
          <w:p w14:paraId="3291C443" w14:textId="77777777" w:rsidR="00A263E6" w:rsidRPr="00923BF0" w:rsidRDefault="00A263E6" w:rsidP="00565770">
            <w:pPr>
              <w:spacing w:after="0" w:line="240" w:lineRule="auto"/>
              <w:rPr>
                <w:rFonts w:eastAsia="SimSun" w:cstheme="minorHAnsi"/>
                <w:color w:val="000000"/>
                <w:sz w:val="20"/>
                <w:szCs w:val="20"/>
              </w:rPr>
            </w:pPr>
          </w:p>
          <w:p w14:paraId="1D22FA82"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 xml:space="preserve">New criteria (including performance and life cycle costs) for incorporation in state procurement procedures for lighting applications are developed </w:t>
            </w:r>
          </w:p>
        </w:tc>
        <w:tc>
          <w:tcPr>
            <w:tcW w:w="1957" w:type="dxa"/>
          </w:tcPr>
          <w:p w14:paraId="61F12198"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Revised legal and normative documents</w:t>
            </w:r>
          </w:p>
          <w:p w14:paraId="7AA2B249" w14:textId="77777777" w:rsidR="00A263E6" w:rsidRPr="00923BF0" w:rsidRDefault="00A263E6" w:rsidP="00565770">
            <w:pPr>
              <w:widowControl w:val="0"/>
              <w:spacing w:after="0" w:line="240" w:lineRule="auto"/>
              <w:rPr>
                <w:rFonts w:eastAsia="SimSun" w:cstheme="minorHAnsi"/>
                <w:color w:val="000000"/>
                <w:sz w:val="20"/>
                <w:szCs w:val="20"/>
              </w:rPr>
            </w:pPr>
          </w:p>
          <w:p w14:paraId="4E9E9434" w14:textId="77777777" w:rsidR="00A263E6" w:rsidRPr="00923BF0" w:rsidRDefault="00A263E6" w:rsidP="00565770">
            <w:pPr>
              <w:widowControl w:val="0"/>
              <w:spacing w:after="0" w:line="240" w:lineRule="auto"/>
              <w:rPr>
                <w:rFonts w:eastAsia="SimSun" w:cstheme="minorHAnsi"/>
                <w:color w:val="000000"/>
                <w:sz w:val="20"/>
                <w:szCs w:val="20"/>
              </w:rPr>
            </w:pPr>
          </w:p>
          <w:p w14:paraId="34A86822"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National program</w:t>
            </w:r>
          </w:p>
          <w:p w14:paraId="3BAFA0A4"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on phase out of incandescent lighting</w:t>
            </w:r>
          </w:p>
          <w:p w14:paraId="5BB28792" w14:textId="77777777" w:rsidR="00A263E6" w:rsidRPr="00923BF0" w:rsidRDefault="00A263E6" w:rsidP="00565770">
            <w:pPr>
              <w:widowControl w:val="0"/>
              <w:spacing w:after="0" w:line="240" w:lineRule="auto"/>
              <w:rPr>
                <w:rFonts w:eastAsia="SimSun" w:cstheme="minorHAnsi"/>
                <w:color w:val="000000"/>
                <w:sz w:val="20"/>
                <w:szCs w:val="20"/>
              </w:rPr>
            </w:pPr>
          </w:p>
          <w:p w14:paraId="6B07DDA1" w14:textId="77777777" w:rsidR="00A263E6" w:rsidRPr="00923BF0" w:rsidRDefault="00A263E6" w:rsidP="00565770">
            <w:pPr>
              <w:widowControl w:val="0"/>
              <w:spacing w:after="0" w:line="240" w:lineRule="auto"/>
              <w:rPr>
                <w:rFonts w:eastAsia="SimSun" w:cstheme="minorHAnsi"/>
                <w:color w:val="000000"/>
                <w:sz w:val="20"/>
                <w:szCs w:val="20"/>
              </w:rPr>
            </w:pPr>
          </w:p>
          <w:p w14:paraId="27CE516A" w14:textId="77777777" w:rsidR="00A263E6" w:rsidRPr="00923BF0" w:rsidRDefault="00A263E6" w:rsidP="00565770">
            <w:pPr>
              <w:widowControl w:val="0"/>
              <w:spacing w:after="0" w:line="240" w:lineRule="auto"/>
              <w:rPr>
                <w:rFonts w:eastAsia="SimSun" w:cstheme="minorHAnsi"/>
                <w:color w:val="000000"/>
                <w:sz w:val="20"/>
                <w:szCs w:val="20"/>
              </w:rPr>
            </w:pPr>
          </w:p>
          <w:p w14:paraId="311626F3" w14:textId="77777777" w:rsidR="00A263E6" w:rsidRPr="00923BF0" w:rsidRDefault="00A263E6" w:rsidP="00565770">
            <w:pPr>
              <w:widowControl w:val="0"/>
              <w:spacing w:after="0" w:line="240" w:lineRule="auto"/>
              <w:rPr>
                <w:rFonts w:eastAsia="SimSun" w:cstheme="minorHAnsi"/>
                <w:color w:val="000000"/>
                <w:sz w:val="20"/>
                <w:szCs w:val="20"/>
              </w:rPr>
            </w:pPr>
            <w:r w:rsidRPr="00923BF0">
              <w:rPr>
                <w:rFonts w:eastAsia="SimSun" w:cstheme="minorHAnsi"/>
                <w:color w:val="000000"/>
                <w:sz w:val="20"/>
                <w:szCs w:val="20"/>
              </w:rPr>
              <w:t xml:space="preserve">Technical specifications for ensuring MEPS for public procurement of lighting equipment </w:t>
            </w:r>
          </w:p>
        </w:tc>
        <w:tc>
          <w:tcPr>
            <w:tcW w:w="2691" w:type="dxa"/>
          </w:tcPr>
          <w:p w14:paraId="39E11125" w14:textId="77777777" w:rsidR="00A263E6" w:rsidRPr="00923BF0" w:rsidRDefault="00A263E6" w:rsidP="00565770">
            <w:pPr>
              <w:spacing w:after="0" w:line="240" w:lineRule="auto"/>
              <w:rPr>
                <w:rFonts w:eastAsia="SimSun" w:cstheme="minorHAnsi"/>
                <w:color w:val="000000"/>
                <w:sz w:val="20"/>
                <w:szCs w:val="20"/>
              </w:rPr>
            </w:pPr>
            <w:r w:rsidRPr="00923BF0">
              <w:rPr>
                <w:rFonts w:eastAsia="SimSun" w:cstheme="minorHAnsi"/>
                <w:color w:val="000000"/>
                <w:sz w:val="20"/>
                <w:szCs w:val="20"/>
              </w:rPr>
              <w:t>Adoption of national policy requires sufficient political will and addressing of stakeholder concerns about lighting quality, cost to consumers, and mercury containment.</w:t>
            </w:r>
          </w:p>
        </w:tc>
      </w:tr>
    </w:tbl>
    <w:p w14:paraId="72BA8BD9" w14:textId="77777777" w:rsidR="00476646" w:rsidRPr="00A57AEF" w:rsidRDefault="00476646" w:rsidP="00565770">
      <w:pPr>
        <w:spacing w:after="0" w:line="240" w:lineRule="auto"/>
        <w:jc w:val="both"/>
        <w:rPr>
          <w:szCs w:val="17"/>
        </w:rPr>
      </w:pPr>
      <w:bookmarkStart w:id="57" w:name="_TOR_Annex_B:"/>
      <w:bookmarkStart w:id="58" w:name="_Toc299122845"/>
      <w:bookmarkStart w:id="59" w:name="_Toc299122867"/>
      <w:bookmarkStart w:id="60" w:name="_Toc299126631"/>
      <w:bookmarkStart w:id="61" w:name="_Toc299133054"/>
      <w:bookmarkStart w:id="62" w:name="_Toc321341563"/>
      <w:bookmarkEnd w:id="57"/>
    </w:p>
    <w:p w14:paraId="7993F38C" w14:textId="77777777" w:rsidR="00476646" w:rsidRDefault="00476646" w:rsidP="00565770">
      <w:pPr>
        <w:spacing w:after="0" w:line="240" w:lineRule="auto"/>
        <w:rPr>
          <w:rFonts w:ascii="Calibri" w:eastAsia="Times New Roman" w:hAnsi="Calibri" w:cs="Times New Roman"/>
          <w:i/>
          <w:sz w:val="20"/>
          <w:szCs w:val="20"/>
          <w:lang w:val="en-GB"/>
        </w:rPr>
        <w:sectPr w:rsidR="00476646" w:rsidSect="002B3FDE">
          <w:pgSz w:w="16839" w:h="11907" w:orient="landscape" w:code="9"/>
          <w:pgMar w:top="1440" w:right="1440" w:bottom="1327" w:left="1440" w:header="709" w:footer="709" w:gutter="0"/>
          <w:cols w:space="708"/>
          <w:docGrid w:linePitch="360"/>
        </w:sectPr>
      </w:pPr>
    </w:p>
    <w:p w14:paraId="3BF33B78" w14:textId="77777777" w:rsidR="00D6638C" w:rsidRPr="00D6638C" w:rsidRDefault="00D6638C" w:rsidP="007C5239">
      <w:pPr>
        <w:pStyle w:val="Heading31"/>
        <w:outlineLvl w:val="1"/>
      </w:pPr>
      <w:bookmarkStart w:id="63" w:name="Annex_B"/>
      <w:r w:rsidRPr="00D6638C">
        <w:lastRenderedPageBreak/>
        <w:t>Annex B: List of Documents to be reviewed by the evaluator</w:t>
      </w:r>
      <w:bookmarkEnd w:id="58"/>
      <w:bookmarkEnd w:id="59"/>
      <w:bookmarkEnd w:id="60"/>
      <w:bookmarkEnd w:id="61"/>
      <w:bookmarkEnd w:id="62"/>
    </w:p>
    <w:p w14:paraId="7D3D3CF0" w14:textId="77777777" w:rsidR="00476646" w:rsidRPr="00C976D4" w:rsidRDefault="00476646" w:rsidP="008D248F">
      <w:pPr>
        <w:pStyle w:val="ListParagraph"/>
        <w:numPr>
          <w:ilvl w:val="0"/>
          <w:numId w:val="33"/>
        </w:numPr>
        <w:spacing w:before="120" w:after="120" w:line="360" w:lineRule="auto"/>
        <w:ind w:left="714" w:hanging="357"/>
        <w:rPr>
          <w:lang w:val="en-GB"/>
        </w:rPr>
      </w:pPr>
      <w:bookmarkStart w:id="64" w:name="_TOR_Annex_C:"/>
      <w:bookmarkStart w:id="65" w:name="_Toc321341564"/>
      <w:bookmarkStart w:id="66" w:name="_Toc299122846"/>
      <w:bookmarkStart w:id="67" w:name="_Toc299122868"/>
      <w:bookmarkStart w:id="68" w:name="_Toc299126632"/>
      <w:bookmarkEnd w:id="63"/>
      <w:bookmarkEnd w:id="64"/>
      <w:r w:rsidRPr="00C976D4">
        <w:rPr>
          <w:lang w:val="en-GB"/>
        </w:rPr>
        <w:t>GEF Project Information Form (PIF), Project Document, and Log Frame Analysis (LFA)</w:t>
      </w:r>
    </w:p>
    <w:p w14:paraId="3157B4EE" w14:textId="77777777" w:rsidR="00476646" w:rsidRPr="007633DF" w:rsidRDefault="00476646" w:rsidP="008D248F">
      <w:pPr>
        <w:pStyle w:val="ListParagraph"/>
        <w:numPr>
          <w:ilvl w:val="0"/>
          <w:numId w:val="33"/>
        </w:numPr>
        <w:spacing w:before="120" w:after="120" w:line="360" w:lineRule="auto"/>
        <w:ind w:left="714" w:hanging="357"/>
        <w:rPr>
          <w:lang w:val="en-GB"/>
        </w:rPr>
      </w:pPr>
      <w:r w:rsidRPr="007633DF">
        <w:rPr>
          <w:lang w:val="en-GB"/>
        </w:rPr>
        <w:t xml:space="preserve">Project </w:t>
      </w:r>
      <w:r w:rsidR="007633DF" w:rsidRPr="007633DF">
        <w:rPr>
          <w:lang w:val="en-GB"/>
        </w:rPr>
        <w:t>I</w:t>
      </w:r>
      <w:r w:rsidR="007633DF">
        <w:rPr>
          <w:lang w:val="en-GB"/>
        </w:rPr>
        <w:t>nception Report</w:t>
      </w:r>
    </w:p>
    <w:p w14:paraId="0CC4DE1D"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Implementing/Executing partner arrangements</w:t>
      </w:r>
    </w:p>
    <w:p w14:paraId="7789B53B"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List and contact details for project staff, key project stakeholders, including Project Board, and other partners to be consulted</w:t>
      </w:r>
    </w:p>
    <w:p w14:paraId="78FA8933"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Project sites, highlighting suggested visits</w:t>
      </w:r>
    </w:p>
    <w:p w14:paraId="3E6E519A"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Mid Term Review (MTR) Report</w:t>
      </w:r>
    </w:p>
    <w:p w14:paraId="293D6653"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Annual Project Implementation (APR/PIR) Reports</w:t>
      </w:r>
    </w:p>
    <w:p w14:paraId="338B4EC7"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Project budget and financial data</w:t>
      </w:r>
    </w:p>
    <w:p w14:paraId="0259ECDB"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 xml:space="preserve">Project Tracking Tool, at baseline, at mid-term, and at terminal points </w:t>
      </w:r>
    </w:p>
    <w:p w14:paraId="4EE048C0"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UNDP Development Assistance Framework (UNDAF)</w:t>
      </w:r>
    </w:p>
    <w:p w14:paraId="0D53DAA0"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UNDP Country Programme Document (CPD)</w:t>
      </w:r>
    </w:p>
    <w:p w14:paraId="64F6F3AE" w14:textId="77777777" w:rsidR="00476646" w:rsidRPr="00C976D4" w:rsidRDefault="00476646" w:rsidP="008D248F">
      <w:pPr>
        <w:pStyle w:val="ListParagraph"/>
        <w:numPr>
          <w:ilvl w:val="0"/>
          <w:numId w:val="33"/>
        </w:numPr>
        <w:spacing w:before="120" w:after="120" w:line="360" w:lineRule="auto"/>
        <w:ind w:left="714" w:hanging="357"/>
        <w:rPr>
          <w:lang w:val="en-GB"/>
        </w:rPr>
      </w:pPr>
      <w:r w:rsidRPr="00C976D4">
        <w:rPr>
          <w:lang w:val="en-GB"/>
        </w:rPr>
        <w:t>UNDP Country Programme Action Plan (CPAP)</w:t>
      </w:r>
    </w:p>
    <w:p w14:paraId="70EF45F5" w14:textId="77777777" w:rsidR="00476646" w:rsidRPr="00C976D4" w:rsidRDefault="00476646" w:rsidP="008D248F">
      <w:pPr>
        <w:pStyle w:val="ListParagraph"/>
        <w:numPr>
          <w:ilvl w:val="0"/>
          <w:numId w:val="33"/>
        </w:numPr>
        <w:spacing w:before="120" w:after="120" w:line="360" w:lineRule="auto"/>
        <w:ind w:left="714" w:hanging="357"/>
        <w:rPr>
          <w:rFonts w:ascii="Calibri" w:hAnsi="Calibri" w:cs="Times New Roman"/>
          <w:lang w:val="en-GB"/>
        </w:rPr>
      </w:pPr>
      <w:r w:rsidRPr="00C976D4">
        <w:rPr>
          <w:lang w:val="en-GB"/>
        </w:rPr>
        <w:t>GEF focal area strategic program objectives</w:t>
      </w:r>
    </w:p>
    <w:p w14:paraId="265BA97D" w14:textId="77777777" w:rsidR="00476646" w:rsidRPr="00C976D4" w:rsidRDefault="00476646" w:rsidP="00476646">
      <w:pPr>
        <w:spacing w:before="120" w:after="120"/>
        <w:contextualSpacing/>
        <w:rPr>
          <w:rFonts w:ascii="Calibri" w:eastAsia="Times New Roman" w:hAnsi="Calibri" w:cs="Times New Roman"/>
          <w:sz w:val="20"/>
          <w:szCs w:val="20"/>
          <w:lang w:val="en-GB"/>
        </w:rPr>
        <w:sectPr w:rsidR="00476646" w:rsidRPr="00C976D4" w:rsidSect="002B3FDE">
          <w:pgSz w:w="11907" w:h="16839" w:code="9"/>
          <w:pgMar w:top="1440" w:right="1325" w:bottom="1440" w:left="1440" w:header="708" w:footer="708" w:gutter="0"/>
          <w:cols w:space="708"/>
          <w:docGrid w:linePitch="360"/>
        </w:sectPr>
      </w:pPr>
    </w:p>
    <w:p w14:paraId="2581E007" w14:textId="77777777" w:rsidR="00D6638C" w:rsidRDefault="00D6638C" w:rsidP="007C5239">
      <w:pPr>
        <w:pStyle w:val="Heading31"/>
        <w:outlineLvl w:val="1"/>
      </w:pPr>
      <w:bookmarkStart w:id="69" w:name="Annex_C"/>
      <w:r w:rsidRPr="00D6638C">
        <w:lastRenderedPageBreak/>
        <w:t>Annex C: Evaluation Questions</w:t>
      </w:r>
      <w:bookmarkEnd w:id="65"/>
    </w:p>
    <w:bookmarkEnd w:id="69"/>
    <w:p w14:paraId="027C2831"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5A7128C2" w14:textId="77777777" w:rsidTr="002B3FDE">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01E8364"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5DA377E2"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633B00E0"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699D812A"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1AB01716" w14:textId="77777777" w:rsidTr="00450C41">
        <w:trPr>
          <w:gridAfter w:val="1"/>
          <w:wAfter w:w="21" w:type="dxa"/>
        </w:trPr>
        <w:tc>
          <w:tcPr>
            <w:tcW w:w="14580" w:type="dxa"/>
            <w:gridSpan w:val="5"/>
            <w:tcBorders>
              <w:left w:val="single" w:sz="6" w:space="0" w:color="auto"/>
              <w:right w:val="single" w:sz="6" w:space="0" w:color="auto"/>
            </w:tcBorders>
            <w:shd w:val="clear" w:color="auto" w:fill="D9D9D9" w:themeFill="background1" w:themeFillShade="D9"/>
          </w:tcPr>
          <w:p w14:paraId="42358806" w14:textId="77777777" w:rsidR="00D6638C" w:rsidRPr="00450C41" w:rsidRDefault="00D6638C" w:rsidP="00D6638C">
            <w:pPr>
              <w:numPr>
                <w:ilvl w:val="12"/>
                <w:numId w:val="0"/>
              </w:numPr>
              <w:spacing w:after="0"/>
              <w:rPr>
                <w:rFonts w:ascii="Calibri" w:eastAsia="Times New Roman" w:hAnsi="Calibri" w:cs="Calibri"/>
                <w:iCs/>
                <w:sz w:val="20"/>
                <w:szCs w:val="20"/>
                <w:highlight w:val="yellow"/>
              </w:rPr>
            </w:pPr>
            <w:r w:rsidRPr="00450C41">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7651811" w14:textId="77777777" w:rsidTr="00310398">
        <w:trPr>
          <w:gridAfter w:val="1"/>
          <w:wAfter w:w="21" w:type="dxa"/>
        </w:trPr>
        <w:tc>
          <w:tcPr>
            <w:tcW w:w="199" w:type="dxa"/>
            <w:tcBorders>
              <w:top w:val="nil"/>
              <w:left w:val="nil"/>
              <w:bottom w:val="nil"/>
              <w:right w:val="nil"/>
            </w:tcBorders>
            <w:shd w:val="pct12" w:color="auto" w:fill="FFFFFF"/>
          </w:tcPr>
          <w:p w14:paraId="707276B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2412E8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9A21D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B63BC5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C3CE68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581EC5E" w14:textId="77777777" w:rsidTr="00310398">
        <w:trPr>
          <w:gridAfter w:val="1"/>
          <w:wAfter w:w="21" w:type="dxa"/>
        </w:trPr>
        <w:tc>
          <w:tcPr>
            <w:tcW w:w="199" w:type="dxa"/>
            <w:tcBorders>
              <w:top w:val="nil"/>
              <w:left w:val="nil"/>
              <w:bottom w:val="nil"/>
              <w:right w:val="nil"/>
            </w:tcBorders>
            <w:shd w:val="pct12" w:color="auto" w:fill="FFFFFF"/>
          </w:tcPr>
          <w:p w14:paraId="7C593F9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6E917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72E40F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47F964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DB50B5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94BA98C" w14:textId="77777777" w:rsidTr="00310398">
        <w:trPr>
          <w:gridAfter w:val="1"/>
          <w:wAfter w:w="21" w:type="dxa"/>
        </w:trPr>
        <w:tc>
          <w:tcPr>
            <w:tcW w:w="199" w:type="dxa"/>
            <w:tcBorders>
              <w:top w:val="nil"/>
              <w:left w:val="nil"/>
              <w:bottom w:val="nil"/>
              <w:right w:val="nil"/>
            </w:tcBorders>
            <w:shd w:val="pct12" w:color="auto" w:fill="FFFFFF"/>
          </w:tcPr>
          <w:p w14:paraId="3455961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26C805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784977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4B2C45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922DB8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AAEDE5A" w14:textId="77777777" w:rsidTr="00450C41">
        <w:tc>
          <w:tcPr>
            <w:tcW w:w="14601" w:type="dxa"/>
            <w:gridSpan w:val="6"/>
            <w:tcBorders>
              <w:top w:val="nil"/>
              <w:left w:val="single" w:sz="6" w:space="0" w:color="auto"/>
              <w:bottom w:val="nil"/>
              <w:right w:val="single" w:sz="6" w:space="0" w:color="auto"/>
            </w:tcBorders>
            <w:shd w:val="clear" w:color="auto" w:fill="D9D9D9" w:themeFill="background1" w:themeFillShade="D9"/>
          </w:tcPr>
          <w:p w14:paraId="76B436FF" w14:textId="77777777" w:rsidR="00D6638C" w:rsidRPr="00450C41" w:rsidRDefault="00D6638C" w:rsidP="00D6638C">
            <w:pPr>
              <w:numPr>
                <w:ilvl w:val="12"/>
                <w:numId w:val="0"/>
              </w:numPr>
              <w:spacing w:after="0"/>
              <w:jc w:val="both"/>
              <w:rPr>
                <w:rFonts w:ascii="Calibri" w:eastAsia="Times New Roman" w:hAnsi="Calibri" w:cs="Calibri"/>
                <w:sz w:val="20"/>
                <w:szCs w:val="20"/>
              </w:rPr>
            </w:pPr>
            <w:r w:rsidRPr="00450C41">
              <w:rPr>
                <w:rFonts w:ascii="Calibri" w:eastAsia="Times New Roman" w:hAnsi="Calibri" w:cs="Calibri"/>
                <w:bCs/>
                <w:iCs/>
                <w:sz w:val="20"/>
                <w:szCs w:val="20"/>
              </w:rPr>
              <w:t>Effectiveness:</w:t>
            </w:r>
            <w:r w:rsidRPr="00450C41">
              <w:rPr>
                <w:rFonts w:ascii="Calibri" w:eastAsia="Times New Roman" w:hAnsi="Calibri" w:cs="Calibri"/>
                <w:iCs/>
                <w:sz w:val="20"/>
                <w:szCs w:val="20"/>
              </w:rPr>
              <w:t xml:space="preserve"> To what extent have the expected outcomes and objectives of the project been achieved?</w:t>
            </w:r>
          </w:p>
        </w:tc>
      </w:tr>
      <w:tr w:rsidR="00D6638C" w:rsidRPr="00D6638C" w14:paraId="1ECD05D3" w14:textId="77777777" w:rsidTr="00310398">
        <w:tc>
          <w:tcPr>
            <w:tcW w:w="199" w:type="dxa"/>
            <w:tcBorders>
              <w:top w:val="nil"/>
              <w:left w:val="nil"/>
              <w:bottom w:val="nil"/>
              <w:right w:val="nil"/>
            </w:tcBorders>
            <w:shd w:val="pct12" w:color="auto" w:fill="FFFFFF"/>
          </w:tcPr>
          <w:p w14:paraId="21951D8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99AC9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27FD93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DBC758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1F5D3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AF9D65A" w14:textId="77777777" w:rsidTr="00310398">
        <w:tc>
          <w:tcPr>
            <w:tcW w:w="199" w:type="dxa"/>
            <w:tcBorders>
              <w:top w:val="nil"/>
              <w:left w:val="nil"/>
              <w:bottom w:val="nil"/>
              <w:right w:val="nil"/>
            </w:tcBorders>
            <w:shd w:val="pct12" w:color="auto" w:fill="FFFFFF"/>
          </w:tcPr>
          <w:p w14:paraId="3A6528E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5DED0B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FF9585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BBFD2D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9090B0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118FF8D" w14:textId="77777777" w:rsidTr="00310398">
        <w:tc>
          <w:tcPr>
            <w:tcW w:w="199" w:type="dxa"/>
            <w:tcBorders>
              <w:top w:val="nil"/>
              <w:left w:val="nil"/>
              <w:bottom w:val="nil"/>
              <w:right w:val="nil"/>
            </w:tcBorders>
            <w:shd w:val="pct12" w:color="auto" w:fill="FFFFFF"/>
          </w:tcPr>
          <w:p w14:paraId="1DA1125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74A413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6B3D29D" w14:textId="77777777" w:rsidR="00D6638C" w:rsidRPr="001A2A27" w:rsidRDefault="00D6638C" w:rsidP="001A2A2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BA3946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D80CBD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2368CE0" w14:textId="77777777" w:rsidTr="00450C41">
        <w:trPr>
          <w:trHeight w:val="267"/>
        </w:trPr>
        <w:tc>
          <w:tcPr>
            <w:tcW w:w="14601" w:type="dxa"/>
            <w:gridSpan w:val="6"/>
            <w:tcBorders>
              <w:top w:val="nil"/>
              <w:left w:val="single" w:sz="6" w:space="0" w:color="auto"/>
              <w:bottom w:val="nil"/>
              <w:right w:val="single" w:sz="6" w:space="0" w:color="auto"/>
            </w:tcBorders>
            <w:shd w:val="clear" w:color="auto" w:fill="D9D9D9" w:themeFill="background1" w:themeFillShade="D9"/>
            <w:vAlign w:val="center"/>
          </w:tcPr>
          <w:p w14:paraId="57109525" w14:textId="77777777" w:rsidR="00D6638C" w:rsidRPr="00450C41" w:rsidRDefault="00D6638C" w:rsidP="00D6638C">
            <w:pPr>
              <w:numPr>
                <w:ilvl w:val="12"/>
                <w:numId w:val="0"/>
              </w:numPr>
              <w:spacing w:after="0"/>
              <w:rPr>
                <w:rFonts w:ascii="Calibri" w:eastAsia="Times New Roman" w:hAnsi="Calibri" w:cs="Calibri"/>
                <w:sz w:val="20"/>
                <w:szCs w:val="20"/>
              </w:rPr>
            </w:pPr>
            <w:r w:rsidRPr="00450C41">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56170313" w14:textId="77777777" w:rsidTr="00310398">
        <w:tc>
          <w:tcPr>
            <w:tcW w:w="199" w:type="dxa"/>
            <w:tcBorders>
              <w:top w:val="nil"/>
              <w:left w:val="nil"/>
              <w:bottom w:val="nil"/>
              <w:right w:val="nil"/>
            </w:tcBorders>
            <w:shd w:val="pct12" w:color="auto" w:fill="FFFFFF"/>
          </w:tcPr>
          <w:p w14:paraId="71C73E7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3B389C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9B9AC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32BCFD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2D08F5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A9661EF" w14:textId="77777777" w:rsidTr="00310398">
        <w:tc>
          <w:tcPr>
            <w:tcW w:w="199" w:type="dxa"/>
            <w:tcBorders>
              <w:top w:val="nil"/>
              <w:left w:val="nil"/>
              <w:bottom w:val="nil"/>
              <w:right w:val="nil"/>
            </w:tcBorders>
            <w:shd w:val="pct12" w:color="auto" w:fill="FFFFFF"/>
          </w:tcPr>
          <w:p w14:paraId="4BDDC8E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1671B1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22A4AC4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22712A1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6A6833C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C7CF753" w14:textId="77777777" w:rsidTr="00310398">
        <w:tc>
          <w:tcPr>
            <w:tcW w:w="199" w:type="dxa"/>
            <w:tcBorders>
              <w:top w:val="nil"/>
              <w:left w:val="nil"/>
              <w:bottom w:val="nil"/>
              <w:right w:val="nil"/>
            </w:tcBorders>
            <w:shd w:val="pct12" w:color="auto" w:fill="FFFFFF"/>
          </w:tcPr>
          <w:p w14:paraId="3637DA1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7B6EDD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FCF1524"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266ADD3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CB590B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9F14125" w14:textId="77777777" w:rsidTr="00450C41">
        <w:trPr>
          <w:trHeight w:val="141"/>
        </w:trPr>
        <w:tc>
          <w:tcPr>
            <w:tcW w:w="14601" w:type="dxa"/>
            <w:gridSpan w:val="6"/>
            <w:tcBorders>
              <w:top w:val="nil"/>
              <w:left w:val="single" w:sz="6" w:space="0" w:color="auto"/>
              <w:bottom w:val="nil"/>
              <w:right w:val="single" w:sz="6" w:space="0" w:color="auto"/>
            </w:tcBorders>
            <w:shd w:val="clear" w:color="auto" w:fill="D9D9D9" w:themeFill="background1" w:themeFillShade="D9"/>
          </w:tcPr>
          <w:p w14:paraId="3128EBF7" w14:textId="77777777" w:rsidR="00D6638C" w:rsidRPr="00450C41"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450C41">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49645C00" w14:textId="77777777" w:rsidTr="00310398">
        <w:tc>
          <w:tcPr>
            <w:tcW w:w="199" w:type="dxa"/>
            <w:tcBorders>
              <w:top w:val="nil"/>
              <w:left w:val="nil"/>
              <w:bottom w:val="nil"/>
              <w:right w:val="nil"/>
            </w:tcBorders>
            <w:shd w:val="pct12" w:color="auto" w:fill="FFFFFF"/>
          </w:tcPr>
          <w:p w14:paraId="075CD6D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FAA20D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CBA96D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D38D16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7C631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21A83E6" w14:textId="77777777" w:rsidTr="00310398">
        <w:tc>
          <w:tcPr>
            <w:tcW w:w="199" w:type="dxa"/>
            <w:tcBorders>
              <w:top w:val="nil"/>
              <w:left w:val="nil"/>
              <w:bottom w:val="nil"/>
              <w:right w:val="nil"/>
            </w:tcBorders>
            <w:shd w:val="pct12" w:color="auto" w:fill="FFFFFF"/>
          </w:tcPr>
          <w:p w14:paraId="2A2A479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30837C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51A1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FA0C57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5C42DB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145C3A9" w14:textId="77777777" w:rsidTr="00310398">
        <w:tc>
          <w:tcPr>
            <w:tcW w:w="199" w:type="dxa"/>
            <w:tcBorders>
              <w:top w:val="nil"/>
              <w:left w:val="nil"/>
              <w:bottom w:val="nil"/>
              <w:right w:val="nil"/>
            </w:tcBorders>
            <w:shd w:val="pct12" w:color="auto" w:fill="FFFFFF"/>
          </w:tcPr>
          <w:p w14:paraId="4E42CDD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3E0AA2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CEC3EE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E353E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BA197B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EDB34ED" w14:textId="77777777" w:rsidTr="00450C41">
        <w:trPr>
          <w:trHeight w:val="141"/>
        </w:trPr>
        <w:tc>
          <w:tcPr>
            <w:tcW w:w="14601" w:type="dxa"/>
            <w:gridSpan w:val="6"/>
            <w:tcBorders>
              <w:top w:val="nil"/>
              <w:left w:val="single" w:sz="6" w:space="0" w:color="auto"/>
              <w:bottom w:val="nil"/>
              <w:right w:val="single" w:sz="6" w:space="0" w:color="auto"/>
            </w:tcBorders>
            <w:shd w:val="clear" w:color="auto" w:fill="D9D9D9" w:themeFill="background1" w:themeFillShade="D9"/>
          </w:tcPr>
          <w:p w14:paraId="2C6FFA1F" w14:textId="77777777" w:rsidR="00D6638C" w:rsidRPr="00450C41"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450C41">
              <w:rPr>
                <w:rFonts w:eastAsia="Times New Roman" w:cstheme="minorHAnsi"/>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352AD9B6" w14:textId="77777777" w:rsidTr="00310398">
        <w:tc>
          <w:tcPr>
            <w:tcW w:w="199" w:type="dxa"/>
            <w:tcBorders>
              <w:top w:val="nil"/>
              <w:left w:val="nil"/>
              <w:bottom w:val="nil"/>
              <w:right w:val="nil"/>
            </w:tcBorders>
            <w:shd w:val="pct12" w:color="auto" w:fill="FFFFFF"/>
          </w:tcPr>
          <w:p w14:paraId="1A8A54B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7E1E56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02A54D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306A82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16EDD4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A59A5AB" w14:textId="77777777" w:rsidTr="00310398">
        <w:tc>
          <w:tcPr>
            <w:tcW w:w="199" w:type="dxa"/>
            <w:tcBorders>
              <w:top w:val="nil"/>
              <w:left w:val="nil"/>
              <w:bottom w:val="nil"/>
              <w:right w:val="nil"/>
            </w:tcBorders>
            <w:shd w:val="pct12" w:color="auto" w:fill="FFFFFF"/>
          </w:tcPr>
          <w:p w14:paraId="47EEDF7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31FF31C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26260B9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1C98823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21C76AD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5C3597D7"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1"/>
          <w:pgSz w:w="15840" w:h="12240" w:orient="landscape"/>
          <w:pgMar w:top="1440" w:right="900" w:bottom="1440" w:left="1440" w:header="708" w:footer="708" w:gutter="0"/>
          <w:cols w:space="708"/>
          <w:docGrid w:linePitch="360"/>
        </w:sectPr>
      </w:pPr>
    </w:p>
    <w:p w14:paraId="0F0F03BA" w14:textId="77777777" w:rsidR="00D6638C" w:rsidRDefault="00D6638C" w:rsidP="007C5239">
      <w:pPr>
        <w:pStyle w:val="Heading31"/>
        <w:outlineLvl w:val="1"/>
      </w:pPr>
      <w:bookmarkStart w:id="70" w:name="_TOR_Annex_D:"/>
      <w:bookmarkStart w:id="71" w:name="_Toc321341565"/>
      <w:bookmarkStart w:id="72" w:name="Annex_D"/>
      <w:bookmarkEnd w:id="70"/>
      <w:r w:rsidRPr="00D6638C">
        <w:lastRenderedPageBreak/>
        <w:t>Annex D: Rating</w:t>
      </w:r>
      <w:r w:rsidR="00E77635">
        <w:t xml:space="preserve"> Scales</w:t>
      </w:r>
      <w:bookmarkEnd w:id="71"/>
    </w:p>
    <w:bookmarkEnd w:id="72"/>
    <w:p w14:paraId="4E0EAA45"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536"/>
        <w:gridCol w:w="2004"/>
      </w:tblGrid>
      <w:tr w:rsidR="00D6638C" w:rsidRPr="00D6638C" w14:paraId="5F2AFAD5" w14:textId="77777777" w:rsidTr="008725CB">
        <w:trPr>
          <w:trHeight w:val="548"/>
        </w:trPr>
        <w:tc>
          <w:tcPr>
            <w:tcW w:w="2009" w:type="pct"/>
            <w:shd w:val="clear" w:color="auto" w:fill="auto"/>
            <w:hideMark/>
          </w:tcPr>
          <w:p w14:paraId="23A6FFA5"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1909" w:type="pct"/>
            <w:shd w:val="clear" w:color="auto" w:fill="auto"/>
          </w:tcPr>
          <w:p w14:paraId="58AA29F7"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1318DE72"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1082" w:type="pct"/>
            <w:shd w:val="clear" w:color="auto" w:fill="auto"/>
          </w:tcPr>
          <w:p w14:paraId="3C1A7C9A"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5384675D" w14:textId="77777777" w:rsidTr="008725CB">
        <w:trPr>
          <w:trHeight w:val="269"/>
        </w:trPr>
        <w:tc>
          <w:tcPr>
            <w:tcW w:w="2009" w:type="pct"/>
            <w:vMerge w:val="restart"/>
            <w:shd w:val="clear" w:color="auto" w:fill="auto"/>
            <w:hideMark/>
          </w:tcPr>
          <w:p w14:paraId="0EE5A3E2" w14:textId="77777777" w:rsidR="00D6638C" w:rsidRPr="00D6638C" w:rsidRDefault="00D6638C" w:rsidP="008725CB">
            <w:pPr>
              <w:spacing w:after="0" w:line="240" w:lineRule="auto"/>
              <w:ind w:left="346" w:hanging="283"/>
              <w:rPr>
                <w:rFonts w:ascii="Calibri" w:eastAsia="Times New Roman" w:hAnsi="Calibri" w:cs="Times New Roman"/>
                <w:sz w:val="20"/>
                <w:szCs w:val="20"/>
              </w:rPr>
            </w:pPr>
            <w:r w:rsidRPr="00D6638C">
              <w:rPr>
                <w:rFonts w:ascii="Calibri" w:eastAsia="Times New Roman" w:hAnsi="Calibri" w:cs="Times New Roman"/>
                <w:sz w:val="20"/>
                <w:szCs w:val="20"/>
              </w:rPr>
              <w:t>6</w:t>
            </w:r>
            <w:r w:rsidR="008725CB">
              <w:rPr>
                <w:rFonts w:ascii="Calibri" w:eastAsia="Times New Roman" w:hAnsi="Calibri" w:cs="Times New Roman"/>
                <w:sz w:val="20"/>
                <w:szCs w:val="20"/>
              </w:rPr>
              <w:t>.</w:t>
            </w:r>
            <w:r w:rsidRPr="00D6638C">
              <w:rPr>
                <w:rFonts w:ascii="Calibri" w:eastAsia="Times New Roman" w:hAnsi="Calibri" w:cs="Times New Roman"/>
                <w:sz w:val="20"/>
                <w:szCs w:val="20"/>
              </w:rPr>
              <w:t xml:space="preserve"> Highly Satisfactory (HS): no shortcomings </w:t>
            </w:r>
          </w:p>
          <w:p w14:paraId="1ACCDB2A" w14:textId="77777777" w:rsidR="00D6638C" w:rsidRPr="00D6638C" w:rsidRDefault="00D6638C" w:rsidP="008725CB">
            <w:pPr>
              <w:spacing w:after="0" w:line="240" w:lineRule="auto"/>
              <w:ind w:left="346" w:hanging="283"/>
              <w:rPr>
                <w:rFonts w:ascii="Calibri" w:eastAsia="Times New Roman" w:hAnsi="Calibri" w:cs="Times New Roman"/>
                <w:sz w:val="20"/>
                <w:szCs w:val="20"/>
              </w:rPr>
            </w:pPr>
            <w:r w:rsidRPr="00D6638C">
              <w:rPr>
                <w:rFonts w:ascii="Calibri" w:eastAsia="Times New Roman" w:hAnsi="Calibri" w:cs="Times New Roman"/>
                <w:sz w:val="20"/>
                <w:szCs w:val="20"/>
              </w:rPr>
              <w:t>5</w:t>
            </w:r>
            <w:r w:rsidR="008725CB">
              <w:rPr>
                <w:rFonts w:ascii="Calibri" w:eastAsia="Times New Roman" w:hAnsi="Calibri" w:cs="Times New Roman"/>
                <w:sz w:val="20"/>
                <w:szCs w:val="20"/>
              </w:rPr>
              <w:t xml:space="preserve">. </w:t>
            </w:r>
            <w:r w:rsidRPr="00D6638C">
              <w:rPr>
                <w:rFonts w:ascii="Calibri" w:eastAsia="Times New Roman" w:hAnsi="Calibri" w:cs="Times New Roman"/>
                <w:sz w:val="20"/>
                <w:szCs w:val="20"/>
              </w:rPr>
              <w:t>Satisfactory (S): minor shortcomings</w:t>
            </w:r>
          </w:p>
          <w:p w14:paraId="4000875D" w14:textId="77777777" w:rsidR="00D6638C" w:rsidRPr="00D6638C" w:rsidRDefault="00D6638C" w:rsidP="008725CB">
            <w:pPr>
              <w:spacing w:after="0" w:line="240" w:lineRule="auto"/>
              <w:ind w:left="346" w:hanging="283"/>
              <w:rPr>
                <w:rFonts w:ascii="Calibri" w:eastAsia="Times New Roman" w:hAnsi="Calibri" w:cs="Times New Roman"/>
                <w:sz w:val="20"/>
                <w:szCs w:val="20"/>
              </w:rPr>
            </w:pPr>
            <w:r w:rsidRPr="00D6638C">
              <w:rPr>
                <w:rFonts w:ascii="Calibri" w:eastAsia="Times New Roman" w:hAnsi="Calibri" w:cs="Times New Roman"/>
                <w:sz w:val="20"/>
                <w:szCs w:val="20"/>
              </w:rPr>
              <w:t>4</w:t>
            </w:r>
            <w:r w:rsidR="008725CB">
              <w:rPr>
                <w:rFonts w:ascii="Calibri" w:eastAsia="Times New Roman" w:hAnsi="Calibri" w:cs="Times New Roman"/>
                <w:sz w:val="20"/>
                <w:szCs w:val="20"/>
              </w:rPr>
              <w:t>.</w:t>
            </w:r>
            <w:r w:rsidRPr="00D6638C">
              <w:rPr>
                <w:rFonts w:ascii="Calibri" w:eastAsia="Times New Roman" w:hAnsi="Calibri" w:cs="Times New Roman"/>
                <w:sz w:val="20"/>
                <w:szCs w:val="20"/>
              </w:rPr>
              <w:t xml:space="preserve"> Moderately Satisfactory (MS)</w:t>
            </w:r>
          </w:p>
          <w:p w14:paraId="6F55E1F5" w14:textId="77777777" w:rsidR="00D6638C" w:rsidRPr="00D6638C" w:rsidRDefault="00D6638C" w:rsidP="008725CB">
            <w:pPr>
              <w:spacing w:after="0" w:line="240" w:lineRule="auto"/>
              <w:ind w:left="346" w:hanging="283"/>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4CCA78C7" w14:textId="77777777" w:rsidR="00D6638C" w:rsidRPr="00D6638C" w:rsidRDefault="00D6638C" w:rsidP="008725CB">
            <w:pPr>
              <w:spacing w:after="0" w:line="240" w:lineRule="auto"/>
              <w:ind w:left="346" w:hanging="283"/>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0E883F0A" w14:textId="77777777" w:rsidR="00D6638C" w:rsidRPr="00D6638C" w:rsidRDefault="00D6638C" w:rsidP="008725CB">
            <w:pPr>
              <w:spacing w:after="0" w:line="240" w:lineRule="auto"/>
              <w:ind w:left="346" w:hanging="283"/>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BE726D2" w14:textId="77777777" w:rsidR="00D6638C" w:rsidRPr="00D6638C" w:rsidRDefault="00D6638C" w:rsidP="00D6638C">
            <w:pPr>
              <w:spacing w:after="0" w:line="240" w:lineRule="auto"/>
              <w:rPr>
                <w:rFonts w:ascii="Calibri" w:eastAsia="Times New Roman" w:hAnsi="Calibri" w:cs="Times New Roman"/>
                <w:sz w:val="20"/>
                <w:szCs w:val="20"/>
              </w:rPr>
            </w:pPr>
          </w:p>
        </w:tc>
        <w:tc>
          <w:tcPr>
            <w:tcW w:w="1909" w:type="pct"/>
            <w:tcBorders>
              <w:bottom w:val="nil"/>
            </w:tcBorders>
            <w:shd w:val="clear" w:color="auto" w:fill="auto"/>
          </w:tcPr>
          <w:p w14:paraId="0DC9050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1082" w:type="pct"/>
            <w:tcBorders>
              <w:bottom w:val="nil"/>
            </w:tcBorders>
            <w:shd w:val="clear" w:color="auto" w:fill="auto"/>
          </w:tcPr>
          <w:p w14:paraId="73D1D27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63AB93C1" w14:textId="77777777" w:rsidTr="008725CB">
        <w:trPr>
          <w:trHeight w:val="251"/>
        </w:trPr>
        <w:tc>
          <w:tcPr>
            <w:tcW w:w="2009" w:type="pct"/>
            <w:vMerge/>
            <w:shd w:val="clear" w:color="auto" w:fill="auto"/>
            <w:hideMark/>
          </w:tcPr>
          <w:p w14:paraId="197E3AEC" w14:textId="77777777" w:rsidR="00D6638C" w:rsidRPr="00D6638C" w:rsidRDefault="00D6638C" w:rsidP="00D6638C">
            <w:pPr>
              <w:spacing w:before="200"/>
              <w:rPr>
                <w:rFonts w:ascii="Calibri" w:eastAsia="Times New Roman" w:hAnsi="Calibri" w:cs="Times New Roman"/>
                <w:sz w:val="20"/>
                <w:szCs w:val="20"/>
              </w:rPr>
            </w:pPr>
          </w:p>
        </w:tc>
        <w:tc>
          <w:tcPr>
            <w:tcW w:w="1909" w:type="pct"/>
            <w:tcBorders>
              <w:top w:val="nil"/>
              <w:bottom w:val="nil"/>
            </w:tcBorders>
            <w:shd w:val="clear" w:color="auto" w:fill="auto"/>
          </w:tcPr>
          <w:p w14:paraId="1AA724F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1082" w:type="pct"/>
            <w:tcBorders>
              <w:top w:val="nil"/>
              <w:bottom w:val="nil"/>
            </w:tcBorders>
            <w:shd w:val="clear" w:color="auto" w:fill="auto"/>
          </w:tcPr>
          <w:p w14:paraId="1940BD51" w14:textId="77777777" w:rsidR="00D6638C" w:rsidRPr="00D6638C" w:rsidRDefault="00577D76" w:rsidP="00D6638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Not relevant (NR)</w:t>
            </w:r>
          </w:p>
        </w:tc>
      </w:tr>
      <w:tr w:rsidR="00D6638C" w:rsidRPr="00D6638C" w14:paraId="29CCEAA8" w14:textId="77777777" w:rsidTr="008725CB">
        <w:tc>
          <w:tcPr>
            <w:tcW w:w="2009" w:type="pct"/>
            <w:vMerge/>
            <w:tcBorders>
              <w:bottom w:val="single" w:sz="4" w:space="0" w:color="auto"/>
            </w:tcBorders>
            <w:shd w:val="clear" w:color="auto" w:fill="auto"/>
            <w:hideMark/>
          </w:tcPr>
          <w:p w14:paraId="48505051" w14:textId="77777777" w:rsidR="00D6638C" w:rsidRPr="00D6638C" w:rsidRDefault="00D6638C" w:rsidP="00D6638C">
            <w:pPr>
              <w:spacing w:before="200"/>
              <w:rPr>
                <w:rFonts w:ascii="Calibri" w:eastAsia="Times New Roman" w:hAnsi="Calibri" w:cs="Times New Roman"/>
                <w:sz w:val="20"/>
                <w:szCs w:val="20"/>
              </w:rPr>
            </w:pPr>
          </w:p>
        </w:tc>
        <w:tc>
          <w:tcPr>
            <w:tcW w:w="1909" w:type="pct"/>
            <w:tcBorders>
              <w:top w:val="nil"/>
              <w:bottom w:val="single" w:sz="4" w:space="0" w:color="auto"/>
            </w:tcBorders>
            <w:shd w:val="clear" w:color="auto" w:fill="auto"/>
          </w:tcPr>
          <w:p w14:paraId="4C26214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DD738D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1082" w:type="pct"/>
            <w:tcBorders>
              <w:top w:val="nil"/>
              <w:bottom w:val="single" w:sz="4" w:space="0" w:color="auto"/>
            </w:tcBorders>
            <w:shd w:val="clear" w:color="auto" w:fill="auto"/>
          </w:tcPr>
          <w:p w14:paraId="74AC9C12" w14:textId="77777777" w:rsidR="00D6638C" w:rsidRPr="00D6638C" w:rsidRDefault="00D6638C" w:rsidP="00D6638C">
            <w:pPr>
              <w:spacing w:after="0" w:line="240" w:lineRule="auto"/>
              <w:rPr>
                <w:rFonts w:ascii="Calibri" w:eastAsia="Times New Roman" w:hAnsi="Calibri" w:cs="Times New Roman"/>
                <w:sz w:val="20"/>
                <w:szCs w:val="20"/>
              </w:rPr>
            </w:pPr>
          </w:p>
          <w:p w14:paraId="1CEC4412"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2EFC1ED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1936D4D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6790670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6A90C6CF"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52FF95"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C23B4B8"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10D8DC8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F27F400" w14:textId="77777777" w:rsidR="00D6638C" w:rsidRPr="00D6638C" w:rsidRDefault="00D6638C" w:rsidP="007C5239">
      <w:pPr>
        <w:pStyle w:val="Heading31"/>
        <w:outlineLvl w:val="1"/>
      </w:pPr>
      <w:r w:rsidRPr="00D6638C">
        <w:br w:type="page"/>
      </w:r>
      <w:bookmarkStart w:id="73" w:name="_Toc299133056"/>
      <w:bookmarkStart w:id="74" w:name="_Toc321341566"/>
      <w:bookmarkStart w:id="75" w:name="Annex_E"/>
      <w:r w:rsidRPr="00D6638C">
        <w:lastRenderedPageBreak/>
        <w:t xml:space="preserve">Annex E: Evaluation Consultant Code of Conduct </w:t>
      </w:r>
      <w:r w:rsidR="00B913F1">
        <w:t xml:space="preserve">and </w:t>
      </w:r>
      <w:r w:rsidRPr="00D6638C">
        <w:t>Agreement Form</w:t>
      </w:r>
      <w:bookmarkEnd w:id="66"/>
      <w:bookmarkEnd w:id="67"/>
      <w:bookmarkEnd w:id="68"/>
      <w:bookmarkEnd w:id="73"/>
      <w:bookmarkEnd w:id="74"/>
    </w:p>
    <w:bookmarkEnd w:id="75"/>
    <w:p w14:paraId="4AC8870E"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09F202E0"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2464F63C"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504731B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564C069C"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DA67E8A"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751553E"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463FEE96"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1DB0B9C6"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1FD3AD2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16A5C0C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6FE15A7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3357C48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491BEF8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4FC0B82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2F658D2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65E4FAF7" w14:textId="77777777" w:rsidR="00D6638C" w:rsidRPr="00D6638C" w:rsidRDefault="00D6638C" w:rsidP="007C5239">
      <w:pPr>
        <w:pStyle w:val="Heading31"/>
        <w:outlineLvl w:val="1"/>
      </w:pPr>
      <w:r w:rsidRPr="00D6638C">
        <w:rPr>
          <w:sz w:val="20"/>
          <w:szCs w:val="20"/>
        </w:rPr>
        <w:br w:type="page"/>
      </w:r>
      <w:bookmarkStart w:id="76" w:name="_TOR_Annex_F:"/>
      <w:bookmarkStart w:id="77" w:name="_Toc299122847"/>
      <w:bookmarkStart w:id="78" w:name="_Toc299122869"/>
      <w:bookmarkStart w:id="79" w:name="_Toc299126633"/>
      <w:bookmarkStart w:id="80" w:name="_Toc299133057"/>
      <w:bookmarkStart w:id="81" w:name="_Toc321341567"/>
      <w:bookmarkStart w:id="82" w:name="Annex_F"/>
      <w:bookmarkEnd w:id="76"/>
      <w:r w:rsidRPr="00D6638C">
        <w:lastRenderedPageBreak/>
        <w:t>Annex F: Evaluation Report Outline</w:t>
      </w:r>
      <w:bookmarkEnd w:id="77"/>
      <w:bookmarkEnd w:id="78"/>
      <w:bookmarkEnd w:id="79"/>
      <w:bookmarkEnd w:id="80"/>
      <w:r w:rsidRPr="00D6638C">
        <w:rPr>
          <w:vertAlign w:val="superscript"/>
        </w:rPr>
        <w:footnoteReference w:id="4"/>
      </w:r>
      <w:bookmarkEnd w:id="81"/>
    </w:p>
    <w:tbl>
      <w:tblPr>
        <w:tblW w:w="0" w:type="auto"/>
        <w:tblInd w:w="108" w:type="dxa"/>
        <w:tblLook w:val="04A0" w:firstRow="1" w:lastRow="0" w:firstColumn="1" w:lastColumn="0" w:noHBand="0" w:noVBand="1"/>
      </w:tblPr>
      <w:tblGrid>
        <w:gridCol w:w="968"/>
        <w:gridCol w:w="8284"/>
      </w:tblGrid>
      <w:tr w:rsidR="00D6638C" w:rsidRPr="00D6638C" w14:paraId="2B1F6625" w14:textId="77777777" w:rsidTr="006C1964">
        <w:tc>
          <w:tcPr>
            <w:tcW w:w="985" w:type="dxa"/>
          </w:tcPr>
          <w:bookmarkEnd w:id="82"/>
          <w:p w14:paraId="1C7CC1D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7925A6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34641DD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7FD92B0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495388C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24B3E63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2494436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6EA4AF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454BA8D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0298632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3531F670" w14:textId="77777777" w:rsidTr="006C1964">
        <w:tc>
          <w:tcPr>
            <w:tcW w:w="985" w:type="dxa"/>
          </w:tcPr>
          <w:p w14:paraId="6E9E50A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4A8975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1670974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7868DAA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699850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1347667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307CA930" w14:textId="77777777" w:rsidTr="006C1964">
        <w:tc>
          <w:tcPr>
            <w:tcW w:w="985" w:type="dxa"/>
          </w:tcPr>
          <w:p w14:paraId="58C7E40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0784BD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0A74736C"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07E039F1" w14:textId="77777777" w:rsidTr="006C1964">
        <w:tc>
          <w:tcPr>
            <w:tcW w:w="985" w:type="dxa"/>
          </w:tcPr>
          <w:p w14:paraId="39735DB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19DE458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F1E8AB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51BD32B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24EE62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333FE113" w14:textId="77777777" w:rsidTr="006C1964">
        <w:tc>
          <w:tcPr>
            <w:tcW w:w="985" w:type="dxa"/>
          </w:tcPr>
          <w:p w14:paraId="401B88E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B5EC7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7E10AB3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085398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71FC636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7A7D65B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37B30F0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B54E77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0AAAD3C0" w14:textId="77777777" w:rsidTr="006C1964">
        <w:tc>
          <w:tcPr>
            <w:tcW w:w="985" w:type="dxa"/>
          </w:tcPr>
          <w:p w14:paraId="34AA55A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05A54AB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312F9D1B"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63B07A71" w14:textId="77777777" w:rsidTr="006C1964">
        <w:tc>
          <w:tcPr>
            <w:tcW w:w="985" w:type="dxa"/>
          </w:tcPr>
          <w:p w14:paraId="568A366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0F55FC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0C31C0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0817E8C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1848F94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28FBF0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1F9F7BA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4456A96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4BADAD0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60D4EDB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317739A1" w14:textId="77777777" w:rsidTr="006C1964">
        <w:tc>
          <w:tcPr>
            <w:tcW w:w="985" w:type="dxa"/>
          </w:tcPr>
          <w:p w14:paraId="04562FA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796EAA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2596919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C5CAA5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2A00C7C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7AFD82F2"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6A9573B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0284888D"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449F6BF0" w14:textId="77777777" w:rsidTr="006C1964">
        <w:trPr>
          <w:trHeight w:val="74"/>
        </w:trPr>
        <w:tc>
          <w:tcPr>
            <w:tcW w:w="985" w:type="dxa"/>
          </w:tcPr>
          <w:p w14:paraId="45EA960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53897D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5CAFE31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62A7602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4A2011C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4B57E5A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0612EF8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1F7B9AB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3EADFF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0B2A0C5C" w14:textId="77777777" w:rsidTr="006C1964">
        <w:tc>
          <w:tcPr>
            <w:tcW w:w="985" w:type="dxa"/>
          </w:tcPr>
          <w:p w14:paraId="32FCA22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0E6062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3386679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46412E3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4D97322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3C6BB5C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2E3ECA99" w14:textId="77777777" w:rsidTr="006C1964">
        <w:tc>
          <w:tcPr>
            <w:tcW w:w="985" w:type="dxa"/>
          </w:tcPr>
          <w:p w14:paraId="6728D03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3C8503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56BAAC2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526AD09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66D055A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617358C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212204C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311E973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D9B1C8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42A225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1923E9C" w14:textId="77777777" w:rsidR="00D6638C" w:rsidRPr="00D6638C" w:rsidRDefault="00D6638C" w:rsidP="00D6638C">
            <w:pPr>
              <w:spacing w:after="0"/>
              <w:rPr>
                <w:rFonts w:ascii="Calibri" w:eastAsia="Times New Roman" w:hAnsi="Calibri" w:cs="Times New Roman"/>
                <w:sz w:val="20"/>
                <w:szCs w:val="20"/>
              </w:rPr>
            </w:pPr>
          </w:p>
          <w:p w14:paraId="4278C588" w14:textId="77777777" w:rsidR="00D6638C" w:rsidRPr="00D6638C" w:rsidRDefault="00D6638C" w:rsidP="00D6638C">
            <w:pPr>
              <w:spacing w:after="0"/>
              <w:rPr>
                <w:rFonts w:ascii="Calibri" w:eastAsia="Times New Roman" w:hAnsi="Calibri" w:cs="Times New Roman"/>
                <w:sz w:val="20"/>
                <w:szCs w:val="20"/>
              </w:rPr>
            </w:pPr>
          </w:p>
        </w:tc>
      </w:tr>
    </w:tbl>
    <w:p w14:paraId="39EF2168" w14:textId="77777777" w:rsidR="00D6638C" w:rsidRPr="00D6638C" w:rsidRDefault="00D6638C" w:rsidP="00D6638C">
      <w:pPr>
        <w:spacing w:before="200"/>
        <w:rPr>
          <w:rFonts w:ascii="Calibri" w:eastAsia="Times New Roman" w:hAnsi="Calibri" w:cs="Times New Roman"/>
          <w:sz w:val="20"/>
          <w:szCs w:val="20"/>
        </w:rPr>
      </w:pPr>
      <w:bookmarkStart w:id="83" w:name="_TOR_Annex_G:"/>
      <w:bookmarkStart w:id="84" w:name="_Toc299133058"/>
      <w:bookmarkStart w:id="85" w:name="_Toc299122848"/>
      <w:bookmarkStart w:id="86" w:name="_Toc299122870"/>
      <w:bookmarkStart w:id="87" w:name="_Toc299126634"/>
      <w:bookmarkEnd w:id="83"/>
    </w:p>
    <w:p w14:paraId="25E153BF"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50568C5E" w14:textId="77777777" w:rsidR="00D6638C" w:rsidRPr="00F05366" w:rsidRDefault="00D6638C" w:rsidP="007C5239">
      <w:pPr>
        <w:pStyle w:val="Heading31"/>
        <w:outlineLvl w:val="1"/>
      </w:pPr>
      <w:bookmarkStart w:id="88" w:name="_TOR_Annex_G:_1"/>
      <w:bookmarkStart w:id="89" w:name="_Toc321341568"/>
      <w:bookmarkStart w:id="90" w:name="Annex_G"/>
      <w:bookmarkEnd w:id="88"/>
      <w:r w:rsidRPr="00F05366">
        <w:lastRenderedPageBreak/>
        <w:t>Annex G: Evaluation Report Clearance Form</w:t>
      </w:r>
      <w:bookmarkEnd w:id="84"/>
      <w:bookmarkEnd w:id="89"/>
    </w:p>
    <w:bookmarkEnd w:id="90"/>
    <w:p w14:paraId="2353E504"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ru-RU" w:eastAsia="ru-RU" w:bidi="ar-SA"/>
        </w:rPr>
        <mc:AlternateContent>
          <mc:Choice Requires="wps">
            <w:drawing>
              <wp:anchor distT="0" distB="0" distL="114300" distR="114300" simplePos="0" relativeHeight="251659264" behindDoc="0" locked="0" layoutInCell="1" allowOverlap="1" wp14:anchorId="10B7BA8C" wp14:editId="737C4F05">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2481D1B6" w14:textId="77777777" w:rsidR="0044228D" w:rsidRPr="0084083F" w:rsidRDefault="0044228D" w:rsidP="00D6638C">
                            <w:pPr>
                              <w:rPr>
                                <w:rFonts w:eastAsia="Batang"/>
                              </w:rPr>
                            </w:pPr>
                            <w:r w:rsidRPr="0084083F">
                              <w:rPr>
                                <w:rFonts w:eastAsia="Batang"/>
                              </w:rPr>
                              <w:t>Evaluation Report Reviewed and Cleared by</w:t>
                            </w:r>
                          </w:p>
                          <w:p w14:paraId="235709D0" w14:textId="77777777" w:rsidR="0044228D" w:rsidRPr="0084083F" w:rsidRDefault="0044228D" w:rsidP="00D6638C">
                            <w:r w:rsidRPr="0084083F">
                              <w:t>UNDP Country Office</w:t>
                            </w:r>
                          </w:p>
                          <w:p w14:paraId="5D202A1B" w14:textId="77777777" w:rsidR="0044228D" w:rsidRPr="0084083F" w:rsidRDefault="0044228D" w:rsidP="00D6638C">
                            <w:r w:rsidRPr="0084083F">
                              <w:t>Name:  ___________________________________________________</w:t>
                            </w:r>
                          </w:p>
                          <w:p w14:paraId="35FC3AD5" w14:textId="77777777" w:rsidR="0044228D" w:rsidRPr="0084083F" w:rsidRDefault="0044228D" w:rsidP="00D6638C">
                            <w:r w:rsidRPr="0084083F">
                              <w:t>Signature: ______________________________       Date: _________________________________</w:t>
                            </w:r>
                          </w:p>
                          <w:p w14:paraId="2869BBDF" w14:textId="77777777" w:rsidR="0044228D" w:rsidRPr="0084083F" w:rsidRDefault="0044228D" w:rsidP="00D6638C">
                            <w:r w:rsidRPr="0084083F">
                              <w:t>UNDP GEF R</w:t>
                            </w:r>
                            <w:r>
                              <w:t>TA</w:t>
                            </w:r>
                          </w:p>
                          <w:p w14:paraId="7B592037" w14:textId="77777777" w:rsidR="0044228D" w:rsidRPr="0084083F" w:rsidRDefault="0044228D" w:rsidP="00D6638C">
                            <w:r w:rsidRPr="0084083F">
                              <w:t>Name:  ___________________________________________________</w:t>
                            </w:r>
                          </w:p>
                          <w:p w14:paraId="2535E5C1" w14:textId="77777777" w:rsidR="0044228D" w:rsidRPr="0084083F" w:rsidRDefault="0044228D"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1AE82E"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44228D" w:rsidRPr="0084083F" w:rsidRDefault="0044228D" w:rsidP="00D6638C">
                      <w:pPr>
                        <w:rPr>
                          <w:rFonts w:eastAsia="Batang"/>
                        </w:rPr>
                      </w:pPr>
                      <w:r w:rsidRPr="0084083F">
                        <w:rPr>
                          <w:rFonts w:eastAsia="Batang"/>
                        </w:rPr>
                        <w:t>Evaluation Report Reviewed and Cleared by</w:t>
                      </w:r>
                    </w:p>
                    <w:p w:rsidR="0044228D" w:rsidRPr="0084083F" w:rsidRDefault="0044228D" w:rsidP="00D6638C">
                      <w:r w:rsidRPr="0084083F">
                        <w:t>UNDP Country Office</w:t>
                      </w:r>
                    </w:p>
                    <w:p w:rsidR="0044228D" w:rsidRPr="0084083F" w:rsidRDefault="0044228D" w:rsidP="00D6638C">
                      <w:r w:rsidRPr="0084083F">
                        <w:t>Name:  ___________________________________________________</w:t>
                      </w:r>
                    </w:p>
                    <w:p w:rsidR="0044228D" w:rsidRPr="0084083F" w:rsidRDefault="0044228D" w:rsidP="00D6638C">
                      <w:r w:rsidRPr="0084083F">
                        <w:t>Signature: ______________________________       Date: _________________________________</w:t>
                      </w:r>
                    </w:p>
                    <w:p w:rsidR="0044228D" w:rsidRPr="0084083F" w:rsidRDefault="0044228D" w:rsidP="00D6638C">
                      <w:r w:rsidRPr="0084083F">
                        <w:t>UNDP GEF R</w:t>
                      </w:r>
                      <w:r>
                        <w:t>TA</w:t>
                      </w:r>
                    </w:p>
                    <w:p w:rsidR="0044228D" w:rsidRPr="0084083F" w:rsidRDefault="0044228D" w:rsidP="00D6638C">
                      <w:r w:rsidRPr="0084083F">
                        <w:t>Name:  ___________________________________________________</w:t>
                      </w:r>
                    </w:p>
                    <w:p w:rsidR="0044228D" w:rsidRPr="0084083F" w:rsidRDefault="0044228D"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5"/>
      <w:bookmarkEnd w:id="86"/>
      <w:bookmarkEnd w:id="87"/>
    </w:p>
    <w:p w14:paraId="64858F63" w14:textId="77777777" w:rsidR="00D6638C" w:rsidRPr="00D6638C" w:rsidRDefault="00D6638C" w:rsidP="00D6638C">
      <w:pPr>
        <w:spacing w:before="200"/>
        <w:rPr>
          <w:rFonts w:ascii="Calibri" w:eastAsia="Times New Roman" w:hAnsi="Calibri" w:cs="Times New Roman"/>
          <w:i/>
          <w:sz w:val="20"/>
          <w:szCs w:val="20"/>
        </w:rPr>
      </w:pPr>
    </w:p>
    <w:p w14:paraId="72DAA6FF" w14:textId="77777777" w:rsidR="00D6638C" w:rsidRPr="00D6638C" w:rsidRDefault="00D6638C" w:rsidP="00D6638C">
      <w:pPr>
        <w:spacing w:before="200"/>
        <w:rPr>
          <w:rFonts w:ascii="Calibri" w:eastAsia="Times New Roman" w:hAnsi="Calibri" w:cs="Times New Roman"/>
          <w:i/>
          <w:sz w:val="20"/>
          <w:szCs w:val="20"/>
        </w:rPr>
      </w:pPr>
    </w:p>
    <w:p w14:paraId="49458344" w14:textId="77777777" w:rsidR="00D6638C" w:rsidRPr="00D6638C" w:rsidRDefault="00D6638C" w:rsidP="00D6638C">
      <w:pPr>
        <w:spacing w:before="200"/>
        <w:rPr>
          <w:rFonts w:ascii="Calibri" w:eastAsia="Times New Roman" w:hAnsi="Calibri" w:cs="Times New Roman"/>
          <w:i/>
          <w:sz w:val="20"/>
          <w:szCs w:val="20"/>
        </w:rPr>
      </w:pPr>
    </w:p>
    <w:p w14:paraId="0AC9A0A6" w14:textId="77777777" w:rsidR="00D6638C" w:rsidRPr="00D6638C" w:rsidRDefault="00D6638C" w:rsidP="00D6638C">
      <w:pPr>
        <w:spacing w:before="200"/>
        <w:rPr>
          <w:rFonts w:ascii="Calibri" w:eastAsia="Times New Roman" w:hAnsi="Calibri" w:cs="Times New Roman"/>
          <w:sz w:val="20"/>
          <w:szCs w:val="20"/>
        </w:rPr>
      </w:pPr>
    </w:p>
    <w:p w14:paraId="7424A4B8" w14:textId="77777777" w:rsidR="00D6638C" w:rsidRPr="00D6638C" w:rsidRDefault="00D6638C" w:rsidP="00D6638C">
      <w:pPr>
        <w:spacing w:before="200"/>
        <w:rPr>
          <w:rFonts w:ascii="Calibri" w:eastAsia="Times New Roman" w:hAnsi="Calibri" w:cs="Times New Roman"/>
          <w:sz w:val="20"/>
          <w:szCs w:val="20"/>
        </w:rPr>
      </w:pPr>
    </w:p>
    <w:p w14:paraId="3CD00B53" w14:textId="77777777" w:rsidR="00D6638C" w:rsidRPr="00D6638C" w:rsidRDefault="00D6638C" w:rsidP="00D6638C">
      <w:pPr>
        <w:spacing w:before="200"/>
        <w:rPr>
          <w:rFonts w:ascii="Calibri" w:eastAsia="Times New Roman" w:hAnsi="Calibri" w:cs="Times New Roman"/>
          <w:sz w:val="20"/>
          <w:szCs w:val="20"/>
        </w:rPr>
      </w:pPr>
    </w:p>
    <w:p w14:paraId="144F38F6" w14:textId="77777777" w:rsidR="00D6638C" w:rsidRPr="00D6638C" w:rsidRDefault="00D6638C" w:rsidP="00D6638C">
      <w:pPr>
        <w:spacing w:before="200"/>
        <w:rPr>
          <w:rFonts w:ascii="Calibri" w:eastAsia="Times New Roman" w:hAnsi="Calibri" w:cs="Times New Roman"/>
          <w:sz w:val="20"/>
          <w:szCs w:val="20"/>
        </w:rPr>
      </w:pPr>
    </w:p>
    <w:p w14:paraId="3E48E59F" w14:textId="77777777" w:rsidR="00D6638C" w:rsidRPr="00D6638C" w:rsidRDefault="00D6638C" w:rsidP="00D6638C">
      <w:pPr>
        <w:spacing w:before="200"/>
        <w:rPr>
          <w:rFonts w:ascii="Calibri" w:eastAsia="Times New Roman" w:hAnsi="Calibri" w:cs="Times New Roman"/>
          <w:sz w:val="20"/>
          <w:szCs w:val="20"/>
        </w:rPr>
      </w:pPr>
    </w:p>
    <w:p w14:paraId="0D9DDDB4" w14:textId="77777777" w:rsidR="00476646" w:rsidRDefault="00476646">
      <w:pPr>
        <w:rPr>
          <w:rFonts w:ascii="Calibri" w:eastAsia="Times New Roman" w:hAnsi="Calibri" w:cs="Times New Roman"/>
          <w:sz w:val="20"/>
          <w:szCs w:val="20"/>
        </w:rPr>
      </w:pPr>
      <w:r>
        <w:rPr>
          <w:rFonts w:ascii="Calibri" w:eastAsia="Times New Roman" w:hAnsi="Calibri" w:cs="Times New Roman"/>
          <w:sz w:val="20"/>
          <w:szCs w:val="20"/>
        </w:rPr>
        <w:br w:type="page"/>
      </w:r>
    </w:p>
    <w:p w14:paraId="7C4F0D2A" w14:textId="77777777" w:rsidR="00476646" w:rsidRPr="000B40AF" w:rsidRDefault="00476646" w:rsidP="007C5239">
      <w:pPr>
        <w:pStyle w:val="Heading31"/>
        <w:outlineLvl w:val="1"/>
        <w:rPr>
          <w:rFonts w:ascii="Calibri" w:hAnsi="Calibri"/>
          <w:lang w:val="fr-FR"/>
        </w:rPr>
      </w:pPr>
      <w:bookmarkStart w:id="91" w:name="Annex_H"/>
      <w:r w:rsidRPr="000B40AF">
        <w:rPr>
          <w:rFonts w:ascii="Calibri" w:hAnsi="Calibri"/>
          <w:lang w:val="fr-FR"/>
        </w:rPr>
        <w:lastRenderedPageBreak/>
        <w:t>Annex H: TE Report audit trail</w:t>
      </w:r>
    </w:p>
    <w:bookmarkEnd w:id="91"/>
    <w:p w14:paraId="7FB90F19" w14:textId="77777777" w:rsidR="00476646" w:rsidRPr="0044228D" w:rsidRDefault="00476646" w:rsidP="00476646">
      <w:pPr>
        <w:autoSpaceDE w:val="0"/>
        <w:autoSpaceDN w:val="0"/>
        <w:adjustRightInd w:val="0"/>
        <w:spacing w:line="240" w:lineRule="auto"/>
        <w:jc w:val="both"/>
        <w:rPr>
          <w:rFonts w:ascii="Calibri" w:hAnsi="Calibri"/>
        </w:rPr>
      </w:pPr>
      <w:r w:rsidRPr="005A6F3A">
        <w:rPr>
          <w:rFonts w:ascii="Calibri" w:hAnsi="Calibri"/>
        </w:rPr>
        <w:t xml:space="preserve">The following is a template for the evaluator to show how the received comments on the draft TE report have (or have not) been incorporated into the final TE report. This audit trail should be included as an </w:t>
      </w:r>
      <w:r w:rsidRPr="0044228D">
        <w:rPr>
          <w:rFonts w:ascii="Calibri" w:hAnsi="Calibri"/>
        </w:rPr>
        <w:t>annex in the final TE report.</w:t>
      </w:r>
    </w:p>
    <w:p w14:paraId="7985223F" w14:textId="77777777" w:rsidR="00476646" w:rsidRPr="00473683" w:rsidRDefault="00476646" w:rsidP="00476646">
      <w:pPr>
        <w:spacing w:line="240" w:lineRule="auto"/>
        <w:jc w:val="both"/>
        <w:rPr>
          <w:rFonts w:ascii="Calibri" w:hAnsi="Calibri"/>
          <w:b/>
        </w:rPr>
      </w:pPr>
      <w:r w:rsidRPr="0044228D">
        <w:rPr>
          <w:rFonts w:ascii="Calibri" w:hAnsi="Calibri"/>
          <w:b/>
        </w:rPr>
        <w:t>To the comments received on (</w:t>
      </w:r>
      <w:r w:rsidRPr="0044228D">
        <w:rPr>
          <w:rFonts w:ascii="Calibri" w:hAnsi="Calibri"/>
          <w:b/>
          <w:i/>
        </w:rPr>
        <w:t>date</w:t>
      </w:r>
      <w:r w:rsidRPr="0044228D">
        <w:rPr>
          <w:rFonts w:ascii="Calibri" w:hAnsi="Calibri"/>
          <w:b/>
        </w:rPr>
        <w:t>) from the Terminal Evaluation of Improving Energy Efficiency in Buildings (UNDP PIMS #4</w:t>
      </w:r>
      <w:r w:rsidR="00050A73" w:rsidRPr="00473683">
        <w:rPr>
          <w:rFonts w:ascii="Calibri" w:hAnsi="Calibri"/>
          <w:b/>
        </w:rPr>
        <w:t>669</w:t>
      </w:r>
      <w:r w:rsidRPr="00473683">
        <w:rPr>
          <w:rFonts w:ascii="Calibri" w:hAnsi="Calibri"/>
          <w:b/>
        </w:rPr>
        <w:t>)</w:t>
      </w:r>
    </w:p>
    <w:p w14:paraId="037FC7F2" w14:textId="77777777" w:rsidR="00476646" w:rsidRPr="0044228D" w:rsidRDefault="00476646" w:rsidP="00476646">
      <w:pPr>
        <w:spacing w:line="240" w:lineRule="auto"/>
        <w:jc w:val="both"/>
        <w:rPr>
          <w:rFonts w:ascii="Calibri" w:hAnsi="Calibri"/>
          <w:i/>
        </w:rPr>
      </w:pPr>
      <w:r w:rsidRPr="0044228D">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76646" w:rsidRPr="006927D9" w14:paraId="464249E9" w14:textId="77777777" w:rsidTr="002B3FDE">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8264888" w14:textId="77777777" w:rsidR="00476646" w:rsidRPr="0044228D" w:rsidRDefault="00476646" w:rsidP="002B3FDE">
            <w:pPr>
              <w:jc w:val="center"/>
              <w:rPr>
                <w:rFonts w:ascii="Calibri" w:hAnsi="Calibri"/>
                <w:sz w:val="22"/>
                <w:szCs w:val="22"/>
              </w:rPr>
            </w:pPr>
            <w:r w:rsidRPr="0044228D">
              <w:rPr>
                <w:rFonts w:ascii="Calibri" w:hAnsi="Calibri"/>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B97D65" w14:textId="77777777" w:rsidR="00476646" w:rsidRPr="00473683" w:rsidRDefault="00476646" w:rsidP="002B3FDE">
            <w:pPr>
              <w:jc w:val="center"/>
              <w:rPr>
                <w:rFonts w:ascii="Calibri" w:hAnsi="Calibri"/>
                <w:sz w:val="22"/>
                <w:szCs w:val="22"/>
              </w:rPr>
            </w:pPr>
            <w:r w:rsidRPr="00473683">
              <w:rPr>
                <w:rFonts w:ascii="Calibri" w:hAnsi="Calibri"/>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A0C6C6D" w14:textId="77777777" w:rsidR="00476646" w:rsidRPr="0044228D" w:rsidRDefault="00476646" w:rsidP="002B3FDE">
            <w:pPr>
              <w:jc w:val="center"/>
              <w:rPr>
                <w:rFonts w:ascii="Calibri" w:hAnsi="Calibri"/>
                <w:sz w:val="22"/>
                <w:szCs w:val="22"/>
              </w:rPr>
            </w:pPr>
            <w:r w:rsidRPr="0044228D">
              <w:rPr>
                <w:rFonts w:ascii="Calibri" w:hAnsi="Calibri"/>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9A8582E" w14:textId="77777777" w:rsidR="00476646" w:rsidRPr="0044228D" w:rsidRDefault="00476646" w:rsidP="002B3FDE">
            <w:pPr>
              <w:jc w:val="center"/>
              <w:rPr>
                <w:rFonts w:ascii="Calibri" w:hAnsi="Calibri"/>
                <w:sz w:val="22"/>
                <w:szCs w:val="22"/>
              </w:rPr>
            </w:pPr>
            <w:r w:rsidRPr="0044228D">
              <w:rPr>
                <w:rFonts w:ascii="Calibri" w:hAnsi="Calibri"/>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A4BBA98" w14:textId="77777777" w:rsidR="00476646" w:rsidRPr="006927D9" w:rsidRDefault="00476646" w:rsidP="002B3FDE">
            <w:pPr>
              <w:jc w:val="center"/>
              <w:rPr>
                <w:rFonts w:ascii="Calibri" w:hAnsi="Calibri"/>
                <w:sz w:val="22"/>
                <w:szCs w:val="22"/>
              </w:rPr>
            </w:pPr>
            <w:r w:rsidRPr="0044228D">
              <w:rPr>
                <w:rFonts w:ascii="Calibri" w:hAnsi="Calibri"/>
              </w:rPr>
              <w:t>TE team response and actions taken</w:t>
            </w:r>
          </w:p>
        </w:tc>
      </w:tr>
      <w:tr w:rsidR="00476646" w:rsidRPr="005A6F3A" w14:paraId="76E2C439" w14:textId="77777777" w:rsidTr="002B3FDE">
        <w:trPr>
          <w:trHeight w:val="332"/>
        </w:trPr>
        <w:tc>
          <w:tcPr>
            <w:tcW w:w="901" w:type="dxa"/>
            <w:tcBorders>
              <w:top w:val="single" w:sz="4" w:space="0" w:color="FFFFFF" w:themeColor="background1"/>
            </w:tcBorders>
          </w:tcPr>
          <w:p w14:paraId="781A50AC" w14:textId="77777777" w:rsidR="00476646" w:rsidRPr="005A6F3A" w:rsidRDefault="00476646" w:rsidP="002B3FDE">
            <w:pPr>
              <w:jc w:val="center"/>
              <w:rPr>
                <w:rFonts w:ascii="Calibri" w:hAnsi="Calibri"/>
                <w:sz w:val="22"/>
                <w:szCs w:val="22"/>
              </w:rPr>
            </w:pPr>
          </w:p>
        </w:tc>
        <w:tc>
          <w:tcPr>
            <w:tcW w:w="644" w:type="dxa"/>
            <w:tcBorders>
              <w:top w:val="single" w:sz="4" w:space="0" w:color="FFFFFF" w:themeColor="background1"/>
            </w:tcBorders>
          </w:tcPr>
          <w:p w14:paraId="2495DF4E" w14:textId="77777777" w:rsidR="00476646" w:rsidRPr="005A6F3A" w:rsidRDefault="00476646" w:rsidP="002B3FDE">
            <w:pPr>
              <w:jc w:val="center"/>
              <w:rPr>
                <w:rFonts w:ascii="Calibri" w:hAnsi="Calibri"/>
                <w:sz w:val="22"/>
                <w:szCs w:val="22"/>
              </w:rPr>
            </w:pPr>
          </w:p>
        </w:tc>
        <w:tc>
          <w:tcPr>
            <w:tcW w:w="1605" w:type="dxa"/>
            <w:tcBorders>
              <w:top w:val="single" w:sz="4" w:space="0" w:color="FFFFFF" w:themeColor="background1"/>
            </w:tcBorders>
          </w:tcPr>
          <w:p w14:paraId="24A480E4" w14:textId="77777777" w:rsidR="00476646" w:rsidRPr="005A6F3A" w:rsidRDefault="00476646" w:rsidP="002B3FDE">
            <w:pPr>
              <w:jc w:val="center"/>
              <w:rPr>
                <w:rFonts w:ascii="Calibri" w:hAnsi="Calibri"/>
                <w:sz w:val="22"/>
                <w:szCs w:val="22"/>
              </w:rPr>
            </w:pPr>
          </w:p>
        </w:tc>
        <w:tc>
          <w:tcPr>
            <w:tcW w:w="3780" w:type="dxa"/>
            <w:tcBorders>
              <w:top w:val="single" w:sz="4" w:space="0" w:color="FFFFFF" w:themeColor="background1"/>
            </w:tcBorders>
          </w:tcPr>
          <w:p w14:paraId="55F15E3A" w14:textId="77777777" w:rsidR="00476646" w:rsidRPr="005A6F3A" w:rsidRDefault="00476646" w:rsidP="002B3FDE">
            <w:pPr>
              <w:pStyle w:val="CommentText"/>
              <w:spacing w:before="0"/>
              <w:rPr>
                <w:rFonts w:ascii="Calibri" w:hAnsi="Calibri"/>
                <w:sz w:val="22"/>
                <w:szCs w:val="22"/>
              </w:rPr>
            </w:pPr>
          </w:p>
        </w:tc>
        <w:tc>
          <w:tcPr>
            <w:tcW w:w="2610" w:type="dxa"/>
            <w:tcBorders>
              <w:top w:val="single" w:sz="4" w:space="0" w:color="FFFFFF" w:themeColor="background1"/>
            </w:tcBorders>
          </w:tcPr>
          <w:p w14:paraId="27B8C824" w14:textId="77777777" w:rsidR="00476646" w:rsidRPr="005A6F3A" w:rsidRDefault="00476646" w:rsidP="002B3FDE">
            <w:pPr>
              <w:rPr>
                <w:rFonts w:ascii="Calibri" w:hAnsi="Calibri"/>
                <w:sz w:val="22"/>
                <w:szCs w:val="22"/>
              </w:rPr>
            </w:pPr>
          </w:p>
        </w:tc>
      </w:tr>
      <w:tr w:rsidR="00476646" w:rsidRPr="005A6F3A" w14:paraId="4F172541" w14:textId="77777777" w:rsidTr="002B3FDE">
        <w:trPr>
          <w:trHeight w:val="278"/>
        </w:trPr>
        <w:tc>
          <w:tcPr>
            <w:tcW w:w="901" w:type="dxa"/>
          </w:tcPr>
          <w:p w14:paraId="748EB2EB" w14:textId="77777777" w:rsidR="00476646" w:rsidRPr="005A6F3A" w:rsidRDefault="00476646" w:rsidP="002B3FDE">
            <w:pPr>
              <w:jc w:val="center"/>
              <w:rPr>
                <w:rFonts w:ascii="Calibri" w:hAnsi="Calibri"/>
                <w:sz w:val="22"/>
                <w:szCs w:val="22"/>
              </w:rPr>
            </w:pPr>
          </w:p>
        </w:tc>
        <w:tc>
          <w:tcPr>
            <w:tcW w:w="644" w:type="dxa"/>
          </w:tcPr>
          <w:p w14:paraId="2172D716" w14:textId="77777777" w:rsidR="00476646" w:rsidRPr="005A6F3A" w:rsidRDefault="00476646" w:rsidP="002B3FDE">
            <w:pPr>
              <w:jc w:val="center"/>
              <w:rPr>
                <w:rFonts w:ascii="Calibri" w:hAnsi="Calibri"/>
                <w:sz w:val="22"/>
                <w:szCs w:val="22"/>
              </w:rPr>
            </w:pPr>
          </w:p>
        </w:tc>
        <w:tc>
          <w:tcPr>
            <w:tcW w:w="1605" w:type="dxa"/>
          </w:tcPr>
          <w:p w14:paraId="4DB22841" w14:textId="77777777" w:rsidR="00476646" w:rsidRPr="005A6F3A" w:rsidRDefault="00476646" w:rsidP="002B3FDE">
            <w:pPr>
              <w:jc w:val="center"/>
              <w:rPr>
                <w:rFonts w:ascii="Calibri" w:hAnsi="Calibri"/>
                <w:sz w:val="22"/>
                <w:szCs w:val="22"/>
              </w:rPr>
            </w:pPr>
          </w:p>
        </w:tc>
        <w:tc>
          <w:tcPr>
            <w:tcW w:w="3780" w:type="dxa"/>
          </w:tcPr>
          <w:p w14:paraId="46BF2778" w14:textId="77777777" w:rsidR="00476646" w:rsidRPr="005A6F3A" w:rsidRDefault="00476646" w:rsidP="002B3FDE">
            <w:pPr>
              <w:pStyle w:val="CommentText"/>
              <w:spacing w:before="0"/>
              <w:rPr>
                <w:rFonts w:ascii="Calibri" w:hAnsi="Calibri"/>
                <w:sz w:val="22"/>
                <w:szCs w:val="22"/>
              </w:rPr>
            </w:pPr>
          </w:p>
        </w:tc>
        <w:tc>
          <w:tcPr>
            <w:tcW w:w="2610" w:type="dxa"/>
          </w:tcPr>
          <w:p w14:paraId="2E5A08FA" w14:textId="77777777" w:rsidR="00476646" w:rsidRPr="005A6F3A" w:rsidRDefault="00476646" w:rsidP="002B3FDE">
            <w:pPr>
              <w:rPr>
                <w:rFonts w:ascii="Calibri" w:hAnsi="Calibri"/>
                <w:sz w:val="22"/>
                <w:szCs w:val="22"/>
              </w:rPr>
            </w:pPr>
          </w:p>
        </w:tc>
      </w:tr>
      <w:tr w:rsidR="00476646" w:rsidRPr="005A6F3A" w14:paraId="58EF78BE" w14:textId="77777777" w:rsidTr="002B3FDE">
        <w:trPr>
          <w:trHeight w:val="248"/>
        </w:trPr>
        <w:tc>
          <w:tcPr>
            <w:tcW w:w="901" w:type="dxa"/>
          </w:tcPr>
          <w:p w14:paraId="45FCFE90" w14:textId="77777777" w:rsidR="00476646" w:rsidRPr="005A6F3A" w:rsidRDefault="00476646" w:rsidP="002B3FDE">
            <w:pPr>
              <w:jc w:val="center"/>
              <w:rPr>
                <w:rFonts w:ascii="Calibri" w:hAnsi="Calibri"/>
                <w:sz w:val="22"/>
                <w:szCs w:val="22"/>
              </w:rPr>
            </w:pPr>
          </w:p>
        </w:tc>
        <w:tc>
          <w:tcPr>
            <w:tcW w:w="644" w:type="dxa"/>
          </w:tcPr>
          <w:p w14:paraId="15BEACE3" w14:textId="77777777" w:rsidR="00476646" w:rsidRPr="005A6F3A" w:rsidRDefault="00476646" w:rsidP="002B3FDE">
            <w:pPr>
              <w:jc w:val="center"/>
              <w:rPr>
                <w:rFonts w:ascii="Calibri" w:hAnsi="Calibri"/>
                <w:sz w:val="22"/>
                <w:szCs w:val="22"/>
              </w:rPr>
            </w:pPr>
          </w:p>
        </w:tc>
        <w:tc>
          <w:tcPr>
            <w:tcW w:w="1605" w:type="dxa"/>
          </w:tcPr>
          <w:p w14:paraId="4EFB3A62" w14:textId="77777777" w:rsidR="00476646" w:rsidRPr="005A6F3A" w:rsidRDefault="00476646" w:rsidP="002B3FDE">
            <w:pPr>
              <w:jc w:val="center"/>
              <w:rPr>
                <w:rFonts w:ascii="Calibri" w:hAnsi="Calibri"/>
                <w:sz w:val="22"/>
                <w:szCs w:val="22"/>
              </w:rPr>
            </w:pPr>
          </w:p>
        </w:tc>
        <w:tc>
          <w:tcPr>
            <w:tcW w:w="3780" w:type="dxa"/>
          </w:tcPr>
          <w:p w14:paraId="16FBAB1A" w14:textId="77777777" w:rsidR="00476646" w:rsidRPr="005A6F3A" w:rsidRDefault="00476646" w:rsidP="002B3FDE">
            <w:pPr>
              <w:rPr>
                <w:rFonts w:ascii="Calibri" w:hAnsi="Calibri"/>
                <w:sz w:val="22"/>
                <w:szCs w:val="22"/>
              </w:rPr>
            </w:pPr>
          </w:p>
        </w:tc>
        <w:tc>
          <w:tcPr>
            <w:tcW w:w="2610" w:type="dxa"/>
          </w:tcPr>
          <w:p w14:paraId="4FDFD4B1" w14:textId="77777777" w:rsidR="00476646" w:rsidRPr="005A6F3A" w:rsidRDefault="00476646" w:rsidP="002B3FDE">
            <w:pPr>
              <w:rPr>
                <w:rFonts w:ascii="Calibri" w:hAnsi="Calibri"/>
                <w:sz w:val="22"/>
                <w:szCs w:val="22"/>
              </w:rPr>
            </w:pPr>
          </w:p>
        </w:tc>
      </w:tr>
      <w:tr w:rsidR="00476646" w:rsidRPr="005A6F3A" w14:paraId="4A8F7A3D" w14:textId="77777777" w:rsidTr="002B3FDE">
        <w:trPr>
          <w:trHeight w:val="248"/>
        </w:trPr>
        <w:tc>
          <w:tcPr>
            <w:tcW w:w="901" w:type="dxa"/>
          </w:tcPr>
          <w:p w14:paraId="75F8072F" w14:textId="77777777" w:rsidR="00476646" w:rsidRPr="005A6F3A" w:rsidRDefault="00476646" w:rsidP="002B3FDE">
            <w:pPr>
              <w:jc w:val="center"/>
              <w:rPr>
                <w:rFonts w:ascii="Calibri" w:hAnsi="Calibri"/>
                <w:sz w:val="22"/>
                <w:szCs w:val="22"/>
              </w:rPr>
            </w:pPr>
          </w:p>
        </w:tc>
        <w:tc>
          <w:tcPr>
            <w:tcW w:w="644" w:type="dxa"/>
          </w:tcPr>
          <w:p w14:paraId="47388112" w14:textId="77777777" w:rsidR="00476646" w:rsidRPr="005A6F3A" w:rsidRDefault="00476646" w:rsidP="002B3FDE">
            <w:pPr>
              <w:jc w:val="center"/>
              <w:rPr>
                <w:rFonts w:ascii="Calibri" w:hAnsi="Calibri"/>
                <w:sz w:val="22"/>
                <w:szCs w:val="22"/>
              </w:rPr>
            </w:pPr>
          </w:p>
        </w:tc>
        <w:tc>
          <w:tcPr>
            <w:tcW w:w="1605" w:type="dxa"/>
          </w:tcPr>
          <w:p w14:paraId="5DBC7810" w14:textId="77777777" w:rsidR="00476646" w:rsidRPr="005A6F3A" w:rsidRDefault="00476646" w:rsidP="002B3FDE">
            <w:pPr>
              <w:jc w:val="center"/>
              <w:rPr>
                <w:rFonts w:ascii="Calibri" w:hAnsi="Calibri"/>
                <w:sz w:val="22"/>
                <w:szCs w:val="22"/>
              </w:rPr>
            </w:pPr>
          </w:p>
        </w:tc>
        <w:tc>
          <w:tcPr>
            <w:tcW w:w="3780" w:type="dxa"/>
          </w:tcPr>
          <w:p w14:paraId="2256E690" w14:textId="77777777" w:rsidR="00476646" w:rsidRPr="005A6F3A" w:rsidRDefault="00476646" w:rsidP="002B3FDE">
            <w:pPr>
              <w:rPr>
                <w:rFonts w:ascii="Calibri" w:hAnsi="Calibri"/>
                <w:sz w:val="22"/>
                <w:szCs w:val="22"/>
              </w:rPr>
            </w:pPr>
          </w:p>
        </w:tc>
        <w:tc>
          <w:tcPr>
            <w:tcW w:w="2610" w:type="dxa"/>
          </w:tcPr>
          <w:p w14:paraId="7AD7F99A" w14:textId="77777777" w:rsidR="00476646" w:rsidRPr="005A6F3A" w:rsidRDefault="00476646" w:rsidP="002B3FDE">
            <w:pPr>
              <w:rPr>
                <w:rFonts w:ascii="Calibri" w:hAnsi="Calibri"/>
                <w:sz w:val="22"/>
                <w:szCs w:val="22"/>
              </w:rPr>
            </w:pPr>
          </w:p>
        </w:tc>
      </w:tr>
      <w:tr w:rsidR="00476646" w:rsidRPr="005A6F3A" w14:paraId="757B8E9F" w14:textId="77777777" w:rsidTr="002B3FDE">
        <w:trPr>
          <w:trHeight w:val="261"/>
        </w:trPr>
        <w:tc>
          <w:tcPr>
            <w:tcW w:w="901" w:type="dxa"/>
          </w:tcPr>
          <w:p w14:paraId="7D514235" w14:textId="77777777" w:rsidR="00476646" w:rsidRPr="005A6F3A" w:rsidRDefault="00476646" w:rsidP="002B3FDE">
            <w:pPr>
              <w:jc w:val="center"/>
              <w:rPr>
                <w:rFonts w:ascii="Calibri" w:hAnsi="Calibri"/>
                <w:sz w:val="22"/>
                <w:szCs w:val="22"/>
              </w:rPr>
            </w:pPr>
          </w:p>
        </w:tc>
        <w:tc>
          <w:tcPr>
            <w:tcW w:w="644" w:type="dxa"/>
          </w:tcPr>
          <w:p w14:paraId="3165F978" w14:textId="77777777" w:rsidR="00476646" w:rsidRPr="005A6F3A" w:rsidRDefault="00476646" w:rsidP="002B3FDE">
            <w:pPr>
              <w:jc w:val="center"/>
              <w:rPr>
                <w:rFonts w:ascii="Calibri" w:hAnsi="Calibri"/>
                <w:sz w:val="22"/>
                <w:szCs w:val="22"/>
              </w:rPr>
            </w:pPr>
          </w:p>
        </w:tc>
        <w:tc>
          <w:tcPr>
            <w:tcW w:w="1605" w:type="dxa"/>
          </w:tcPr>
          <w:p w14:paraId="30204125" w14:textId="77777777" w:rsidR="00476646" w:rsidRPr="005A6F3A" w:rsidRDefault="00476646" w:rsidP="002B3FDE">
            <w:pPr>
              <w:jc w:val="center"/>
              <w:rPr>
                <w:rFonts w:ascii="Calibri" w:hAnsi="Calibri"/>
                <w:sz w:val="22"/>
                <w:szCs w:val="22"/>
              </w:rPr>
            </w:pPr>
          </w:p>
        </w:tc>
        <w:tc>
          <w:tcPr>
            <w:tcW w:w="3780" w:type="dxa"/>
          </w:tcPr>
          <w:p w14:paraId="606FE608" w14:textId="77777777" w:rsidR="00476646" w:rsidRPr="005A6F3A" w:rsidRDefault="00476646" w:rsidP="002B3FDE">
            <w:pPr>
              <w:rPr>
                <w:rFonts w:ascii="Calibri" w:hAnsi="Calibri"/>
                <w:sz w:val="22"/>
                <w:szCs w:val="22"/>
              </w:rPr>
            </w:pPr>
          </w:p>
        </w:tc>
        <w:tc>
          <w:tcPr>
            <w:tcW w:w="2610" w:type="dxa"/>
          </w:tcPr>
          <w:p w14:paraId="3FD8A696" w14:textId="77777777" w:rsidR="00476646" w:rsidRPr="005A6F3A" w:rsidRDefault="00476646" w:rsidP="002B3FDE">
            <w:pPr>
              <w:rPr>
                <w:rFonts w:ascii="Calibri" w:hAnsi="Calibri"/>
                <w:sz w:val="22"/>
                <w:szCs w:val="22"/>
              </w:rPr>
            </w:pPr>
          </w:p>
        </w:tc>
      </w:tr>
      <w:tr w:rsidR="00476646" w:rsidRPr="005A6F3A" w14:paraId="3F43614B" w14:textId="77777777" w:rsidTr="002B3FDE">
        <w:trPr>
          <w:trHeight w:val="261"/>
        </w:trPr>
        <w:tc>
          <w:tcPr>
            <w:tcW w:w="901" w:type="dxa"/>
          </w:tcPr>
          <w:p w14:paraId="201B6A91" w14:textId="77777777" w:rsidR="00476646" w:rsidRPr="005A6F3A" w:rsidRDefault="00476646" w:rsidP="002B3FDE">
            <w:pPr>
              <w:jc w:val="center"/>
              <w:rPr>
                <w:rFonts w:ascii="Calibri" w:hAnsi="Calibri"/>
                <w:sz w:val="22"/>
                <w:szCs w:val="22"/>
              </w:rPr>
            </w:pPr>
          </w:p>
        </w:tc>
        <w:tc>
          <w:tcPr>
            <w:tcW w:w="644" w:type="dxa"/>
          </w:tcPr>
          <w:p w14:paraId="56D3F971" w14:textId="77777777" w:rsidR="00476646" w:rsidRPr="005A6F3A" w:rsidRDefault="00476646" w:rsidP="002B3FDE">
            <w:pPr>
              <w:jc w:val="center"/>
              <w:rPr>
                <w:rFonts w:ascii="Calibri" w:hAnsi="Calibri"/>
                <w:sz w:val="22"/>
                <w:szCs w:val="22"/>
              </w:rPr>
            </w:pPr>
          </w:p>
        </w:tc>
        <w:tc>
          <w:tcPr>
            <w:tcW w:w="1605" w:type="dxa"/>
          </w:tcPr>
          <w:p w14:paraId="1D1549CE" w14:textId="77777777" w:rsidR="00476646" w:rsidRPr="005A6F3A" w:rsidRDefault="00476646" w:rsidP="002B3FDE">
            <w:pPr>
              <w:jc w:val="center"/>
              <w:rPr>
                <w:rFonts w:ascii="Calibri" w:hAnsi="Calibri"/>
                <w:sz w:val="22"/>
                <w:szCs w:val="22"/>
              </w:rPr>
            </w:pPr>
          </w:p>
        </w:tc>
        <w:tc>
          <w:tcPr>
            <w:tcW w:w="3780" w:type="dxa"/>
          </w:tcPr>
          <w:p w14:paraId="54BD30F0" w14:textId="77777777" w:rsidR="00476646" w:rsidRPr="005A6F3A" w:rsidRDefault="00476646" w:rsidP="002B3FDE">
            <w:pPr>
              <w:pStyle w:val="CommentText"/>
              <w:spacing w:before="0"/>
              <w:rPr>
                <w:rFonts w:ascii="Calibri" w:hAnsi="Calibri"/>
                <w:sz w:val="22"/>
                <w:szCs w:val="22"/>
              </w:rPr>
            </w:pPr>
          </w:p>
        </w:tc>
        <w:tc>
          <w:tcPr>
            <w:tcW w:w="2610" w:type="dxa"/>
          </w:tcPr>
          <w:p w14:paraId="790B3D80" w14:textId="77777777" w:rsidR="00476646" w:rsidRPr="005A6F3A" w:rsidRDefault="00476646" w:rsidP="002B3FDE">
            <w:pPr>
              <w:rPr>
                <w:rFonts w:ascii="Calibri" w:hAnsi="Calibri"/>
                <w:sz w:val="22"/>
                <w:szCs w:val="22"/>
              </w:rPr>
            </w:pPr>
          </w:p>
        </w:tc>
      </w:tr>
      <w:tr w:rsidR="00476646" w:rsidRPr="005A6F3A" w14:paraId="63F32F80" w14:textId="77777777" w:rsidTr="002B3FDE">
        <w:trPr>
          <w:trHeight w:val="261"/>
        </w:trPr>
        <w:tc>
          <w:tcPr>
            <w:tcW w:w="901" w:type="dxa"/>
          </w:tcPr>
          <w:p w14:paraId="16F85596" w14:textId="77777777" w:rsidR="00476646" w:rsidRPr="005A6F3A" w:rsidRDefault="00476646" w:rsidP="002B3FDE">
            <w:pPr>
              <w:jc w:val="center"/>
              <w:rPr>
                <w:rFonts w:ascii="Calibri" w:hAnsi="Calibri"/>
                <w:sz w:val="22"/>
                <w:szCs w:val="22"/>
              </w:rPr>
            </w:pPr>
          </w:p>
        </w:tc>
        <w:tc>
          <w:tcPr>
            <w:tcW w:w="644" w:type="dxa"/>
          </w:tcPr>
          <w:p w14:paraId="4FF81F14" w14:textId="77777777" w:rsidR="00476646" w:rsidRPr="005A6F3A" w:rsidRDefault="00476646" w:rsidP="002B3FDE">
            <w:pPr>
              <w:jc w:val="center"/>
              <w:rPr>
                <w:rFonts w:ascii="Calibri" w:hAnsi="Calibri"/>
                <w:sz w:val="22"/>
                <w:szCs w:val="22"/>
              </w:rPr>
            </w:pPr>
          </w:p>
        </w:tc>
        <w:tc>
          <w:tcPr>
            <w:tcW w:w="1605" w:type="dxa"/>
          </w:tcPr>
          <w:p w14:paraId="7CCD15F5" w14:textId="77777777" w:rsidR="00476646" w:rsidRPr="005A6F3A" w:rsidRDefault="00476646" w:rsidP="002B3FDE">
            <w:pPr>
              <w:jc w:val="center"/>
              <w:rPr>
                <w:rFonts w:ascii="Calibri" w:hAnsi="Calibri"/>
                <w:sz w:val="22"/>
                <w:szCs w:val="22"/>
              </w:rPr>
            </w:pPr>
          </w:p>
        </w:tc>
        <w:tc>
          <w:tcPr>
            <w:tcW w:w="3780" w:type="dxa"/>
          </w:tcPr>
          <w:p w14:paraId="62D05415" w14:textId="77777777" w:rsidR="00476646" w:rsidRPr="005A6F3A" w:rsidRDefault="00476646" w:rsidP="002B3FDE">
            <w:pPr>
              <w:pStyle w:val="CommentText"/>
              <w:spacing w:before="0"/>
              <w:rPr>
                <w:rFonts w:ascii="Calibri" w:hAnsi="Calibri"/>
                <w:sz w:val="22"/>
                <w:szCs w:val="22"/>
              </w:rPr>
            </w:pPr>
          </w:p>
        </w:tc>
        <w:tc>
          <w:tcPr>
            <w:tcW w:w="2610" w:type="dxa"/>
          </w:tcPr>
          <w:p w14:paraId="6D36A209" w14:textId="77777777" w:rsidR="00476646" w:rsidRPr="005A6F3A" w:rsidRDefault="00476646" w:rsidP="002B3FDE">
            <w:pPr>
              <w:rPr>
                <w:rFonts w:ascii="Calibri" w:hAnsi="Calibri"/>
                <w:sz w:val="22"/>
                <w:szCs w:val="22"/>
              </w:rPr>
            </w:pPr>
          </w:p>
        </w:tc>
      </w:tr>
      <w:tr w:rsidR="00476646" w:rsidRPr="005A6F3A" w14:paraId="47C31CB0" w14:textId="77777777" w:rsidTr="002B3FDE">
        <w:trPr>
          <w:trHeight w:val="248"/>
        </w:trPr>
        <w:tc>
          <w:tcPr>
            <w:tcW w:w="901" w:type="dxa"/>
          </w:tcPr>
          <w:p w14:paraId="037221A3" w14:textId="77777777" w:rsidR="00476646" w:rsidRPr="005A6F3A" w:rsidRDefault="00476646" w:rsidP="002B3FDE">
            <w:pPr>
              <w:jc w:val="center"/>
              <w:rPr>
                <w:rFonts w:ascii="Calibri" w:hAnsi="Calibri"/>
                <w:sz w:val="22"/>
                <w:szCs w:val="22"/>
              </w:rPr>
            </w:pPr>
          </w:p>
        </w:tc>
        <w:tc>
          <w:tcPr>
            <w:tcW w:w="644" w:type="dxa"/>
          </w:tcPr>
          <w:p w14:paraId="4C811F6A" w14:textId="77777777" w:rsidR="00476646" w:rsidRPr="005A6F3A" w:rsidRDefault="00476646" w:rsidP="002B3FDE">
            <w:pPr>
              <w:jc w:val="center"/>
              <w:rPr>
                <w:rFonts w:ascii="Calibri" w:hAnsi="Calibri"/>
                <w:sz w:val="22"/>
                <w:szCs w:val="22"/>
              </w:rPr>
            </w:pPr>
          </w:p>
        </w:tc>
        <w:tc>
          <w:tcPr>
            <w:tcW w:w="1605" w:type="dxa"/>
          </w:tcPr>
          <w:p w14:paraId="109EFE00" w14:textId="77777777" w:rsidR="00476646" w:rsidRPr="005A6F3A" w:rsidRDefault="00476646" w:rsidP="002B3FDE">
            <w:pPr>
              <w:jc w:val="center"/>
              <w:rPr>
                <w:rFonts w:ascii="Calibri" w:hAnsi="Calibri"/>
                <w:sz w:val="22"/>
                <w:szCs w:val="22"/>
              </w:rPr>
            </w:pPr>
          </w:p>
        </w:tc>
        <w:tc>
          <w:tcPr>
            <w:tcW w:w="3780" w:type="dxa"/>
          </w:tcPr>
          <w:p w14:paraId="3E830D55" w14:textId="77777777" w:rsidR="00476646" w:rsidRPr="005A6F3A" w:rsidRDefault="00476646" w:rsidP="002B3FDE">
            <w:pPr>
              <w:rPr>
                <w:rFonts w:ascii="Calibri" w:hAnsi="Calibri"/>
                <w:sz w:val="22"/>
                <w:szCs w:val="22"/>
              </w:rPr>
            </w:pPr>
          </w:p>
        </w:tc>
        <w:tc>
          <w:tcPr>
            <w:tcW w:w="2610" w:type="dxa"/>
          </w:tcPr>
          <w:p w14:paraId="44A34CB9" w14:textId="77777777" w:rsidR="00476646" w:rsidRPr="005A6F3A" w:rsidRDefault="00476646" w:rsidP="002B3FDE">
            <w:pPr>
              <w:rPr>
                <w:rFonts w:ascii="Calibri" w:hAnsi="Calibri"/>
                <w:sz w:val="22"/>
                <w:szCs w:val="22"/>
              </w:rPr>
            </w:pPr>
          </w:p>
        </w:tc>
      </w:tr>
      <w:tr w:rsidR="00476646" w:rsidRPr="005A6F3A" w14:paraId="7A7C7AA6" w14:textId="77777777" w:rsidTr="002B3FDE">
        <w:trPr>
          <w:trHeight w:val="248"/>
        </w:trPr>
        <w:tc>
          <w:tcPr>
            <w:tcW w:w="901" w:type="dxa"/>
          </w:tcPr>
          <w:p w14:paraId="233070B8" w14:textId="77777777" w:rsidR="00476646" w:rsidRPr="005A6F3A" w:rsidRDefault="00476646" w:rsidP="002B3FDE">
            <w:pPr>
              <w:jc w:val="center"/>
              <w:rPr>
                <w:rFonts w:ascii="Calibri" w:hAnsi="Calibri"/>
                <w:sz w:val="22"/>
                <w:szCs w:val="22"/>
              </w:rPr>
            </w:pPr>
          </w:p>
        </w:tc>
        <w:tc>
          <w:tcPr>
            <w:tcW w:w="644" w:type="dxa"/>
          </w:tcPr>
          <w:p w14:paraId="14610216" w14:textId="77777777" w:rsidR="00476646" w:rsidRPr="005A6F3A" w:rsidRDefault="00476646" w:rsidP="002B3FDE">
            <w:pPr>
              <w:jc w:val="center"/>
              <w:rPr>
                <w:rFonts w:ascii="Calibri" w:hAnsi="Calibri"/>
                <w:sz w:val="22"/>
                <w:szCs w:val="22"/>
              </w:rPr>
            </w:pPr>
          </w:p>
        </w:tc>
        <w:tc>
          <w:tcPr>
            <w:tcW w:w="1605" w:type="dxa"/>
          </w:tcPr>
          <w:p w14:paraId="6899C528" w14:textId="77777777" w:rsidR="00476646" w:rsidRPr="005A6F3A" w:rsidRDefault="00476646" w:rsidP="002B3FDE">
            <w:pPr>
              <w:jc w:val="center"/>
              <w:rPr>
                <w:rFonts w:ascii="Calibri" w:hAnsi="Calibri"/>
                <w:sz w:val="22"/>
                <w:szCs w:val="22"/>
              </w:rPr>
            </w:pPr>
          </w:p>
        </w:tc>
        <w:tc>
          <w:tcPr>
            <w:tcW w:w="3780" w:type="dxa"/>
          </w:tcPr>
          <w:p w14:paraId="6E2D6E17" w14:textId="77777777" w:rsidR="00476646" w:rsidRPr="005A6F3A" w:rsidRDefault="00476646" w:rsidP="002B3FDE">
            <w:pPr>
              <w:rPr>
                <w:rFonts w:ascii="Calibri" w:hAnsi="Calibri"/>
                <w:sz w:val="22"/>
                <w:szCs w:val="22"/>
              </w:rPr>
            </w:pPr>
          </w:p>
        </w:tc>
        <w:tc>
          <w:tcPr>
            <w:tcW w:w="2610" w:type="dxa"/>
          </w:tcPr>
          <w:p w14:paraId="5FE54B09" w14:textId="77777777" w:rsidR="00476646" w:rsidRPr="005A6F3A" w:rsidRDefault="00476646" w:rsidP="002B3FDE">
            <w:pPr>
              <w:rPr>
                <w:rFonts w:ascii="Calibri" w:hAnsi="Calibri"/>
                <w:sz w:val="22"/>
                <w:szCs w:val="22"/>
              </w:rPr>
            </w:pPr>
          </w:p>
        </w:tc>
      </w:tr>
      <w:tr w:rsidR="00476646" w:rsidRPr="005A6F3A" w14:paraId="267A7E97" w14:textId="77777777" w:rsidTr="002B3FDE">
        <w:trPr>
          <w:trHeight w:val="261"/>
        </w:trPr>
        <w:tc>
          <w:tcPr>
            <w:tcW w:w="901" w:type="dxa"/>
          </w:tcPr>
          <w:p w14:paraId="147A1F1B" w14:textId="77777777" w:rsidR="00476646" w:rsidRPr="005A6F3A" w:rsidRDefault="00476646" w:rsidP="002B3FDE">
            <w:pPr>
              <w:jc w:val="center"/>
              <w:rPr>
                <w:rFonts w:ascii="Calibri" w:hAnsi="Calibri"/>
                <w:sz w:val="22"/>
                <w:szCs w:val="22"/>
              </w:rPr>
            </w:pPr>
          </w:p>
        </w:tc>
        <w:tc>
          <w:tcPr>
            <w:tcW w:w="644" w:type="dxa"/>
          </w:tcPr>
          <w:p w14:paraId="2C07F865" w14:textId="77777777" w:rsidR="00476646" w:rsidRPr="005A6F3A" w:rsidRDefault="00476646" w:rsidP="002B3FDE">
            <w:pPr>
              <w:jc w:val="center"/>
              <w:rPr>
                <w:rFonts w:ascii="Calibri" w:hAnsi="Calibri"/>
                <w:sz w:val="22"/>
                <w:szCs w:val="22"/>
              </w:rPr>
            </w:pPr>
          </w:p>
        </w:tc>
        <w:tc>
          <w:tcPr>
            <w:tcW w:w="1605" w:type="dxa"/>
          </w:tcPr>
          <w:p w14:paraId="48D10D43" w14:textId="77777777" w:rsidR="00476646" w:rsidRPr="005A6F3A" w:rsidRDefault="00476646" w:rsidP="002B3FDE">
            <w:pPr>
              <w:jc w:val="center"/>
              <w:rPr>
                <w:rFonts w:ascii="Calibri" w:hAnsi="Calibri"/>
                <w:sz w:val="22"/>
                <w:szCs w:val="22"/>
              </w:rPr>
            </w:pPr>
          </w:p>
        </w:tc>
        <w:tc>
          <w:tcPr>
            <w:tcW w:w="3780" w:type="dxa"/>
          </w:tcPr>
          <w:p w14:paraId="16F6A3A0" w14:textId="77777777" w:rsidR="00476646" w:rsidRPr="005A6F3A" w:rsidRDefault="00476646" w:rsidP="002B3FDE">
            <w:pPr>
              <w:rPr>
                <w:rFonts w:ascii="Calibri" w:hAnsi="Calibri"/>
                <w:sz w:val="22"/>
                <w:szCs w:val="22"/>
              </w:rPr>
            </w:pPr>
          </w:p>
        </w:tc>
        <w:tc>
          <w:tcPr>
            <w:tcW w:w="2610" w:type="dxa"/>
          </w:tcPr>
          <w:p w14:paraId="0EEFF444" w14:textId="77777777" w:rsidR="00476646" w:rsidRPr="005A6F3A" w:rsidRDefault="00476646" w:rsidP="002B3FDE">
            <w:pPr>
              <w:rPr>
                <w:rFonts w:ascii="Calibri" w:hAnsi="Calibri"/>
                <w:sz w:val="22"/>
                <w:szCs w:val="22"/>
              </w:rPr>
            </w:pPr>
          </w:p>
        </w:tc>
      </w:tr>
    </w:tbl>
    <w:p w14:paraId="44572EF0" w14:textId="77777777" w:rsidR="00476646" w:rsidRPr="005A6F3A" w:rsidRDefault="00476646" w:rsidP="00476646">
      <w:pPr>
        <w:spacing w:before="200"/>
        <w:rPr>
          <w:rFonts w:ascii="Calibri" w:eastAsia="Times New Roman" w:hAnsi="Calibri" w:cs="Times New Roman"/>
        </w:rPr>
      </w:pPr>
    </w:p>
    <w:sectPr w:rsidR="00476646"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81ABA" w14:textId="77777777" w:rsidR="00866A44" w:rsidRDefault="00866A44" w:rsidP="00D6638C">
      <w:pPr>
        <w:spacing w:after="0" w:line="240" w:lineRule="auto"/>
      </w:pPr>
      <w:r>
        <w:separator/>
      </w:r>
    </w:p>
  </w:endnote>
  <w:endnote w:type="continuationSeparator" w:id="0">
    <w:p w14:paraId="3C84D6E8" w14:textId="77777777" w:rsidR="00866A44" w:rsidRDefault="00866A4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Times New Roman"/>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52990"/>
      <w:docPartObj>
        <w:docPartGallery w:val="Page Numbers (Bottom of Page)"/>
        <w:docPartUnique/>
      </w:docPartObj>
    </w:sdtPr>
    <w:sdtEndPr>
      <w:rPr>
        <w:noProof/>
      </w:rPr>
    </w:sdtEndPr>
    <w:sdtContent>
      <w:p w14:paraId="4C94C903" w14:textId="77777777" w:rsidR="0044228D" w:rsidRDefault="0044228D">
        <w:pPr>
          <w:pStyle w:val="Footer"/>
          <w:jc w:val="right"/>
        </w:pPr>
        <w:r>
          <w:fldChar w:fldCharType="begin"/>
        </w:r>
        <w:r>
          <w:instrText xml:space="preserve"> PAGE   \* MERGEFORMAT </w:instrText>
        </w:r>
        <w:r>
          <w:fldChar w:fldCharType="separate"/>
        </w:r>
        <w:r w:rsidR="00A869AA">
          <w:rPr>
            <w:noProof/>
          </w:rPr>
          <w:t>10</w:t>
        </w:r>
        <w:r>
          <w:rPr>
            <w:noProof/>
          </w:rPr>
          <w:fldChar w:fldCharType="end"/>
        </w:r>
      </w:p>
    </w:sdtContent>
  </w:sdt>
  <w:p w14:paraId="02F0535B" w14:textId="77777777" w:rsidR="0044228D" w:rsidRDefault="00442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F636" w14:textId="77777777" w:rsidR="00866A44" w:rsidRDefault="00866A44" w:rsidP="00D6638C">
      <w:pPr>
        <w:spacing w:after="0" w:line="240" w:lineRule="auto"/>
      </w:pPr>
      <w:r>
        <w:separator/>
      </w:r>
    </w:p>
  </w:footnote>
  <w:footnote w:type="continuationSeparator" w:id="0">
    <w:p w14:paraId="0D599B25" w14:textId="77777777" w:rsidR="00866A44" w:rsidRDefault="00866A44" w:rsidP="00D6638C">
      <w:pPr>
        <w:spacing w:after="0" w:line="240" w:lineRule="auto"/>
      </w:pPr>
      <w:r>
        <w:continuationSeparator/>
      </w:r>
    </w:p>
  </w:footnote>
  <w:footnote w:id="1">
    <w:p w14:paraId="12B4D01B" w14:textId="77777777" w:rsidR="0044228D" w:rsidRDefault="0044228D"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DA06850" w14:textId="77777777" w:rsidR="0044228D" w:rsidRPr="00022F8E" w:rsidRDefault="0044228D">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4DCE89FF" w14:textId="77777777" w:rsidR="0044228D" w:rsidRDefault="0044228D" w:rsidP="00D6638C">
      <w:pPr>
        <w:pStyle w:val="FootnoteText"/>
      </w:pPr>
      <w:r w:rsidRPr="004B6248">
        <w:rPr>
          <w:rStyle w:val="FootnoteReference"/>
        </w:rPr>
        <w:footnoteRef/>
      </w:r>
      <w:r w:rsidRPr="00FB1376">
        <w:t>www.unevaluation.org/unegcodeofconduct</w:t>
      </w:r>
    </w:p>
    <w:p w14:paraId="0790D9AD" w14:textId="77777777" w:rsidR="0044228D" w:rsidRDefault="0044228D" w:rsidP="00D6638C">
      <w:pPr>
        <w:pStyle w:val="FootnoteText"/>
      </w:pPr>
    </w:p>
  </w:footnote>
  <w:footnote w:id="4">
    <w:p w14:paraId="5AFB73C0" w14:textId="77777777" w:rsidR="0044228D" w:rsidRPr="002B7151" w:rsidRDefault="0044228D"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7B946589" w14:textId="77777777" w:rsidR="0044228D" w:rsidRPr="002B7151" w:rsidRDefault="0044228D"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07084257" w14:textId="77777777" w:rsidR="0044228D" w:rsidRPr="002B7151" w:rsidRDefault="0044228D"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B77A9"/>
    <w:multiLevelType w:val="hybridMultilevel"/>
    <w:tmpl w:val="5C103CCA"/>
    <w:lvl w:ilvl="0" w:tplc="FC445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5" w15:restartNumberingAfterBreak="0">
    <w:nsid w:val="61234BEA"/>
    <w:multiLevelType w:val="hybridMultilevel"/>
    <w:tmpl w:val="4C7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4"/>
  </w:num>
  <w:num w:numId="4">
    <w:abstractNumId w:val="16"/>
  </w:num>
  <w:num w:numId="5">
    <w:abstractNumId w:val="2"/>
  </w:num>
  <w:num w:numId="6">
    <w:abstractNumId w:val="21"/>
  </w:num>
  <w:num w:numId="7">
    <w:abstractNumId w:val="1"/>
  </w:num>
  <w:num w:numId="8">
    <w:abstractNumId w:val="27"/>
  </w:num>
  <w:num w:numId="9">
    <w:abstractNumId w:val="11"/>
  </w:num>
  <w:num w:numId="10">
    <w:abstractNumId w:val="26"/>
  </w:num>
  <w:num w:numId="11">
    <w:abstractNumId w:val="9"/>
  </w:num>
  <w:num w:numId="12">
    <w:abstractNumId w:val="22"/>
  </w:num>
  <w:num w:numId="13">
    <w:abstractNumId w:val="20"/>
  </w:num>
  <w:num w:numId="14">
    <w:abstractNumId w:val="3"/>
  </w:num>
  <w:num w:numId="15">
    <w:abstractNumId w:val="19"/>
  </w:num>
  <w:num w:numId="16">
    <w:abstractNumId w:val="13"/>
  </w:num>
  <w:num w:numId="17">
    <w:abstractNumId w:val="4"/>
  </w:num>
  <w:num w:numId="18">
    <w:abstractNumId w:val="12"/>
  </w:num>
  <w:num w:numId="19">
    <w:abstractNumId w:val="30"/>
  </w:num>
  <w:num w:numId="20">
    <w:abstractNumId w:val="14"/>
  </w:num>
  <w:num w:numId="21">
    <w:abstractNumId w:val="10"/>
  </w:num>
  <w:num w:numId="22">
    <w:abstractNumId w:val="5"/>
  </w:num>
  <w:num w:numId="23">
    <w:abstractNumId w:val="6"/>
  </w:num>
  <w:num w:numId="24">
    <w:abstractNumId w:val="28"/>
  </w:num>
  <w:num w:numId="25">
    <w:abstractNumId w:val="0"/>
  </w:num>
  <w:num w:numId="26">
    <w:abstractNumId w:val="32"/>
  </w:num>
  <w:num w:numId="27">
    <w:abstractNumId w:val="8"/>
  </w:num>
  <w:num w:numId="28">
    <w:abstractNumId w:val="29"/>
  </w:num>
  <w:num w:numId="29">
    <w:abstractNumId w:val="18"/>
  </w:num>
  <w:num w:numId="30">
    <w:abstractNumId w:val="15"/>
  </w:num>
  <w:num w:numId="31">
    <w:abstractNumId w:val="23"/>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50A73"/>
    <w:rsid w:val="0008215E"/>
    <w:rsid w:val="000B40AF"/>
    <w:rsid w:val="000C177A"/>
    <w:rsid w:val="001377DB"/>
    <w:rsid w:val="00147DA4"/>
    <w:rsid w:val="00152BDC"/>
    <w:rsid w:val="0017155D"/>
    <w:rsid w:val="001955F4"/>
    <w:rsid w:val="001A2A27"/>
    <w:rsid w:val="001D33E0"/>
    <w:rsid w:val="001E4420"/>
    <w:rsid w:val="0022092C"/>
    <w:rsid w:val="00224F9C"/>
    <w:rsid w:val="002B3FDE"/>
    <w:rsid w:val="002D54FF"/>
    <w:rsid w:val="00303541"/>
    <w:rsid w:val="00310398"/>
    <w:rsid w:val="00323E7A"/>
    <w:rsid w:val="003268FC"/>
    <w:rsid w:val="00382BC6"/>
    <w:rsid w:val="0038683D"/>
    <w:rsid w:val="003A1C86"/>
    <w:rsid w:val="003F667C"/>
    <w:rsid w:val="004205A4"/>
    <w:rsid w:val="0043763A"/>
    <w:rsid w:val="0044228D"/>
    <w:rsid w:val="00450C41"/>
    <w:rsid w:val="00470811"/>
    <w:rsid w:val="00473683"/>
    <w:rsid w:val="00476646"/>
    <w:rsid w:val="00510DAD"/>
    <w:rsid w:val="00565770"/>
    <w:rsid w:val="00577D76"/>
    <w:rsid w:val="005E7E20"/>
    <w:rsid w:val="00671C6C"/>
    <w:rsid w:val="006C1964"/>
    <w:rsid w:val="007633DF"/>
    <w:rsid w:val="007A5733"/>
    <w:rsid w:val="007B6102"/>
    <w:rsid w:val="007B79A1"/>
    <w:rsid w:val="007C5239"/>
    <w:rsid w:val="00866A44"/>
    <w:rsid w:val="008725CB"/>
    <w:rsid w:val="008742D6"/>
    <w:rsid w:val="00884825"/>
    <w:rsid w:val="008A6C9E"/>
    <w:rsid w:val="008B5CC8"/>
    <w:rsid w:val="008C2631"/>
    <w:rsid w:val="008D248F"/>
    <w:rsid w:val="008F7DD0"/>
    <w:rsid w:val="0091672C"/>
    <w:rsid w:val="00923BF0"/>
    <w:rsid w:val="00936310"/>
    <w:rsid w:val="009B37C6"/>
    <w:rsid w:val="009C6B66"/>
    <w:rsid w:val="009E0CB3"/>
    <w:rsid w:val="009F5C8A"/>
    <w:rsid w:val="00A05A98"/>
    <w:rsid w:val="00A263E6"/>
    <w:rsid w:val="00A27240"/>
    <w:rsid w:val="00A869AA"/>
    <w:rsid w:val="00AC573E"/>
    <w:rsid w:val="00B34219"/>
    <w:rsid w:val="00B71DC1"/>
    <w:rsid w:val="00B913F1"/>
    <w:rsid w:val="00C83F69"/>
    <w:rsid w:val="00CA2383"/>
    <w:rsid w:val="00D04B09"/>
    <w:rsid w:val="00D33BE9"/>
    <w:rsid w:val="00D522C8"/>
    <w:rsid w:val="00D6638C"/>
    <w:rsid w:val="00D821E5"/>
    <w:rsid w:val="00E10486"/>
    <w:rsid w:val="00E23201"/>
    <w:rsid w:val="00E77635"/>
    <w:rsid w:val="00F05366"/>
    <w:rsid w:val="00F8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45161"/>
  <w15:docId w15:val="{E8F20555-4E59-4B3D-8882-9B66D3C2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5231">
      <w:bodyDiv w:val="1"/>
      <w:marLeft w:val="0"/>
      <w:marRight w:val="0"/>
      <w:marTop w:val="0"/>
      <w:marBottom w:val="0"/>
      <w:divBdr>
        <w:top w:val="none" w:sz="0" w:space="0" w:color="auto"/>
        <w:left w:val="none" w:sz="0" w:space="0" w:color="auto"/>
        <w:bottom w:val="none" w:sz="0" w:space="0" w:color="auto"/>
        <w:right w:val="none" w:sz="0" w:space="0" w:color="auto"/>
      </w:divBdr>
    </w:div>
    <w:div w:id="1012027614">
      <w:bodyDiv w:val="1"/>
      <w:marLeft w:val="0"/>
      <w:marRight w:val="0"/>
      <w:marTop w:val="0"/>
      <w:marBottom w:val="0"/>
      <w:divBdr>
        <w:top w:val="none" w:sz="0" w:space="0" w:color="auto"/>
        <w:left w:val="none" w:sz="0" w:space="0" w:color="auto"/>
        <w:bottom w:val="none" w:sz="0" w:space="0" w:color="auto"/>
        <w:right w:val="none" w:sz="0" w:space="0" w:color="auto"/>
      </w:divBdr>
    </w:div>
    <w:div w:id="1070230892">
      <w:bodyDiv w:val="1"/>
      <w:marLeft w:val="0"/>
      <w:marRight w:val="0"/>
      <w:marTop w:val="0"/>
      <w:marBottom w:val="0"/>
      <w:divBdr>
        <w:top w:val="none" w:sz="0" w:space="0" w:color="auto"/>
        <w:left w:val="none" w:sz="0" w:space="0" w:color="auto"/>
        <w:bottom w:val="none" w:sz="0" w:space="0" w:color="auto"/>
        <w:right w:val="none" w:sz="0" w:space="0" w:color="auto"/>
      </w:divBdr>
    </w:div>
    <w:div w:id="1394044964">
      <w:bodyDiv w:val="1"/>
      <w:marLeft w:val="0"/>
      <w:marRight w:val="0"/>
      <w:marTop w:val="0"/>
      <w:marBottom w:val="0"/>
      <w:divBdr>
        <w:top w:val="none" w:sz="0" w:space="0" w:color="auto"/>
        <w:left w:val="none" w:sz="0" w:space="0" w:color="auto"/>
        <w:bottom w:val="none" w:sz="0" w:space="0" w:color="auto"/>
        <w:right w:val="none" w:sz="0" w:space="0" w:color="auto"/>
      </w:divBdr>
    </w:div>
    <w:div w:id="1452435698">
      <w:bodyDiv w:val="1"/>
      <w:marLeft w:val="0"/>
      <w:marRight w:val="0"/>
      <w:marTop w:val="0"/>
      <w:marBottom w:val="0"/>
      <w:divBdr>
        <w:top w:val="none" w:sz="0" w:space="0" w:color="auto"/>
        <w:left w:val="none" w:sz="0" w:space="0" w:color="auto"/>
        <w:bottom w:val="none" w:sz="0" w:space="0" w:color="auto"/>
        <w:right w:val="none" w:sz="0" w:space="0" w:color="auto"/>
      </w:divBdr>
    </w:div>
    <w:div w:id="1655641811">
      <w:bodyDiv w:val="1"/>
      <w:marLeft w:val="0"/>
      <w:marRight w:val="0"/>
      <w:marTop w:val="0"/>
      <w:marBottom w:val="0"/>
      <w:divBdr>
        <w:top w:val="none" w:sz="0" w:space="0" w:color="auto"/>
        <w:left w:val="none" w:sz="0" w:space="0" w:color="auto"/>
        <w:bottom w:val="none" w:sz="0" w:space="0" w:color="auto"/>
        <w:right w:val="none" w:sz="0" w:space="0" w:color="auto"/>
      </w:divBdr>
    </w:div>
    <w:div w:id="1710757360">
      <w:bodyDiv w:val="1"/>
      <w:marLeft w:val="0"/>
      <w:marRight w:val="0"/>
      <w:marTop w:val="0"/>
      <w:marBottom w:val="0"/>
      <w:divBdr>
        <w:top w:val="none" w:sz="0" w:space="0" w:color="auto"/>
        <w:left w:val="none" w:sz="0" w:space="0" w:color="auto"/>
        <w:bottom w:val="none" w:sz="0" w:space="0" w:color="auto"/>
        <w:right w:val="none" w:sz="0" w:space="0" w:color="auto"/>
      </w:divBdr>
    </w:div>
    <w:div w:id="2017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5926-6897-49BB-9C93-97578FA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Diana</cp:lastModifiedBy>
  <cp:revision>5</cp:revision>
  <dcterms:created xsi:type="dcterms:W3CDTF">2018-03-28T12:14:00Z</dcterms:created>
  <dcterms:modified xsi:type="dcterms:W3CDTF">2018-03-29T05:31:00Z</dcterms:modified>
</cp:coreProperties>
</file>