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A46" w:rsidRPr="00712E20" w:rsidRDefault="00674635" w:rsidP="00477D39">
      <w:pPr>
        <w:autoSpaceDE w:val="0"/>
        <w:autoSpaceDN w:val="0"/>
        <w:adjustRightInd w:val="0"/>
        <w:spacing w:after="0" w:line="240" w:lineRule="auto"/>
        <w:jc w:val="both"/>
        <w:rPr>
          <w:rFonts w:cs="TT25o00"/>
        </w:rPr>
      </w:pPr>
      <w:r>
        <w:rPr>
          <w:rFonts w:cs="TT26o00"/>
          <w:b/>
          <w:bCs/>
          <w:noProof/>
          <w:u w:val="single"/>
        </w:rPr>
        <w:drawing>
          <wp:anchor distT="0" distB="0" distL="114300" distR="114300" simplePos="0" relativeHeight="251660288" behindDoc="0" locked="0" layoutInCell="1" allowOverlap="1" wp14:editId="05F6CA59">
            <wp:simplePos x="0" y="0"/>
            <wp:positionH relativeFrom="margin">
              <wp:posOffset>5251853</wp:posOffset>
            </wp:positionH>
            <wp:positionV relativeFrom="margin">
              <wp:posOffset>-225473</wp:posOffset>
            </wp:positionV>
            <wp:extent cx="531495" cy="109093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495" cy="1090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514D" w:rsidRDefault="00DC514D" w:rsidP="00674635">
      <w:pPr>
        <w:jc w:val="center"/>
        <w:rPr>
          <w:rFonts w:cs="TT26o00"/>
          <w:b/>
          <w:bCs/>
        </w:rPr>
      </w:pPr>
      <w:r>
        <w:rPr>
          <w:rFonts w:cs="TT26o00"/>
          <w:b/>
          <w:bCs/>
        </w:rPr>
        <w:t>Call For Proposal</w:t>
      </w:r>
    </w:p>
    <w:p w:rsidR="00674635" w:rsidRPr="00674635" w:rsidRDefault="00674635" w:rsidP="00674635">
      <w:pPr>
        <w:jc w:val="center"/>
        <w:rPr>
          <w:rFonts w:cs="TT26o00"/>
          <w:b/>
          <w:bCs/>
        </w:rPr>
      </w:pPr>
      <w:r w:rsidRPr="00674635">
        <w:rPr>
          <w:rFonts w:cs="TT26o00"/>
          <w:b/>
          <w:bCs/>
        </w:rPr>
        <w:t>TERMS OF REFERENCE (TOR)</w:t>
      </w:r>
    </w:p>
    <w:p w:rsidR="00154C33" w:rsidRDefault="00433E84" w:rsidP="00674635">
      <w:pPr>
        <w:jc w:val="center"/>
        <w:rPr>
          <w:rFonts w:cs="TT26o00"/>
          <w:b/>
          <w:bCs/>
        </w:rPr>
      </w:pPr>
      <w:r>
        <w:rPr>
          <w:rFonts w:cs="TT26o00"/>
          <w:b/>
          <w:bCs/>
        </w:rPr>
        <w:t>Impact Evaluation</w:t>
      </w:r>
      <w:r w:rsidR="00DA0FBA">
        <w:rPr>
          <w:rFonts w:cs="TT26o00"/>
          <w:b/>
          <w:bCs/>
        </w:rPr>
        <w:t xml:space="preserve"> Study</w:t>
      </w:r>
    </w:p>
    <w:p w:rsidR="00C61AB7" w:rsidRDefault="00154C33" w:rsidP="00154C33">
      <w:pPr>
        <w:jc w:val="center"/>
        <w:rPr>
          <w:rFonts w:cs="TT26o00"/>
          <w:b/>
          <w:bCs/>
        </w:rPr>
      </w:pPr>
      <w:r w:rsidRPr="00154C33">
        <w:rPr>
          <w:rFonts w:cs="TT26o00"/>
          <w:b/>
          <w:bCs/>
        </w:rPr>
        <w:t xml:space="preserve">Livelihood and Economic Recovery (LER) </w:t>
      </w:r>
    </w:p>
    <w:p w:rsidR="001C3DA1" w:rsidRDefault="001C3DA1" w:rsidP="00674635">
      <w:pPr>
        <w:jc w:val="center"/>
        <w:rPr>
          <w:rFonts w:cs="TT26o00"/>
          <w:b/>
          <w:bCs/>
        </w:rPr>
      </w:pPr>
      <w:r>
        <w:rPr>
          <w:rFonts w:cs="TT26o00"/>
          <w:b/>
          <w:bCs/>
        </w:rPr>
        <w:t>============================================================================</w:t>
      </w:r>
    </w:p>
    <w:p w:rsidR="00674635" w:rsidRPr="00674635" w:rsidRDefault="00674635" w:rsidP="00674635">
      <w:pPr>
        <w:widowControl w:val="0"/>
        <w:spacing w:after="120"/>
        <w:ind w:left="2880" w:hanging="2880"/>
        <w:contextualSpacing/>
        <w:outlineLvl w:val="0"/>
        <w:rPr>
          <w:rFonts w:eastAsia="Times New Roman" w:cs="Cambria"/>
          <w:b/>
          <w:bCs/>
          <w:snapToGrid w:val="0"/>
          <w:u w:val="single"/>
          <w:lang w:eastAsia="da-DK"/>
        </w:rPr>
      </w:pPr>
      <w:r w:rsidRPr="000976A5">
        <w:rPr>
          <w:b/>
          <w:bCs/>
          <w:color w:val="000000"/>
        </w:rPr>
        <w:t>Project Title:</w:t>
      </w:r>
      <w:r w:rsidRPr="000976A5">
        <w:rPr>
          <w:b/>
          <w:bCs/>
          <w:color w:val="000000"/>
        </w:rPr>
        <w:tab/>
      </w:r>
      <w:r w:rsidR="00433E84">
        <w:rPr>
          <w:b/>
          <w:bCs/>
          <w:color w:val="000000"/>
        </w:rPr>
        <w:t>Impact E</w:t>
      </w:r>
      <w:r>
        <w:rPr>
          <w:b/>
          <w:bCs/>
          <w:color w:val="000000"/>
        </w:rPr>
        <w:t xml:space="preserve">valuation  </w:t>
      </w:r>
    </w:p>
    <w:p w:rsidR="00674635" w:rsidRPr="000976A5" w:rsidRDefault="00674635" w:rsidP="00674635">
      <w:pPr>
        <w:widowControl w:val="0"/>
        <w:spacing w:after="120"/>
        <w:contextualSpacing/>
        <w:rPr>
          <w:rFonts w:eastAsia="Times New Roman" w:cs="Cambria"/>
          <w:bCs/>
          <w:snapToGrid w:val="0"/>
          <w:lang w:eastAsia="da-DK"/>
        </w:rPr>
      </w:pPr>
    </w:p>
    <w:p w:rsidR="00674635" w:rsidRPr="000976A5" w:rsidRDefault="00B10D63" w:rsidP="00674635">
      <w:pPr>
        <w:widowControl w:val="0"/>
        <w:spacing w:after="120"/>
        <w:contextualSpacing/>
        <w:outlineLvl w:val="0"/>
        <w:rPr>
          <w:rFonts w:eastAsia="Times New Roman" w:cs="Cambria"/>
          <w:bCs/>
          <w:snapToGrid w:val="0"/>
          <w:lang w:eastAsia="da-DK"/>
        </w:rPr>
      </w:pPr>
      <w:r>
        <w:rPr>
          <w:b/>
          <w:bCs/>
          <w:color w:val="000000"/>
        </w:rPr>
        <w:t>Duration of Assignment:</w:t>
      </w:r>
      <w:r>
        <w:rPr>
          <w:b/>
          <w:bCs/>
          <w:color w:val="000000"/>
        </w:rPr>
        <w:tab/>
      </w:r>
      <w:r w:rsidR="00C667BD">
        <w:rPr>
          <w:b/>
          <w:bCs/>
          <w:color w:val="000000"/>
        </w:rPr>
        <w:t>November</w:t>
      </w:r>
      <w:r w:rsidR="00674635">
        <w:rPr>
          <w:b/>
          <w:bCs/>
          <w:color w:val="000000"/>
        </w:rPr>
        <w:t xml:space="preserve"> to </w:t>
      </w:r>
      <w:r w:rsidR="00534A62">
        <w:rPr>
          <w:b/>
          <w:bCs/>
          <w:color w:val="000000"/>
        </w:rPr>
        <w:t>Decem</w:t>
      </w:r>
      <w:r w:rsidR="00674635">
        <w:rPr>
          <w:b/>
          <w:bCs/>
          <w:color w:val="000000"/>
        </w:rPr>
        <w:t>ber (</w:t>
      </w:r>
      <w:r w:rsidR="00C667BD">
        <w:rPr>
          <w:b/>
          <w:bCs/>
          <w:color w:val="000000"/>
        </w:rPr>
        <w:t>two</w:t>
      </w:r>
      <w:r w:rsidR="00674635">
        <w:rPr>
          <w:b/>
          <w:bCs/>
          <w:color w:val="000000"/>
        </w:rPr>
        <w:t xml:space="preserve"> months)</w:t>
      </w:r>
    </w:p>
    <w:p w:rsidR="00674635" w:rsidRPr="000976A5" w:rsidRDefault="00674635" w:rsidP="00674635">
      <w:pPr>
        <w:widowControl w:val="0"/>
        <w:spacing w:after="120"/>
        <w:contextualSpacing/>
        <w:rPr>
          <w:rFonts w:eastAsia="Times New Roman" w:cs="Cambria"/>
          <w:bCs/>
          <w:snapToGrid w:val="0"/>
          <w:lang w:eastAsia="da-DK"/>
        </w:rPr>
      </w:pPr>
    </w:p>
    <w:p w:rsidR="00674635" w:rsidRPr="000976A5" w:rsidRDefault="00674635" w:rsidP="00534A62">
      <w:pPr>
        <w:widowControl w:val="0"/>
        <w:spacing w:after="120"/>
        <w:contextualSpacing/>
        <w:outlineLvl w:val="0"/>
        <w:rPr>
          <w:rFonts w:eastAsia="Times New Roman" w:cs="Cambria"/>
          <w:bCs/>
          <w:snapToGrid w:val="0"/>
          <w:lang w:eastAsia="da-DK"/>
        </w:rPr>
      </w:pPr>
      <w:r w:rsidRPr="000976A5">
        <w:rPr>
          <w:b/>
          <w:bCs/>
          <w:color w:val="000000"/>
        </w:rPr>
        <w:t>Starting Date:</w:t>
      </w:r>
      <w:r w:rsidRPr="000976A5">
        <w:rPr>
          <w:b/>
          <w:bCs/>
          <w:color w:val="000000"/>
        </w:rPr>
        <w:tab/>
      </w:r>
      <w:r w:rsidRPr="000976A5">
        <w:rPr>
          <w:b/>
          <w:bCs/>
          <w:color w:val="000000"/>
        </w:rPr>
        <w:tab/>
      </w:r>
      <w:r w:rsidRPr="000976A5">
        <w:rPr>
          <w:b/>
          <w:bCs/>
          <w:color w:val="000000"/>
        </w:rPr>
        <w:tab/>
      </w:r>
      <w:r w:rsidR="00B10D63">
        <w:rPr>
          <w:b/>
          <w:bCs/>
          <w:color w:val="000000"/>
        </w:rPr>
        <w:t>Contract signature Date</w:t>
      </w:r>
    </w:p>
    <w:p w:rsidR="00674635" w:rsidRPr="000976A5" w:rsidRDefault="00674635" w:rsidP="00674635">
      <w:pPr>
        <w:widowControl w:val="0"/>
        <w:spacing w:after="120"/>
        <w:contextualSpacing/>
        <w:rPr>
          <w:rFonts w:eastAsia="Times New Roman" w:cs="Cambria"/>
          <w:bCs/>
          <w:snapToGrid w:val="0"/>
          <w:lang w:eastAsia="da-DK"/>
        </w:rPr>
      </w:pPr>
    </w:p>
    <w:p w:rsidR="00674635" w:rsidRDefault="00674635" w:rsidP="00674635">
      <w:pPr>
        <w:widowControl w:val="0"/>
        <w:spacing w:after="120"/>
        <w:contextualSpacing/>
        <w:outlineLvl w:val="0"/>
        <w:rPr>
          <w:b/>
          <w:bCs/>
          <w:color w:val="000000"/>
        </w:rPr>
      </w:pPr>
      <w:r w:rsidRPr="000976A5">
        <w:rPr>
          <w:b/>
          <w:bCs/>
          <w:color w:val="000000"/>
        </w:rPr>
        <w:t xml:space="preserve">End Date:  </w:t>
      </w:r>
      <w:r w:rsidRPr="000976A5">
        <w:rPr>
          <w:bCs/>
          <w:color w:val="000000"/>
        </w:rPr>
        <w:t xml:space="preserve"> </w:t>
      </w:r>
      <w:r w:rsidRPr="000976A5">
        <w:rPr>
          <w:bCs/>
          <w:color w:val="000000"/>
        </w:rPr>
        <w:tab/>
      </w:r>
      <w:r w:rsidRPr="000976A5">
        <w:rPr>
          <w:bCs/>
          <w:color w:val="000000"/>
        </w:rPr>
        <w:tab/>
      </w:r>
      <w:r w:rsidRPr="000976A5">
        <w:rPr>
          <w:bCs/>
          <w:color w:val="000000"/>
        </w:rPr>
        <w:tab/>
      </w:r>
      <w:r w:rsidRPr="00F10BEE">
        <w:rPr>
          <w:b/>
          <w:bCs/>
          <w:color w:val="000000"/>
        </w:rPr>
        <w:t xml:space="preserve">31 </w:t>
      </w:r>
      <w:r w:rsidR="00534A62">
        <w:rPr>
          <w:b/>
          <w:bCs/>
          <w:color w:val="000000"/>
        </w:rPr>
        <w:t>December</w:t>
      </w:r>
      <w:r w:rsidRPr="00F10BEE">
        <w:rPr>
          <w:b/>
          <w:bCs/>
          <w:color w:val="000000"/>
        </w:rPr>
        <w:t xml:space="preserve"> 2017</w:t>
      </w:r>
    </w:p>
    <w:p w:rsidR="00534A62" w:rsidRDefault="00534A62" w:rsidP="00674635">
      <w:pPr>
        <w:widowControl w:val="0"/>
        <w:spacing w:after="120"/>
        <w:contextualSpacing/>
        <w:outlineLvl w:val="0"/>
        <w:rPr>
          <w:b/>
          <w:bCs/>
          <w:color w:val="000000"/>
        </w:rPr>
      </w:pPr>
    </w:p>
    <w:p w:rsidR="00534A62" w:rsidRDefault="00534A62" w:rsidP="00674635">
      <w:pPr>
        <w:widowControl w:val="0"/>
        <w:spacing w:after="120"/>
        <w:contextualSpacing/>
        <w:outlineLvl w:val="0"/>
        <w:rPr>
          <w:b/>
          <w:bCs/>
          <w:color w:val="000000"/>
        </w:rPr>
      </w:pPr>
      <w:r>
        <w:rPr>
          <w:b/>
          <w:bCs/>
          <w:color w:val="000000"/>
        </w:rPr>
        <w:t xml:space="preserve">Duration of Contract:                   40 </w:t>
      </w:r>
      <w:r w:rsidR="00B10D63">
        <w:rPr>
          <w:b/>
          <w:bCs/>
          <w:color w:val="000000"/>
        </w:rPr>
        <w:t xml:space="preserve">working </w:t>
      </w:r>
      <w:r>
        <w:rPr>
          <w:b/>
          <w:bCs/>
          <w:color w:val="000000"/>
        </w:rPr>
        <w:t xml:space="preserve">days within </w:t>
      </w:r>
      <w:r w:rsidR="00AE01B2">
        <w:rPr>
          <w:b/>
          <w:bCs/>
          <w:color w:val="000000"/>
        </w:rPr>
        <w:t>2</w:t>
      </w:r>
      <w:r>
        <w:rPr>
          <w:b/>
          <w:bCs/>
          <w:color w:val="000000"/>
        </w:rPr>
        <w:t xml:space="preserve"> months</w:t>
      </w:r>
    </w:p>
    <w:p w:rsidR="00655051" w:rsidRDefault="00655051" w:rsidP="00674635">
      <w:pPr>
        <w:widowControl w:val="0"/>
        <w:spacing w:after="120"/>
        <w:contextualSpacing/>
        <w:outlineLvl w:val="0"/>
        <w:rPr>
          <w:b/>
          <w:bCs/>
          <w:color w:val="000000"/>
        </w:rPr>
      </w:pPr>
    </w:p>
    <w:p w:rsidR="00433E84" w:rsidRPr="00534A62" w:rsidRDefault="00433E84" w:rsidP="00534A62">
      <w:pPr>
        <w:jc w:val="both"/>
        <w:rPr>
          <w:b/>
          <w:bCs/>
          <w:sz w:val="24"/>
          <w:szCs w:val="24"/>
          <w:u w:val="single"/>
        </w:rPr>
      </w:pPr>
      <w:r w:rsidRPr="00534A62">
        <w:rPr>
          <w:b/>
          <w:bCs/>
          <w:sz w:val="24"/>
          <w:szCs w:val="24"/>
          <w:u w:val="single"/>
        </w:rPr>
        <w:t>Objectives of the proposed evaluation</w:t>
      </w:r>
    </w:p>
    <w:p w:rsidR="00433E84" w:rsidRPr="00B23E4A" w:rsidRDefault="00433E84" w:rsidP="00534A62">
      <w:pPr>
        <w:jc w:val="both"/>
      </w:pPr>
      <w:r w:rsidRPr="00534A62">
        <w:t>Through this ToR, under supervision of the Livelihood and Economic Recovery Portfolio Manager, UNDP seeks the support of Service P</w:t>
      </w:r>
      <w:r w:rsidR="0008231D" w:rsidRPr="00534A62">
        <w:t>rovider/</w:t>
      </w:r>
      <w:r w:rsidRPr="00534A62">
        <w:t xml:space="preserve">Firm to conduct an impact evaluation of selected interventions of </w:t>
      </w:r>
      <w:r w:rsidRPr="00534A62">
        <w:rPr>
          <w:b/>
          <w:bCs/>
        </w:rPr>
        <w:t>Livelihood and Economic Recovery portfolio (LER)</w:t>
      </w:r>
      <w:r w:rsidRPr="00534A62">
        <w:t xml:space="preserve"> in selected locations in coordination with UNDP Field offices and local partners.  The impact evaluation is to assess impacts of (LER) interventions, including intended or unintended outcomes and outputs in 7 Governorates. Services provider/s from </w:t>
      </w:r>
      <w:r w:rsidR="00216C08" w:rsidRPr="00534A62">
        <w:t xml:space="preserve">institutions and </w:t>
      </w:r>
      <w:r w:rsidRPr="00534A62">
        <w:t xml:space="preserve">private sector who have completed projects </w:t>
      </w:r>
      <w:r w:rsidR="00DA0FBA" w:rsidRPr="00534A62">
        <w:t xml:space="preserve">with support of </w:t>
      </w:r>
      <w:r w:rsidRPr="00534A62">
        <w:t>UNDP</w:t>
      </w:r>
      <w:r w:rsidR="00DA0FBA" w:rsidRPr="00534A62">
        <w:t xml:space="preserve"> in 2016-2017</w:t>
      </w:r>
      <w:r w:rsidRPr="00534A62">
        <w:t xml:space="preserve"> are not eligible to apply for this assignment.</w:t>
      </w:r>
    </w:p>
    <w:p w:rsidR="00A02CF2" w:rsidRPr="00CE37C9" w:rsidRDefault="00D312BE" w:rsidP="00477D39">
      <w:pPr>
        <w:pStyle w:val="ListParagraph"/>
        <w:numPr>
          <w:ilvl w:val="0"/>
          <w:numId w:val="15"/>
        </w:numPr>
        <w:jc w:val="both"/>
        <w:rPr>
          <w:b/>
          <w:bCs/>
          <w:sz w:val="24"/>
          <w:szCs w:val="24"/>
          <w:u w:val="single"/>
        </w:rPr>
      </w:pPr>
      <w:r w:rsidRPr="00CE37C9">
        <w:rPr>
          <w:b/>
          <w:bCs/>
          <w:sz w:val="24"/>
          <w:szCs w:val="24"/>
          <w:u w:val="single"/>
        </w:rPr>
        <w:t>B</w:t>
      </w:r>
      <w:r w:rsidR="001429AE" w:rsidRPr="00CE37C9">
        <w:rPr>
          <w:b/>
          <w:bCs/>
          <w:sz w:val="24"/>
          <w:szCs w:val="24"/>
          <w:u w:val="single"/>
        </w:rPr>
        <w:t>a</w:t>
      </w:r>
      <w:r w:rsidRPr="00CE37C9">
        <w:rPr>
          <w:b/>
          <w:bCs/>
          <w:sz w:val="24"/>
          <w:szCs w:val="24"/>
          <w:u w:val="single"/>
        </w:rPr>
        <w:t>ckground</w:t>
      </w:r>
      <w:r w:rsidR="007C5A46" w:rsidRPr="00CE37C9">
        <w:rPr>
          <w:b/>
          <w:bCs/>
          <w:sz w:val="24"/>
          <w:szCs w:val="24"/>
          <w:u w:val="single"/>
        </w:rPr>
        <w:t>:</w:t>
      </w:r>
    </w:p>
    <w:p w:rsidR="00A22BC3" w:rsidRPr="00712E20" w:rsidRDefault="002D3C7A" w:rsidP="003E1DE2">
      <w:pPr>
        <w:autoSpaceDE w:val="0"/>
        <w:autoSpaceDN w:val="0"/>
        <w:adjustRightInd w:val="0"/>
        <w:spacing w:after="0" w:line="240" w:lineRule="auto"/>
        <w:jc w:val="both"/>
        <w:rPr>
          <w:rFonts w:cs="Myriad-Roman"/>
          <w:color w:val="1D1D1B"/>
        </w:rPr>
      </w:pPr>
      <w:r w:rsidRPr="00712E20">
        <w:rPr>
          <w:rFonts w:cs="Myriad-Roman"/>
          <w:color w:val="1D1D1B"/>
        </w:rPr>
        <w:t>Despite more than 6 years</w:t>
      </w:r>
      <w:r w:rsidR="00A22BC3" w:rsidRPr="00712E20">
        <w:rPr>
          <w:rFonts w:cs="Myriad-Roman"/>
          <w:color w:val="1D1D1B"/>
        </w:rPr>
        <w:t xml:space="preserve"> into the Syrian </w:t>
      </w:r>
      <w:r w:rsidR="00456C56" w:rsidRPr="00712E20">
        <w:rPr>
          <w:rFonts w:cs="Myriad-Roman"/>
          <w:color w:val="1D1D1B"/>
        </w:rPr>
        <w:t>crisis</w:t>
      </w:r>
      <w:r w:rsidR="00A22BC3" w:rsidRPr="00712E20">
        <w:rPr>
          <w:rFonts w:cs="Myriad-Roman"/>
          <w:color w:val="1D1D1B"/>
        </w:rPr>
        <w:t xml:space="preserve"> and </w:t>
      </w:r>
      <w:r w:rsidR="00456C56" w:rsidRPr="00712E20">
        <w:rPr>
          <w:rFonts w:cs="Myriad-Roman"/>
          <w:color w:val="1D1D1B"/>
        </w:rPr>
        <w:t>its devastating impacts</w:t>
      </w:r>
      <w:r w:rsidR="00A22BC3" w:rsidRPr="00712E20">
        <w:rPr>
          <w:rFonts w:cs="Myriad-Roman"/>
          <w:color w:val="1D1D1B"/>
        </w:rPr>
        <w:t xml:space="preserve"> on </w:t>
      </w:r>
      <w:r w:rsidR="00456C56" w:rsidRPr="00712E20">
        <w:rPr>
          <w:rFonts w:cs="Myriad-Roman"/>
          <w:color w:val="1D1D1B"/>
        </w:rPr>
        <w:t xml:space="preserve">the country and </w:t>
      </w:r>
      <w:r w:rsidR="00D237DC" w:rsidRPr="00712E20">
        <w:rPr>
          <w:rFonts w:cs="Myriad-Roman"/>
          <w:color w:val="1D1D1B"/>
        </w:rPr>
        <w:t xml:space="preserve">human </w:t>
      </w:r>
      <w:r w:rsidR="00A22BC3" w:rsidRPr="00712E20">
        <w:rPr>
          <w:rFonts w:cs="Myriad-Roman"/>
          <w:color w:val="1D1D1B"/>
        </w:rPr>
        <w:t xml:space="preserve">lives and living conditions, </w:t>
      </w:r>
      <w:r w:rsidR="00456C56" w:rsidRPr="00712E20">
        <w:rPr>
          <w:rFonts w:cs="Myriad-Roman"/>
          <w:color w:val="1D1D1B"/>
        </w:rPr>
        <w:t xml:space="preserve">the people in Syria </w:t>
      </w:r>
      <w:r w:rsidRPr="00712E20">
        <w:rPr>
          <w:rFonts w:cs="Myriad-Roman"/>
          <w:color w:val="1D1D1B"/>
        </w:rPr>
        <w:t xml:space="preserve">with their remarkable </w:t>
      </w:r>
      <w:r w:rsidR="00F50DB5" w:rsidRPr="00712E20">
        <w:rPr>
          <w:rFonts w:cs="Myriad-Roman"/>
          <w:color w:val="1D1D1B"/>
        </w:rPr>
        <w:t xml:space="preserve">coping </w:t>
      </w:r>
      <w:r w:rsidR="00456C56" w:rsidRPr="00712E20">
        <w:rPr>
          <w:rFonts w:cs="Myriad-Roman"/>
          <w:color w:val="1D1D1B"/>
        </w:rPr>
        <w:t xml:space="preserve">capacity </w:t>
      </w:r>
      <w:r w:rsidRPr="00712E20">
        <w:rPr>
          <w:rFonts w:cs="Myriad-Roman"/>
          <w:color w:val="1D1D1B"/>
        </w:rPr>
        <w:t xml:space="preserve">are trying to recover and </w:t>
      </w:r>
      <w:r w:rsidR="00456C56" w:rsidRPr="00712E20">
        <w:rPr>
          <w:rFonts w:cs="Myriad-Roman"/>
          <w:color w:val="1D1D1B"/>
        </w:rPr>
        <w:t>rise above</w:t>
      </w:r>
      <w:r w:rsidRPr="00712E20">
        <w:rPr>
          <w:rFonts w:cs="Myriad-Roman"/>
          <w:color w:val="1D1D1B"/>
        </w:rPr>
        <w:t xml:space="preserve"> the crisis</w:t>
      </w:r>
      <w:r w:rsidR="00456C56" w:rsidRPr="00712E20">
        <w:rPr>
          <w:rFonts w:cs="Myriad-Roman"/>
          <w:color w:val="1D1D1B"/>
        </w:rPr>
        <w:t>.</w:t>
      </w:r>
      <w:r w:rsidRPr="00712E20">
        <w:rPr>
          <w:rFonts w:cs="Myriad-Roman"/>
          <w:color w:val="1D1D1B"/>
        </w:rPr>
        <w:t xml:space="preserve"> UNDP</w:t>
      </w:r>
      <w:r w:rsidR="00EA6838" w:rsidRPr="00712E20">
        <w:rPr>
          <w:rFonts w:cs="Myriad-Roman"/>
          <w:color w:val="1D1D1B"/>
        </w:rPr>
        <w:t xml:space="preserve"> in Syria,</w:t>
      </w:r>
      <w:r w:rsidR="00D237DC" w:rsidRPr="00712E20">
        <w:rPr>
          <w:rFonts w:eastAsiaTheme="minorEastAsia"/>
          <w:color w:val="000000" w:themeColor="text1"/>
          <w:kern w:val="24"/>
          <w:lang w:val="en-GB"/>
        </w:rPr>
        <w:t xml:space="preserve"> </w:t>
      </w:r>
      <w:r w:rsidR="00936B73">
        <w:rPr>
          <w:rFonts w:eastAsiaTheme="minorEastAsia"/>
          <w:color w:val="000000" w:themeColor="text1"/>
          <w:kern w:val="24"/>
          <w:lang w:val="en-GB"/>
        </w:rPr>
        <w:t>guided by</w:t>
      </w:r>
      <w:r w:rsidR="00EA6838" w:rsidRPr="00712E20">
        <w:rPr>
          <w:rFonts w:eastAsiaTheme="minorEastAsia"/>
          <w:color w:val="000000" w:themeColor="text1"/>
          <w:kern w:val="24"/>
          <w:lang w:val="en-GB"/>
        </w:rPr>
        <w:t xml:space="preserve"> UNDP Global </w:t>
      </w:r>
      <w:r w:rsidR="00EA6838" w:rsidRPr="00712E20">
        <w:rPr>
          <w:rFonts w:cs="Myriad-Roman"/>
          <w:color w:val="1D1D1B"/>
        </w:rPr>
        <w:t>Strategic P</w:t>
      </w:r>
      <w:r w:rsidR="00D237DC" w:rsidRPr="00712E20">
        <w:rPr>
          <w:rFonts w:cs="Myriad-Roman"/>
          <w:color w:val="1D1D1B"/>
        </w:rPr>
        <w:t>lan</w:t>
      </w:r>
      <w:r w:rsidR="00E7185C" w:rsidRPr="00712E20">
        <w:rPr>
          <w:rFonts w:cs="Myriad-Roman"/>
          <w:color w:val="1D1D1B"/>
        </w:rPr>
        <w:t xml:space="preserve"> 2014-2017 and </w:t>
      </w:r>
      <w:r w:rsidR="00936B73">
        <w:rPr>
          <w:rFonts w:cs="Myriad-Roman"/>
          <w:color w:val="1D1D1B"/>
        </w:rPr>
        <w:t xml:space="preserve">the </w:t>
      </w:r>
      <w:r w:rsidR="00E7185C" w:rsidRPr="00712E20">
        <w:rPr>
          <w:rFonts w:cs="Myriad-Roman"/>
          <w:color w:val="1D1D1B"/>
        </w:rPr>
        <w:t>Country Programme Document (CPD)</w:t>
      </w:r>
      <w:r w:rsidR="00EA6838" w:rsidRPr="00712E20">
        <w:rPr>
          <w:rFonts w:cs="Myriad-Roman"/>
          <w:color w:val="1D1D1B"/>
        </w:rPr>
        <w:t>,</w:t>
      </w:r>
      <w:r w:rsidR="00E7185C" w:rsidRPr="00712E20">
        <w:rPr>
          <w:rFonts w:cs="Myriad-Roman"/>
          <w:color w:val="1D1D1B"/>
        </w:rPr>
        <w:t xml:space="preserve"> is committed to support and lead the</w:t>
      </w:r>
      <w:r w:rsidR="00D237DC" w:rsidRPr="00712E20">
        <w:rPr>
          <w:rFonts w:eastAsiaTheme="minorEastAsia"/>
          <w:color w:val="000000" w:themeColor="text1"/>
          <w:kern w:val="24"/>
          <w:lang w:val="en-GB"/>
        </w:rPr>
        <w:t xml:space="preserve"> </w:t>
      </w:r>
      <w:r w:rsidR="00E7185C" w:rsidRPr="00712E20">
        <w:rPr>
          <w:rFonts w:cs="Myriad-Roman"/>
          <w:color w:val="1D1D1B"/>
        </w:rPr>
        <w:t>e</w:t>
      </w:r>
      <w:r w:rsidR="00D237DC" w:rsidRPr="00712E20">
        <w:rPr>
          <w:rFonts w:cs="Myriad-Roman"/>
          <w:color w:val="1D1D1B"/>
        </w:rPr>
        <w:t xml:space="preserve">arly recovery </w:t>
      </w:r>
      <w:r w:rsidR="00E7185C" w:rsidRPr="00712E20">
        <w:rPr>
          <w:rFonts w:cs="Myriad-Roman"/>
          <w:color w:val="1D1D1B"/>
        </w:rPr>
        <w:t xml:space="preserve">efforts in the country </w:t>
      </w:r>
      <w:r w:rsidRPr="00712E20">
        <w:rPr>
          <w:rFonts w:cs="Myriad-Roman"/>
          <w:color w:val="1D1D1B"/>
        </w:rPr>
        <w:t>to strengthen the</w:t>
      </w:r>
      <w:r w:rsidR="00F50DB5" w:rsidRPr="00712E20">
        <w:rPr>
          <w:rFonts w:cs="Myriad-Roman"/>
          <w:color w:val="1D1D1B"/>
        </w:rPr>
        <w:t xml:space="preserve"> resilience of </w:t>
      </w:r>
      <w:r w:rsidR="00D237DC" w:rsidRPr="00712E20">
        <w:rPr>
          <w:rFonts w:cs="Myriad-Roman"/>
          <w:color w:val="1D1D1B"/>
        </w:rPr>
        <w:t>the Syrian people through enhancing access</w:t>
      </w:r>
      <w:r w:rsidR="00F50DB5" w:rsidRPr="00712E20">
        <w:rPr>
          <w:rFonts w:cs="Myriad-Roman"/>
          <w:color w:val="1D1D1B"/>
        </w:rPr>
        <w:t xml:space="preserve"> to </w:t>
      </w:r>
      <w:r w:rsidR="00EA6838" w:rsidRPr="00712E20">
        <w:rPr>
          <w:rFonts w:cs="Myriad-Roman"/>
          <w:color w:val="1D1D1B"/>
        </w:rPr>
        <w:t>infrastructure and</w:t>
      </w:r>
      <w:r w:rsidR="00D237DC" w:rsidRPr="00712E20">
        <w:rPr>
          <w:rFonts w:cs="Myriad-Roman"/>
          <w:color w:val="1D1D1B"/>
        </w:rPr>
        <w:t xml:space="preserve"> </w:t>
      </w:r>
      <w:r w:rsidR="005207A5" w:rsidRPr="00712E20">
        <w:rPr>
          <w:rFonts w:cs="Myriad-Roman"/>
          <w:color w:val="1D1D1B"/>
        </w:rPr>
        <w:t>community</w:t>
      </w:r>
      <w:r w:rsidR="00EA6838" w:rsidRPr="00712E20">
        <w:rPr>
          <w:rFonts w:cs="Myriad-Roman"/>
          <w:color w:val="1D1D1B"/>
        </w:rPr>
        <w:t xml:space="preserve"> </w:t>
      </w:r>
      <w:r w:rsidR="00D237DC" w:rsidRPr="00712E20">
        <w:rPr>
          <w:rFonts w:cs="Myriad-Roman"/>
          <w:color w:val="1D1D1B"/>
        </w:rPr>
        <w:t xml:space="preserve">services and supporting </w:t>
      </w:r>
      <w:r w:rsidR="00F50DB5" w:rsidRPr="00712E20">
        <w:rPr>
          <w:rFonts w:cs="Myriad-Roman"/>
          <w:color w:val="1D1D1B"/>
        </w:rPr>
        <w:t>livelihood and economic recovery in Syria</w:t>
      </w:r>
      <w:r w:rsidR="00EA6838" w:rsidRPr="00712E20">
        <w:rPr>
          <w:rFonts w:cs="Myriad-Roman"/>
          <w:color w:val="1D1D1B"/>
        </w:rPr>
        <w:t xml:space="preserve"> using area-based ap</w:t>
      </w:r>
      <w:r w:rsidR="005207A5" w:rsidRPr="00712E20">
        <w:rPr>
          <w:rFonts w:cs="Myriad-Roman"/>
          <w:color w:val="1D1D1B"/>
        </w:rPr>
        <w:t xml:space="preserve">proach in nine governorates </w:t>
      </w:r>
      <w:r w:rsidR="00EA6838" w:rsidRPr="00712E20">
        <w:rPr>
          <w:rFonts w:cs="Myriad-Roman"/>
          <w:color w:val="1D1D1B"/>
        </w:rPr>
        <w:t>to achieve its goals.</w:t>
      </w:r>
      <w:r w:rsidR="00F50DB5" w:rsidRPr="00712E20">
        <w:rPr>
          <w:rFonts w:cs="Myriad-Roman"/>
          <w:color w:val="1D1D1B"/>
        </w:rPr>
        <w:t xml:space="preserve"> </w:t>
      </w:r>
    </w:p>
    <w:p w:rsidR="00E7185C" w:rsidRPr="00712E20" w:rsidRDefault="00E7185C" w:rsidP="003E1DE2">
      <w:pPr>
        <w:autoSpaceDE w:val="0"/>
        <w:autoSpaceDN w:val="0"/>
        <w:adjustRightInd w:val="0"/>
        <w:spacing w:after="0" w:line="240" w:lineRule="auto"/>
        <w:jc w:val="both"/>
        <w:rPr>
          <w:rFonts w:cs="Myriad-Roman"/>
          <w:color w:val="1D1D1B"/>
        </w:rPr>
      </w:pPr>
    </w:p>
    <w:p w:rsidR="00E7185C" w:rsidRPr="00712E20" w:rsidRDefault="00E7185C" w:rsidP="003E1DE2">
      <w:pPr>
        <w:autoSpaceDE w:val="0"/>
        <w:autoSpaceDN w:val="0"/>
        <w:adjustRightInd w:val="0"/>
        <w:spacing w:after="0" w:line="240" w:lineRule="auto"/>
        <w:jc w:val="both"/>
        <w:rPr>
          <w:rFonts w:cs="Myriad-Roman"/>
          <w:color w:val="1D1D1B"/>
        </w:rPr>
      </w:pPr>
      <w:r w:rsidRPr="00712E20">
        <w:rPr>
          <w:rFonts w:cs="Myriad-Roman"/>
          <w:color w:val="1D1D1B"/>
        </w:rPr>
        <w:t>UNDP global appr</w:t>
      </w:r>
      <w:r w:rsidR="00EA6838" w:rsidRPr="00712E20">
        <w:rPr>
          <w:rFonts w:cs="Myriad-Roman"/>
          <w:color w:val="1D1D1B"/>
        </w:rPr>
        <w:t xml:space="preserve">oach to </w:t>
      </w:r>
      <w:r w:rsidRPr="00712E20">
        <w:rPr>
          <w:rFonts w:cs="Myriad-Roman"/>
          <w:color w:val="1D1D1B"/>
        </w:rPr>
        <w:t xml:space="preserve">inclusive growth embraces nationally-owned, crisis and gender-sensitive interventions that are responsive to </w:t>
      </w:r>
      <w:r w:rsidR="00EA6838" w:rsidRPr="00712E20">
        <w:rPr>
          <w:rFonts w:cs="Myriad-Roman"/>
          <w:color w:val="1D1D1B"/>
        </w:rPr>
        <w:t>local conditions and aligned with recovery</w:t>
      </w:r>
      <w:r w:rsidRPr="00712E20">
        <w:rPr>
          <w:rFonts w:cs="Myriad-Roman"/>
          <w:color w:val="1D1D1B"/>
        </w:rPr>
        <w:t xml:space="preserve"> </w:t>
      </w:r>
      <w:r w:rsidR="00EA6838" w:rsidRPr="00712E20">
        <w:rPr>
          <w:rFonts w:cs="Myriad-Roman"/>
          <w:color w:val="1D1D1B"/>
        </w:rPr>
        <w:t>while managing risks over time at individual, household, community and societal levels in ways that minimize costs, build capacity to manage and sustain and maximize positive coping mechanisms</w:t>
      </w:r>
      <w:r w:rsidR="007540B4" w:rsidRPr="00712E20">
        <w:rPr>
          <w:rFonts w:cs="Myriad-Roman"/>
          <w:color w:val="1D1D1B"/>
        </w:rPr>
        <w:t xml:space="preserve">, social inclusion, </w:t>
      </w:r>
      <w:r w:rsidR="00EA6838" w:rsidRPr="00712E20">
        <w:rPr>
          <w:rFonts w:cs="Myriad-Roman"/>
          <w:color w:val="1D1D1B"/>
        </w:rPr>
        <w:t xml:space="preserve">and transformative potential.  </w:t>
      </w:r>
    </w:p>
    <w:p w:rsidR="00E7185C" w:rsidRPr="00712E20" w:rsidRDefault="00E7185C" w:rsidP="003E1DE2">
      <w:pPr>
        <w:autoSpaceDE w:val="0"/>
        <w:autoSpaceDN w:val="0"/>
        <w:adjustRightInd w:val="0"/>
        <w:spacing w:after="0" w:line="240" w:lineRule="auto"/>
        <w:jc w:val="both"/>
        <w:rPr>
          <w:rFonts w:cs="Myriad-Roman"/>
          <w:color w:val="1D1D1B"/>
        </w:rPr>
      </w:pPr>
    </w:p>
    <w:p w:rsidR="00D312BE" w:rsidRDefault="00F50DB5" w:rsidP="003E1DE2">
      <w:pPr>
        <w:autoSpaceDE w:val="0"/>
        <w:autoSpaceDN w:val="0"/>
        <w:adjustRightInd w:val="0"/>
        <w:spacing w:after="0" w:line="240" w:lineRule="auto"/>
        <w:jc w:val="both"/>
        <w:rPr>
          <w:rFonts w:cs="Myriad-Roman"/>
          <w:color w:val="1D1D1B"/>
        </w:rPr>
      </w:pPr>
      <w:r w:rsidRPr="00712E20">
        <w:rPr>
          <w:rFonts w:cs="Myriad-Roman"/>
          <w:color w:val="1D1D1B"/>
        </w:rPr>
        <w:t>In</w:t>
      </w:r>
      <w:r w:rsidR="002D3C7A" w:rsidRPr="00712E20">
        <w:rPr>
          <w:rFonts w:cs="Myriad-Roman"/>
          <w:color w:val="1D1D1B"/>
        </w:rPr>
        <w:t xml:space="preserve"> 2016, </w:t>
      </w:r>
      <w:r w:rsidR="007435C9">
        <w:rPr>
          <w:rFonts w:cs="Myriad-Roman"/>
          <w:color w:val="1D1D1B"/>
        </w:rPr>
        <w:t>i</w:t>
      </w:r>
      <w:r w:rsidR="0099668C" w:rsidRPr="00712E20">
        <w:rPr>
          <w:rFonts w:cs="Myriad-Roman"/>
          <w:color w:val="1D1D1B"/>
        </w:rPr>
        <w:t xml:space="preserve">n its endeavor to strengthen the resilience of the Syrian people, UNDP </w:t>
      </w:r>
      <w:r w:rsidR="005207A5" w:rsidRPr="00712E20">
        <w:rPr>
          <w:rFonts w:cs="Myriad-Roman"/>
          <w:color w:val="1D1D1B"/>
        </w:rPr>
        <w:t xml:space="preserve">in Syria </w:t>
      </w:r>
      <w:r w:rsidR="0099668C" w:rsidRPr="00712E20">
        <w:rPr>
          <w:rFonts w:cs="Myriad-Roman"/>
          <w:color w:val="1D1D1B"/>
        </w:rPr>
        <w:t xml:space="preserve">implemented </w:t>
      </w:r>
      <w:r w:rsidR="005207A5" w:rsidRPr="00712E20">
        <w:rPr>
          <w:rFonts w:cs="Myriad-Roman"/>
          <w:color w:val="1D1D1B"/>
        </w:rPr>
        <w:t>199 local projects</w:t>
      </w:r>
      <w:r w:rsidR="0099668C" w:rsidRPr="00712E20">
        <w:rPr>
          <w:rFonts w:cs="Myriad-Roman"/>
          <w:color w:val="1D1D1B"/>
        </w:rPr>
        <w:t xml:space="preserve">, that succeeded to touch the lives of 2,528,391 persons in 9 Syrian governorates through </w:t>
      </w:r>
      <w:r w:rsidR="0099668C" w:rsidRPr="00712E20">
        <w:rPr>
          <w:rFonts w:cs="Myriad-Roman"/>
          <w:color w:val="1D1D1B"/>
        </w:rPr>
        <w:lastRenderedPageBreak/>
        <w:t>targeted early recovery and livelihoods restoration efforts in partnership with more than 45 local</w:t>
      </w:r>
      <w:r w:rsidR="00A22BC3" w:rsidRPr="00712E20">
        <w:rPr>
          <w:rFonts w:cs="Myriad-Roman"/>
          <w:color w:val="1D1D1B"/>
        </w:rPr>
        <w:t xml:space="preserve"> </w:t>
      </w:r>
      <w:r w:rsidR="005207A5" w:rsidRPr="00712E20">
        <w:rPr>
          <w:rFonts w:cs="Myriad-Roman"/>
          <w:color w:val="1D1D1B"/>
        </w:rPr>
        <w:t>partners</w:t>
      </w:r>
      <w:r w:rsidR="0099668C" w:rsidRPr="00712E20">
        <w:rPr>
          <w:rFonts w:cs="Myriad-Roman"/>
          <w:color w:val="1D1D1B"/>
        </w:rPr>
        <w:t>. The implemented projects have provided 28,623 monthly job opportunities, which are disaggregated per target group as follows: 11,937 monthly job opportunities to IDPs, 7,694 to women, 6,103 to females heading households, 1,917 to people with disabilities and 15,973 to youth.</w:t>
      </w:r>
      <w:r w:rsidR="003501F2" w:rsidRPr="00712E20">
        <w:rPr>
          <w:rFonts w:cs="Myriad-Roman"/>
          <w:color w:val="1D1D1B"/>
        </w:rPr>
        <w:t xml:space="preserve"> </w:t>
      </w:r>
      <w:r w:rsidR="0099668C" w:rsidRPr="00712E20">
        <w:rPr>
          <w:rFonts w:cs="Myriad-Roman"/>
          <w:color w:val="1D1D1B"/>
        </w:rPr>
        <w:t>This was achieved through rehabilitation of community infrastructure and restoration of basic services</w:t>
      </w:r>
      <w:r w:rsidR="007435C9">
        <w:rPr>
          <w:rFonts w:cs="Myriad-Roman"/>
          <w:color w:val="1D1D1B"/>
        </w:rPr>
        <w:t xml:space="preserve"> and support to livelihood and economic recovery</w:t>
      </w:r>
      <w:r w:rsidR="0099668C" w:rsidRPr="00712E20">
        <w:rPr>
          <w:rFonts w:cs="Myriad-Roman"/>
          <w:color w:val="1D1D1B"/>
        </w:rPr>
        <w:t xml:space="preserve">. </w:t>
      </w:r>
    </w:p>
    <w:p w:rsidR="00D312BE" w:rsidRDefault="00D312BE" w:rsidP="003E1DE2">
      <w:pPr>
        <w:autoSpaceDE w:val="0"/>
        <w:autoSpaceDN w:val="0"/>
        <w:adjustRightInd w:val="0"/>
        <w:spacing w:after="0" w:line="240" w:lineRule="auto"/>
        <w:jc w:val="both"/>
        <w:rPr>
          <w:rFonts w:cs="Myriad-Roman"/>
          <w:color w:val="1D1D1B"/>
        </w:rPr>
      </w:pPr>
    </w:p>
    <w:p w:rsidR="0099668C" w:rsidRPr="00674635" w:rsidRDefault="007435C9" w:rsidP="003E1DE2">
      <w:pPr>
        <w:autoSpaceDE w:val="0"/>
        <w:autoSpaceDN w:val="0"/>
        <w:adjustRightInd w:val="0"/>
        <w:spacing w:after="0" w:line="240" w:lineRule="auto"/>
        <w:jc w:val="both"/>
        <w:rPr>
          <w:rFonts w:cs="Myriad-Roman"/>
          <w:color w:val="1D1D1B"/>
        </w:rPr>
      </w:pPr>
      <w:r>
        <w:rPr>
          <w:rFonts w:cs="Myriad-Roman"/>
          <w:color w:val="1D1D1B"/>
        </w:rPr>
        <w:t xml:space="preserve">Since Jan 2016 </w:t>
      </w:r>
      <w:r w:rsidRPr="00674635">
        <w:rPr>
          <w:rFonts w:cs="Myriad-Roman"/>
          <w:color w:val="1D1D1B"/>
        </w:rPr>
        <w:t xml:space="preserve">to </w:t>
      </w:r>
      <w:r w:rsidR="00D312BE" w:rsidRPr="00674635">
        <w:rPr>
          <w:rFonts w:cs="Myriad-Roman"/>
          <w:color w:val="1D1D1B"/>
        </w:rPr>
        <w:t xml:space="preserve">date, UNDP support </w:t>
      </w:r>
      <w:r w:rsidR="0099668C" w:rsidRPr="00674635">
        <w:rPr>
          <w:rFonts w:cs="Myriad-Roman"/>
          <w:color w:val="1D1D1B"/>
        </w:rPr>
        <w:t xml:space="preserve">has </w:t>
      </w:r>
      <w:r w:rsidRPr="00674635">
        <w:rPr>
          <w:rFonts w:cs="Myriad-Roman"/>
          <w:color w:val="1D1D1B"/>
        </w:rPr>
        <w:t>been extended to</w:t>
      </w:r>
      <w:r w:rsidR="0099668C" w:rsidRPr="00674635">
        <w:rPr>
          <w:rFonts w:cs="Myriad-Roman"/>
          <w:color w:val="1D1D1B"/>
        </w:rPr>
        <w:t xml:space="preserve"> </w:t>
      </w:r>
      <w:r w:rsidRPr="00674635">
        <w:rPr>
          <w:rFonts w:cs="Myriad-Roman"/>
          <w:color w:val="1D1D1B"/>
        </w:rPr>
        <w:t xml:space="preserve">support </w:t>
      </w:r>
      <w:r w:rsidR="0099668C" w:rsidRPr="00674635">
        <w:rPr>
          <w:rFonts w:cs="Myriad-Roman"/>
          <w:color w:val="1D1D1B"/>
        </w:rPr>
        <w:t xml:space="preserve">revival of </w:t>
      </w:r>
      <w:r w:rsidR="004E6740">
        <w:rPr>
          <w:rFonts w:cs="Myriad-Roman"/>
          <w:color w:val="1D1D1B"/>
        </w:rPr>
        <w:t xml:space="preserve">more than </w:t>
      </w:r>
      <w:r w:rsidR="003501F2" w:rsidRPr="00674635">
        <w:rPr>
          <w:rFonts w:cs="Myriad-Roman"/>
          <w:color w:val="1D1D1B"/>
        </w:rPr>
        <w:t>2</w:t>
      </w:r>
      <w:r w:rsidR="004E6740">
        <w:rPr>
          <w:rFonts w:cs="Myriad-Roman"/>
          <w:color w:val="1D1D1B"/>
        </w:rPr>
        <w:t>6</w:t>
      </w:r>
      <w:r w:rsidRPr="00674635">
        <w:rPr>
          <w:rFonts w:cs="Myriad-Roman"/>
          <w:color w:val="1D1D1B"/>
        </w:rPr>
        <w:t>3</w:t>
      </w:r>
      <w:r w:rsidR="00D312BE" w:rsidRPr="00674635">
        <w:rPr>
          <w:rFonts w:cs="Myriad-Roman"/>
          <w:color w:val="1D1D1B"/>
        </w:rPr>
        <w:t xml:space="preserve"> businesses</w:t>
      </w:r>
      <w:r w:rsidR="003501F2" w:rsidRPr="00674635">
        <w:rPr>
          <w:rFonts w:cs="Myriad-Roman"/>
          <w:color w:val="1D1D1B"/>
        </w:rPr>
        <w:t xml:space="preserve">, </w:t>
      </w:r>
      <w:r w:rsidRPr="00674635">
        <w:rPr>
          <w:rFonts w:cs="Myriad-Roman"/>
          <w:color w:val="1D1D1B"/>
        </w:rPr>
        <w:t xml:space="preserve">conducting </w:t>
      </w:r>
      <w:r w:rsidR="00A62513" w:rsidRPr="00674635">
        <w:rPr>
          <w:rFonts w:cs="Myriad-Roman"/>
          <w:color w:val="1D1D1B"/>
        </w:rPr>
        <w:t xml:space="preserve">income generating activities, </w:t>
      </w:r>
      <w:r w:rsidR="0099668C" w:rsidRPr="00674635">
        <w:rPr>
          <w:rFonts w:cs="Myriad-Roman"/>
          <w:color w:val="1D1D1B"/>
        </w:rPr>
        <w:t xml:space="preserve">productive assets replacement, start-up kits distribution, vocational training, job placements, value-chain development and </w:t>
      </w:r>
      <w:r w:rsidR="00A62513" w:rsidRPr="00674635">
        <w:rPr>
          <w:rFonts w:cs="Myriad-Roman"/>
          <w:color w:val="1D1D1B"/>
        </w:rPr>
        <w:t>market restoration.</w:t>
      </w:r>
    </w:p>
    <w:p w:rsidR="0099668C" w:rsidRPr="00674635" w:rsidRDefault="0099668C" w:rsidP="003E1DE2">
      <w:pPr>
        <w:autoSpaceDE w:val="0"/>
        <w:autoSpaceDN w:val="0"/>
        <w:adjustRightInd w:val="0"/>
        <w:spacing w:after="0" w:line="240" w:lineRule="auto"/>
        <w:jc w:val="both"/>
        <w:rPr>
          <w:rFonts w:cs="Myriad-Roman"/>
          <w:b/>
          <w:bCs/>
          <w:color w:val="1D1D1B"/>
        </w:rPr>
      </w:pPr>
    </w:p>
    <w:p w:rsidR="00A22BC3" w:rsidRPr="00CE37C9" w:rsidRDefault="003A107C" w:rsidP="00C61AB7">
      <w:pPr>
        <w:pStyle w:val="ListParagraph"/>
        <w:numPr>
          <w:ilvl w:val="0"/>
          <w:numId w:val="15"/>
        </w:numPr>
        <w:jc w:val="both"/>
        <w:rPr>
          <w:b/>
          <w:bCs/>
          <w:sz w:val="24"/>
          <w:szCs w:val="24"/>
          <w:u w:val="single"/>
        </w:rPr>
      </w:pPr>
      <w:r w:rsidRPr="00CE37C9">
        <w:rPr>
          <w:b/>
          <w:bCs/>
          <w:sz w:val="24"/>
          <w:szCs w:val="24"/>
          <w:u w:val="single"/>
        </w:rPr>
        <w:t xml:space="preserve">Introduction to the programme- </w:t>
      </w:r>
      <w:r w:rsidR="004E7E36" w:rsidRPr="00CE37C9">
        <w:rPr>
          <w:b/>
          <w:bCs/>
          <w:sz w:val="24"/>
          <w:szCs w:val="24"/>
          <w:u w:val="single"/>
        </w:rPr>
        <w:t xml:space="preserve">UNDP </w:t>
      </w:r>
      <w:r w:rsidR="00D312BE" w:rsidRPr="00CE37C9">
        <w:rPr>
          <w:b/>
          <w:bCs/>
          <w:sz w:val="24"/>
          <w:szCs w:val="24"/>
          <w:u w:val="single"/>
        </w:rPr>
        <w:t>Strategic A</w:t>
      </w:r>
      <w:r w:rsidR="006E1CBB" w:rsidRPr="00CE37C9">
        <w:rPr>
          <w:b/>
          <w:bCs/>
          <w:sz w:val="24"/>
          <w:szCs w:val="24"/>
          <w:u w:val="single"/>
        </w:rPr>
        <w:t>pproach</w:t>
      </w:r>
      <w:r w:rsidR="00D312BE" w:rsidRPr="00CE37C9">
        <w:rPr>
          <w:b/>
          <w:bCs/>
          <w:sz w:val="24"/>
          <w:szCs w:val="24"/>
          <w:u w:val="single"/>
        </w:rPr>
        <w:t xml:space="preserve"> to Livelihood and Economic R</w:t>
      </w:r>
      <w:r w:rsidR="004E7E36" w:rsidRPr="00CE37C9">
        <w:rPr>
          <w:b/>
          <w:bCs/>
          <w:sz w:val="24"/>
          <w:szCs w:val="24"/>
          <w:u w:val="single"/>
        </w:rPr>
        <w:t>ecovery</w:t>
      </w:r>
      <w:r w:rsidR="00A22BC3" w:rsidRPr="00CE37C9">
        <w:rPr>
          <w:b/>
          <w:bCs/>
          <w:sz w:val="24"/>
          <w:szCs w:val="24"/>
          <w:u w:val="single"/>
        </w:rPr>
        <w:t>:</w:t>
      </w:r>
    </w:p>
    <w:p w:rsidR="00CB6C27" w:rsidRPr="00674635" w:rsidRDefault="00D017EE" w:rsidP="003E1DE2">
      <w:pPr>
        <w:jc w:val="both"/>
        <w:rPr>
          <w:rFonts w:cs="Myriad-Roman"/>
          <w:color w:val="1D1D1B"/>
        </w:rPr>
      </w:pPr>
      <w:r w:rsidRPr="00674635">
        <w:rPr>
          <w:rFonts w:cs="Myriad-Roman"/>
          <w:color w:val="1D1D1B"/>
        </w:rPr>
        <w:t>UND</w:t>
      </w:r>
      <w:r w:rsidR="00D312BE" w:rsidRPr="00674635">
        <w:rPr>
          <w:rFonts w:cs="Myriad-Roman"/>
          <w:color w:val="1D1D1B"/>
        </w:rPr>
        <w:t>P work in Syria aim</w:t>
      </w:r>
      <w:r w:rsidRPr="00674635">
        <w:rPr>
          <w:rFonts w:cs="Myriad-Roman"/>
          <w:color w:val="1D1D1B"/>
        </w:rPr>
        <w:t xml:space="preserve"> to contribute</w:t>
      </w:r>
      <w:r w:rsidR="00D312BE" w:rsidRPr="00674635">
        <w:rPr>
          <w:rFonts w:cs="Myriad-Roman"/>
          <w:color w:val="1D1D1B"/>
        </w:rPr>
        <w:t xml:space="preserve"> to enhancing</w:t>
      </w:r>
      <w:r w:rsidR="00A62513" w:rsidRPr="00674635">
        <w:rPr>
          <w:rFonts w:cs="Myriad-Roman"/>
          <w:color w:val="1D1D1B"/>
        </w:rPr>
        <w:t xml:space="preserve"> the local economy </w:t>
      </w:r>
      <w:r w:rsidR="00D312BE" w:rsidRPr="00674635">
        <w:rPr>
          <w:rFonts w:cs="Myriad-Roman"/>
          <w:color w:val="1D1D1B"/>
        </w:rPr>
        <w:t>and</w:t>
      </w:r>
      <w:r w:rsidR="00A62513" w:rsidRPr="00674635">
        <w:rPr>
          <w:rFonts w:cs="Myriad-Roman"/>
          <w:color w:val="1D1D1B"/>
        </w:rPr>
        <w:t xml:space="preserve"> local production and </w:t>
      </w:r>
      <w:r w:rsidR="00D312BE" w:rsidRPr="00674635">
        <w:rPr>
          <w:rFonts w:cs="Myriad-Roman"/>
          <w:color w:val="1D1D1B"/>
        </w:rPr>
        <w:t>prioritizing people’s resilience</w:t>
      </w:r>
      <w:r w:rsidR="00A62513" w:rsidRPr="00674635">
        <w:rPr>
          <w:rFonts w:cs="Myriad-Roman"/>
          <w:color w:val="1D1D1B"/>
        </w:rPr>
        <w:t>. In 2016-2017 UNDP s</w:t>
      </w:r>
      <w:r w:rsidR="007540B4" w:rsidRPr="00674635">
        <w:rPr>
          <w:rFonts w:cs="Myriad-Roman"/>
          <w:color w:val="1D1D1B"/>
        </w:rPr>
        <w:t xml:space="preserve">upport to Livelihood and Economic Recovery </w:t>
      </w:r>
      <w:r w:rsidR="00CE37C9">
        <w:rPr>
          <w:rFonts w:cs="Myriad-Roman"/>
          <w:color w:val="1D1D1B"/>
        </w:rPr>
        <w:t xml:space="preserve">(LER) </w:t>
      </w:r>
      <w:r w:rsidR="00A62513" w:rsidRPr="00674635">
        <w:rPr>
          <w:rFonts w:cs="Myriad-Roman"/>
          <w:color w:val="1D1D1B"/>
        </w:rPr>
        <w:t>has been</w:t>
      </w:r>
      <w:r w:rsidR="00CB6C27" w:rsidRPr="00674635">
        <w:rPr>
          <w:rFonts w:cs="Myriad-Roman"/>
          <w:color w:val="1D1D1B"/>
        </w:rPr>
        <w:t xml:space="preserve"> provided</w:t>
      </w:r>
      <w:r w:rsidR="00A62513" w:rsidRPr="00674635">
        <w:rPr>
          <w:rFonts w:cs="Myriad-Roman"/>
          <w:color w:val="1D1D1B"/>
        </w:rPr>
        <w:t xml:space="preserve"> </w:t>
      </w:r>
      <w:r w:rsidR="007540B4" w:rsidRPr="00674635">
        <w:rPr>
          <w:rFonts w:cs="Myriad-Roman"/>
          <w:color w:val="1D1D1B"/>
        </w:rPr>
        <w:t xml:space="preserve">to </w:t>
      </w:r>
      <w:r w:rsidR="00CB6C27" w:rsidRPr="00674635">
        <w:rPr>
          <w:rFonts w:cs="Myriad-Roman"/>
          <w:color w:val="1D1D1B"/>
        </w:rPr>
        <w:t>h</w:t>
      </w:r>
      <w:r w:rsidR="007540B4" w:rsidRPr="00674635">
        <w:rPr>
          <w:rFonts w:cs="Myriad-Roman"/>
          <w:color w:val="1D1D1B"/>
        </w:rPr>
        <w:t xml:space="preserve">ouseholds and communities </w:t>
      </w:r>
      <w:r w:rsidR="00CB6C27" w:rsidRPr="00674635">
        <w:rPr>
          <w:rFonts w:cs="Myriad-Roman"/>
          <w:color w:val="1D1D1B"/>
        </w:rPr>
        <w:t xml:space="preserve">to </w:t>
      </w:r>
      <w:r w:rsidR="007540B4" w:rsidRPr="00674635">
        <w:rPr>
          <w:rFonts w:cs="Myriad-Roman"/>
          <w:color w:val="1D1D1B"/>
        </w:rPr>
        <w:t>benefit from sustai</w:t>
      </w:r>
      <w:r w:rsidR="00CB6C27" w:rsidRPr="00674635">
        <w:rPr>
          <w:rFonts w:cs="Myriad-Roman"/>
          <w:color w:val="1D1D1B"/>
        </w:rPr>
        <w:t>nable livelihood opportunities</w:t>
      </w:r>
      <w:r w:rsidRPr="00674635">
        <w:rPr>
          <w:rFonts w:cs="Myriad-Roman"/>
          <w:color w:val="1D1D1B"/>
        </w:rPr>
        <w:t>. T</w:t>
      </w:r>
      <w:r w:rsidR="007540B4" w:rsidRPr="00674635">
        <w:rPr>
          <w:rFonts w:cs="Myriad-Roman"/>
          <w:color w:val="1D1D1B"/>
        </w:rPr>
        <w:t xml:space="preserve">he </w:t>
      </w:r>
      <w:r w:rsidR="006E1CBB" w:rsidRPr="00674635">
        <w:rPr>
          <w:rFonts w:cs="Myriad-Roman"/>
          <w:color w:val="1D1D1B"/>
        </w:rPr>
        <w:t xml:space="preserve">strategic </w:t>
      </w:r>
      <w:r w:rsidR="007540B4" w:rsidRPr="00674635">
        <w:rPr>
          <w:rFonts w:cs="Myriad-Roman"/>
          <w:color w:val="1D1D1B"/>
        </w:rPr>
        <w:t xml:space="preserve">approach </w:t>
      </w:r>
      <w:r w:rsidR="00CB6C27" w:rsidRPr="00674635">
        <w:rPr>
          <w:rFonts w:cs="Myriad-Roman"/>
          <w:color w:val="1D1D1B"/>
        </w:rPr>
        <w:t>to achie</w:t>
      </w:r>
      <w:r w:rsidR="006E1CBB" w:rsidRPr="00674635">
        <w:rPr>
          <w:rFonts w:cs="Myriad-Roman"/>
          <w:color w:val="1D1D1B"/>
        </w:rPr>
        <w:t xml:space="preserve">ve Livelihood and Economic Recovery </w:t>
      </w:r>
      <w:r w:rsidRPr="00674635">
        <w:rPr>
          <w:rFonts w:cs="Myriad-Roman"/>
          <w:color w:val="1D1D1B"/>
        </w:rPr>
        <w:t>goal</w:t>
      </w:r>
      <w:r w:rsidR="006E1CBB" w:rsidRPr="00674635">
        <w:rPr>
          <w:rFonts w:cs="Myriad-Roman"/>
          <w:color w:val="1D1D1B"/>
        </w:rPr>
        <w:t>s in 2016-2017</w:t>
      </w:r>
      <w:r w:rsidR="00D312BE" w:rsidRPr="00674635">
        <w:rPr>
          <w:rFonts w:cs="Myriad-Roman"/>
          <w:color w:val="1D1D1B"/>
        </w:rPr>
        <w:t xml:space="preserve"> </w:t>
      </w:r>
      <w:r w:rsidRPr="00674635">
        <w:rPr>
          <w:rFonts w:cs="Myriad-Roman"/>
          <w:color w:val="1D1D1B"/>
        </w:rPr>
        <w:t xml:space="preserve">focused on </w:t>
      </w:r>
      <w:r w:rsidR="004E7E36" w:rsidRPr="00674635">
        <w:rPr>
          <w:rFonts w:cs="Myriad-Roman"/>
          <w:color w:val="1D1D1B"/>
        </w:rPr>
        <w:t>the following</w:t>
      </w:r>
      <w:r w:rsidR="00CB6C27" w:rsidRPr="00674635">
        <w:rPr>
          <w:rFonts w:cs="Myriad-Roman"/>
          <w:color w:val="1D1D1B"/>
        </w:rPr>
        <w:t xml:space="preserve"> Key thematic areas</w:t>
      </w:r>
      <w:r w:rsidR="00D312BE" w:rsidRPr="00674635">
        <w:rPr>
          <w:rFonts w:cs="Myriad-Roman"/>
          <w:color w:val="1D1D1B"/>
        </w:rPr>
        <w:t xml:space="preserve"> and </w:t>
      </w:r>
      <w:r w:rsidRPr="00674635">
        <w:rPr>
          <w:rFonts w:cs="Myriad-Roman"/>
          <w:color w:val="1D1D1B"/>
        </w:rPr>
        <w:t>business models</w:t>
      </w:r>
      <w:r w:rsidR="00CB6C27" w:rsidRPr="00674635">
        <w:rPr>
          <w:rFonts w:cs="Myriad-Roman"/>
          <w:color w:val="1D1D1B"/>
        </w:rPr>
        <w:t>:</w:t>
      </w:r>
    </w:p>
    <w:p w:rsidR="004C2B7A" w:rsidRPr="00674635" w:rsidRDefault="000520C1" w:rsidP="00477D39">
      <w:pPr>
        <w:pStyle w:val="Header"/>
        <w:numPr>
          <w:ilvl w:val="0"/>
          <w:numId w:val="21"/>
        </w:numPr>
        <w:jc w:val="both"/>
      </w:pPr>
      <w:r w:rsidRPr="00674635">
        <w:rPr>
          <w:rFonts w:cs="Myriad-Roman"/>
          <w:b/>
          <w:bCs/>
          <w:color w:val="1D1D1B"/>
        </w:rPr>
        <w:t>Disrupted</w:t>
      </w:r>
      <w:r w:rsidR="00FB7410" w:rsidRPr="00674635">
        <w:rPr>
          <w:rFonts w:cs="Myriad-Roman"/>
          <w:b/>
          <w:bCs/>
          <w:color w:val="1D1D1B"/>
        </w:rPr>
        <w:t xml:space="preserve"> livelihoods, including small businesses and social and productive enterprises, restored and revived </w:t>
      </w:r>
      <w:r w:rsidR="00FB7410" w:rsidRPr="00674635">
        <w:t xml:space="preserve">at the community level through </w:t>
      </w:r>
      <w:r w:rsidR="004C2B7A" w:rsidRPr="00674635">
        <w:t xml:space="preserve">a </w:t>
      </w:r>
      <w:r w:rsidR="00FB7410" w:rsidRPr="00674635">
        <w:t>small grant scheme and direct implementation by UNDP including dis</w:t>
      </w:r>
      <w:r w:rsidR="00CE37C9">
        <w:t xml:space="preserve">tribution of productive assets </w:t>
      </w:r>
      <w:r w:rsidR="00FB7410" w:rsidRPr="00674635">
        <w:t>in 8 governorates</w:t>
      </w:r>
      <w:r w:rsidR="004C2B7A" w:rsidRPr="00674635">
        <w:t xml:space="preserve"> of</w:t>
      </w:r>
      <w:r w:rsidR="00FB7410" w:rsidRPr="00674635">
        <w:t xml:space="preserve"> Rural Damascus</w:t>
      </w:r>
      <w:r w:rsidR="004C2B7A" w:rsidRPr="00674635">
        <w:t xml:space="preserve">, </w:t>
      </w:r>
      <w:r w:rsidR="00FB7410" w:rsidRPr="00674635">
        <w:t>Homs</w:t>
      </w:r>
      <w:r w:rsidR="004C2B7A" w:rsidRPr="00674635">
        <w:t xml:space="preserve">, </w:t>
      </w:r>
      <w:r w:rsidR="00FB7410" w:rsidRPr="00674635">
        <w:t>Hama</w:t>
      </w:r>
      <w:r w:rsidR="004C2B7A" w:rsidRPr="00674635">
        <w:t xml:space="preserve">, </w:t>
      </w:r>
      <w:r w:rsidR="00FB7410" w:rsidRPr="00674635">
        <w:t>Tartous</w:t>
      </w:r>
      <w:r w:rsidR="004C2B7A" w:rsidRPr="00674635">
        <w:t xml:space="preserve">, </w:t>
      </w:r>
      <w:r w:rsidR="00FB7410" w:rsidRPr="00674635">
        <w:t>Lattakia</w:t>
      </w:r>
      <w:r w:rsidR="004C2B7A" w:rsidRPr="00674635">
        <w:t xml:space="preserve">, </w:t>
      </w:r>
      <w:r w:rsidR="00FB7410" w:rsidRPr="00674635">
        <w:t>Aleppo, Hasakeh and DerEzour</w:t>
      </w:r>
    </w:p>
    <w:p w:rsidR="004C2B7A" w:rsidRPr="00674635" w:rsidRDefault="00FB7410" w:rsidP="00674635">
      <w:pPr>
        <w:pStyle w:val="Header"/>
        <w:numPr>
          <w:ilvl w:val="0"/>
          <w:numId w:val="21"/>
        </w:numPr>
        <w:jc w:val="both"/>
      </w:pPr>
      <w:r w:rsidRPr="00674635">
        <w:rPr>
          <w:b/>
          <w:bCs/>
        </w:rPr>
        <w:t xml:space="preserve">Market revival and support to MSEs </w:t>
      </w:r>
      <w:r w:rsidRPr="00674635">
        <w:t>through distribution of productive asset</w:t>
      </w:r>
      <w:r w:rsidR="004C2B7A" w:rsidRPr="00674635">
        <w:t>s</w:t>
      </w:r>
      <w:r w:rsidRPr="00674635">
        <w:t xml:space="preserve"> in 2 governorates</w:t>
      </w:r>
      <w:r w:rsidR="004C2B7A" w:rsidRPr="00674635">
        <w:t xml:space="preserve"> of</w:t>
      </w:r>
      <w:r w:rsidRPr="00674635">
        <w:t xml:space="preserve"> Homs</w:t>
      </w:r>
      <w:r w:rsidR="008048B6">
        <w:t xml:space="preserve"> and Trtous</w:t>
      </w:r>
      <w:r w:rsidR="004C2B7A" w:rsidRPr="00674635">
        <w:t xml:space="preserve">.  </w:t>
      </w:r>
    </w:p>
    <w:p w:rsidR="00A44E8B" w:rsidRPr="00674635" w:rsidRDefault="00FB7410" w:rsidP="006A7134">
      <w:pPr>
        <w:pStyle w:val="Header"/>
        <w:numPr>
          <w:ilvl w:val="0"/>
          <w:numId w:val="21"/>
        </w:numPr>
        <w:jc w:val="both"/>
      </w:pPr>
      <w:r w:rsidRPr="00FE5209">
        <w:rPr>
          <w:b/>
          <w:bCs/>
        </w:rPr>
        <w:t>Livelihood opportunities supported for vulnerable groups</w:t>
      </w:r>
      <w:r w:rsidR="004C2B7A" w:rsidRPr="00FE5209">
        <w:rPr>
          <w:b/>
          <w:bCs/>
        </w:rPr>
        <w:t xml:space="preserve"> </w:t>
      </w:r>
      <w:r w:rsidR="004C2B7A" w:rsidRPr="00FE5209">
        <w:rPr>
          <w:bCs/>
        </w:rPr>
        <w:t>including</w:t>
      </w:r>
      <w:r w:rsidRPr="00674635">
        <w:t xml:space="preserve"> </w:t>
      </w:r>
      <w:r w:rsidR="004C2B7A" w:rsidRPr="00674635">
        <w:t>f</w:t>
      </w:r>
      <w:r w:rsidRPr="00674635">
        <w:t>emale-headed households (FHH) and persons with disabilities (PWD) through targeted projects in 8 Governorates</w:t>
      </w:r>
      <w:r w:rsidR="00FE5209" w:rsidRPr="00FE5209">
        <w:t xml:space="preserve"> </w:t>
      </w:r>
      <w:r w:rsidR="00FE5209" w:rsidRPr="00534A62">
        <w:t>of Rural Damascus, Homs, Hama, Tartous, Lattakia, Aleppo</w:t>
      </w:r>
      <w:r w:rsidR="007E49BE">
        <w:t>,</w:t>
      </w:r>
      <w:bookmarkStart w:id="0" w:name="_GoBack"/>
      <w:bookmarkEnd w:id="0"/>
      <w:r w:rsidR="00FE5209" w:rsidRPr="00534A62">
        <w:t xml:space="preserve"> Hasakeh, and DerEzour.</w:t>
      </w:r>
    </w:p>
    <w:p w:rsidR="00A44E8B" w:rsidRPr="00674635" w:rsidRDefault="00CF214F" w:rsidP="00477D39">
      <w:pPr>
        <w:pStyle w:val="Header"/>
        <w:numPr>
          <w:ilvl w:val="0"/>
          <w:numId w:val="21"/>
        </w:numPr>
        <w:jc w:val="both"/>
      </w:pPr>
      <w:r>
        <w:rPr>
          <w:b/>
          <w:bCs/>
        </w:rPr>
        <w:t>Sector</w:t>
      </w:r>
      <w:r w:rsidR="00FB7410" w:rsidRPr="00674635">
        <w:rPr>
          <w:b/>
          <w:bCs/>
        </w:rPr>
        <w:t>-based Livelihood</w:t>
      </w:r>
      <w:r w:rsidR="004C2B7A" w:rsidRPr="00674635">
        <w:t xml:space="preserve"> </w:t>
      </w:r>
      <w:r w:rsidR="00FB7410" w:rsidRPr="00674635">
        <w:t xml:space="preserve">through reviving and supporting agriculture activities at household and farm level, including cash for work, value-chain business model development, and distribution of productive assets in </w:t>
      </w:r>
      <w:r w:rsidR="00711FBF">
        <w:t>8</w:t>
      </w:r>
      <w:r w:rsidR="00FB7410" w:rsidRPr="00674635">
        <w:t xml:space="preserve"> Governorates</w:t>
      </w:r>
      <w:r w:rsidR="004C2B7A" w:rsidRPr="00674635">
        <w:t xml:space="preserve"> of </w:t>
      </w:r>
      <w:r w:rsidR="00FB7410" w:rsidRPr="00674635">
        <w:t>Rural Damascus</w:t>
      </w:r>
      <w:r w:rsidR="004C2B7A" w:rsidRPr="00674635">
        <w:t xml:space="preserve">, </w:t>
      </w:r>
      <w:r w:rsidR="00FB7410" w:rsidRPr="00674635">
        <w:t>Homs</w:t>
      </w:r>
      <w:r w:rsidR="004C2B7A" w:rsidRPr="00674635">
        <w:t xml:space="preserve">, </w:t>
      </w:r>
      <w:r w:rsidR="00FB7410" w:rsidRPr="00674635">
        <w:t>Hama</w:t>
      </w:r>
      <w:r w:rsidR="004C2B7A" w:rsidRPr="00674635">
        <w:t xml:space="preserve">, </w:t>
      </w:r>
      <w:r w:rsidR="00FB7410" w:rsidRPr="00674635">
        <w:t>Tartous</w:t>
      </w:r>
      <w:r w:rsidR="004C2B7A" w:rsidRPr="00674635">
        <w:t>,</w:t>
      </w:r>
      <w:r w:rsidR="00FB7410" w:rsidRPr="00674635">
        <w:t xml:space="preserve"> Lattakia</w:t>
      </w:r>
      <w:r w:rsidR="004C2B7A" w:rsidRPr="00674635">
        <w:t xml:space="preserve">, </w:t>
      </w:r>
      <w:r w:rsidR="00FB7410" w:rsidRPr="00674635">
        <w:t>Aleppo, and Hasakeh.</w:t>
      </w:r>
    </w:p>
    <w:p w:rsidR="00AD6196" w:rsidRPr="00674635" w:rsidRDefault="00FB7410" w:rsidP="00477D39">
      <w:pPr>
        <w:pStyle w:val="Header"/>
        <w:numPr>
          <w:ilvl w:val="0"/>
          <w:numId w:val="21"/>
        </w:numPr>
        <w:jc w:val="both"/>
      </w:pPr>
      <w:r w:rsidRPr="00674635">
        <w:rPr>
          <w:b/>
          <w:bCs/>
        </w:rPr>
        <w:t>Business support and entrepreneurship skills for youth</w:t>
      </w:r>
      <w:r w:rsidR="004C2B7A" w:rsidRPr="00674635">
        <w:rPr>
          <w:b/>
          <w:bCs/>
        </w:rPr>
        <w:t xml:space="preserve"> </w:t>
      </w:r>
      <w:r w:rsidRPr="00674635">
        <w:t xml:space="preserve">through a national and local tested business models by conducting market-based vocational training, distribution of toolkits, advanced training on entrepreneurship skills, distribution of start-up grants provided for youth based on the business plans developed by target beneficiaries to start their own </w:t>
      </w:r>
      <w:r w:rsidRPr="00534A62">
        <w:t xml:space="preserve">business in </w:t>
      </w:r>
      <w:r w:rsidR="00FE5209">
        <w:t>7</w:t>
      </w:r>
      <w:r w:rsidRPr="00534A62">
        <w:t xml:space="preserve"> Governorates</w:t>
      </w:r>
      <w:r w:rsidR="004C2B7A" w:rsidRPr="00534A62">
        <w:t xml:space="preserve"> of</w:t>
      </w:r>
      <w:r w:rsidRPr="00534A62">
        <w:t xml:space="preserve"> Rural Damascus</w:t>
      </w:r>
      <w:r w:rsidR="004C2B7A" w:rsidRPr="00534A62">
        <w:t xml:space="preserve">, </w:t>
      </w:r>
      <w:r w:rsidRPr="00534A62">
        <w:t>Homs</w:t>
      </w:r>
      <w:r w:rsidR="004C2B7A" w:rsidRPr="00534A62">
        <w:t xml:space="preserve">, </w:t>
      </w:r>
      <w:r w:rsidRPr="00534A62">
        <w:t>Hama</w:t>
      </w:r>
      <w:r w:rsidR="004C2B7A" w:rsidRPr="00534A62">
        <w:t xml:space="preserve">, </w:t>
      </w:r>
      <w:r w:rsidRPr="00534A62">
        <w:t>Tartous</w:t>
      </w:r>
      <w:r w:rsidR="004C2B7A" w:rsidRPr="00534A62">
        <w:t xml:space="preserve">, </w:t>
      </w:r>
      <w:r w:rsidRPr="00534A62">
        <w:t>Lattakia</w:t>
      </w:r>
      <w:r w:rsidR="004C2B7A" w:rsidRPr="00534A62">
        <w:t xml:space="preserve">, </w:t>
      </w:r>
      <w:r w:rsidR="00D50211" w:rsidRPr="00534A62">
        <w:t xml:space="preserve">Aleppo </w:t>
      </w:r>
      <w:r w:rsidRPr="00534A62">
        <w:t>Hasakeh</w:t>
      </w:r>
      <w:r w:rsidR="00D50211" w:rsidRPr="00534A62">
        <w:t xml:space="preserve">, </w:t>
      </w:r>
    </w:p>
    <w:p w:rsidR="004669B7" w:rsidRPr="00674635" w:rsidRDefault="004669B7" w:rsidP="00477D39">
      <w:pPr>
        <w:pStyle w:val="Header"/>
        <w:numPr>
          <w:ilvl w:val="0"/>
          <w:numId w:val="21"/>
        </w:numPr>
        <w:jc w:val="both"/>
        <w:rPr>
          <w:b/>
          <w:bCs/>
        </w:rPr>
      </w:pPr>
      <w:r w:rsidRPr="00674635">
        <w:rPr>
          <w:b/>
          <w:bCs/>
        </w:rPr>
        <w:t>Conducting Livelihood and Economic Recovery Assessment and provide support at the policy level</w:t>
      </w:r>
    </w:p>
    <w:p w:rsidR="004669B7" w:rsidRPr="00674635" w:rsidRDefault="004669B7" w:rsidP="003E1DE2">
      <w:pPr>
        <w:jc w:val="both"/>
        <w:rPr>
          <w:b/>
          <w:bCs/>
        </w:rPr>
      </w:pPr>
    </w:p>
    <w:p w:rsidR="009D3FBF" w:rsidRPr="00CE37C9" w:rsidRDefault="003A107C" w:rsidP="00C61AB7">
      <w:pPr>
        <w:pStyle w:val="ListParagraph"/>
        <w:numPr>
          <w:ilvl w:val="0"/>
          <w:numId w:val="15"/>
        </w:numPr>
        <w:jc w:val="both"/>
        <w:rPr>
          <w:b/>
          <w:bCs/>
          <w:sz w:val="24"/>
          <w:szCs w:val="24"/>
          <w:u w:val="single"/>
        </w:rPr>
      </w:pPr>
      <w:r w:rsidRPr="00CE37C9">
        <w:rPr>
          <w:b/>
          <w:bCs/>
          <w:sz w:val="24"/>
          <w:szCs w:val="24"/>
          <w:u w:val="single"/>
        </w:rPr>
        <w:t xml:space="preserve">Status of </w:t>
      </w:r>
      <w:r w:rsidR="00265184" w:rsidRPr="00CE37C9">
        <w:rPr>
          <w:b/>
          <w:bCs/>
          <w:sz w:val="24"/>
          <w:szCs w:val="24"/>
          <w:u w:val="single"/>
        </w:rPr>
        <w:t xml:space="preserve">the proposed evaluation </w:t>
      </w:r>
    </w:p>
    <w:p w:rsidR="008B3083" w:rsidRPr="004669B7" w:rsidRDefault="008B3083" w:rsidP="00477D39">
      <w:pPr>
        <w:jc w:val="both"/>
      </w:pPr>
      <w:r>
        <w:t>UNDP designs its r</w:t>
      </w:r>
      <w:r w:rsidRPr="004669B7">
        <w:t xml:space="preserve">eviving livelihood for crisis affected people at the household and community levels </w:t>
      </w:r>
      <w:r>
        <w:t xml:space="preserve">that </w:t>
      </w:r>
      <w:r w:rsidRPr="004669B7">
        <w:t xml:space="preserve">would allow them to generate sustainable income and enhance health and education conditions for their </w:t>
      </w:r>
      <w:r w:rsidRPr="004669B7">
        <w:lastRenderedPageBreak/>
        <w:t xml:space="preserve">families, while contributing to local economy revival and market restoration. Also, it would support direct and indirect social cohesion by bringing host communities and internally displaced people (IDPs) to live and work together by creating positive coping mechanisms with the crisis. </w:t>
      </w:r>
    </w:p>
    <w:p w:rsidR="00E0002D" w:rsidRDefault="008B3083" w:rsidP="00477D39">
      <w:pPr>
        <w:jc w:val="both"/>
      </w:pPr>
      <w:r>
        <w:t xml:space="preserve">In order to </w:t>
      </w:r>
      <w:r w:rsidR="0054501C">
        <w:t xml:space="preserve">reach </w:t>
      </w:r>
      <w:r>
        <w:t xml:space="preserve">such sustainable impacts and transformative changes, </w:t>
      </w:r>
      <w:r w:rsidR="00E1243A">
        <w:t xml:space="preserve">UNDP Syria is committed to assessing the impact of livelihoods and economic recovery interventions.  </w:t>
      </w:r>
      <w:r>
        <w:t>While, i</w:t>
      </w:r>
      <w:r w:rsidR="004669B7" w:rsidRPr="004669B7">
        <w:t xml:space="preserve">n </w:t>
      </w:r>
      <w:r w:rsidR="00E1243A">
        <w:t xml:space="preserve">the </w:t>
      </w:r>
      <w:r w:rsidR="004669B7" w:rsidRPr="004669B7">
        <w:t>crisis context, working on livelihood and economic recovery can show immediate results and changes in people’s lives, and can in many cases save lives especially in areas of conflict and for vulnerable groups such as FHH and PWD</w:t>
      </w:r>
      <w:r>
        <w:t>, qualitative and quantitative impact evaluations including collection of baselines have not been conducted so far</w:t>
      </w:r>
      <w:r w:rsidR="004669B7" w:rsidRPr="004669B7">
        <w:t xml:space="preserve">. </w:t>
      </w:r>
    </w:p>
    <w:p w:rsidR="008E363D" w:rsidRDefault="008E363D" w:rsidP="003E1DE2">
      <w:pPr>
        <w:jc w:val="both"/>
      </w:pPr>
      <w:r>
        <w:t xml:space="preserve">At the same time, UNDP plans to scale up its initiatives on livelihoods and economic recovery in line with UNDP’s globally adapted the three-track (Track A, B and C) approach of the UN Policy for Post-Conflict Employment Creation, Income Generation and Reintegration (2009) for its livelihoods and economic recovery programming in crisis situations.  Track A programming responds to the urgent needs of crisis-affected groups with interventions to help stabilize livelihoods. Track B programming focuses on medium- to long-term local economic recovery, including interventions to boost sustainable employment, income generation, and reintegration. Track C programming focuses on long-term employment creation and inclusive economic growth. Interventions in Track C help to strengthen the national systems and policies that are needed in order to sustain the progress achieved in Tracks A and B.  These three tracks are represented through all phases of recovery, however their intensity peaks at different times in the post-crisis period, as shown on the left in a contiguum.  </w:t>
      </w:r>
    </w:p>
    <w:p w:rsidR="008E363D" w:rsidRDefault="008E363D" w:rsidP="00477D39">
      <w:pPr>
        <w:jc w:val="both"/>
      </w:pPr>
      <w:r w:rsidRPr="00DA12CF">
        <w:rPr>
          <w:rFonts w:asciiTheme="majorHAnsi" w:hAnsiTheme="majorHAnsi"/>
          <w:noProof/>
        </w:rPr>
        <w:drawing>
          <wp:anchor distT="0" distB="0" distL="114300" distR="114300" simplePos="0" relativeHeight="251659264" behindDoc="0" locked="0" layoutInCell="1" allowOverlap="1" wp14:anchorId="7078C12A" wp14:editId="744FD697">
            <wp:simplePos x="0" y="0"/>
            <wp:positionH relativeFrom="margin">
              <wp:align>left</wp:align>
            </wp:positionH>
            <wp:positionV relativeFrom="paragraph">
              <wp:posOffset>12876</wp:posOffset>
            </wp:positionV>
            <wp:extent cx="3981450" cy="301561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81450" cy="30156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Given the context in Syria, the intensity of Track A has been until present higher, and feasibility of Track B and C programming has been lower.  UNDP now identifies feasible approaches of Track B that will in the future lead to Track C, when conditions will allow. UNDP Syria also ensures that when short-term interventions are warranted, they are complemented with interventions that lay the foundation for sustainability and resilience.  </w:t>
      </w:r>
    </w:p>
    <w:p w:rsidR="008E363D" w:rsidRDefault="008E363D" w:rsidP="00477D39">
      <w:pPr>
        <w:jc w:val="both"/>
      </w:pPr>
    </w:p>
    <w:p w:rsidR="001427CC" w:rsidRDefault="008E363D" w:rsidP="003E1DE2">
      <w:pPr>
        <w:autoSpaceDE w:val="0"/>
        <w:autoSpaceDN w:val="0"/>
        <w:adjustRightInd w:val="0"/>
        <w:spacing w:after="0" w:line="240" w:lineRule="auto"/>
        <w:jc w:val="both"/>
      </w:pPr>
      <w:r>
        <w:t xml:space="preserve">It is, therefore, critical for UNDP to evaluate the impacts of the previous and ongoing relevant interventions, </w:t>
      </w:r>
      <w:r w:rsidR="00F45D4B">
        <w:t>document the lessons learned, success stories and best practice</w:t>
      </w:r>
      <w:r>
        <w:t xml:space="preserve"> in order to develop its livelihoods and economic recovery strategy and design the future interventions, ensuring optimal impacts and sustainability.   </w:t>
      </w:r>
      <w:r w:rsidR="004669B7">
        <w:t>This is done while</w:t>
      </w:r>
      <w:r w:rsidR="00DD4ACB">
        <w:t xml:space="preserve"> taking into account</w:t>
      </w:r>
      <w:r w:rsidR="00C76EF4">
        <w:t xml:space="preserve"> at the same time,</w:t>
      </w:r>
      <w:r w:rsidR="00DD4ACB">
        <w:t xml:space="preserve"> the crisis setting and </w:t>
      </w:r>
      <w:r w:rsidR="00DD4ACB">
        <w:lastRenderedPageBreak/>
        <w:t>challenges associated with the d</w:t>
      </w:r>
      <w:r w:rsidR="00C76EF4">
        <w:t>ynamic of change especially related to</w:t>
      </w:r>
      <w:r w:rsidR="00DD4ACB">
        <w:t xml:space="preserve"> </w:t>
      </w:r>
      <w:r w:rsidR="00B910E6">
        <w:t>all aspects of project management</w:t>
      </w:r>
      <w:r w:rsidR="00C76EF4">
        <w:t xml:space="preserve"> from</w:t>
      </w:r>
      <w:r w:rsidR="00B910E6">
        <w:t xml:space="preserve"> </w:t>
      </w:r>
      <w:r w:rsidR="00C76EF4">
        <w:t xml:space="preserve">planning to </w:t>
      </w:r>
      <w:r w:rsidR="00DD4ACB">
        <w:t>mo</w:t>
      </w:r>
      <w:r w:rsidR="00B910E6">
        <w:t xml:space="preserve">nitoring and evaluation in such </w:t>
      </w:r>
      <w:r w:rsidR="00DD4ACB">
        <w:t xml:space="preserve">setting. </w:t>
      </w:r>
    </w:p>
    <w:p w:rsidR="008E363D" w:rsidRDefault="008E363D" w:rsidP="003E1DE2">
      <w:pPr>
        <w:autoSpaceDE w:val="0"/>
        <w:autoSpaceDN w:val="0"/>
        <w:adjustRightInd w:val="0"/>
        <w:spacing w:after="0" w:line="240" w:lineRule="auto"/>
        <w:jc w:val="both"/>
      </w:pPr>
    </w:p>
    <w:p w:rsidR="008E363D" w:rsidRDefault="008E363D" w:rsidP="003E1DE2">
      <w:pPr>
        <w:autoSpaceDE w:val="0"/>
        <w:autoSpaceDN w:val="0"/>
        <w:adjustRightInd w:val="0"/>
        <w:spacing w:after="0" w:line="240" w:lineRule="auto"/>
        <w:jc w:val="both"/>
      </w:pPr>
      <w:r>
        <w:t>This impact evaluation is one of various assessments th</w:t>
      </w:r>
      <w:r w:rsidR="00655051">
        <w:t>at UNDP is currently conducting</w:t>
      </w:r>
      <w:r>
        <w:t xml:space="preserve"> to feed into the development of the said strategy, including i) economic opportunity assessments; ii) livelihoods impact assessments; and iii) market assessment at Governorate level.  </w:t>
      </w:r>
      <w:r w:rsidR="00F92B06">
        <w:t xml:space="preserve"> The strategy will be developed in the thematic areas of agricultural livelihoods; social protection and PwDs; active labour market; private sector development with a focus on MSMEs. </w:t>
      </w:r>
    </w:p>
    <w:p w:rsidR="008E363D" w:rsidRPr="00712E20" w:rsidRDefault="008E363D" w:rsidP="003E1DE2">
      <w:pPr>
        <w:autoSpaceDE w:val="0"/>
        <w:autoSpaceDN w:val="0"/>
        <w:adjustRightInd w:val="0"/>
        <w:spacing w:after="0" w:line="240" w:lineRule="auto"/>
        <w:jc w:val="both"/>
      </w:pPr>
    </w:p>
    <w:p w:rsidR="00FE06C9" w:rsidRPr="00CE37C9" w:rsidRDefault="00031606" w:rsidP="00477D39">
      <w:pPr>
        <w:pStyle w:val="ListParagraph"/>
        <w:numPr>
          <w:ilvl w:val="0"/>
          <w:numId w:val="15"/>
        </w:numPr>
        <w:jc w:val="both"/>
        <w:rPr>
          <w:b/>
          <w:bCs/>
          <w:sz w:val="24"/>
          <w:szCs w:val="24"/>
          <w:u w:val="single"/>
        </w:rPr>
      </w:pPr>
      <w:r w:rsidRPr="00CE37C9">
        <w:rPr>
          <w:b/>
          <w:bCs/>
          <w:sz w:val="24"/>
          <w:szCs w:val="24"/>
          <w:u w:val="single"/>
        </w:rPr>
        <w:t>Scope of work</w:t>
      </w:r>
      <w:r w:rsidR="002A3E06" w:rsidRPr="00CE37C9">
        <w:rPr>
          <w:b/>
          <w:bCs/>
          <w:sz w:val="24"/>
          <w:szCs w:val="24"/>
          <w:u w:val="single"/>
        </w:rPr>
        <w:t xml:space="preserve"> and </w:t>
      </w:r>
      <w:r w:rsidR="00CE37C9" w:rsidRPr="00CE37C9">
        <w:rPr>
          <w:b/>
          <w:bCs/>
          <w:sz w:val="24"/>
          <w:szCs w:val="24"/>
          <w:u w:val="single"/>
        </w:rPr>
        <w:t>key tasks to be covered</w:t>
      </w:r>
      <w:r w:rsidR="0047784A" w:rsidRPr="00CE37C9">
        <w:rPr>
          <w:b/>
          <w:bCs/>
          <w:sz w:val="24"/>
          <w:szCs w:val="24"/>
          <w:u w:val="single"/>
        </w:rPr>
        <w:t>:</w:t>
      </w:r>
    </w:p>
    <w:p w:rsidR="0001682C" w:rsidRDefault="0001682C" w:rsidP="003E1DE2">
      <w:pPr>
        <w:jc w:val="both"/>
        <w:rPr>
          <w:rFonts w:cs="ACaslon-Regular"/>
          <w:b/>
          <w:bCs/>
        </w:rPr>
      </w:pPr>
      <w:r>
        <w:rPr>
          <w:rFonts w:cs="ACaslon-Regular"/>
          <w:b/>
          <w:bCs/>
        </w:rPr>
        <w:t xml:space="preserve">The main deliverable would be an impact evaluation report. The </w:t>
      </w:r>
      <w:r w:rsidR="006772F4">
        <w:rPr>
          <w:rFonts w:cs="ACaslon-Regular"/>
          <w:b/>
          <w:bCs/>
        </w:rPr>
        <w:t>scope of work</w:t>
      </w:r>
      <w:r>
        <w:rPr>
          <w:rFonts w:cs="ACaslon-Regular"/>
          <w:b/>
          <w:bCs/>
        </w:rPr>
        <w:t xml:space="preserve"> would inform the following broad areas but not necessarily</w:t>
      </w:r>
      <w:r w:rsidR="00C44E34">
        <w:rPr>
          <w:rFonts w:cs="ACaslon-Regular"/>
          <w:b/>
          <w:bCs/>
        </w:rPr>
        <w:t xml:space="preserve"> be limited to them. </w:t>
      </w:r>
      <w:r>
        <w:rPr>
          <w:rFonts w:cs="ACaslon-Regular"/>
          <w:b/>
          <w:bCs/>
        </w:rPr>
        <w:t xml:space="preserve"> </w:t>
      </w:r>
    </w:p>
    <w:p w:rsidR="005531F9" w:rsidRDefault="005531F9" w:rsidP="00477D39">
      <w:pPr>
        <w:pStyle w:val="ListParagraph"/>
        <w:numPr>
          <w:ilvl w:val="0"/>
          <w:numId w:val="22"/>
        </w:numPr>
        <w:jc w:val="both"/>
        <w:rPr>
          <w:rFonts w:cs="ACaslon-Regular"/>
        </w:rPr>
      </w:pPr>
      <w:r>
        <w:rPr>
          <w:rFonts w:cs="ACaslon-Regular"/>
          <w:b/>
          <w:bCs/>
        </w:rPr>
        <w:t>Programme theory of change:</w:t>
      </w:r>
      <w:r>
        <w:rPr>
          <w:rFonts w:cs="ACaslon-Regular"/>
        </w:rPr>
        <w:t xml:space="preserve">  The theory of change presents the hypothesized casual pathway linking the inputs and activities of the interventions to its intended and unintended outputs and outcomes. </w:t>
      </w:r>
      <w:r w:rsidR="000C6426">
        <w:rPr>
          <w:rFonts w:cs="ACaslon-Regular"/>
        </w:rPr>
        <w:t xml:space="preserve"> It also explicitly states the assumptions that inform each link in the pathway.  It is required to draw on existing literature, qualitative field work, project documents and discussions with beneficiaries and implementing partners to develop a theory of change.  </w:t>
      </w:r>
    </w:p>
    <w:p w:rsidR="000C6426" w:rsidRPr="00477D39" w:rsidRDefault="000C6426" w:rsidP="00477D39">
      <w:pPr>
        <w:pStyle w:val="ListParagraph"/>
        <w:numPr>
          <w:ilvl w:val="0"/>
          <w:numId w:val="22"/>
        </w:numPr>
        <w:jc w:val="both"/>
        <w:rPr>
          <w:rFonts w:cs="ACaslon-Regular"/>
          <w:b/>
        </w:rPr>
      </w:pPr>
      <w:r>
        <w:rPr>
          <w:rFonts w:cs="ACaslon-Regular"/>
          <w:b/>
          <w:bCs/>
        </w:rPr>
        <w:t>Programme impact on key socio</w:t>
      </w:r>
      <w:r w:rsidRPr="000C6426">
        <w:rPr>
          <w:rFonts w:cs="ACaslon-Regular"/>
          <w:b/>
          <w:bCs/>
        </w:rPr>
        <w:t>-</w:t>
      </w:r>
      <w:r w:rsidRPr="00477D39">
        <w:rPr>
          <w:rFonts w:cs="ACaslon-Regular"/>
          <w:b/>
        </w:rPr>
        <w:t xml:space="preserve">economic indicators and possible impact pathways: </w:t>
      </w:r>
      <w:r w:rsidRPr="00477D39">
        <w:rPr>
          <w:rFonts w:cs="ACaslon-Regular"/>
        </w:rPr>
        <w:t>Key inputs</w:t>
      </w:r>
      <w:r>
        <w:rPr>
          <w:rFonts w:cs="ACaslon-Regular"/>
          <w:b/>
        </w:rPr>
        <w:t xml:space="preserve">, </w:t>
      </w:r>
      <w:r w:rsidRPr="00477D39">
        <w:rPr>
          <w:rFonts w:cs="ACaslon-Regular"/>
        </w:rPr>
        <w:t>outputs and outcomes will be identified based on the theory of change.</w:t>
      </w:r>
      <w:r>
        <w:rPr>
          <w:rFonts w:cs="ACaslon-Regular"/>
          <w:b/>
        </w:rPr>
        <w:t xml:space="preserve"> </w:t>
      </w:r>
      <w:r w:rsidR="00FD2CF9" w:rsidRPr="00477D39">
        <w:rPr>
          <w:rFonts w:cs="ACaslon-Regular"/>
        </w:rPr>
        <w:t>It</w:t>
      </w:r>
      <w:r w:rsidR="00573A79" w:rsidRPr="00477D39">
        <w:rPr>
          <w:rFonts w:cs="ACaslon-Regular"/>
          <w:bCs/>
        </w:rPr>
        <w:t xml:space="preserve"> should</w:t>
      </w:r>
      <w:r w:rsidR="00573A79">
        <w:rPr>
          <w:rFonts w:cs="ACaslon-Regular"/>
          <w:b/>
          <w:bCs/>
        </w:rPr>
        <w:t xml:space="preserve"> </w:t>
      </w:r>
      <w:r w:rsidR="00573A79" w:rsidRPr="005531F9">
        <w:rPr>
          <w:rFonts w:cs="ACaslon-Regular"/>
        </w:rPr>
        <w:t>cover five elements/criteria: Relevance, efficiency, effectiveness, sustainability, and impact of the intervention using UNDP approach to Result Based Management. In addition</w:t>
      </w:r>
      <w:r w:rsidR="00573A79" w:rsidRPr="005531F9">
        <w:rPr>
          <w:rFonts w:cs="ACaslon-Regular"/>
          <w:b/>
          <w:bCs/>
        </w:rPr>
        <w:t>, UNDP evaluations in crisis context must also include</w:t>
      </w:r>
      <w:r w:rsidR="00573A79" w:rsidRPr="005531F9">
        <w:rPr>
          <w:rFonts w:cs="ACaslon-Regular"/>
        </w:rPr>
        <w:t xml:space="preserve">: coverage, social </w:t>
      </w:r>
      <w:r w:rsidR="00FD2CF9" w:rsidRPr="005531F9">
        <w:rPr>
          <w:rFonts w:cs="ACaslon-Regular"/>
        </w:rPr>
        <w:t>inclusion</w:t>
      </w:r>
      <w:r w:rsidR="00FD2CF9" w:rsidRPr="00534A62">
        <w:rPr>
          <w:rFonts w:cs="ACaslon-Regular"/>
        </w:rPr>
        <w:t xml:space="preserve">, </w:t>
      </w:r>
      <w:r w:rsidR="00154C33" w:rsidRPr="00534A62">
        <w:rPr>
          <w:rFonts w:cs="ACaslon-Regular"/>
        </w:rPr>
        <w:t>creating jobs,</w:t>
      </w:r>
      <w:r w:rsidR="00154C33">
        <w:rPr>
          <w:rFonts w:cs="ACaslon-Regular"/>
        </w:rPr>
        <w:t xml:space="preserve"> </w:t>
      </w:r>
      <w:r w:rsidR="00FD2CF9" w:rsidRPr="005531F9">
        <w:rPr>
          <w:rFonts w:cs="ACaslon-Regular"/>
        </w:rPr>
        <w:t>partnership</w:t>
      </w:r>
      <w:r w:rsidR="00154C33">
        <w:rPr>
          <w:rFonts w:cs="ACaslon-Regular"/>
        </w:rPr>
        <w:t>…</w:t>
      </w:r>
      <w:r w:rsidR="00573A79" w:rsidRPr="005531F9">
        <w:rPr>
          <w:rFonts w:cs="ACaslon-Regular"/>
        </w:rPr>
        <w:t xml:space="preserve"> and should address how the intervention sought to strengthen the application of the rights-based approach and mainstream gender and social cohesion efforts.</w:t>
      </w:r>
      <w:r w:rsidR="00FD2CF9">
        <w:rPr>
          <w:rFonts w:cs="ACaslon-Regular"/>
        </w:rPr>
        <w:t xml:space="preserve">  </w:t>
      </w:r>
      <w:r w:rsidRPr="00477D39">
        <w:rPr>
          <w:rFonts w:cs="ACaslon-Regular"/>
        </w:rPr>
        <w:t>The report should estimate impacts and possible effect pathways of the livelihoods interventions.</w:t>
      </w:r>
      <w:r>
        <w:rPr>
          <w:rFonts w:cs="ACaslon-Regular"/>
          <w:b/>
        </w:rPr>
        <w:t xml:space="preserve"> </w:t>
      </w:r>
    </w:p>
    <w:p w:rsidR="00FD2CF9" w:rsidRDefault="005531F9" w:rsidP="00477D39">
      <w:pPr>
        <w:pStyle w:val="ListParagraph"/>
        <w:numPr>
          <w:ilvl w:val="0"/>
          <w:numId w:val="22"/>
        </w:numPr>
        <w:jc w:val="both"/>
        <w:rPr>
          <w:rFonts w:cs="ACaslon-Regular"/>
        </w:rPr>
      </w:pPr>
      <w:r w:rsidRPr="00477D39">
        <w:rPr>
          <w:rFonts w:cs="ACaslon-Regular"/>
          <w:b/>
        </w:rPr>
        <w:t>Sub-group analysis:</w:t>
      </w:r>
      <w:r>
        <w:rPr>
          <w:rFonts w:cs="ACaslon-Regular"/>
        </w:rPr>
        <w:t xml:space="preserve"> The study will estimate the differential impact of livelihoods interventions among various populations and subpopulations by collecting disaggregated data (sex, religion, PWDs etc )</w:t>
      </w:r>
      <w:r w:rsidR="000C6426">
        <w:rPr>
          <w:rFonts w:cs="ACaslon-Regular"/>
        </w:rPr>
        <w:t>, and conducting appropriate analyses, including gender analysis to identify differential impacts.</w:t>
      </w:r>
    </w:p>
    <w:p w:rsidR="00A53D6B" w:rsidRDefault="00FD2CF9" w:rsidP="00477D39">
      <w:pPr>
        <w:pStyle w:val="ListParagraph"/>
        <w:numPr>
          <w:ilvl w:val="0"/>
          <w:numId w:val="22"/>
        </w:numPr>
        <w:jc w:val="both"/>
        <w:rPr>
          <w:rFonts w:cs="ACaslon-Regular"/>
        </w:rPr>
      </w:pPr>
      <w:r>
        <w:rPr>
          <w:rFonts w:cs="ACaslon-Regular"/>
          <w:b/>
        </w:rPr>
        <w:t>Programme implications:</w:t>
      </w:r>
      <w:r>
        <w:rPr>
          <w:rFonts w:cs="ACaslon-Regular"/>
        </w:rPr>
        <w:t xml:space="preserve"> drawing on the findings, the report should highlight key </w:t>
      </w:r>
      <w:r w:rsidR="006772F4">
        <w:rPr>
          <w:rFonts w:cs="ACaslon-Regular"/>
        </w:rPr>
        <w:t xml:space="preserve">success areas and lessons learned, </w:t>
      </w:r>
      <w:r>
        <w:rPr>
          <w:rFonts w:cs="ACaslon-Regular"/>
        </w:rPr>
        <w:t>and suggest changes in programme designs, implementation and expansion to achieve maximal impact drawing th</w:t>
      </w:r>
      <w:r w:rsidR="00F92B06">
        <w:rPr>
          <w:rFonts w:cs="ACaslon-Regular"/>
        </w:rPr>
        <w:t xml:space="preserve">e findings from the evaluation that will feed into the development of a livelihoods and economic recovery of UNDP Syria.  Concrete suggestions for different livelihoods approaches of </w:t>
      </w:r>
      <w:r w:rsidR="00F92B06" w:rsidRPr="00F92B06">
        <w:rPr>
          <w:rFonts w:cs="ACaslon-Regular"/>
        </w:rPr>
        <w:t>agricultural livelihoods; social protection and PwDs; active labour market; private sector development with a focus on MS</w:t>
      </w:r>
      <w:r w:rsidR="00F92B06">
        <w:rPr>
          <w:rFonts w:cs="ACaslon-Regular"/>
        </w:rPr>
        <w:t xml:space="preserve">MEs should be included. </w:t>
      </w:r>
    </w:p>
    <w:p w:rsidR="00C61AB7" w:rsidRDefault="00C61AB7" w:rsidP="00C61AB7">
      <w:pPr>
        <w:pStyle w:val="ListParagraph"/>
        <w:jc w:val="both"/>
        <w:rPr>
          <w:rFonts w:cs="ACaslon-Regular"/>
        </w:rPr>
      </w:pPr>
    </w:p>
    <w:p w:rsidR="00C61AB7" w:rsidRPr="00CE37C9" w:rsidRDefault="00C61AB7" w:rsidP="00C61AB7">
      <w:pPr>
        <w:pStyle w:val="ListParagraph"/>
        <w:numPr>
          <w:ilvl w:val="0"/>
          <w:numId w:val="15"/>
        </w:numPr>
        <w:jc w:val="both"/>
        <w:rPr>
          <w:b/>
          <w:bCs/>
          <w:sz w:val="24"/>
          <w:szCs w:val="24"/>
          <w:u w:val="single"/>
        </w:rPr>
      </w:pPr>
      <w:r w:rsidRPr="00CE37C9">
        <w:rPr>
          <w:b/>
          <w:bCs/>
          <w:sz w:val="24"/>
          <w:szCs w:val="24"/>
          <w:u w:val="single"/>
        </w:rPr>
        <w:t>Key Activities:</w:t>
      </w:r>
    </w:p>
    <w:p w:rsidR="005531F9" w:rsidRPr="005531F9" w:rsidRDefault="00A53D6B" w:rsidP="003E1DE2">
      <w:pPr>
        <w:jc w:val="both"/>
        <w:rPr>
          <w:rFonts w:cs="ACaslon-Bold"/>
        </w:rPr>
      </w:pPr>
      <w:r>
        <w:rPr>
          <w:rFonts w:cs="ACaslon-Regular"/>
        </w:rPr>
        <w:t xml:space="preserve">The </w:t>
      </w:r>
      <w:r w:rsidR="00C61AB7">
        <w:rPr>
          <w:rFonts w:cs="ACaslon-Regular"/>
        </w:rPr>
        <w:t>Service Provider</w:t>
      </w:r>
      <w:r>
        <w:rPr>
          <w:rFonts w:cs="ACaslon-Regular"/>
        </w:rPr>
        <w:t xml:space="preserve"> will be expected to undertake the following activities: </w:t>
      </w:r>
    </w:p>
    <w:p w:rsidR="00D00991" w:rsidRPr="00477D39" w:rsidRDefault="002A3E06" w:rsidP="00477D39">
      <w:pPr>
        <w:pStyle w:val="ListParagraph"/>
        <w:numPr>
          <w:ilvl w:val="0"/>
          <w:numId w:val="23"/>
        </w:numPr>
        <w:jc w:val="both"/>
        <w:rPr>
          <w:rFonts w:cs="ACaslon-Regular"/>
        </w:rPr>
      </w:pPr>
      <w:r w:rsidRPr="00477D39">
        <w:rPr>
          <w:rFonts w:cs="ACaslon-Regular"/>
          <w:b/>
          <w:bCs/>
        </w:rPr>
        <w:t xml:space="preserve">Produce an approach paper specifying the sampling strategy and a pre-analysis plan detailing a mixed method impact evaluation design. </w:t>
      </w:r>
      <w:r>
        <w:rPr>
          <w:rFonts w:cs="ACaslon-Regular"/>
          <w:b/>
          <w:bCs/>
        </w:rPr>
        <w:t xml:space="preserve"> </w:t>
      </w:r>
    </w:p>
    <w:p w:rsidR="00D00991" w:rsidRPr="00D00991" w:rsidRDefault="00154C33" w:rsidP="00477D39">
      <w:pPr>
        <w:pStyle w:val="ListParagraph"/>
        <w:numPr>
          <w:ilvl w:val="0"/>
          <w:numId w:val="25"/>
        </w:numPr>
        <w:jc w:val="both"/>
        <w:rPr>
          <w:rFonts w:cs="ACaslon-Regular"/>
        </w:rPr>
      </w:pPr>
      <w:r>
        <w:rPr>
          <w:rFonts w:cs="ACaslon-Regular"/>
          <w:bCs/>
        </w:rPr>
        <w:t>Target</w:t>
      </w:r>
      <w:r w:rsidR="00D00991" w:rsidRPr="00D00991">
        <w:rPr>
          <w:rFonts w:cs="ACaslon-Regular"/>
          <w:bCs/>
        </w:rPr>
        <w:t xml:space="preserve"> locations in </w:t>
      </w:r>
      <w:r>
        <w:rPr>
          <w:rFonts w:cs="ACaslon-Regular"/>
          <w:bCs/>
        </w:rPr>
        <w:t>8</w:t>
      </w:r>
      <w:r w:rsidR="00D00991" w:rsidRPr="00D00991">
        <w:rPr>
          <w:rFonts w:cs="ACaslon-Regular"/>
          <w:bCs/>
        </w:rPr>
        <w:t xml:space="preserve"> Governorates: Rural Damascus- Homs- Hama</w:t>
      </w:r>
      <w:r w:rsidR="00FE5209">
        <w:rPr>
          <w:rFonts w:cs="ACaslon-Regular"/>
          <w:bCs/>
        </w:rPr>
        <w:t xml:space="preserve">- Tartous- Lattakia- Aleppo, </w:t>
      </w:r>
      <w:r w:rsidR="00D00991" w:rsidRPr="00D00991">
        <w:rPr>
          <w:rFonts w:cs="ACaslon-Regular"/>
          <w:bCs/>
        </w:rPr>
        <w:t>Hasakeh</w:t>
      </w:r>
      <w:r w:rsidR="00FE5209">
        <w:rPr>
          <w:rFonts w:cs="ACaslon-Regular"/>
          <w:bCs/>
        </w:rPr>
        <w:t>, and DerEzour</w:t>
      </w:r>
      <w:r w:rsidR="00D00991" w:rsidRPr="00D00991">
        <w:rPr>
          <w:rFonts w:cs="ACaslon-Regular"/>
          <w:bCs/>
        </w:rPr>
        <w:t>. UNDP will provide a list of locations a</w:t>
      </w:r>
      <w:r w:rsidR="00FE5209">
        <w:rPr>
          <w:rFonts w:cs="ACaslon-Regular"/>
          <w:bCs/>
        </w:rPr>
        <w:t>nd interventions to be targeted, as an annex and part of this ToR.</w:t>
      </w:r>
    </w:p>
    <w:p w:rsidR="002A3E06" w:rsidRPr="00154C33" w:rsidRDefault="002A3E06" w:rsidP="00534A62">
      <w:pPr>
        <w:pStyle w:val="ListParagraph"/>
        <w:numPr>
          <w:ilvl w:val="0"/>
          <w:numId w:val="25"/>
        </w:numPr>
        <w:jc w:val="both"/>
        <w:rPr>
          <w:rFonts w:cs="ACaslon-Regular"/>
          <w:b/>
          <w:bCs/>
        </w:rPr>
      </w:pPr>
      <w:r w:rsidRPr="002A3E06">
        <w:rPr>
          <w:rFonts w:cs="ACaslon-Regular"/>
          <w:bCs/>
        </w:rPr>
        <w:lastRenderedPageBreak/>
        <w:t>The suggested scope of work:</w:t>
      </w:r>
      <w:r w:rsidRPr="00477D39">
        <w:rPr>
          <w:rFonts w:cs="ACaslon-Regular"/>
          <w:b/>
          <w:bCs/>
        </w:rPr>
        <w:t xml:space="preserve"> </w:t>
      </w:r>
      <w:r w:rsidRPr="002A3E06">
        <w:rPr>
          <w:rFonts w:cs="ACaslon-Regular"/>
        </w:rPr>
        <w:t xml:space="preserve">the five Key thematic approaches described above, using 3-4 examples/interventions supported or implanted by UNDP for each thematic area in different locations selected by UNDP Livelihood and Economic Recovery Portfolio. </w:t>
      </w:r>
      <w:r w:rsidR="006F3DF7">
        <w:rPr>
          <w:rFonts w:cs="ACaslon-Regular"/>
          <w:b/>
          <w:bCs/>
        </w:rPr>
        <w:t>A total of 39</w:t>
      </w:r>
      <w:r w:rsidRPr="0008231D">
        <w:rPr>
          <w:rFonts w:cs="ACaslon-Regular"/>
          <w:b/>
          <w:bCs/>
        </w:rPr>
        <w:t xml:space="preserve"> interventions in </w:t>
      </w:r>
      <w:r w:rsidR="00711FBF">
        <w:rPr>
          <w:rFonts w:cs="ACaslon-Regular"/>
          <w:b/>
          <w:bCs/>
        </w:rPr>
        <w:t>8</w:t>
      </w:r>
      <w:r w:rsidRPr="0008231D">
        <w:rPr>
          <w:rFonts w:cs="ACaslon-Regular"/>
          <w:b/>
          <w:bCs/>
        </w:rPr>
        <w:t xml:space="preserve"> locations will be covered and assessed</w:t>
      </w:r>
      <w:r w:rsidRPr="002A3E06">
        <w:rPr>
          <w:rFonts w:cs="ACaslon-Regular"/>
        </w:rPr>
        <w:t xml:space="preserve"> (around 10% of UNDP total implemented projects from Jan 2016- July 2017).  </w:t>
      </w:r>
      <w:r w:rsidRPr="00154C33">
        <w:rPr>
          <w:b/>
          <w:bCs/>
        </w:rPr>
        <w:t>In addition, the contractor/service</w:t>
      </w:r>
      <w:r>
        <w:t xml:space="preserve"> </w:t>
      </w:r>
      <w:r w:rsidRPr="00154C33">
        <w:rPr>
          <w:b/>
          <w:bCs/>
        </w:rPr>
        <w:t xml:space="preserve">provider will look at </w:t>
      </w:r>
      <w:r w:rsidR="0008231D" w:rsidRPr="00154C33">
        <w:rPr>
          <w:b/>
          <w:bCs/>
        </w:rPr>
        <w:t xml:space="preserve">least </w:t>
      </w:r>
      <w:r w:rsidR="00FE5209">
        <w:rPr>
          <w:b/>
          <w:bCs/>
        </w:rPr>
        <w:t>2</w:t>
      </w:r>
      <w:r w:rsidRPr="00154C33">
        <w:rPr>
          <w:b/>
          <w:bCs/>
        </w:rPr>
        <w:t xml:space="preserve"> emergency-based interventions that UNDP conducted to support livelihood activities in hard-to-reach areas or newly accessible areas.</w:t>
      </w:r>
    </w:p>
    <w:p w:rsidR="00D00991" w:rsidRPr="00D00991" w:rsidRDefault="00D00991" w:rsidP="00534A62">
      <w:pPr>
        <w:pStyle w:val="ListParagraph"/>
        <w:numPr>
          <w:ilvl w:val="0"/>
          <w:numId w:val="25"/>
        </w:numPr>
        <w:jc w:val="both"/>
        <w:rPr>
          <w:rFonts w:cs="ACaslon-Regular"/>
        </w:rPr>
      </w:pPr>
      <w:r w:rsidRPr="00D00991">
        <w:rPr>
          <w:rFonts w:cs="ACaslon-Regular"/>
        </w:rPr>
        <w:t>Targeted interventions and location per type of intervention: (to be selected by portfolio manager in consultation with UNDP field team)</w:t>
      </w:r>
      <w:r>
        <w:rPr>
          <w:rFonts w:cs="ACaslon-Regular"/>
        </w:rPr>
        <w:t xml:space="preserve">, including the following: </w:t>
      </w:r>
    </w:p>
    <w:p w:rsidR="00D00991" w:rsidRPr="00D00991" w:rsidRDefault="00D00991" w:rsidP="00534A62">
      <w:pPr>
        <w:pStyle w:val="ListParagraph"/>
        <w:numPr>
          <w:ilvl w:val="0"/>
          <w:numId w:val="26"/>
        </w:numPr>
        <w:jc w:val="both"/>
        <w:rPr>
          <w:rFonts w:cs="ACaslon-Regular"/>
        </w:rPr>
      </w:pPr>
      <w:r w:rsidRPr="00D00991">
        <w:rPr>
          <w:rFonts w:cs="ACaslon-Regular"/>
        </w:rPr>
        <w:t>Disrupted livelihoods, including small businesses and social and productive enterprises, restored and revived: Aleppo, Rural Damascus, Homs</w:t>
      </w:r>
      <w:r w:rsidR="00FE5209">
        <w:rPr>
          <w:rFonts w:cs="ACaslon-Regular"/>
        </w:rPr>
        <w:t>, and Hama</w:t>
      </w:r>
    </w:p>
    <w:p w:rsidR="00D00991" w:rsidRPr="00D00991" w:rsidRDefault="00D00991" w:rsidP="00534A62">
      <w:pPr>
        <w:pStyle w:val="ListParagraph"/>
        <w:numPr>
          <w:ilvl w:val="0"/>
          <w:numId w:val="26"/>
        </w:numPr>
        <w:jc w:val="both"/>
        <w:rPr>
          <w:rFonts w:cs="ACaslon-Regular"/>
        </w:rPr>
      </w:pPr>
      <w:r w:rsidRPr="00D00991">
        <w:rPr>
          <w:rFonts w:cs="ACaslon-Regular"/>
        </w:rPr>
        <w:t xml:space="preserve">Market revival and support to </w:t>
      </w:r>
      <w:r w:rsidR="0008231D">
        <w:rPr>
          <w:rFonts w:cs="ACaslon-Regular"/>
        </w:rPr>
        <w:t xml:space="preserve">Micro and Small Enterprises </w:t>
      </w:r>
      <w:r w:rsidRPr="00D00991">
        <w:rPr>
          <w:rFonts w:cs="ACaslon-Regular"/>
        </w:rPr>
        <w:t>(</w:t>
      </w:r>
      <w:r w:rsidR="0008231D">
        <w:rPr>
          <w:rFonts w:cs="ACaslon-Regular"/>
        </w:rPr>
        <w:t>MSEs) from the</w:t>
      </w:r>
      <w:r w:rsidRPr="00D00991">
        <w:rPr>
          <w:rFonts w:cs="ACaslon-Regular"/>
        </w:rPr>
        <w:t xml:space="preserve"> private sector: Tartous, Homs</w:t>
      </w:r>
    </w:p>
    <w:p w:rsidR="00D00991" w:rsidRPr="00D00991" w:rsidRDefault="00D00991" w:rsidP="00534A62">
      <w:pPr>
        <w:pStyle w:val="ListParagraph"/>
        <w:numPr>
          <w:ilvl w:val="0"/>
          <w:numId w:val="26"/>
        </w:numPr>
        <w:jc w:val="both"/>
        <w:rPr>
          <w:rFonts w:cs="ACaslon-Regular"/>
        </w:rPr>
      </w:pPr>
      <w:r w:rsidRPr="00D00991">
        <w:rPr>
          <w:rFonts w:cs="ACaslon-Regular"/>
        </w:rPr>
        <w:t>Livelihood opportunities supported for vulnerable groups: Rural Damascus, Hama, Lattakia, Hasakeh</w:t>
      </w:r>
      <w:r w:rsidR="00154C33">
        <w:rPr>
          <w:rFonts w:cs="ACaslon-Regular"/>
        </w:rPr>
        <w:t xml:space="preserve">- </w:t>
      </w:r>
      <w:r w:rsidR="00711FBF">
        <w:rPr>
          <w:rFonts w:cs="ACaslon-Regular"/>
        </w:rPr>
        <w:t xml:space="preserve">and </w:t>
      </w:r>
      <w:r w:rsidR="00154C33">
        <w:rPr>
          <w:rFonts w:cs="ACaslon-Regular"/>
        </w:rPr>
        <w:t>DerEzour</w:t>
      </w:r>
    </w:p>
    <w:p w:rsidR="00D00991" w:rsidRPr="00D00991" w:rsidRDefault="00D00991" w:rsidP="00477D39">
      <w:pPr>
        <w:pStyle w:val="ListParagraph"/>
        <w:numPr>
          <w:ilvl w:val="0"/>
          <w:numId w:val="26"/>
        </w:numPr>
        <w:jc w:val="both"/>
        <w:rPr>
          <w:rFonts w:cs="ACaslon-Regular"/>
        </w:rPr>
      </w:pPr>
      <w:r w:rsidRPr="00D00991">
        <w:rPr>
          <w:rFonts w:cs="ACaslon-Regular"/>
        </w:rPr>
        <w:t>Sector-based Livelihood- Agriculture: Hasakeh, Lattakia, Rural Damascus</w:t>
      </w:r>
      <w:r>
        <w:rPr>
          <w:rFonts w:cs="ACaslon-Regular"/>
        </w:rPr>
        <w:t xml:space="preserve">, </w:t>
      </w:r>
      <w:r w:rsidRPr="00D00991">
        <w:rPr>
          <w:rFonts w:cs="ACaslon-Regular"/>
        </w:rPr>
        <w:t>Hama</w:t>
      </w:r>
      <w:r w:rsidR="0008231D">
        <w:rPr>
          <w:rFonts w:cs="ACaslon-Regular"/>
        </w:rPr>
        <w:t>, Homs</w:t>
      </w:r>
    </w:p>
    <w:p w:rsidR="00D00991" w:rsidRDefault="00D00991" w:rsidP="00477D39">
      <w:pPr>
        <w:pStyle w:val="ListParagraph"/>
        <w:numPr>
          <w:ilvl w:val="0"/>
          <w:numId w:val="26"/>
        </w:numPr>
        <w:jc w:val="both"/>
        <w:rPr>
          <w:rFonts w:cs="ACaslon-Regular"/>
        </w:rPr>
      </w:pPr>
      <w:r w:rsidRPr="00D00991">
        <w:rPr>
          <w:rFonts w:cs="ACaslon-Regular"/>
        </w:rPr>
        <w:t>Business support</w:t>
      </w:r>
      <w:r w:rsidR="0008231D">
        <w:rPr>
          <w:rFonts w:cs="ACaslon-Regular"/>
        </w:rPr>
        <w:t xml:space="preserve">, </w:t>
      </w:r>
      <w:r w:rsidR="0008231D" w:rsidRPr="00534A62">
        <w:rPr>
          <w:rFonts w:cs="ACaslon-Regular"/>
        </w:rPr>
        <w:t>vocational training,</w:t>
      </w:r>
      <w:r w:rsidRPr="00534A62">
        <w:rPr>
          <w:rFonts w:cs="ACaslon-Regular"/>
        </w:rPr>
        <w:t xml:space="preserve"> and </w:t>
      </w:r>
      <w:r w:rsidR="0008231D" w:rsidRPr="00534A62">
        <w:rPr>
          <w:rFonts w:cs="ACaslon-Regular"/>
        </w:rPr>
        <w:t xml:space="preserve">supporting </w:t>
      </w:r>
      <w:r w:rsidRPr="00534A62">
        <w:rPr>
          <w:rFonts w:cs="ACaslon-Regular"/>
        </w:rPr>
        <w:t xml:space="preserve">entrepreneurship skills </w:t>
      </w:r>
      <w:r w:rsidR="0008231D" w:rsidRPr="00534A62">
        <w:rPr>
          <w:rFonts w:cs="ACaslon-Regular"/>
        </w:rPr>
        <w:t xml:space="preserve">and opportunities </w:t>
      </w:r>
      <w:r w:rsidRPr="00534A62">
        <w:rPr>
          <w:rFonts w:cs="ACaslon-Regular"/>
        </w:rPr>
        <w:t>for youth:</w:t>
      </w:r>
      <w:r>
        <w:rPr>
          <w:rFonts w:cs="ACaslon-Regular"/>
        </w:rPr>
        <w:t xml:space="preserve"> </w:t>
      </w:r>
      <w:r w:rsidRPr="00D00991">
        <w:rPr>
          <w:rFonts w:cs="ACaslon-Regular"/>
        </w:rPr>
        <w:t xml:space="preserve">Tartous, Rural Damascus, Hama, </w:t>
      </w:r>
      <w:r w:rsidR="00711FBF">
        <w:rPr>
          <w:rFonts w:cs="ACaslon-Regular"/>
        </w:rPr>
        <w:t xml:space="preserve">Homs, </w:t>
      </w:r>
      <w:r w:rsidRPr="00D00991">
        <w:rPr>
          <w:rFonts w:cs="ACaslon-Regular"/>
        </w:rPr>
        <w:t>Aleppo</w:t>
      </w:r>
      <w:r>
        <w:rPr>
          <w:rFonts w:cs="ACaslon-Regular"/>
        </w:rPr>
        <w:t xml:space="preserve">, </w:t>
      </w:r>
      <w:r w:rsidR="00711FBF">
        <w:rPr>
          <w:rFonts w:cs="ACaslon-Regular"/>
        </w:rPr>
        <w:t xml:space="preserve">and </w:t>
      </w:r>
      <w:r w:rsidRPr="00D00991">
        <w:rPr>
          <w:rFonts w:cs="ACaslon-Regular"/>
        </w:rPr>
        <w:t>Hasakeh</w:t>
      </w:r>
    </w:p>
    <w:p w:rsidR="0008231D" w:rsidRPr="00D00991" w:rsidRDefault="0008231D" w:rsidP="0008231D">
      <w:pPr>
        <w:pStyle w:val="ListParagraph"/>
        <w:ind w:left="1800"/>
        <w:jc w:val="both"/>
        <w:rPr>
          <w:rFonts w:cs="ACaslon-Regular"/>
        </w:rPr>
      </w:pPr>
    </w:p>
    <w:p w:rsidR="00F45813" w:rsidRPr="00D00991" w:rsidRDefault="00F45813" w:rsidP="00477D39">
      <w:pPr>
        <w:pStyle w:val="ListParagraph"/>
        <w:numPr>
          <w:ilvl w:val="0"/>
          <w:numId w:val="23"/>
        </w:numPr>
        <w:jc w:val="both"/>
        <w:rPr>
          <w:rFonts w:cs="ACaslon-Regular"/>
        </w:rPr>
      </w:pPr>
      <w:r w:rsidRPr="00C61AB7">
        <w:rPr>
          <w:rFonts w:cs="ACaslon-Regular"/>
          <w:b/>
          <w:bCs/>
        </w:rPr>
        <w:t>Create an engagement and communication plan</w:t>
      </w:r>
      <w:r>
        <w:rPr>
          <w:rFonts w:cs="ACaslon-Regular"/>
        </w:rPr>
        <w:t xml:space="preserve"> for key stakeholders</w:t>
      </w:r>
    </w:p>
    <w:p w:rsidR="002A0B0E" w:rsidRPr="002A0B0E" w:rsidRDefault="002A3E06" w:rsidP="002A0B0E">
      <w:pPr>
        <w:pStyle w:val="ListParagraph"/>
        <w:numPr>
          <w:ilvl w:val="0"/>
          <w:numId w:val="23"/>
        </w:numPr>
        <w:jc w:val="both"/>
        <w:rPr>
          <w:rFonts w:cs="ACaslon-Regular"/>
        </w:rPr>
      </w:pPr>
      <w:r w:rsidRPr="00477D39">
        <w:rPr>
          <w:rFonts w:cs="ACaslon-Regular"/>
          <w:b/>
          <w:bCs/>
        </w:rPr>
        <w:t xml:space="preserve">Produce </w:t>
      </w:r>
      <w:r w:rsidR="00F45813" w:rsidRPr="003E1DE2">
        <w:rPr>
          <w:rFonts w:cs="ACaslon-Regular"/>
          <w:b/>
          <w:bCs/>
        </w:rPr>
        <w:t>e</w:t>
      </w:r>
      <w:r w:rsidR="00FE06C9" w:rsidRPr="00477D39">
        <w:rPr>
          <w:rFonts w:cs="ACaslon-Regular"/>
          <w:b/>
          <w:bCs/>
        </w:rPr>
        <w:t xml:space="preserve">valuation </w:t>
      </w:r>
      <w:r w:rsidR="003E1DE2" w:rsidRPr="003E1DE2">
        <w:rPr>
          <w:rFonts w:cs="ACaslon-Regular"/>
          <w:b/>
          <w:bCs/>
        </w:rPr>
        <w:t>methodology</w:t>
      </w:r>
      <w:r w:rsidR="003E1DE2" w:rsidRPr="003E1DE2">
        <w:rPr>
          <w:rFonts w:cs="ACaslon-Regular"/>
        </w:rPr>
        <w:t>:</w:t>
      </w:r>
      <w:r w:rsidR="00F45813" w:rsidRPr="003E1DE2">
        <w:rPr>
          <w:rFonts w:cs="ACaslon-Regular"/>
        </w:rPr>
        <w:t xml:space="preserve">  </w:t>
      </w:r>
      <w:r w:rsidR="003E1DE2" w:rsidRPr="00790FE9">
        <w:t>Evaluation methodology</w:t>
      </w:r>
      <w:r w:rsidR="003E1DE2">
        <w:t xml:space="preserve"> may include, but not limited to, desk review, field visits, meeting with beneficiaries, interviews with key informants and partners, community feedback, rapid i</w:t>
      </w:r>
      <w:r w:rsidR="0008231D">
        <w:t xml:space="preserve">mpact assessment using surveys </w:t>
      </w:r>
      <w:r w:rsidR="003E1DE2">
        <w:t xml:space="preserve">etc. </w:t>
      </w:r>
      <w:r w:rsidR="00F45813" w:rsidRPr="003E1DE2">
        <w:rPr>
          <w:rFonts w:cs="ACaslon-Regular"/>
        </w:rPr>
        <w:t xml:space="preserve">Given that there is no baselines available, it is required to review the </w:t>
      </w:r>
      <w:r w:rsidR="003E1DE2" w:rsidRPr="003E1DE2">
        <w:rPr>
          <w:rFonts w:cs="ACaslon-Regular"/>
        </w:rPr>
        <w:t>existing</w:t>
      </w:r>
      <w:r w:rsidR="00F45813" w:rsidRPr="003E1DE2">
        <w:rPr>
          <w:rFonts w:cs="ACaslon-Regular"/>
        </w:rPr>
        <w:t xml:space="preserve"> meso</w:t>
      </w:r>
      <w:r w:rsidR="003E1DE2" w:rsidRPr="003E1DE2">
        <w:rPr>
          <w:rFonts w:cs="ACaslon-Regular"/>
        </w:rPr>
        <w:t>- or macro level baseline data</w:t>
      </w:r>
      <w:r w:rsidR="00F45813" w:rsidRPr="003E1DE2">
        <w:rPr>
          <w:rFonts w:cs="ACaslon-Regular"/>
        </w:rPr>
        <w:t xml:space="preserve"> to determine comparability of selected </w:t>
      </w:r>
      <w:r w:rsidR="003E1DE2" w:rsidRPr="003E1DE2">
        <w:rPr>
          <w:rFonts w:cs="ACaslon-Regular"/>
        </w:rPr>
        <w:t>indicators as well as determine the validity of these indicators</w:t>
      </w:r>
      <w:r w:rsidR="00361E30" w:rsidRPr="003E1DE2">
        <w:rPr>
          <w:rFonts w:cs="ACaslon-Regular"/>
        </w:rPr>
        <w:t>.</w:t>
      </w:r>
      <w:r w:rsidR="00FE06C9" w:rsidRPr="003E1DE2">
        <w:rPr>
          <w:rFonts w:cs="ACaslon-Regular"/>
        </w:rPr>
        <w:t xml:space="preserve"> </w:t>
      </w:r>
      <w:r w:rsidR="00361E30" w:rsidRPr="003E1DE2">
        <w:rPr>
          <w:rFonts w:cs="ACaslon-Regular"/>
        </w:rPr>
        <w:t xml:space="preserve"> </w:t>
      </w:r>
    </w:p>
    <w:p w:rsidR="00FE06C9" w:rsidRPr="00712E20" w:rsidRDefault="003E1DE2" w:rsidP="00477D39">
      <w:pPr>
        <w:pStyle w:val="ListParagraph"/>
        <w:numPr>
          <w:ilvl w:val="0"/>
          <w:numId w:val="23"/>
        </w:numPr>
      </w:pPr>
      <w:r w:rsidRPr="00477D39">
        <w:rPr>
          <w:rFonts w:cs="ACaslon-Regular"/>
          <w:b/>
        </w:rPr>
        <w:t xml:space="preserve">Develop and pilot </w:t>
      </w:r>
      <w:r w:rsidR="00C61AB7">
        <w:rPr>
          <w:rFonts w:cs="ACaslon-Regular"/>
          <w:b/>
        </w:rPr>
        <w:t>end-</w:t>
      </w:r>
      <w:r w:rsidR="00C61AB7" w:rsidRPr="00477D39">
        <w:rPr>
          <w:rFonts w:cs="ACaslon-Regular"/>
          <w:b/>
        </w:rPr>
        <w:t>line</w:t>
      </w:r>
      <w:r w:rsidRPr="00477D39">
        <w:rPr>
          <w:rFonts w:cs="ACaslon-Regular"/>
          <w:b/>
        </w:rPr>
        <w:t xml:space="preserve"> questionnaire to evaluate the impacts</w:t>
      </w:r>
      <w:r w:rsidR="002A0B0E" w:rsidRPr="002A0B0E">
        <w:rPr>
          <w:rFonts w:cs="ACaslon-Regular"/>
        </w:rPr>
        <w:t>:</w:t>
      </w:r>
      <w:r w:rsidRPr="002A0B0E">
        <w:rPr>
          <w:rFonts w:cs="ACaslon-Regular"/>
        </w:rPr>
        <w:t xml:space="preserve"> </w:t>
      </w:r>
      <w:r>
        <w:t xml:space="preserve"> Questionnaire </w:t>
      </w:r>
      <w:r w:rsidR="008A08BE">
        <w:t>may</w:t>
      </w:r>
      <w:r w:rsidR="00FE06C9" w:rsidRPr="00712E20">
        <w:t xml:space="preserve"> include</w:t>
      </w:r>
      <w:r w:rsidR="004C051A">
        <w:t>, but not limited to the following questions</w:t>
      </w:r>
      <w:r w:rsidR="00FE06C9" w:rsidRPr="00712E20">
        <w:t>:</w:t>
      </w:r>
    </w:p>
    <w:p w:rsidR="00FE06C9" w:rsidRPr="00712E20" w:rsidRDefault="00FE06C9" w:rsidP="00477D39">
      <w:pPr>
        <w:pStyle w:val="ListParagraph"/>
        <w:numPr>
          <w:ilvl w:val="0"/>
          <w:numId w:val="5"/>
        </w:numPr>
        <w:autoSpaceDE w:val="0"/>
        <w:autoSpaceDN w:val="0"/>
        <w:adjustRightInd w:val="0"/>
        <w:spacing w:after="0" w:line="240" w:lineRule="auto"/>
        <w:jc w:val="both"/>
        <w:rPr>
          <w:rFonts w:cs="ACaslon-Regular"/>
        </w:rPr>
      </w:pPr>
      <w:r w:rsidRPr="00712E20">
        <w:rPr>
          <w:rFonts w:cs="ACaslon-Regular"/>
        </w:rPr>
        <w:t xml:space="preserve">Were </w:t>
      </w:r>
      <w:r w:rsidR="006D61FF" w:rsidRPr="00712E20">
        <w:rPr>
          <w:rFonts w:cs="ACaslon-Regular"/>
        </w:rPr>
        <w:t xml:space="preserve">the </w:t>
      </w:r>
      <w:r w:rsidR="006C2302">
        <w:rPr>
          <w:rFonts w:cs="ACaslon-Regular"/>
        </w:rPr>
        <w:t>project</w:t>
      </w:r>
      <w:r w:rsidR="00C61AB7">
        <w:rPr>
          <w:rFonts w:cs="ACaslon-Regular"/>
        </w:rPr>
        <w:t>s</w:t>
      </w:r>
      <w:r w:rsidR="005830A7">
        <w:rPr>
          <w:rFonts w:cs="ACaslon-Regular"/>
        </w:rPr>
        <w:t>’</w:t>
      </w:r>
      <w:r w:rsidR="006C2302">
        <w:rPr>
          <w:rFonts w:cs="ACaslon-Regular"/>
        </w:rPr>
        <w:t xml:space="preserve"> </w:t>
      </w:r>
      <w:r w:rsidRPr="00712E20">
        <w:rPr>
          <w:rFonts w:cs="ACaslon-Regular"/>
        </w:rPr>
        <w:t>stated outcomes or outputs achieved?</w:t>
      </w:r>
      <w:r w:rsidR="006D61FF" w:rsidRPr="00712E20">
        <w:rPr>
          <w:rFonts w:cs="ACaslon-Regular"/>
        </w:rPr>
        <w:t xml:space="preserve"> </w:t>
      </w:r>
      <w:r w:rsidR="006C2302">
        <w:rPr>
          <w:rFonts w:cs="ACaslon-Regular"/>
        </w:rPr>
        <w:t>a</w:t>
      </w:r>
      <w:r w:rsidR="006D61FF" w:rsidRPr="00712E20">
        <w:rPr>
          <w:rFonts w:cs="ACaslon-Regular"/>
        </w:rPr>
        <w:t>nd how are these linked to the impact of pe</w:t>
      </w:r>
      <w:r w:rsidR="0008231D">
        <w:rPr>
          <w:rFonts w:cs="ACaslon-Regular"/>
        </w:rPr>
        <w:t xml:space="preserve">ople’s livelihood and community’ </w:t>
      </w:r>
      <w:r w:rsidR="006D61FF" w:rsidRPr="00712E20">
        <w:rPr>
          <w:rFonts w:cs="ACaslon-Regular"/>
        </w:rPr>
        <w:t>economic recovery?</w:t>
      </w:r>
    </w:p>
    <w:p w:rsidR="00FE06C9" w:rsidRPr="00712E20" w:rsidRDefault="00FE06C9" w:rsidP="00477D39">
      <w:pPr>
        <w:pStyle w:val="ListParagraph"/>
        <w:numPr>
          <w:ilvl w:val="0"/>
          <w:numId w:val="5"/>
        </w:numPr>
        <w:autoSpaceDE w:val="0"/>
        <w:autoSpaceDN w:val="0"/>
        <w:adjustRightInd w:val="0"/>
        <w:spacing w:after="0" w:line="240" w:lineRule="auto"/>
        <w:jc w:val="both"/>
        <w:rPr>
          <w:rFonts w:cs="ACaslon-Regular"/>
        </w:rPr>
      </w:pPr>
      <w:r w:rsidRPr="00712E20">
        <w:rPr>
          <w:rFonts w:cs="ACaslon-Regular"/>
        </w:rPr>
        <w:t xml:space="preserve">What progress toward the outcomes </w:t>
      </w:r>
      <w:r w:rsidR="006D61FF" w:rsidRPr="00712E20">
        <w:rPr>
          <w:rFonts w:cs="ACaslon-Regular"/>
        </w:rPr>
        <w:t xml:space="preserve">and social impact </w:t>
      </w:r>
      <w:r w:rsidRPr="00712E20">
        <w:rPr>
          <w:rFonts w:cs="ACaslon-Regular"/>
        </w:rPr>
        <w:t>has been made?</w:t>
      </w:r>
      <w:r w:rsidR="006A0BBC" w:rsidRPr="00712E20">
        <w:rPr>
          <w:rFonts w:cs="ACaslon-Regular"/>
        </w:rPr>
        <w:t xml:space="preserve"> And what a</w:t>
      </w:r>
      <w:r w:rsidR="000348D9" w:rsidRPr="00712E20">
        <w:rPr>
          <w:rFonts w:cs="ACaslon-Regular"/>
        </w:rPr>
        <w:t>re the indicators to measure this</w:t>
      </w:r>
      <w:r w:rsidR="006A0BBC" w:rsidRPr="00712E20">
        <w:rPr>
          <w:rFonts w:cs="ACaslon-Regular"/>
        </w:rPr>
        <w:t xml:space="preserve"> prog</w:t>
      </w:r>
      <w:r w:rsidR="000348D9" w:rsidRPr="00712E20">
        <w:rPr>
          <w:rFonts w:cs="ACaslon-Regular"/>
        </w:rPr>
        <w:t>r</w:t>
      </w:r>
      <w:r w:rsidR="006A0BBC" w:rsidRPr="00712E20">
        <w:rPr>
          <w:rFonts w:cs="ACaslon-Regular"/>
        </w:rPr>
        <w:t>ess?</w:t>
      </w:r>
    </w:p>
    <w:p w:rsidR="00FE06C9" w:rsidRPr="00712E20" w:rsidRDefault="00FE06C9" w:rsidP="00477D39">
      <w:pPr>
        <w:pStyle w:val="ListParagraph"/>
        <w:numPr>
          <w:ilvl w:val="0"/>
          <w:numId w:val="5"/>
        </w:numPr>
        <w:autoSpaceDE w:val="0"/>
        <w:autoSpaceDN w:val="0"/>
        <w:adjustRightInd w:val="0"/>
        <w:spacing w:after="0" w:line="240" w:lineRule="auto"/>
        <w:jc w:val="both"/>
        <w:rPr>
          <w:rFonts w:cs="ACaslon-Regular"/>
        </w:rPr>
      </w:pPr>
      <w:r w:rsidRPr="00712E20">
        <w:rPr>
          <w:rFonts w:cs="ACaslon-Regular"/>
        </w:rPr>
        <w:t>What factors have contributed to achieving or not achieving intended outcomes</w:t>
      </w:r>
      <w:r w:rsidR="006D61FF" w:rsidRPr="00712E20">
        <w:rPr>
          <w:rFonts w:cs="ACaslon-Regular"/>
        </w:rPr>
        <w:t xml:space="preserve"> and impact</w:t>
      </w:r>
      <w:r w:rsidRPr="00712E20">
        <w:rPr>
          <w:rFonts w:cs="ACaslon-Regular"/>
        </w:rPr>
        <w:t>?</w:t>
      </w:r>
    </w:p>
    <w:p w:rsidR="00FE06C9" w:rsidRPr="00712E20" w:rsidRDefault="00FE06C9" w:rsidP="00534A62">
      <w:pPr>
        <w:pStyle w:val="ListParagraph"/>
        <w:numPr>
          <w:ilvl w:val="0"/>
          <w:numId w:val="5"/>
        </w:numPr>
        <w:autoSpaceDE w:val="0"/>
        <w:autoSpaceDN w:val="0"/>
        <w:adjustRightInd w:val="0"/>
        <w:spacing w:after="0" w:line="240" w:lineRule="auto"/>
        <w:jc w:val="both"/>
        <w:rPr>
          <w:rFonts w:cs="ACaslon-Regular"/>
        </w:rPr>
      </w:pPr>
      <w:r w:rsidRPr="00712E20">
        <w:rPr>
          <w:rFonts w:cs="ACaslon-Regular"/>
        </w:rPr>
        <w:t>To wh</w:t>
      </w:r>
      <w:r w:rsidR="006D61FF" w:rsidRPr="00712E20">
        <w:rPr>
          <w:rFonts w:cs="ACaslon-Regular"/>
        </w:rPr>
        <w:t>at extent ha</w:t>
      </w:r>
      <w:r w:rsidR="003E1DE2">
        <w:rPr>
          <w:rFonts w:cs="ACaslon-Regular"/>
        </w:rPr>
        <w:t>s</w:t>
      </w:r>
      <w:r w:rsidR="006D61FF" w:rsidRPr="00712E20">
        <w:rPr>
          <w:rFonts w:cs="ACaslon-Regular"/>
        </w:rPr>
        <w:t xml:space="preserve"> UNDP support </w:t>
      </w:r>
      <w:r w:rsidRPr="00712E20">
        <w:rPr>
          <w:rFonts w:cs="ACaslon-Regular"/>
        </w:rPr>
        <w:t xml:space="preserve">contributed to </w:t>
      </w:r>
      <w:r w:rsidR="0008231D">
        <w:rPr>
          <w:rFonts w:cs="ACaslon-Regular"/>
        </w:rPr>
        <w:t xml:space="preserve">planned </w:t>
      </w:r>
      <w:r w:rsidRPr="00712E20">
        <w:rPr>
          <w:rFonts w:cs="ACaslon-Regular"/>
        </w:rPr>
        <w:t>outcomes</w:t>
      </w:r>
      <w:r w:rsidR="006D61FF" w:rsidRPr="00712E20">
        <w:rPr>
          <w:rFonts w:cs="ACaslon-Regular"/>
        </w:rPr>
        <w:t xml:space="preserve"> and social impact</w:t>
      </w:r>
      <w:r w:rsidR="0008231D">
        <w:rPr>
          <w:rFonts w:cs="ACaslon-Regular"/>
        </w:rPr>
        <w:t xml:space="preserve"> and creating sustainable jobs</w:t>
      </w:r>
      <w:r w:rsidRPr="00712E20">
        <w:rPr>
          <w:rFonts w:cs="ACaslon-Regular"/>
        </w:rPr>
        <w:t>?</w:t>
      </w:r>
    </w:p>
    <w:p w:rsidR="00FE06C9" w:rsidRPr="00712E20" w:rsidRDefault="00FE06C9" w:rsidP="00534A62">
      <w:pPr>
        <w:pStyle w:val="ListParagraph"/>
        <w:numPr>
          <w:ilvl w:val="0"/>
          <w:numId w:val="5"/>
        </w:numPr>
        <w:autoSpaceDE w:val="0"/>
        <w:autoSpaceDN w:val="0"/>
        <w:adjustRightInd w:val="0"/>
        <w:spacing w:after="0" w:line="240" w:lineRule="auto"/>
        <w:jc w:val="both"/>
        <w:rPr>
          <w:rFonts w:cs="ACaslon-Regular"/>
        </w:rPr>
      </w:pPr>
      <w:r w:rsidRPr="00712E20">
        <w:rPr>
          <w:rFonts w:cs="ACaslon-Regular"/>
        </w:rPr>
        <w:t>Has t</w:t>
      </w:r>
      <w:r w:rsidR="006D61FF" w:rsidRPr="00712E20">
        <w:rPr>
          <w:rFonts w:cs="ACaslon-Regular"/>
        </w:rPr>
        <w:t xml:space="preserve">he UNDP partnership approach and techniques </w:t>
      </w:r>
      <w:r w:rsidRPr="00712E20">
        <w:rPr>
          <w:rFonts w:cs="ACaslon-Regular"/>
        </w:rPr>
        <w:t>been appropriate and effective?</w:t>
      </w:r>
    </w:p>
    <w:p w:rsidR="00FE06C9" w:rsidRPr="00712E20" w:rsidRDefault="00FE06C9" w:rsidP="00534A62">
      <w:pPr>
        <w:pStyle w:val="ListParagraph"/>
        <w:numPr>
          <w:ilvl w:val="0"/>
          <w:numId w:val="5"/>
        </w:numPr>
        <w:autoSpaceDE w:val="0"/>
        <w:autoSpaceDN w:val="0"/>
        <w:adjustRightInd w:val="0"/>
        <w:spacing w:after="0" w:line="240" w:lineRule="auto"/>
        <w:jc w:val="both"/>
        <w:rPr>
          <w:rFonts w:cs="ACaslon-Regular"/>
        </w:rPr>
      </w:pPr>
      <w:r w:rsidRPr="00712E20">
        <w:rPr>
          <w:rFonts w:cs="ACaslon-Regular"/>
        </w:rPr>
        <w:t xml:space="preserve">What factors </w:t>
      </w:r>
      <w:r w:rsidR="003E1DE2">
        <w:rPr>
          <w:rFonts w:cs="ACaslon-Regular"/>
        </w:rPr>
        <w:t xml:space="preserve">have </w:t>
      </w:r>
      <w:r w:rsidRPr="004D32A1">
        <w:rPr>
          <w:rFonts w:cs="ACaslon-Regular"/>
          <w:b/>
          <w:bCs/>
        </w:rPr>
        <w:t>contributed to effectiveness or ineffectiveness</w:t>
      </w:r>
      <w:r w:rsidR="006D61FF" w:rsidRPr="00712E20">
        <w:rPr>
          <w:rFonts w:cs="ACaslon-Regular"/>
        </w:rPr>
        <w:t>, and why</w:t>
      </w:r>
      <w:r w:rsidRPr="00712E20">
        <w:rPr>
          <w:rFonts w:cs="ACaslon-Regular"/>
        </w:rPr>
        <w:t>?</w:t>
      </w:r>
    </w:p>
    <w:p w:rsidR="006D61FF" w:rsidRPr="00712E20" w:rsidRDefault="006D61FF" w:rsidP="00534A62">
      <w:pPr>
        <w:pStyle w:val="ListParagraph"/>
        <w:numPr>
          <w:ilvl w:val="0"/>
          <w:numId w:val="5"/>
        </w:numPr>
        <w:autoSpaceDE w:val="0"/>
        <w:autoSpaceDN w:val="0"/>
        <w:adjustRightInd w:val="0"/>
        <w:spacing w:after="0" w:line="240" w:lineRule="auto"/>
        <w:jc w:val="both"/>
        <w:rPr>
          <w:rFonts w:cs="ACaslon-Regular"/>
        </w:rPr>
      </w:pPr>
      <w:r w:rsidRPr="00712E20">
        <w:rPr>
          <w:rFonts w:cs="ACaslon-Regular"/>
        </w:rPr>
        <w:t xml:space="preserve">What are the key </w:t>
      </w:r>
      <w:r w:rsidRPr="00534A62">
        <w:rPr>
          <w:rFonts w:cs="ACaslon-Regular"/>
        </w:rPr>
        <w:t xml:space="preserve">factors, </w:t>
      </w:r>
      <w:r w:rsidR="00D50211" w:rsidRPr="00534A62">
        <w:rPr>
          <w:rFonts w:cs="ACaslon-Regular"/>
        </w:rPr>
        <w:t xml:space="preserve">indicators, </w:t>
      </w:r>
      <w:r w:rsidRPr="00534A62">
        <w:rPr>
          <w:rFonts w:cs="ACaslon-Regular"/>
        </w:rPr>
        <w:t>challenges</w:t>
      </w:r>
      <w:r w:rsidRPr="00712E20">
        <w:rPr>
          <w:rFonts w:cs="ACaslon-Regular"/>
        </w:rPr>
        <w:t xml:space="preserve"> and risks that affect in a positive or a negative way the achievement of project impact?</w:t>
      </w:r>
    </w:p>
    <w:p w:rsidR="006D61FF" w:rsidRPr="00712E20" w:rsidRDefault="006D61FF" w:rsidP="00477D39">
      <w:pPr>
        <w:pStyle w:val="ListParagraph"/>
        <w:numPr>
          <w:ilvl w:val="0"/>
          <w:numId w:val="5"/>
        </w:numPr>
        <w:autoSpaceDE w:val="0"/>
        <w:autoSpaceDN w:val="0"/>
        <w:adjustRightInd w:val="0"/>
        <w:spacing w:after="0" w:line="240" w:lineRule="auto"/>
        <w:jc w:val="both"/>
        <w:rPr>
          <w:rFonts w:cs="ACaslon-Regular"/>
        </w:rPr>
      </w:pPr>
      <w:r w:rsidRPr="00712E20">
        <w:rPr>
          <w:rFonts w:cs="ACaslon-Regular"/>
        </w:rPr>
        <w:t xml:space="preserve">How </w:t>
      </w:r>
      <w:r w:rsidR="003E1DE2">
        <w:rPr>
          <w:rFonts w:cs="ACaslon-Regular"/>
        </w:rPr>
        <w:t xml:space="preserve">did </w:t>
      </w:r>
      <w:r w:rsidRPr="00712E20">
        <w:rPr>
          <w:rFonts w:cs="ACaslon-Regular"/>
        </w:rPr>
        <w:t>the intervention contribute to the big picture and strategic approach of livelihood and economic recovery described above</w:t>
      </w:r>
      <w:r w:rsidR="003E1DE2">
        <w:rPr>
          <w:rFonts w:cs="ACaslon-Regular"/>
        </w:rPr>
        <w:t>?</w:t>
      </w:r>
    </w:p>
    <w:p w:rsidR="002A0B0E" w:rsidRPr="00712E20" w:rsidRDefault="006D61FF" w:rsidP="00477D39">
      <w:pPr>
        <w:pStyle w:val="ListParagraph"/>
        <w:numPr>
          <w:ilvl w:val="0"/>
          <w:numId w:val="5"/>
        </w:numPr>
        <w:autoSpaceDE w:val="0"/>
        <w:autoSpaceDN w:val="0"/>
        <w:adjustRightInd w:val="0"/>
        <w:spacing w:after="0" w:line="240" w:lineRule="auto"/>
        <w:jc w:val="both"/>
        <w:rPr>
          <w:rFonts w:cs="ACaslon-Regular"/>
        </w:rPr>
      </w:pPr>
      <w:r w:rsidRPr="00712E20">
        <w:rPr>
          <w:rFonts w:cs="ACaslon-Regular"/>
        </w:rPr>
        <w:t xml:space="preserve">How </w:t>
      </w:r>
      <w:r w:rsidR="003E1DE2">
        <w:rPr>
          <w:rFonts w:cs="ACaslon-Regular"/>
        </w:rPr>
        <w:t xml:space="preserve">did </w:t>
      </w:r>
      <w:r w:rsidRPr="00712E20">
        <w:rPr>
          <w:rFonts w:cs="ACaslon-Regular"/>
        </w:rPr>
        <w:t xml:space="preserve">the crisis affect the project </w:t>
      </w:r>
      <w:r w:rsidR="00C61AB7" w:rsidRPr="00712E20">
        <w:rPr>
          <w:rFonts w:cs="ACaslon-Regular"/>
        </w:rPr>
        <w:t>implementation</w:t>
      </w:r>
      <w:r w:rsidR="00C61AB7">
        <w:rPr>
          <w:rFonts w:cs="ACaslon-Regular"/>
        </w:rPr>
        <w:t>?</w:t>
      </w:r>
    </w:p>
    <w:p w:rsidR="002A0B0E" w:rsidRDefault="006D61FF" w:rsidP="00477D39">
      <w:pPr>
        <w:pStyle w:val="ListParagraph"/>
        <w:numPr>
          <w:ilvl w:val="0"/>
          <w:numId w:val="5"/>
        </w:numPr>
        <w:autoSpaceDE w:val="0"/>
        <w:autoSpaceDN w:val="0"/>
        <w:adjustRightInd w:val="0"/>
        <w:spacing w:after="0" w:line="240" w:lineRule="auto"/>
        <w:jc w:val="both"/>
      </w:pPr>
      <w:r w:rsidRPr="002A0B0E">
        <w:rPr>
          <w:rFonts w:cs="ACaslon-Regular"/>
        </w:rPr>
        <w:t>What are the key lessons learned and areas of improvement suggested?</w:t>
      </w:r>
    </w:p>
    <w:p w:rsidR="002A0B0E" w:rsidRPr="00712E20" w:rsidRDefault="002A0B0E" w:rsidP="00477D39">
      <w:pPr>
        <w:pStyle w:val="ListParagraph"/>
        <w:autoSpaceDE w:val="0"/>
        <w:autoSpaceDN w:val="0"/>
        <w:adjustRightInd w:val="0"/>
        <w:spacing w:after="0" w:line="240" w:lineRule="auto"/>
        <w:ind w:left="810"/>
        <w:jc w:val="both"/>
        <w:rPr>
          <w:rFonts w:cs="ACaslon-Regular"/>
        </w:rPr>
      </w:pPr>
    </w:p>
    <w:p w:rsidR="00FE06C9" w:rsidRDefault="00412EB9" w:rsidP="00477D39">
      <w:pPr>
        <w:pStyle w:val="ListParagraph"/>
        <w:autoSpaceDE w:val="0"/>
        <w:autoSpaceDN w:val="0"/>
        <w:adjustRightInd w:val="0"/>
        <w:spacing w:after="0" w:line="240" w:lineRule="auto"/>
        <w:ind w:left="810"/>
        <w:jc w:val="both"/>
      </w:pPr>
      <w:r w:rsidRPr="00712E20">
        <w:lastRenderedPageBreak/>
        <w:t xml:space="preserve">It is important to note that </w:t>
      </w:r>
      <w:r w:rsidR="00FE06C9" w:rsidRPr="00712E20">
        <w:t xml:space="preserve">questions must be </w:t>
      </w:r>
      <w:r w:rsidR="0033279D">
        <w:t xml:space="preserve">discussed and </w:t>
      </w:r>
      <w:r w:rsidR="00FE06C9" w:rsidRPr="00712E20">
        <w:t xml:space="preserve">agreed upon among </w:t>
      </w:r>
      <w:r w:rsidR="0033279D">
        <w:t xml:space="preserve">portfolio manager and other users and stakeholders </w:t>
      </w:r>
      <w:r w:rsidR="00FE06C9" w:rsidRPr="00712E20">
        <w:t>in consultation with the evaluation team.</w:t>
      </w:r>
      <w:r w:rsidRPr="00712E20">
        <w:t xml:space="preserve"> The evaluation is expected to cover wide range of direct and indirect impacts some of which are social, economic, and environmental aspects on households, commun</w:t>
      </w:r>
      <w:r w:rsidR="0033279D">
        <w:t>ity and society levels on short,</w:t>
      </w:r>
      <w:r w:rsidRPr="00712E20">
        <w:t xml:space="preserve"> mid and long</w:t>
      </w:r>
      <w:r w:rsidR="0033279D">
        <w:t>er</w:t>
      </w:r>
      <w:r w:rsidRPr="00712E20">
        <w:t>-term</w:t>
      </w:r>
      <w:r w:rsidR="0033279D">
        <w:t>s</w:t>
      </w:r>
      <w:r w:rsidR="00D76E34">
        <w:t>.</w:t>
      </w:r>
      <w:r w:rsidR="0033279D">
        <w:t xml:space="preserve"> </w:t>
      </w:r>
      <w:r w:rsidR="00712E20" w:rsidRPr="00712E20">
        <w:t>Also,</w:t>
      </w:r>
      <w:r w:rsidRPr="00712E20">
        <w:t xml:space="preserve"> it should indicate attributions of other actors in target location if any.</w:t>
      </w:r>
      <w:r w:rsidR="0033279D">
        <w:t xml:space="preserve"> UNDP will support the evaluation team with all supporting document and relevant guidelines</w:t>
      </w:r>
      <w:r w:rsidR="00D76E34">
        <w:t xml:space="preserve"> and logistic support if needed</w:t>
      </w:r>
      <w:r w:rsidR="0033279D">
        <w:t>.</w:t>
      </w:r>
    </w:p>
    <w:p w:rsidR="00123D56" w:rsidRPr="00477D39" w:rsidRDefault="00123D56" w:rsidP="00477D39">
      <w:pPr>
        <w:pStyle w:val="ListParagraph"/>
        <w:numPr>
          <w:ilvl w:val="0"/>
          <w:numId w:val="23"/>
        </w:numPr>
        <w:autoSpaceDE w:val="0"/>
        <w:autoSpaceDN w:val="0"/>
        <w:adjustRightInd w:val="0"/>
        <w:spacing w:after="0" w:line="240" w:lineRule="auto"/>
        <w:jc w:val="both"/>
        <w:rPr>
          <w:b/>
        </w:rPr>
      </w:pPr>
      <w:r w:rsidRPr="00477D39">
        <w:rPr>
          <w:b/>
        </w:rPr>
        <w:t>Conduct filed visits and undertake a qualitative assessment of programme implementation</w:t>
      </w:r>
    </w:p>
    <w:p w:rsidR="00123D56" w:rsidRDefault="00123D56" w:rsidP="00112BB1">
      <w:pPr>
        <w:pStyle w:val="ListParagraph"/>
        <w:numPr>
          <w:ilvl w:val="0"/>
          <w:numId w:val="23"/>
        </w:numPr>
        <w:autoSpaceDE w:val="0"/>
        <w:autoSpaceDN w:val="0"/>
        <w:adjustRightInd w:val="0"/>
        <w:spacing w:after="0" w:line="240" w:lineRule="auto"/>
        <w:jc w:val="both"/>
        <w:rPr>
          <w:b/>
        </w:rPr>
      </w:pPr>
      <w:r w:rsidRPr="00477D39">
        <w:rPr>
          <w:b/>
        </w:rPr>
        <w:t>Conduct data analysis and prepare the impact evaluation report</w:t>
      </w:r>
      <w:r w:rsidR="00154C33">
        <w:rPr>
          <w:b/>
        </w:rPr>
        <w:t xml:space="preserve"> and presentation</w:t>
      </w:r>
      <w:r w:rsidRPr="00477D39">
        <w:rPr>
          <w:b/>
        </w:rPr>
        <w:t xml:space="preserve">. </w:t>
      </w:r>
    </w:p>
    <w:p w:rsidR="00112BB1" w:rsidRPr="00477D39" w:rsidRDefault="00112BB1" w:rsidP="00112BB1">
      <w:pPr>
        <w:pStyle w:val="ListParagraph"/>
        <w:autoSpaceDE w:val="0"/>
        <w:autoSpaceDN w:val="0"/>
        <w:adjustRightInd w:val="0"/>
        <w:spacing w:after="0" w:line="240" w:lineRule="auto"/>
        <w:jc w:val="both"/>
        <w:rPr>
          <w:b/>
        </w:rPr>
      </w:pPr>
    </w:p>
    <w:p w:rsidR="00D94A7A" w:rsidRDefault="00D94A7A" w:rsidP="00D50211">
      <w:pPr>
        <w:shd w:val="clear" w:color="auto" w:fill="D9E2F3" w:themeFill="accent1" w:themeFillTint="33"/>
        <w:autoSpaceDE w:val="0"/>
        <w:autoSpaceDN w:val="0"/>
        <w:adjustRightInd w:val="0"/>
        <w:spacing w:after="0" w:line="240" w:lineRule="auto"/>
        <w:jc w:val="both"/>
        <w:rPr>
          <w:rFonts w:cs="ACaslon-Regular"/>
        </w:rPr>
      </w:pPr>
    </w:p>
    <w:p w:rsidR="00112BB1" w:rsidRDefault="00112BB1" w:rsidP="00112BB1">
      <w:pPr>
        <w:pStyle w:val="ListParagraph"/>
        <w:ind w:left="360"/>
        <w:jc w:val="both"/>
        <w:rPr>
          <w:b/>
          <w:bCs/>
          <w:sz w:val="24"/>
          <w:szCs w:val="24"/>
          <w:u w:val="single"/>
        </w:rPr>
      </w:pPr>
    </w:p>
    <w:p w:rsidR="00123D56" w:rsidRDefault="00D00991" w:rsidP="00CE37C9">
      <w:pPr>
        <w:pStyle w:val="ListParagraph"/>
        <w:numPr>
          <w:ilvl w:val="0"/>
          <w:numId w:val="15"/>
        </w:numPr>
        <w:jc w:val="both"/>
        <w:rPr>
          <w:b/>
          <w:bCs/>
          <w:sz w:val="24"/>
          <w:szCs w:val="24"/>
          <w:u w:val="single"/>
        </w:rPr>
      </w:pPr>
      <w:r w:rsidRPr="00CE37C9">
        <w:rPr>
          <w:b/>
          <w:bCs/>
          <w:sz w:val="24"/>
          <w:szCs w:val="24"/>
          <w:u w:val="single"/>
        </w:rPr>
        <w:t xml:space="preserve">Deliverables and </w:t>
      </w:r>
      <w:r w:rsidR="00123D56" w:rsidRPr="00CE37C9">
        <w:rPr>
          <w:b/>
          <w:bCs/>
          <w:sz w:val="24"/>
          <w:szCs w:val="24"/>
          <w:u w:val="single"/>
        </w:rPr>
        <w:t xml:space="preserve">Timeline: </w:t>
      </w:r>
    </w:p>
    <w:p w:rsidR="00B22252" w:rsidRDefault="00B22252" w:rsidP="00B22252">
      <w:pPr>
        <w:jc w:val="both"/>
        <w:rPr>
          <w:b/>
          <w:bCs/>
          <w:sz w:val="24"/>
          <w:szCs w:val="24"/>
          <w:u w:val="single"/>
        </w:rPr>
      </w:pPr>
    </w:p>
    <w:tbl>
      <w:tblPr>
        <w:tblpPr w:leftFromText="180" w:rightFromText="180" w:vertAnchor="page" w:horzAnchor="margin" w:tblpY="5262"/>
        <w:tblW w:w="0" w:type="auto"/>
        <w:tblCellMar>
          <w:left w:w="0" w:type="dxa"/>
          <w:right w:w="0" w:type="dxa"/>
        </w:tblCellMar>
        <w:tblLook w:val="04A0" w:firstRow="1" w:lastRow="0" w:firstColumn="1" w:lastColumn="0" w:noHBand="0" w:noVBand="1"/>
      </w:tblPr>
      <w:tblGrid>
        <w:gridCol w:w="2809"/>
        <w:gridCol w:w="2264"/>
        <w:gridCol w:w="2133"/>
      </w:tblGrid>
      <w:tr w:rsidR="00B22252" w:rsidTr="00B22252">
        <w:tc>
          <w:tcPr>
            <w:tcW w:w="2809" w:type="dxa"/>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B22252" w:rsidRDefault="00B22252" w:rsidP="00B22252">
            <w:pPr>
              <w:autoSpaceDE w:val="0"/>
              <w:autoSpaceDN w:val="0"/>
              <w:jc w:val="center"/>
              <w:rPr>
                <w:b/>
                <w:bCs/>
              </w:rPr>
            </w:pPr>
            <w:r>
              <w:rPr>
                <w:b/>
                <w:bCs/>
              </w:rPr>
              <w:t>Deliverables</w:t>
            </w:r>
          </w:p>
        </w:tc>
        <w:tc>
          <w:tcPr>
            <w:tcW w:w="2264"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rsidR="00B22252" w:rsidRDefault="00B22252" w:rsidP="00B22252">
            <w:pPr>
              <w:autoSpaceDE w:val="0"/>
              <w:autoSpaceDN w:val="0"/>
              <w:jc w:val="center"/>
              <w:rPr>
                <w:b/>
                <w:bCs/>
              </w:rPr>
            </w:pPr>
            <w:r>
              <w:rPr>
                <w:b/>
                <w:bCs/>
              </w:rPr>
              <w:t>Due date</w:t>
            </w:r>
          </w:p>
        </w:tc>
        <w:tc>
          <w:tcPr>
            <w:tcW w:w="2133"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tcPr>
          <w:p w:rsidR="00B22252" w:rsidRDefault="00B22252" w:rsidP="00B22252">
            <w:pPr>
              <w:autoSpaceDE w:val="0"/>
              <w:autoSpaceDN w:val="0"/>
              <w:jc w:val="center"/>
              <w:rPr>
                <w:b/>
                <w:bCs/>
              </w:rPr>
            </w:pPr>
            <w:r>
              <w:rPr>
                <w:b/>
                <w:bCs/>
              </w:rPr>
              <w:t>Estimated Payment</w:t>
            </w:r>
          </w:p>
        </w:tc>
      </w:tr>
      <w:tr w:rsidR="00B22252" w:rsidTr="00B22252">
        <w:tc>
          <w:tcPr>
            <w:tcW w:w="2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252" w:rsidRDefault="00B22252" w:rsidP="00B22252">
            <w:pPr>
              <w:autoSpaceDE w:val="0"/>
              <w:autoSpaceDN w:val="0"/>
              <w:jc w:val="both"/>
            </w:pPr>
            <w:r>
              <w:t>Inception report based on quick desk review, including action plans</w:t>
            </w:r>
            <w:r>
              <w:rPr>
                <w:shd w:val="clear" w:color="auto" w:fill="D9E2F3"/>
              </w:rPr>
              <w:t>,</w:t>
            </w:r>
            <w:r>
              <w:t xml:space="preserve"> draft design and pre-analysis plan</w:t>
            </w:r>
          </w:p>
        </w:tc>
        <w:tc>
          <w:tcPr>
            <w:tcW w:w="2264" w:type="dxa"/>
            <w:tcBorders>
              <w:top w:val="nil"/>
              <w:left w:val="nil"/>
              <w:bottom w:val="single" w:sz="8" w:space="0" w:color="auto"/>
              <w:right w:val="single" w:sz="8" w:space="0" w:color="auto"/>
            </w:tcBorders>
            <w:tcMar>
              <w:top w:w="0" w:type="dxa"/>
              <w:left w:w="108" w:type="dxa"/>
              <w:bottom w:w="0" w:type="dxa"/>
              <w:right w:w="108" w:type="dxa"/>
            </w:tcMar>
            <w:hideMark/>
          </w:tcPr>
          <w:p w:rsidR="00B22252" w:rsidRPr="00B22252" w:rsidRDefault="00B22252" w:rsidP="00B22252">
            <w:pPr>
              <w:autoSpaceDE w:val="0"/>
              <w:autoSpaceDN w:val="0"/>
              <w:jc w:val="center"/>
            </w:pPr>
            <w:r w:rsidRPr="00B22252">
              <w:t>9 Nov</w:t>
            </w:r>
          </w:p>
        </w:tc>
        <w:tc>
          <w:tcPr>
            <w:tcW w:w="2133" w:type="dxa"/>
            <w:tcBorders>
              <w:top w:val="nil"/>
              <w:left w:val="nil"/>
              <w:bottom w:val="single" w:sz="8" w:space="0" w:color="auto"/>
              <w:right w:val="single" w:sz="8" w:space="0" w:color="auto"/>
            </w:tcBorders>
            <w:tcMar>
              <w:top w:w="0" w:type="dxa"/>
              <w:left w:w="108" w:type="dxa"/>
              <w:bottom w:w="0" w:type="dxa"/>
              <w:right w:w="108" w:type="dxa"/>
            </w:tcMar>
            <w:hideMark/>
          </w:tcPr>
          <w:p w:rsidR="00B22252" w:rsidRPr="00B22252" w:rsidRDefault="00B22252" w:rsidP="00B22252">
            <w:pPr>
              <w:autoSpaceDE w:val="0"/>
              <w:autoSpaceDN w:val="0"/>
              <w:jc w:val="center"/>
              <w:rPr>
                <w:b/>
                <w:bCs/>
              </w:rPr>
            </w:pPr>
            <w:r w:rsidRPr="00B22252">
              <w:rPr>
                <w:b/>
                <w:bCs/>
              </w:rPr>
              <w:t>15 %</w:t>
            </w:r>
          </w:p>
        </w:tc>
      </w:tr>
      <w:tr w:rsidR="00B22252" w:rsidTr="00B22252">
        <w:tc>
          <w:tcPr>
            <w:tcW w:w="2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252" w:rsidRDefault="00B22252" w:rsidP="00B22252">
            <w:pPr>
              <w:autoSpaceDE w:val="0"/>
              <w:autoSpaceDN w:val="0"/>
              <w:jc w:val="both"/>
            </w:pPr>
            <w:r>
              <w:t>Evaluation methodology and Finalizing of paper questionnaires</w:t>
            </w:r>
          </w:p>
        </w:tc>
        <w:tc>
          <w:tcPr>
            <w:tcW w:w="2264" w:type="dxa"/>
            <w:tcBorders>
              <w:top w:val="nil"/>
              <w:left w:val="nil"/>
              <w:bottom w:val="single" w:sz="8" w:space="0" w:color="auto"/>
              <w:right w:val="single" w:sz="8" w:space="0" w:color="auto"/>
            </w:tcBorders>
            <w:tcMar>
              <w:top w:w="0" w:type="dxa"/>
              <w:left w:w="108" w:type="dxa"/>
              <w:bottom w:w="0" w:type="dxa"/>
              <w:right w:w="108" w:type="dxa"/>
            </w:tcMar>
            <w:hideMark/>
          </w:tcPr>
          <w:p w:rsidR="00B22252" w:rsidRPr="00B22252" w:rsidRDefault="00B22252" w:rsidP="00B22252">
            <w:pPr>
              <w:autoSpaceDE w:val="0"/>
              <w:autoSpaceDN w:val="0"/>
              <w:jc w:val="center"/>
            </w:pPr>
            <w:r w:rsidRPr="00B22252">
              <w:t>16 Nov</w:t>
            </w:r>
          </w:p>
        </w:tc>
        <w:tc>
          <w:tcPr>
            <w:tcW w:w="2133" w:type="dxa"/>
            <w:tcBorders>
              <w:top w:val="nil"/>
              <w:left w:val="nil"/>
              <w:bottom w:val="single" w:sz="8" w:space="0" w:color="auto"/>
              <w:right w:val="single" w:sz="8" w:space="0" w:color="auto"/>
            </w:tcBorders>
            <w:tcMar>
              <w:top w:w="0" w:type="dxa"/>
              <w:left w:w="108" w:type="dxa"/>
              <w:bottom w:w="0" w:type="dxa"/>
              <w:right w:w="108" w:type="dxa"/>
            </w:tcMar>
            <w:hideMark/>
          </w:tcPr>
          <w:p w:rsidR="00B22252" w:rsidRPr="00B22252" w:rsidRDefault="00B22252" w:rsidP="00B22252">
            <w:pPr>
              <w:autoSpaceDE w:val="0"/>
              <w:autoSpaceDN w:val="0"/>
              <w:jc w:val="center"/>
              <w:rPr>
                <w:b/>
                <w:bCs/>
              </w:rPr>
            </w:pPr>
            <w:r w:rsidRPr="00B22252">
              <w:rPr>
                <w:b/>
                <w:bCs/>
              </w:rPr>
              <w:t>20 %</w:t>
            </w:r>
          </w:p>
        </w:tc>
      </w:tr>
      <w:tr w:rsidR="00B22252" w:rsidTr="00B22252">
        <w:tc>
          <w:tcPr>
            <w:tcW w:w="2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252" w:rsidRDefault="00B22252" w:rsidP="00B22252">
            <w:pPr>
              <w:autoSpaceDE w:val="0"/>
              <w:autoSpaceDN w:val="0"/>
              <w:jc w:val="both"/>
            </w:pPr>
            <w:r>
              <w:t xml:space="preserve">End-line survey data collection </w:t>
            </w:r>
          </w:p>
        </w:tc>
        <w:tc>
          <w:tcPr>
            <w:tcW w:w="2264" w:type="dxa"/>
            <w:tcBorders>
              <w:top w:val="nil"/>
              <w:left w:val="nil"/>
              <w:bottom w:val="single" w:sz="8" w:space="0" w:color="auto"/>
              <w:right w:val="single" w:sz="8" w:space="0" w:color="auto"/>
            </w:tcBorders>
            <w:tcMar>
              <w:top w:w="0" w:type="dxa"/>
              <w:left w:w="108" w:type="dxa"/>
              <w:bottom w:w="0" w:type="dxa"/>
              <w:right w:w="108" w:type="dxa"/>
            </w:tcMar>
            <w:hideMark/>
          </w:tcPr>
          <w:p w:rsidR="00B22252" w:rsidRPr="00B22252" w:rsidRDefault="00B22252" w:rsidP="00B22252">
            <w:pPr>
              <w:autoSpaceDE w:val="0"/>
              <w:autoSpaceDN w:val="0"/>
              <w:jc w:val="center"/>
            </w:pPr>
            <w:r w:rsidRPr="00B22252">
              <w:t>30 Nov</w:t>
            </w:r>
          </w:p>
        </w:tc>
        <w:tc>
          <w:tcPr>
            <w:tcW w:w="2133" w:type="dxa"/>
            <w:tcBorders>
              <w:top w:val="nil"/>
              <w:left w:val="nil"/>
              <w:bottom w:val="single" w:sz="8" w:space="0" w:color="auto"/>
              <w:right w:val="single" w:sz="8" w:space="0" w:color="auto"/>
            </w:tcBorders>
            <w:tcMar>
              <w:top w:w="0" w:type="dxa"/>
              <w:left w:w="108" w:type="dxa"/>
              <w:bottom w:w="0" w:type="dxa"/>
              <w:right w:w="108" w:type="dxa"/>
            </w:tcMar>
            <w:hideMark/>
          </w:tcPr>
          <w:p w:rsidR="00B22252" w:rsidRPr="00B22252" w:rsidRDefault="00B22252" w:rsidP="00B22252">
            <w:pPr>
              <w:autoSpaceDE w:val="0"/>
              <w:autoSpaceDN w:val="0"/>
              <w:jc w:val="center"/>
              <w:rPr>
                <w:b/>
                <w:bCs/>
              </w:rPr>
            </w:pPr>
            <w:r w:rsidRPr="00B22252">
              <w:rPr>
                <w:b/>
                <w:bCs/>
              </w:rPr>
              <w:t>20 %</w:t>
            </w:r>
          </w:p>
        </w:tc>
      </w:tr>
      <w:tr w:rsidR="00B22252" w:rsidTr="00B22252">
        <w:tc>
          <w:tcPr>
            <w:tcW w:w="2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252" w:rsidRDefault="00B22252" w:rsidP="00B22252">
            <w:pPr>
              <w:autoSpaceDE w:val="0"/>
              <w:autoSpaceDN w:val="0"/>
              <w:jc w:val="both"/>
            </w:pPr>
            <w:r>
              <w:t xml:space="preserve">Impact evaluation report- first draft </w:t>
            </w:r>
          </w:p>
        </w:tc>
        <w:tc>
          <w:tcPr>
            <w:tcW w:w="2264" w:type="dxa"/>
            <w:tcBorders>
              <w:top w:val="nil"/>
              <w:left w:val="nil"/>
              <w:bottom w:val="single" w:sz="8" w:space="0" w:color="auto"/>
              <w:right w:val="single" w:sz="8" w:space="0" w:color="auto"/>
            </w:tcBorders>
            <w:tcMar>
              <w:top w:w="0" w:type="dxa"/>
              <w:left w:w="108" w:type="dxa"/>
              <w:bottom w:w="0" w:type="dxa"/>
              <w:right w:w="108" w:type="dxa"/>
            </w:tcMar>
            <w:hideMark/>
          </w:tcPr>
          <w:p w:rsidR="00B22252" w:rsidRPr="00B22252" w:rsidRDefault="00B22252" w:rsidP="00B22252">
            <w:pPr>
              <w:autoSpaceDE w:val="0"/>
              <w:autoSpaceDN w:val="0"/>
              <w:jc w:val="center"/>
            </w:pPr>
            <w:r w:rsidRPr="00B22252">
              <w:t>14 Dec</w:t>
            </w:r>
          </w:p>
        </w:tc>
        <w:tc>
          <w:tcPr>
            <w:tcW w:w="2133" w:type="dxa"/>
            <w:tcBorders>
              <w:top w:val="nil"/>
              <w:left w:val="nil"/>
              <w:bottom w:val="single" w:sz="8" w:space="0" w:color="auto"/>
              <w:right w:val="single" w:sz="8" w:space="0" w:color="auto"/>
            </w:tcBorders>
            <w:tcMar>
              <w:top w:w="0" w:type="dxa"/>
              <w:left w:w="108" w:type="dxa"/>
              <w:bottom w:w="0" w:type="dxa"/>
              <w:right w:w="108" w:type="dxa"/>
            </w:tcMar>
            <w:hideMark/>
          </w:tcPr>
          <w:p w:rsidR="00B22252" w:rsidRPr="00B22252" w:rsidRDefault="00B22252" w:rsidP="00B22252">
            <w:pPr>
              <w:autoSpaceDE w:val="0"/>
              <w:autoSpaceDN w:val="0"/>
              <w:jc w:val="center"/>
              <w:rPr>
                <w:b/>
                <w:bCs/>
              </w:rPr>
            </w:pPr>
            <w:r w:rsidRPr="00B22252">
              <w:rPr>
                <w:b/>
                <w:bCs/>
              </w:rPr>
              <w:t>20 %</w:t>
            </w:r>
          </w:p>
        </w:tc>
      </w:tr>
      <w:tr w:rsidR="00B22252" w:rsidTr="00B22252">
        <w:tc>
          <w:tcPr>
            <w:tcW w:w="2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252" w:rsidRDefault="00B22252" w:rsidP="00B22252">
            <w:pPr>
              <w:autoSpaceDE w:val="0"/>
              <w:autoSpaceDN w:val="0"/>
              <w:jc w:val="both"/>
            </w:pPr>
            <w:r>
              <w:t xml:space="preserve">Impact evaluation report and presentation, upon satisfactory delivery of the final copy reviewed and endorsed by UNDP LER Portfolio Manager, </w:t>
            </w:r>
          </w:p>
        </w:tc>
        <w:tc>
          <w:tcPr>
            <w:tcW w:w="2264" w:type="dxa"/>
            <w:tcBorders>
              <w:top w:val="nil"/>
              <w:left w:val="nil"/>
              <w:bottom w:val="single" w:sz="8" w:space="0" w:color="auto"/>
              <w:right w:val="single" w:sz="8" w:space="0" w:color="auto"/>
            </w:tcBorders>
            <w:tcMar>
              <w:top w:w="0" w:type="dxa"/>
              <w:left w:w="108" w:type="dxa"/>
              <w:bottom w:w="0" w:type="dxa"/>
              <w:right w:w="108" w:type="dxa"/>
            </w:tcMar>
            <w:hideMark/>
          </w:tcPr>
          <w:p w:rsidR="00B22252" w:rsidRPr="00B22252" w:rsidRDefault="00B22252" w:rsidP="00B22252">
            <w:pPr>
              <w:autoSpaceDE w:val="0"/>
              <w:autoSpaceDN w:val="0"/>
              <w:jc w:val="center"/>
            </w:pPr>
            <w:r w:rsidRPr="00B22252">
              <w:t>31 Dec</w:t>
            </w:r>
          </w:p>
        </w:tc>
        <w:tc>
          <w:tcPr>
            <w:tcW w:w="2133" w:type="dxa"/>
            <w:tcBorders>
              <w:top w:val="nil"/>
              <w:left w:val="nil"/>
              <w:bottom w:val="single" w:sz="8" w:space="0" w:color="auto"/>
              <w:right w:val="single" w:sz="8" w:space="0" w:color="auto"/>
            </w:tcBorders>
            <w:tcMar>
              <w:top w:w="0" w:type="dxa"/>
              <w:left w:w="108" w:type="dxa"/>
              <w:bottom w:w="0" w:type="dxa"/>
              <w:right w:w="108" w:type="dxa"/>
            </w:tcMar>
            <w:hideMark/>
          </w:tcPr>
          <w:p w:rsidR="00B22252" w:rsidRPr="00B22252" w:rsidRDefault="00B22252" w:rsidP="00B22252">
            <w:pPr>
              <w:autoSpaceDE w:val="0"/>
              <w:autoSpaceDN w:val="0"/>
              <w:jc w:val="center"/>
              <w:rPr>
                <w:b/>
                <w:bCs/>
              </w:rPr>
            </w:pPr>
            <w:r w:rsidRPr="00B22252">
              <w:rPr>
                <w:b/>
                <w:bCs/>
              </w:rPr>
              <w:t>25 %</w:t>
            </w:r>
          </w:p>
        </w:tc>
      </w:tr>
    </w:tbl>
    <w:p w:rsidR="00B22252" w:rsidRDefault="00B22252" w:rsidP="00B22252">
      <w:pPr>
        <w:jc w:val="both"/>
        <w:rPr>
          <w:b/>
          <w:bCs/>
          <w:sz w:val="24"/>
          <w:szCs w:val="24"/>
          <w:u w:val="single"/>
        </w:rPr>
      </w:pPr>
    </w:p>
    <w:p w:rsidR="00B22252" w:rsidRDefault="00B22252" w:rsidP="00B22252">
      <w:pPr>
        <w:jc w:val="both"/>
        <w:rPr>
          <w:b/>
          <w:bCs/>
          <w:sz w:val="24"/>
          <w:szCs w:val="24"/>
          <w:u w:val="single"/>
        </w:rPr>
      </w:pPr>
    </w:p>
    <w:p w:rsidR="00B22252" w:rsidRDefault="00B22252" w:rsidP="00B22252">
      <w:pPr>
        <w:jc w:val="both"/>
        <w:rPr>
          <w:b/>
          <w:bCs/>
          <w:sz w:val="24"/>
          <w:szCs w:val="24"/>
          <w:u w:val="single"/>
        </w:rPr>
      </w:pPr>
    </w:p>
    <w:p w:rsidR="00B22252" w:rsidRDefault="00B22252" w:rsidP="00B22252">
      <w:pPr>
        <w:jc w:val="both"/>
        <w:rPr>
          <w:b/>
          <w:bCs/>
          <w:sz w:val="24"/>
          <w:szCs w:val="24"/>
          <w:u w:val="single"/>
        </w:rPr>
      </w:pPr>
    </w:p>
    <w:p w:rsidR="00B22252" w:rsidRDefault="00B22252" w:rsidP="00B22252">
      <w:pPr>
        <w:jc w:val="both"/>
        <w:rPr>
          <w:b/>
          <w:bCs/>
          <w:sz w:val="24"/>
          <w:szCs w:val="24"/>
          <w:u w:val="single"/>
        </w:rPr>
      </w:pPr>
    </w:p>
    <w:p w:rsidR="00B22252" w:rsidRDefault="00B22252" w:rsidP="00B22252">
      <w:pPr>
        <w:jc w:val="both"/>
        <w:rPr>
          <w:b/>
          <w:bCs/>
          <w:sz w:val="24"/>
          <w:szCs w:val="24"/>
          <w:u w:val="single"/>
        </w:rPr>
      </w:pPr>
    </w:p>
    <w:p w:rsidR="00B22252" w:rsidRDefault="00B22252" w:rsidP="00B22252">
      <w:pPr>
        <w:jc w:val="both"/>
        <w:rPr>
          <w:b/>
          <w:bCs/>
          <w:sz w:val="24"/>
          <w:szCs w:val="24"/>
          <w:u w:val="single"/>
        </w:rPr>
      </w:pPr>
    </w:p>
    <w:p w:rsidR="00B22252" w:rsidRDefault="00B22252" w:rsidP="00B22252">
      <w:pPr>
        <w:jc w:val="both"/>
        <w:rPr>
          <w:b/>
          <w:bCs/>
          <w:sz w:val="24"/>
          <w:szCs w:val="24"/>
          <w:u w:val="single"/>
        </w:rPr>
      </w:pPr>
    </w:p>
    <w:p w:rsidR="00B22252" w:rsidRDefault="00B22252" w:rsidP="00B22252">
      <w:pPr>
        <w:jc w:val="both"/>
        <w:rPr>
          <w:b/>
          <w:bCs/>
          <w:sz w:val="24"/>
          <w:szCs w:val="24"/>
          <w:u w:val="single"/>
        </w:rPr>
      </w:pPr>
    </w:p>
    <w:p w:rsidR="00B22252" w:rsidRDefault="00B22252" w:rsidP="00B22252">
      <w:pPr>
        <w:jc w:val="both"/>
        <w:rPr>
          <w:b/>
          <w:bCs/>
          <w:sz w:val="24"/>
          <w:szCs w:val="24"/>
          <w:u w:val="single"/>
        </w:rPr>
      </w:pPr>
    </w:p>
    <w:p w:rsidR="00B22252" w:rsidRDefault="00B22252" w:rsidP="00B22252">
      <w:pPr>
        <w:jc w:val="both"/>
        <w:rPr>
          <w:b/>
          <w:bCs/>
          <w:sz w:val="24"/>
          <w:szCs w:val="24"/>
          <w:u w:val="single"/>
        </w:rPr>
      </w:pPr>
    </w:p>
    <w:p w:rsidR="00B22252" w:rsidRDefault="00B22252" w:rsidP="00B22252">
      <w:pPr>
        <w:jc w:val="both"/>
        <w:rPr>
          <w:b/>
          <w:bCs/>
          <w:sz w:val="24"/>
          <w:szCs w:val="24"/>
          <w:u w:val="single"/>
        </w:rPr>
      </w:pPr>
    </w:p>
    <w:p w:rsidR="00B22252" w:rsidRDefault="00B22252" w:rsidP="00B22252">
      <w:pPr>
        <w:jc w:val="both"/>
        <w:rPr>
          <w:b/>
          <w:bCs/>
          <w:sz w:val="24"/>
          <w:szCs w:val="24"/>
          <w:u w:val="single"/>
        </w:rPr>
      </w:pPr>
    </w:p>
    <w:p w:rsidR="00B22252" w:rsidRDefault="00B22252" w:rsidP="00B22252">
      <w:pPr>
        <w:jc w:val="both"/>
        <w:rPr>
          <w:b/>
          <w:bCs/>
          <w:sz w:val="24"/>
          <w:szCs w:val="24"/>
          <w:u w:val="single"/>
        </w:rPr>
      </w:pPr>
    </w:p>
    <w:p w:rsidR="00B22252" w:rsidRDefault="00B22252" w:rsidP="00B22252">
      <w:pPr>
        <w:jc w:val="both"/>
        <w:rPr>
          <w:b/>
          <w:bCs/>
          <w:sz w:val="24"/>
          <w:szCs w:val="24"/>
          <w:u w:val="single"/>
        </w:rPr>
      </w:pPr>
    </w:p>
    <w:p w:rsidR="00F5029B" w:rsidRPr="00CE37C9" w:rsidRDefault="00D91FE6" w:rsidP="00C61AB7">
      <w:pPr>
        <w:pStyle w:val="ListParagraph"/>
        <w:numPr>
          <w:ilvl w:val="0"/>
          <w:numId w:val="15"/>
        </w:numPr>
        <w:jc w:val="both"/>
        <w:rPr>
          <w:b/>
          <w:bCs/>
          <w:sz w:val="24"/>
          <w:szCs w:val="24"/>
          <w:u w:val="single"/>
        </w:rPr>
      </w:pPr>
      <w:r w:rsidRPr="00CE37C9">
        <w:rPr>
          <w:b/>
          <w:bCs/>
          <w:sz w:val="24"/>
          <w:szCs w:val="24"/>
          <w:u w:val="single"/>
        </w:rPr>
        <w:t>Qualification, experience</w:t>
      </w:r>
      <w:r w:rsidR="00DA0FBA">
        <w:rPr>
          <w:b/>
          <w:bCs/>
          <w:sz w:val="24"/>
          <w:szCs w:val="24"/>
          <w:u w:val="single"/>
        </w:rPr>
        <w:t xml:space="preserve">, </w:t>
      </w:r>
      <w:r w:rsidR="00066942">
        <w:rPr>
          <w:b/>
          <w:bCs/>
          <w:sz w:val="24"/>
          <w:szCs w:val="24"/>
          <w:u w:val="single"/>
        </w:rPr>
        <w:t xml:space="preserve">and </w:t>
      </w:r>
      <w:r w:rsidR="00DA0FBA">
        <w:rPr>
          <w:b/>
          <w:bCs/>
          <w:sz w:val="24"/>
          <w:szCs w:val="24"/>
          <w:u w:val="single"/>
        </w:rPr>
        <w:t>requirements</w:t>
      </w:r>
    </w:p>
    <w:p w:rsidR="00C61AB7" w:rsidRPr="00C61AB7" w:rsidRDefault="00C61AB7" w:rsidP="00C61AB7">
      <w:pPr>
        <w:pStyle w:val="ListParagraph"/>
        <w:ind w:left="360"/>
        <w:jc w:val="both"/>
        <w:rPr>
          <w:rFonts w:asciiTheme="minorBidi" w:hAnsiTheme="minorBidi"/>
          <w:b/>
          <w:bCs/>
          <w:sz w:val="24"/>
          <w:szCs w:val="24"/>
          <w:u w:val="single"/>
        </w:rPr>
      </w:pPr>
    </w:p>
    <w:p w:rsidR="00655051" w:rsidRPr="00655051" w:rsidRDefault="004D36BF" w:rsidP="004D32A1">
      <w:pPr>
        <w:pStyle w:val="ListParagraph"/>
        <w:numPr>
          <w:ilvl w:val="0"/>
          <w:numId w:val="28"/>
        </w:numPr>
        <w:autoSpaceDE w:val="0"/>
        <w:autoSpaceDN w:val="0"/>
        <w:adjustRightInd w:val="0"/>
        <w:spacing w:after="0" w:line="240" w:lineRule="auto"/>
        <w:jc w:val="both"/>
        <w:rPr>
          <w:rFonts w:cs="TT25o00"/>
          <w:color w:val="000000"/>
        </w:rPr>
      </w:pPr>
      <w:r w:rsidRPr="004D36BF">
        <w:rPr>
          <w:rFonts w:cs="TT26o00"/>
          <w:b/>
          <w:bCs/>
          <w:color w:val="000000"/>
        </w:rPr>
        <w:t xml:space="preserve">Capacity and availability </w:t>
      </w:r>
      <w:r>
        <w:rPr>
          <w:rFonts w:cs="TT26o00"/>
          <w:b/>
          <w:bCs/>
          <w:color w:val="000000"/>
        </w:rPr>
        <w:t>of h</w:t>
      </w:r>
      <w:r w:rsidRPr="004D36BF">
        <w:rPr>
          <w:rFonts w:cs="TT26o00"/>
          <w:b/>
          <w:bCs/>
          <w:color w:val="000000"/>
        </w:rPr>
        <w:t>uman resources:</w:t>
      </w:r>
      <w:r>
        <w:rPr>
          <w:rFonts w:cs="TT26o00"/>
          <w:color w:val="000000"/>
        </w:rPr>
        <w:t xml:space="preserve"> </w:t>
      </w:r>
      <w:r w:rsidR="00D91FE6" w:rsidRPr="00477D39">
        <w:rPr>
          <w:rFonts w:cs="TT26o00"/>
          <w:color w:val="000000"/>
        </w:rPr>
        <w:t xml:space="preserve"> </w:t>
      </w:r>
      <w:r>
        <w:rPr>
          <w:rFonts w:cs="TT26o00"/>
          <w:color w:val="000000"/>
        </w:rPr>
        <w:t>the services provider/s should include in their offer C.Vs of related team member</w:t>
      </w:r>
      <w:r w:rsidR="00655051">
        <w:rPr>
          <w:rFonts w:cs="TT26o00"/>
          <w:color w:val="000000"/>
        </w:rPr>
        <w:t>s</w:t>
      </w:r>
      <w:r>
        <w:rPr>
          <w:rFonts w:cs="TT26o00"/>
          <w:color w:val="000000"/>
        </w:rPr>
        <w:t xml:space="preserve"> who will be involved in conducting this study. </w:t>
      </w:r>
    </w:p>
    <w:p w:rsidR="000520C1" w:rsidRPr="00655051" w:rsidRDefault="004D36BF" w:rsidP="004D32A1">
      <w:pPr>
        <w:autoSpaceDE w:val="0"/>
        <w:autoSpaceDN w:val="0"/>
        <w:adjustRightInd w:val="0"/>
        <w:spacing w:after="0" w:line="240" w:lineRule="auto"/>
        <w:ind w:left="720"/>
        <w:jc w:val="both"/>
        <w:rPr>
          <w:rFonts w:cs="TT25o00"/>
          <w:color w:val="000000"/>
        </w:rPr>
      </w:pPr>
      <w:r w:rsidRPr="00655051">
        <w:rPr>
          <w:rFonts w:cs="TT26o00"/>
          <w:color w:val="000000"/>
        </w:rPr>
        <w:lastRenderedPageBreak/>
        <w:t xml:space="preserve">The team should include at least 2 senior staff members with </w:t>
      </w:r>
      <w:r w:rsidRPr="00655051">
        <w:rPr>
          <w:rFonts w:cs="TT25o00"/>
          <w:color w:val="000000"/>
        </w:rPr>
        <w:t>a</w:t>
      </w:r>
      <w:r w:rsidR="00D91FE6" w:rsidRPr="00655051">
        <w:rPr>
          <w:rFonts w:cs="TT25o00"/>
          <w:color w:val="000000"/>
        </w:rPr>
        <w:t>dvanced university degree (Master’s degree or equivalent</w:t>
      </w:r>
      <w:r w:rsidR="008423C3">
        <w:rPr>
          <w:rFonts w:cs="TT25o00"/>
          <w:color w:val="000000"/>
        </w:rPr>
        <w:t xml:space="preserve"> in development, social or economic studies</w:t>
      </w:r>
      <w:r w:rsidR="00D91FE6" w:rsidRPr="00655051">
        <w:rPr>
          <w:rFonts w:cs="TT25o00"/>
          <w:color w:val="000000"/>
        </w:rPr>
        <w:t xml:space="preserve">) </w:t>
      </w:r>
      <w:r w:rsidRPr="00655051">
        <w:rPr>
          <w:rFonts w:cs="TT25o00"/>
          <w:color w:val="000000"/>
        </w:rPr>
        <w:t xml:space="preserve">and </w:t>
      </w:r>
      <w:r w:rsidR="00655051">
        <w:rPr>
          <w:rFonts w:cs="TT25o00"/>
          <w:color w:val="000000"/>
        </w:rPr>
        <w:t xml:space="preserve">at least </w:t>
      </w:r>
      <w:r w:rsidR="00693980">
        <w:rPr>
          <w:rFonts w:cs="TT25o00"/>
          <w:color w:val="000000"/>
        </w:rPr>
        <w:t>7</w:t>
      </w:r>
      <w:r w:rsidR="00655051">
        <w:rPr>
          <w:rFonts w:cs="TT25o00"/>
          <w:color w:val="000000"/>
        </w:rPr>
        <w:t xml:space="preserve"> years of </w:t>
      </w:r>
      <w:r w:rsidRPr="00655051">
        <w:rPr>
          <w:rFonts w:cs="TT25o00"/>
          <w:color w:val="000000"/>
        </w:rPr>
        <w:t xml:space="preserve">proven working experience </w:t>
      </w:r>
      <w:r w:rsidR="00D91FE6" w:rsidRPr="00655051">
        <w:rPr>
          <w:rFonts w:cs="TT25o00"/>
          <w:color w:val="000000"/>
        </w:rPr>
        <w:t xml:space="preserve">in development studies, monitoring and evaluation, </w:t>
      </w:r>
      <w:r w:rsidR="0033279D" w:rsidRPr="00655051">
        <w:rPr>
          <w:rFonts w:cs="TT25o00"/>
          <w:color w:val="000000"/>
        </w:rPr>
        <w:t xml:space="preserve">programme </w:t>
      </w:r>
      <w:r w:rsidR="00D91FE6" w:rsidRPr="00655051">
        <w:rPr>
          <w:rFonts w:cs="TT25o00"/>
          <w:color w:val="000000"/>
        </w:rPr>
        <w:t>management, social sciences or related field.</w:t>
      </w:r>
    </w:p>
    <w:p w:rsidR="00CF214F" w:rsidRPr="004E6740" w:rsidRDefault="00CF214F" w:rsidP="00CF214F">
      <w:pPr>
        <w:pStyle w:val="ListParagraph"/>
        <w:numPr>
          <w:ilvl w:val="0"/>
          <w:numId w:val="28"/>
        </w:numPr>
        <w:autoSpaceDE w:val="0"/>
        <w:autoSpaceDN w:val="0"/>
        <w:adjustRightInd w:val="0"/>
        <w:spacing w:after="0" w:line="240" w:lineRule="auto"/>
        <w:jc w:val="both"/>
        <w:rPr>
          <w:rFonts w:cs="TT25o00"/>
          <w:color w:val="000000"/>
        </w:rPr>
      </w:pPr>
      <w:r>
        <w:rPr>
          <w:rFonts w:cs="TT26o00"/>
          <w:b/>
          <w:bCs/>
          <w:color w:val="000000"/>
        </w:rPr>
        <w:t xml:space="preserve">Access: </w:t>
      </w:r>
      <w:r w:rsidRPr="004E6740">
        <w:rPr>
          <w:rFonts w:cs="TT26o00"/>
          <w:color w:val="000000"/>
        </w:rPr>
        <w:t xml:space="preserve">The service provider should provide confirmation </w:t>
      </w:r>
      <w:r>
        <w:rPr>
          <w:rFonts w:cs="TT26o00"/>
          <w:color w:val="000000"/>
        </w:rPr>
        <w:t xml:space="preserve">and/or supporting documents </w:t>
      </w:r>
      <w:r w:rsidRPr="004E6740">
        <w:rPr>
          <w:rFonts w:cs="TT26o00"/>
          <w:color w:val="000000"/>
        </w:rPr>
        <w:t xml:space="preserve">that access to target locations and </w:t>
      </w:r>
      <w:r>
        <w:rPr>
          <w:rFonts w:cs="TT26o00"/>
          <w:color w:val="000000"/>
        </w:rPr>
        <w:t>reaching out</w:t>
      </w:r>
      <w:r w:rsidRPr="004E6740">
        <w:rPr>
          <w:rFonts w:cs="TT26o00"/>
          <w:color w:val="000000"/>
        </w:rPr>
        <w:t xml:space="preserve"> to the end users/ beneficiaries are secured and </w:t>
      </w:r>
      <w:r>
        <w:rPr>
          <w:rFonts w:cs="TT26o00"/>
          <w:color w:val="000000"/>
        </w:rPr>
        <w:t>covered, including sub-contracting with local entities to secure access to target locations if need be.</w:t>
      </w:r>
    </w:p>
    <w:p w:rsidR="00CF214F" w:rsidRPr="00712E20" w:rsidRDefault="00CF214F" w:rsidP="00CF214F">
      <w:pPr>
        <w:pStyle w:val="ListParagraph"/>
        <w:numPr>
          <w:ilvl w:val="0"/>
          <w:numId w:val="28"/>
        </w:numPr>
        <w:autoSpaceDE w:val="0"/>
        <w:autoSpaceDN w:val="0"/>
        <w:adjustRightInd w:val="0"/>
        <w:spacing w:after="0" w:line="240" w:lineRule="auto"/>
        <w:jc w:val="both"/>
        <w:rPr>
          <w:rFonts w:cs="TT25o00"/>
        </w:rPr>
      </w:pPr>
      <w:r w:rsidRPr="004D36BF">
        <w:rPr>
          <w:b/>
          <w:bCs/>
        </w:rPr>
        <w:t>Work Experience:</w:t>
      </w:r>
      <w:r w:rsidRPr="00712E20">
        <w:t xml:space="preserve"> </w:t>
      </w:r>
      <w:r w:rsidRPr="00712E20">
        <w:rPr>
          <w:rFonts w:cs="TT25o00"/>
        </w:rPr>
        <w:t xml:space="preserve">A minimum of </w:t>
      </w:r>
      <w:r>
        <w:rPr>
          <w:rFonts w:cs="TT25o00"/>
        </w:rPr>
        <w:t>5</w:t>
      </w:r>
      <w:r w:rsidRPr="00712E20">
        <w:rPr>
          <w:rFonts w:cs="TT25o00"/>
        </w:rPr>
        <w:t xml:space="preserve"> years of proven experience in </w:t>
      </w:r>
      <w:r>
        <w:rPr>
          <w:rFonts w:cs="TT25o00"/>
        </w:rPr>
        <w:t xml:space="preserve">programme management and evaluation, </w:t>
      </w:r>
      <w:r w:rsidRPr="00712E20">
        <w:rPr>
          <w:rFonts w:cs="TT25o00"/>
        </w:rPr>
        <w:t xml:space="preserve">consultancy work and working with UN </w:t>
      </w:r>
      <w:r>
        <w:rPr>
          <w:rFonts w:cs="TT25o00"/>
        </w:rPr>
        <w:t xml:space="preserve">and other international </w:t>
      </w:r>
      <w:r w:rsidRPr="00712E20">
        <w:rPr>
          <w:rFonts w:cs="TT25o00"/>
        </w:rPr>
        <w:t>agencies. Experience in conducting assessments and similar evaluations is required</w:t>
      </w:r>
      <w:r>
        <w:rPr>
          <w:rFonts w:cs="TT25o00"/>
        </w:rPr>
        <w:t>.</w:t>
      </w:r>
      <w:r w:rsidRPr="00712E20">
        <w:rPr>
          <w:rFonts w:cs="TT25o00"/>
        </w:rPr>
        <w:t xml:space="preserve"> </w:t>
      </w:r>
    </w:p>
    <w:p w:rsidR="000520C1" w:rsidRDefault="00D91FE6" w:rsidP="004D32A1">
      <w:pPr>
        <w:pStyle w:val="ListParagraph"/>
        <w:numPr>
          <w:ilvl w:val="0"/>
          <w:numId w:val="28"/>
        </w:numPr>
        <w:autoSpaceDE w:val="0"/>
        <w:autoSpaceDN w:val="0"/>
        <w:adjustRightInd w:val="0"/>
        <w:spacing w:after="0" w:line="240" w:lineRule="auto"/>
        <w:jc w:val="both"/>
        <w:rPr>
          <w:rFonts w:cs="TT25o00"/>
        </w:rPr>
      </w:pPr>
      <w:r w:rsidRPr="004D36BF">
        <w:rPr>
          <w:b/>
          <w:bCs/>
        </w:rPr>
        <w:t>Languages:</w:t>
      </w:r>
      <w:r w:rsidRPr="00712E20">
        <w:t xml:space="preserve"> </w:t>
      </w:r>
      <w:r w:rsidR="008423C3">
        <w:rPr>
          <w:rFonts w:cs="TT25o00"/>
        </w:rPr>
        <w:t>Reports to be shared with UNDP in</w:t>
      </w:r>
      <w:r w:rsidRPr="00712E20">
        <w:rPr>
          <w:rFonts w:cs="TT25o00"/>
        </w:rPr>
        <w:t xml:space="preserve"> English and Arabic </w:t>
      </w:r>
    </w:p>
    <w:p w:rsidR="00DA0FBA" w:rsidRDefault="00DA0FBA" w:rsidP="004D32A1">
      <w:pPr>
        <w:autoSpaceDE w:val="0"/>
        <w:autoSpaceDN w:val="0"/>
        <w:adjustRightInd w:val="0"/>
        <w:spacing w:after="0" w:line="240" w:lineRule="auto"/>
        <w:ind w:left="360"/>
        <w:jc w:val="both"/>
        <w:rPr>
          <w:b/>
          <w:bCs/>
        </w:rPr>
      </w:pPr>
    </w:p>
    <w:p w:rsidR="000520C1" w:rsidRPr="00DA0FBA" w:rsidRDefault="00D91FE6" w:rsidP="004D32A1">
      <w:pPr>
        <w:autoSpaceDE w:val="0"/>
        <w:autoSpaceDN w:val="0"/>
        <w:adjustRightInd w:val="0"/>
        <w:spacing w:after="0" w:line="240" w:lineRule="auto"/>
        <w:ind w:left="360"/>
        <w:jc w:val="both"/>
        <w:rPr>
          <w:b/>
          <w:bCs/>
        </w:rPr>
      </w:pPr>
      <w:r w:rsidRPr="00DA0FBA">
        <w:rPr>
          <w:b/>
          <w:bCs/>
        </w:rPr>
        <w:t xml:space="preserve">Interested </w:t>
      </w:r>
      <w:r w:rsidR="004D36BF" w:rsidRPr="00DA0FBA">
        <w:rPr>
          <w:b/>
          <w:bCs/>
        </w:rPr>
        <w:t>service provider/s</w:t>
      </w:r>
      <w:r w:rsidRPr="00DA0FBA">
        <w:rPr>
          <w:b/>
          <w:bCs/>
        </w:rPr>
        <w:t xml:space="preserve"> are invited to submit a letter of interest</w:t>
      </w:r>
      <w:r w:rsidR="00655051">
        <w:t xml:space="preserve"> </w:t>
      </w:r>
      <w:r w:rsidR="00154C33" w:rsidRPr="00DA0FBA">
        <w:rPr>
          <w:b/>
          <w:bCs/>
        </w:rPr>
        <w:t>and Technical and financial Proposal</w:t>
      </w:r>
      <w:r w:rsidR="00154C33">
        <w:t xml:space="preserve"> </w:t>
      </w:r>
      <w:r w:rsidR="00655051" w:rsidRPr="00DA0FBA">
        <w:rPr>
          <w:b/>
          <w:bCs/>
        </w:rPr>
        <w:t xml:space="preserve">with required </w:t>
      </w:r>
      <w:r w:rsidR="000520C1" w:rsidRPr="00DA0FBA">
        <w:rPr>
          <w:b/>
          <w:bCs/>
        </w:rPr>
        <w:t xml:space="preserve">following information: </w:t>
      </w:r>
    </w:p>
    <w:p w:rsidR="00DA0FBA" w:rsidRPr="00655051" w:rsidRDefault="00DA0FBA" w:rsidP="004D32A1">
      <w:pPr>
        <w:pStyle w:val="ListParagraph"/>
        <w:autoSpaceDE w:val="0"/>
        <w:autoSpaceDN w:val="0"/>
        <w:adjustRightInd w:val="0"/>
        <w:spacing w:after="0" w:line="240" w:lineRule="auto"/>
        <w:jc w:val="both"/>
        <w:rPr>
          <w:b/>
          <w:bCs/>
        </w:rPr>
      </w:pPr>
    </w:p>
    <w:p w:rsidR="004D32A1" w:rsidRDefault="00DA0FBA" w:rsidP="004D32A1">
      <w:pPr>
        <w:pStyle w:val="ListParagraph"/>
        <w:numPr>
          <w:ilvl w:val="1"/>
          <w:numId w:val="28"/>
        </w:numPr>
        <w:autoSpaceDE w:val="0"/>
        <w:autoSpaceDN w:val="0"/>
        <w:adjustRightInd w:val="0"/>
        <w:spacing w:after="0" w:line="240" w:lineRule="auto"/>
        <w:jc w:val="both"/>
      </w:pPr>
      <w:r>
        <w:t xml:space="preserve">A list of </w:t>
      </w:r>
      <w:r w:rsidR="004D32A1">
        <w:t xml:space="preserve">2-3 </w:t>
      </w:r>
      <w:r>
        <w:t xml:space="preserve">relevant </w:t>
      </w:r>
      <w:r w:rsidRPr="00712E20">
        <w:t>projects delivered over the past five years including references</w:t>
      </w:r>
      <w:r>
        <w:t xml:space="preserve"> and employers to show experience in c</w:t>
      </w:r>
      <w:r w:rsidR="000520C1">
        <w:t>onducting a large-scale impact eva</w:t>
      </w:r>
      <w:r>
        <w:t>luations of programmes in Syria.</w:t>
      </w:r>
      <w:r w:rsidR="000520C1">
        <w:t xml:space="preserve"> </w:t>
      </w:r>
    </w:p>
    <w:p w:rsidR="000520C1" w:rsidRDefault="000520C1" w:rsidP="004D32A1">
      <w:pPr>
        <w:pStyle w:val="ListParagraph"/>
        <w:numPr>
          <w:ilvl w:val="1"/>
          <w:numId w:val="28"/>
        </w:numPr>
        <w:autoSpaceDE w:val="0"/>
        <w:autoSpaceDN w:val="0"/>
        <w:adjustRightInd w:val="0"/>
        <w:spacing w:after="0" w:line="240" w:lineRule="auto"/>
        <w:jc w:val="both"/>
      </w:pPr>
      <w:r>
        <w:t xml:space="preserve">Please provide </w:t>
      </w:r>
      <w:r w:rsidR="004D32A1">
        <w:t xml:space="preserve">supporting documents of related </w:t>
      </w:r>
      <w:r>
        <w:t>experience and references of emp</w:t>
      </w:r>
      <w:r w:rsidR="004D32A1">
        <w:t xml:space="preserve">loyers  </w:t>
      </w:r>
    </w:p>
    <w:p w:rsidR="00DA0FBA" w:rsidRDefault="00DA0FBA" w:rsidP="004D32A1">
      <w:pPr>
        <w:pStyle w:val="ListParagraph"/>
        <w:autoSpaceDE w:val="0"/>
        <w:autoSpaceDN w:val="0"/>
        <w:adjustRightInd w:val="0"/>
        <w:spacing w:after="0" w:line="240" w:lineRule="auto"/>
        <w:ind w:left="1440"/>
        <w:jc w:val="both"/>
      </w:pPr>
      <w:r>
        <w:t>to show proven experience in e</w:t>
      </w:r>
      <w:r w:rsidR="000520C1">
        <w:t xml:space="preserve">valuating livelihoods and community-driven development programmes, especially in Syria.  </w:t>
      </w:r>
      <w:r w:rsidR="005A30D4" w:rsidRPr="00712E20">
        <w:t xml:space="preserve"> </w:t>
      </w:r>
    </w:p>
    <w:p w:rsidR="000520C1" w:rsidRDefault="000520C1" w:rsidP="004D32A1">
      <w:pPr>
        <w:pStyle w:val="ListParagraph"/>
        <w:numPr>
          <w:ilvl w:val="1"/>
          <w:numId w:val="28"/>
        </w:numPr>
        <w:autoSpaceDE w:val="0"/>
        <w:autoSpaceDN w:val="0"/>
        <w:adjustRightInd w:val="0"/>
        <w:spacing w:after="0" w:line="240" w:lineRule="auto"/>
        <w:jc w:val="both"/>
      </w:pPr>
      <w:r>
        <w:t xml:space="preserve">Please provide A </w:t>
      </w:r>
      <w:r w:rsidR="005A30D4">
        <w:t xml:space="preserve">detailed </w:t>
      </w:r>
      <w:r w:rsidR="00D91FE6" w:rsidRPr="00712E20">
        <w:t>approach to conduct this assignment</w:t>
      </w:r>
      <w:r>
        <w:t>.</w:t>
      </w:r>
    </w:p>
    <w:p w:rsidR="00DC514D" w:rsidRDefault="00DA0FBA" w:rsidP="004D32A1">
      <w:pPr>
        <w:pStyle w:val="ListParagraph"/>
        <w:numPr>
          <w:ilvl w:val="1"/>
          <w:numId w:val="28"/>
        </w:numPr>
        <w:autoSpaceDE w:val="0"/>
        <w:autoSpaceDN w:val="0"/>
        <w:adjustRightInd w:val="0"/>
        <w:spacing w:after="0" w:line="240" w:lineRule="auto"/>
        <w:jc w:val="both"/>
      </w:pPr>
      <w:r>
        <w:t>Detailed t</w:t>
      </w:r>
      <w:r w:rsidR="00DC514D">
        <w:t>echnical and financial offers</w:t>
      </w:r>
    </w:p>
    <w:p w:rsidR="00DA0FBA" w:rsidRDefault="00DA0FBA" w:rsidP="004D32A1">
      <w:pPr>
        <w:pStyle w:val="ListParagraph"/>
        <w:numPr>
          <w:ilvl w:val="1"/>
          <w:numId w:val="28"/>
        </w:numPr>
        <w:autoSpaceDE w:val="0"/>
        <w:autoSpaceDN w:val="0"/>
        <w:adjustRightInd w:val="0"/>
        <w:spacing w:after="0" w:line="240" w:lineRule="auto"/>
        <w:jc w:val="both"/>
      </w:pPr>
      <w:r>
        <w:t>Detailed time frame, action plan, and working time sheet</w:t>
      </w:r>
    </w:p>
    <w:p w:rsidR="000520C1" w:rsidRDefault="000520C1" w:rsidP="004D32A1">
      <w:pPr>
        <w:pStyle w:val="ListParagraph"/>
        <w:numPr>
          <w:ilvl w:val="1"/>
          <w:numId w:val="28"/>
        </w:numPr>
        <w:autoSpaceDE w:val="0"/>
        <w:autoSpaceDN w:val="0"/>
        <w:adjustRightInd w:val="0"/>
        <w:spacing w:after="0" w:line="240" w:lineRule="auto"/>
        <w:jc w:val="both"/>
      </w:pPr>
      <w:r>
        <w:t>Proposed budget for cost heads relevant to this consultancy</w:t>
      </w:r>
      <w:r w:rsidR="00DA0FBA">
        <w:t xml:space="preserve"> including travel and accommodation, as UNDP will not cover this part</w:t>
      </w:r>
      <w:r>
        <w:t xml:space="preserve">. </w:t>
      </w:r>
    </w:p>
    <w:p w:rsidR="000520C1" w:rsidRDefault="000520C1" w:rsidP="004D32A1">
      <w:pPr>
        <w:pStyle w:val="ListParagraph"/>
        <w:numPr>
          <w:ilvl w:val="1"/>
          <w:numId w:val="28"/>
        </w:numPr>
        <w:autoSpaceDE w:val="0"/>
        <w:autoSpaceDN w:val="0"/>
        <w:adjustRightInd w:val="0"/>
        <w:spacing w:after="0" w:line="240" w:lineRule="auto"/>
        <w:jc w:val="both"/>
      </w:pPr>
      <w:r>
        <w:t>CV</w:t>
      </w:r>
      <w:r w:rsidR="00DA0FBA">
        <w:t>s</w:t>
      </w:r>
      <w:r>
        <w:t xml:space="preserve"> of all team members </w:t>
      </w:r>
      <w:r w:rsidR="00DA0FBA">
        <w:t>who will take part in the study implantation</w:t>
      </w:r>
      <w:r>
        <w:t xml:space="preserve"> </w:t>
      </w:r>
    </w:p>
    <w:p w:rsidR="00BE7859" w:rsidRDefault="00BE7859" w:rsidP="004D32A1">
      <w:pPr>
        <w:autoSpaceDE w:val="0"/>
        <w:autoSpaceDN w:val="0"/>
        <w:adjustRightInd w:val="0"/>
        <w:spacing w:after="0" w:line="240" w:lineRule="auto"/>
        <w:jc w:val="both"/>
      </w:pPr>
    </w:p>
    <w:p w:rsidR="00DC514D" w:rsidRPr="00DC514D" w:rsidRDefault="00DC514D" w:rsidP="004D32A1">
      <w:pPr>
        <w:pStyle w:val="ListParagraph"/>
        <w:numPr>
          <w:ilvl w:val="0"/>
          <w:numId w:val="15"/>
        </w:numPr>
        <w:jc w:val="both"/>
        <w:rPr>
          <w:b/>
          <w:bCs/>
          <w:sz w:val="24"/>
          <w:szCs w:val="24"/>
          <w:u w:val="single"/>
        </w:rPr>
      </w:pPr>
      <w:r w:rsidRPr="00DC514D">
        <w:rPr>
          <w:b/>
          <w:bCs/>
          <w:sz w:val="24"/>
          <w:szCs w:val="24"/>
          <w:u w:val="single"/>
        </w:rPr>
        <w:t>Evaluation Criteria</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3152"/>
        <w:gridCol w:w="1170"/>
        <w:gridCol w:w="1531"/>
        <w:gridCol w:w="540"/>
        <w:gridCol w:w="630"/>
        <w:gridCol w:w="720"/>
        <w:gridCol w:w="630"/>
        <w:gridCol w:w="648"/>
      </w:tblGrid>
      <w:tr w:rsidR="00DC514D" w:rsidTr="00DC514D">
        <w:trPr>
          <w:cantSplit/>
        </w:trPr>
        <w:tc>
          <w:tcPr>
            <w:tcW w:w="3711" w:type="dxa"/>
            <w:gridSpan w:val="2"/>
            <w:vMerge w:val="restart"/>
            <w:tcBorders>
              <w:top w:val="single" w:sz="4" w:space="0" w:color="auto"/>
              <w:left w:val="single" w:sz="4" w:space="0" w:color="auto"/>
              <w:bottom w:val="single" w:sz="4" w:space="0" w:color="auto"/>
              <w:right w:val="single" w:sz="4" w:space="0" w:color="auto"/>
            </w:tcBorders>
            <w:hideMark/>
          </w:tcPr>
          <w:p w:rsidR="00DC514D" w:rsidRPr="002F1704" w:rsidRDefault="00DC514D" w:rsidP="004D32A1">
            <w:pPr>
              <w:autoSpaceDE w:val="0"/>
              <w:autoSpaceDN w:val="0"/>
              <w:adjustRightInd w:val="0"/>
              <w:spacing w:after="0" w:line="240" w:lineRule="auto"/>
              <w:jc w:val="both"/>
              <w:rPr>
                <w:rFonts w:cs="ACaslon-Regular"/>
                <w:b/>
              </w:rPr>
            </w:pPr>
            <w:r w:rsidRPr="002F1704">
              <w:rPr>
                <w:rFonts w:cs="ACaslon-Regular"/>
                <w:b/>
              </w:rPr>
              <w:t>Summary of Technical Proposal Evaluation Forms</w:t>
            </w:r>
          </w:p>
        </w:tc>
        <w:tc>
          <w:tcPr>
            <w:tcW w:w="1170" w:type="dxa"/>
            <w:vMerge w:val="restart"/>
            <w:tcBorders>
              <w:top w:val="single" w:sz="4" w:space="0" w:color="auto"/>
              <w:left w:val="single" w:sz="4" w:space="0" w:color="auto"/>
              <w:bottom w:val="single" w:sz="4" w:space="0" w:color="auto"/>
              <w:right w:val="single" w:sz="4" w:space="0" w:color="auto"/>
            </w:tcBorders>
            <w:hideMark/>
          </w:tcPr>
          <w:p w:rsidR="00DC514D" w:rsidRPr="002F1704" w:rsidRDefault="00DC514D" w:rsidP="004D32A1">
            <w:pPr>
              <w:autoSpaceDE w:val="0"/>
              <w:autoSpaceDN w:val="0"/>
              <w:adjustRightInd w:val="0"/>
              <w:spacing w:after="0" w:line="240" w:lineRule="auto"/>
              <w:jc w:val="both"/>
              <w:rPr>
                <w:rFonts w:cs="ACaslon-Regular"/>
                <w:b/>
              </w:rPr>
            </w:pPr>
            <w:r w:rsidRPr="002F1704">
              <w:rPr>
                <w:rFonts w:cs="ACaslon-Regular"/>
                <w:b/>
              </w:rPr>
              <w:t>Score Weight</w:t>
            </w:r>
          </w:p>
        </w:tc>
        <w:tc>
          <w:tcPr>
            <w:tcW w:w="1531" w:type="dxa"/>
            <w:vMerge w:val="restart"/>
            <w:tcBorders>
              <w:top w:val="single" w:sz="4" w:space="0" w:color="auto"/>
              <w:left w:val="single" w:sz="4" w:space="0" w:color="auto"/>
              <w:bottom w:val="single" w:sz="4" w:space="0" w:color="auto"/>
              <w:right w:val="single" w:sz="4" w:space="0" w:color="auto"/>
            </w:tcBorders>
            <w:hideMark/>
          </w:tcPr>
          <w:p w:rsidR="00DC514D" w:rsidRPr="002F1704" w:rsidRDefault="00DC514D" w:rsidP="004D32A1">
            <w:pPr>
              <w:autoSpaceDE w:val="0"/>
              <w:autoSpaceDN w:val="0"/>
              <w:adjustRightInd w:val="0"/>
              <w:spacing w:after="0" w:line="240" w:lineRule="auto"/>
              <w:jc w:val="both"/>
              <w:rPr>
                <w:rFonts w:cs="ACaslon-Regular"/>
                <w:b/>
              </w:rPr>
            </w:pPr>
            <w:r w:rsidRPr="002F1704">
              <w:rPr>
                <w:rFonts w:cs="ACaslon-Regular"/>
                <w:b/>
              </w:rPr>
              <w:t>Points Obtainable</w:t>
            </w:r>
          </w:p>
        </w:tc>
        <w:tc>
          <w:tcPr>
            <w:tcW w:w="3168" w:type="dxa"/>
            <w:gridSpan w:val="5"/>
            <w:tcBorders>
              <w:top w:val="single" w:sz="4" w:space="0" w:color="auto"/>
              <w:left w:val="single" w:sz="4" w:space="0" w:color="auto"/>
              <w:bottom w:val="single" w:sz="4" w:space="0" w:color="auto"/>
              <w:right w:val="single" w:sz="4" w:space="0" w:color="auto"/>
            </w:tcBorders>
            <w:hideMark/>
          </w:tcPr>
          <w:p w:rsidR="00DC514D" w:rsidRPr="002F1704" w:rsidRDefault="00154C33" w:rsidP="004D32A1">
            <w:pPr>
              <w:autoSpaceDE w:val="0"/>
              <w:autoSpaceDN w:val="0"/>
              <w:adjustRightInd w:val="0"/>
              <w:spacing w:after="0" w:line="240" w:lineRule="auto"/>
              <w:jc w:val="both"/>
              <w:rPr>
                <w:rFonts w:cs="ACaslon-Regular"/>
                <w:b/>
              </w:rPr>
            </w:pPr>
            <w:r>
              <w:rPr>
                <w:rFonts w:cs="ACaslon-Regular"/>
                <w:b/>
              </w:rPr>
              <w:t>Company /</w:t>
            </w:r>
            <w:r w:rsidR="00DC514D" w:rsidRPr="002F1704">
              <w:rPr>
                <w:rFonts w:cs="ACaslon-Regular"/>
                <w:b/>
              </w:rPr>
              <w:t xml:space="preserve"> Entity</w:t>
            </w:r>
          </w:p>
        </w:tc>
      </w:tr>
      <w:tr w:rsidR="00DC514D" w:rsidTr="00DC514D">
        <w:trPr>
          <w:cantSplit/>
        </w:trPr>
        <w:tc>
          <w:tcPr>
            <w:tcW w:w="3711" w:type="dxa"/>
            <w:gridSpan w:val="2"/>
            <w:vMerge/>
            <w:tcBorders>
              <w:top w:val="single" w:sz="4" w:space="0" w:color="auto"/>
              <w:left w:val="single" w:sz="4" w:space="0" w:color="auto"/>
              <w:bottom w:val="single" w:sz="4" w:space="0" w:color="auto"/>
              <w:right w:val="single" w:sz="4" w:space="0" w:color="auto"/>
            </w:tcBorders>
            <w:vAlign w:val="center"/>
            <w:hideMark/>
          </w:tcPr>
          <w:p w:rsidR="00DC514D" w:rsidRPr="002F1704" w:rsidRDefault="00DC514D" w:rsidP="004D32A1">
            <w:pPr>
              <w:autoSpaceDE w:val="0"/>
              <w:autoSpaceDN w:val="0"/>
              <w:adjustRightInd w:val="0"/>
              <w:spacing w:after="0" w:line="240" w:lineRule="auto"/>
              <w:jc w:val="both"/>
              <w:rPr>
                <w:rFonts w:cs="ACaslon-Regular"/>
                <w:b/>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DC514D" w:rsidRPr="002F1704" w:rsidRDefault="00DC514D" w:rsidP="004D32A1">
            <w:pPr>
              <w:autoSpaceDE w:val="0"/>
              <w:autoSpaceDN w:val="0"/>
              <w:adjustRightInd w:val="0"/>
              <w:spacing w:after="0" w:line="240" w:lineRule="auto"/>
              <w:jc w:val="both"/>
              <w:rPr>
                <w:rFonts w:cs="ACaslon-Regular"/>
                <w:b/>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DC514D" w:rsidRPr="002F1704" w:rsidRDefault="00DC514D" w:rsidP="004D32A1">
            <w:pPr>
              <w:autoSpaceDE w:val="0"/>
              <w:autoSpaceDN w:val="0"/>
              <w:adjustRightInd w:val="0"/>
              <w:spacing w:after="0" w:line="240" w:lineRule="auto"/>
              <w:jc w:val="both"/>
              <w:rPr>
                <w:rFonts w:cs="ACaslon-Regular"/>
                <w:b/>
              </w:rPr>
            </w:pPr>
          </w:p>
        </w:tc>
        <w:tc>
          <w:tcPr>
            <w:tcW w:w="540" w:type="dxa"/>
            <w:tcBorders>
              <w:top w:val="single" w:sz="4" w:space="0" w:color="auto"/>
              <w:left w:val="single" w:sz="4" w:space="0" w:color="auto"/>
              <w:bottom w:val="single" w:sz="4" w:space="0" w:color="auto"/>
              <w:right w:val="single" w:sz="4" w:space="0" w:color="auto"/>
            </w:tcBorders>
            <w:hideMark/>
          </w:tcPr>
          <w:p w:rsidR="00DC514D" w:rsidRPr="002F1704" w:rsidRDefault="00DC514D" w:rsidP="004D32A1">
            <w:pPr>
              <w:autoSpaceDE w:val="0"/>
              <w:autoSpaceDN w:val="0"/>
              <w:adjustRightInd w:val="0"/>
              <w:spacing w:after="0" w:line="240" w:lineRule="auto"/>
              <w:jc w:val="both"/>
              <w:rPr>
                <w:rFonts w:cs="ACaslon-Regular"/>
                <w:b/>
              </w:rPr>
            </w:pPr>
            <w:r w:rsidRPr="002F1704">
              <w:rPr>
                <w:rFonts w:cs="ACaslon-Regular"/>
                <w:b/>
              </w:rPr>
              <w:t>A</w:t>
            </w:r>
          </w:p>
        </w:tc>
        <w:tc>
          <w:tcPr>
            <w:tcW w:w="630" w:type="dxa"/>
            <w:tcBorders>
              <w:top w:val="single" w:sz="4" w:space="0" w:color="auto"/>
              <w:left w:val="single" w:sz="4" w:space="0" w:color="auto"/>
              <w:bottom w:val="single" w:sz="4" w:space="0" w:color="auto"/>
              <w:right w:val="single" w:sz="4" w:space="0" w:color="auto"/>
            </w:tcBorders>
            <w:hideMark/>
          </w:tcPr>
          <w:p w:rsidR="00DC514D" w:rsidRPr="002F1704" w:rsidRDefault="00DC514D" w:rsidP="004D32A1">
            <w:pPr>
              <w:autoSpaceDE w:val="0"/>
              <w:autoSpaceDN w:val="0"/>
              <w:adjustRightInd w:val="0"/>
              <w:spacing w:after="0" w:line="240" w:lineRule="auto"/>
              <w:jc w:val="both"/>
              <w:rPr>
                <w:rFonts w:cs="ACaslon-Regular"/>
                <w:b/>
              </w:rPr>
            </w:pPr>
            <w:r w:rsidRPr="002F1704">
              <w:rPr>
                <w:rFonts w:cs="ACaslon-Regular"/>
                <w:b/>
              </w:rPr>
              <w:t>B</w:t>
            </w:r>
          </w:p>
        </w:tc>
        <w:tc>
          <w:tcPr>
            <w:tcW w:w="720" w:type="dxa"/>
            <w:tcBorders>
              <w:top w:val="single" w:sz="4" w:space="0" w:color="auto"/>
              <w:left w:val="single" w:sz="4" w:space="0" w:color="auto"/>
              <w:bottom w:val="single" w:sz="4" w:space="0" w:color="auto"/>
              <w:right w:val="single" w:sz="4" w:space="0" w:color="auto"/>
            </w:tcBorders>
            <w:hideMark/>
          </w:tcPr>
          <w:p w:rsidR="00DC514D" w:rsidRPr="002F1704" w:rsidRDefault="00DC514D" w:rsidP="004D32A1">
            <w:pPr>
              <w:autoSpaceDE w:val="0"/>
              <w:autoSpaceDN w:val="0"/>
              <w:adjustRightInd w:val="0"/>
              <w:spacing w:after="0" w:line="240" w:lineRule="auto"/>
              <w:jc w:val="both"/>
              <w:rPr>
                <w:rFonts w:cs="ACaslon-Regular"/>
                <w:b/>
              </w:rPr>
            </w:pPr>
            <w:r w:rsidRPr="002F1704">
              <w:rPr>
                <w:rFonts w:cs="ACaslon-Regular"/>
                <w:b/>
              </w:rPr>
              <w:t>C</w:t>
            </w:r>
          </w:p>
        </w:tc>
        <w:tc>
          <w:tcPr>
            <w:tcW w:w="630" w:type="dxa"/>
            <w:tcBorders>
              <w:top w:val="single" w:sz="4" w:space="0" w:color="auto"/>
              <w:left w:val="single" w:sz="4" w:space="0" w:color="auto"/>
              <w:bottom w:val="single" w:sz="4" w:space="0" w:color="auto"/>
              <w:right w:val="single" w:sz="4" w:space="0" w:color="auto"/>
            </w:tcBorders>
            <w:hideMark/>
          </w:tcPr>
          <w:p w:rsidR="00DC514D" w:rsidRPr="002F1704" w:rsidRDefault="00DC514D" w:rsidP="004D32A1">
            <w:pPr>
              <w:autoSpaceDE w:val="0"/>
              <w:autoSpaceDN w:val="0"/>
              <w:adjustRightInd w:val="0"/>
              <w:spacing w:after="0" w:line="240" w:lineRule="auto"/>
              <w:jc w:val="both"/>
              <w:rPr>
                <w:rFonts w:cs="ACaslon-Regular"/>
                <w:b/>
              </w:rPr>
            </w:pPr>
            <w:r w:rsidRPr="002F1704">
              <w:rPr>
                <w:rFonts w:cs="ACaslon-Regular"/>
                <w:b/>
              </w:rPr>
              <w:t>D</w:t>
            </w:r>
          </w:p>
        </w:tc>
        <w:tc>
          <w:tcPr>
            <w:tcW w:w="648" w:type="dxa"/>
            <w:tcBorders>
              <w:top w:val="single" w:sz="4" w:space="0" w:color="auto"/>
              <w:left w:val="single" w:sz="4" w:space="0" w:color="auto"/>
              <w:bottom w:val="single" w:sz="4" w:space="0" w:color="auto"/>
              <w:right w:val="single" w:sz="4" w:space="0" w:color="auto"/>
            </w:tcBorders>
            <w:hideMark/>
          </w:tcPr>
          <w:p w:rsidR="00DC514D" w:rsidRPr="002F1704" w:rsidRDefault="00DC514D" w:rsidP="004D32A1">
            <w:pPr>
              <w:autoSpaceDE w:val="0"/>
              <w:autoSpaceDN w:val="0"/>
              <w:adjustRightInd w:val="0"/>
              <w:spacing w:after="0" w:line="240" w:lineRule="auto"/>
              <w:jc w:val="both"/>
              <w:rPr>
                <w:rFonts w:cs="ACaslon-Regular"/>
                <w:b/>
              </w:rPr>
            </w:pPr>
            <w:r w:rsidRPr="002F1704">
              <w:rPr>
                <w:rFonts w:cs="ACaslon-Regular"/>
                <w:b/>
              </w:rPr>
              <w:t>E</w:t>
            </w:r>
          </w:p>
        </w:tc>
      </w:tr>
      <w:tr w:rsidR="00DC514D" w:rsidTr="00DE6F83">
        <w:trPr>
          <w:trHeight w:val="620"/>
        </w:trPr>
        <w:tc>
          <w:tcPr>
            <w:tcW w:w="559" w:type="dxa"/>
            <w:tcBorders>
              <w:top w:val="single" w:sz="4" w:space="0" w:color="auto"/>
              <w:left w:val="single" w:sz="4" w:space="0" w:color="auto"/>
              <w:bottom w:val="single" w:sz="4" w:space="0" w:color="auto"/>
              <w:right w:val="single" w:sz="4" w:space="0" w:color="auto"/>
            </w:tcBorders>
            <w:hideMark/>
          </w:tcPr>
          <w:p w:rsidR="00DC514D" w:rsidRPr="002F1704" w:rsidRDefault="00DC514D" w:rsidP="004D32A1">
            <w:pPr>
              <w:autoSpaceDE w:val="0"/>
              <w:autoSpaceDN w:val="0"/>
              <w:adjustRightInd w:val="0"/>
              <w:spacing w:after="0" w:line="240" w:lineRule="auto"/>
              <w:jc w:val="both"/>
              <w:rPr>
                <w:rFonts w:cs="ACaslon-Regular"/>
                <w:b/>
              </w:rPr>
            </w:pPr>
            <w:r w:rsidRPr="002F1704">
              <w:rPr>
                <w:rFonts w:cs="ACaslon-Regular"/>
                <w:b/>
              </w:rPr>
              <w:t>1.</w:t>
            </w:r>
          </w:p>
        </w:tc>
        <w:tc>
          <w:tcPr>
            <w:tcW w:w="3152" w:type="dxa"/>
            <w:tcBorders>
              <w:top w:val="single" w:sz="4" w:space="0" w:color="auto"/>
              <w:left w:val="single" w:sz="4" w:space="0" w:color="auto"/>
              <w:bottom w:val="single" w:sz="4" w:space="0" w:color="auto"/>
              <w:right w:val="single" w:sz="4" w:space="0" w:color="auto"/>
            </w:tcBorders>
            <w:hideMark/>
          </w:tcPr>
          <w:p w:rsidR="00DC514D" w:rsidRPr="00BE7859" w:rsidRDefault="00DC514D" w:rsidP="004D32A1">
            <w:pPr>
              <w:autoSpaceDE w:val="0"/>
              <w:autoSpaceDN w:val="0"/>
              <w:adjustRightInd w:val="0"/>
              <w:spacing w:after="0" w:line="240" w:lineRule="auto"/>
              <w:jc w:val="both"/>
              <w:rPr>
                <w:rFonts w:cs="ACaslon-Regular"/>
                <w:bCs/>
              </w:rPr>
            </w:pPr>
            <w:r w:rsidRPr="00BE7859">
              <w:rPr>
                <w:rFonts w:cs="ACaslon-Regular"/>
                <w:bCs/>
              </w:rPr>
              <w:t>Expertise of Firm / Organization submitting Proposal</w:t>
            </w:r>
          </w:p>
        </w:tc>
        <w:tc>
          <w:tcPr>
            <w:tcW w:w="1170" w:type="dxa"/>
            <w:tcBorders>
              <w:top w:val="single" w:sz="4" w:space="0" w:color="auto"/>
              <w:left w:val="single" w:sz="4" w:space="0" w:color="auto"/>
              <w:bottom w:val="single" w:sz="4" w:space="0" w:color="auto"/>
              <w:right w:val="single" w:sz="4" w:space="0" w:color="auto"/>
            </w:tcBorders>
          </w:tcPr>
          <w:p w:rsidR="00DC514D" w:rsidRPr="002F1704" w:rsidRDefault="00DC514D" w:rsidP="004D32A1">
            <w:pPr>
              <w:autoSpaceDE w:val="0"/>
              <w:autoSpaceDN w:val="0"/>
              <w:adjustRightInd w:val="0"/>
              <w:spacing w:after="0" w:line="240" w:lineRule="auto"/>
              <w:jc w:val="both"/>
              <w:rPr>
                <w:rFonts w:cs="ACaslon-Regular"/>
                <w:bCs/>
              </w:rPr>
            </w:pPr>
          </w:p>
          <w:p w:rsidR="00DC514D" w:rsidRPr="002F1704" w:rsidRDefault="00DC514D" w:rsidP="004D32A1">
            <w:pPr>
              <w:autoSpaceDE w:val="0"/>
              <w:autoSpaceDN w:val="0"/>
              <w:adjustRightInd w:val="0"/>
              <w:spacing w:after="0" w:line="240" w:lineRule="auto"/>
              <w:jc w:val="both"/>
              <w:rPr>
                <w:rFonts w:cs="ACaslon-Regular"/>
                <w:bCs/>
              </w:rPr>
            </w:pPr>
            <w:r w:rsidRPr="002F1704">
              <w:rPr>
                <w:rFonts w:cs="ACaslon-Regular"/>
                <w:bCs/>
              </w:rPr>
              <w:t>2</w:t>
            </w:r>
            <w:r w:rsidR="00C667BD">
              <w:rPr>
                <w:rFonts w:cs="ACaslon-Regular"/>
                <w:bCs/>
              </w:rPr>
              <w:t>5</w:t>
            </w:r>
            <w:r w:rsidRPr="002F1704">
              <w:rPr>
                <w:rFonts w:cs="ACaslon-Regular"/>
                <w:bCs/>
              </w:rPr>
              <w:t>%</w:t>
            </w:r>
          </w:p>
        </w:tc>
        <w:tc>
          <w:tcPr>
            <w:tcW w:w="1531" w:type="dxa"/>
            <w:tcBorders>
              <w:top w:val="single" w:sz="4" w:space="0" w:color="auto"/>
              <w:left w:val="single" w:sz="4" w:space="0" w:color="auto"/>
              <w:bottom w:val="single" w:sz="4" w:space="0" w:color="auto"/>
              <w:right w:val="single" w:sz="4" w:space="0" w:color="auto"/>
            </w:tcBorders>
          </w:tcPr>
          <w:p w:rsidR="00DC514D" w:rsidRPr="002F1704" w:rsidRDefault="00DC514D" w:rsidP="004D32A1">
            <w:pPr>
              <w:autoSpaceDE w:val="0"/>
              <w:autoSpaceDN w:val="0"/>
              <w:adjustRightInd w:val="0"/>
              <w:spacing w:after="0" w:line="240" w:lineRule="auto"/>
              <w:jc w:val="both"/>
              <w:rPr>
                <w:rFonts w:cs="ACaslon-Regular"/>
                <w:bCs/>
              </w:rPr>
            </w:pPr>
          </w:p>
          <w:p w:rsidR="00DC514D" w:rsidRPr="002F1704" w:rsidRDefault="00DC514D" w:rsidP="004D32A1">
            <w:pPr>
              <w:autoSpaceDE w:val="0"/>
              <w:autoSpaceDN w:val="0"/>
              <w:adjustRightInd w:val="0"/>
              <w:spacing w:after="0" w:line="240" w:lineRule="auto"/>
              <w:jc w:val="both"/>
              <w:rPr>
                <w:rFonts w:cs="ACaslon-Regular"/>
                <w:bCs/>
              </w:rPr>
            </w:pPr>
            <w:r w:rsidRPr="002F1704">
              <w:rPr>
                <w:rFonts w:cs="ACaslon-Regular"/>
                <w:bCs/>
              </w:rPr>
              <w:t>250</w:t>
            </w:r>
          </w:p>
        </w:tc>
        <w:tc>
          <w:tcPr>
            <w:tcW w:w="540" w:type="dxa"/>
            <w:tcBorders>
              <w:top w:val="single" w:sz="4" w:space="0" w:color="auto"/>
              <w:left w:val="single" w:sz="4" w:space="0" w:color="auto"/>
              <w:bottom w:val="single" w:sz="4" w:space="0" w:color="auto"/>
              <w:right w:val="single" w:sz="4" w:space="0" w:color="auto"/>
            </w:tcBorders>
          </w:tcPr>
          <w:p w:rsidR="00DC514D" w:rsidRPr="002F1704" w:rsidRDefault="00DC514D" w:rsidP="004D32A1">
            <w:pPr>
              <w:autoSpaceDE w:val="0"/>
              <w:autoSpaceDN w:val="0"/>
              <w:adjustRightInd w:val="0"/>
              <w:spacing w:after="0" w:line="240" w:lineRule="auto"/>
              <w:jc w:val="both"/>
              <w:rPr>
                <w:rFonts w:cs="ACaslon-Regular"/>
                <w:b/>
              </w:rPr>
            </w:pPr>
          </w:p>
        </w:tc>
        <w:tc>
          <w:tcPr>
            <w:tcW w:w="630" w:type="dxa"/>
            <w:tcBorders>
              <w:top w:val="single" w:sz="4" w:space="0" w:color="auto"/>
              <w:left w:val="single" w:sz="4" w:space="0" w:color="auto"/>
              <w:bottom w:val="single" w:sz="4" w:space="0" w:color="auto"/>
              <w:right w:val="single" w:sz="4" w:space="0" w:color="auto"/>
            </w:tcBorders>
          </w:tcPr>
          <w:p w:rsidR="00DC514D" w:rsidRPr="002F1704" w:rsidRDefault="00DC514D" w:rsidP="004D32A1">
            <w:pPr>
              <w:autoSpaceDE w:val="0"/>
              <w:autoSpaceDN w:val="0"/>
              <w:adjustRightInd w:val="0"/>
              <w:spacing w:after="0" w:line="240" w:lineRule="auto"/>
              <w:jc w:val="both"/>
              <w:rPr>
                <w:rFonts w:cs="ACaslon-Regular"/>
                <w:b/>
              </w:rPr>
            </w:pPr>
          </w:p>
        </w:tc>
        <w:tc>
          <w:tcPr>
            <w:tcW w:w="720" w:type="dxa"/>
            <w:tcBorders>
              <w:top w:val="single" w:sz="4" w:space="0" w:color="auto"/>
              <w:left w:val="single" w:sz="4" w:space="0" w:color="auto"/>
              <w:bottom w:val="single" w:sz="4" w:space="0" w:color="auto"/>
              <w:right w:val="single" w:sz="4" w:space="0" w:color="auto"/>
            </w:tcBorders>
          </w:tcPr>
          <w:p w:rsidR="00DC514D" w:rsidRPr="002F1704" w:rsidRDefault="00DC514D" w:rsidP="004D32A1">
            <w:pPr>
              <w:autoSpaceDE w:val="0"/>
              <w:autoSpaceDN w:val="0"/>
              <w:adjustRightInd w:val="0"/>
              <w:spacing w:after="0" w:line="240" w:lineRule="auto"/>
              <w:jc w:val="both"/>
              <w:rPr>
                <w:rFonts w:cs="ACaslon-Regular"/>
                <w:b/>
              </w:rPr>
            </w:pPr>
          </w:p>
        </w:tc>
        <w:tc>
          <w:tcPr>
            <w:tcW w:w="630" w:type="dxa"/>
            <w:tcBorders>
              <w:top w:val="single" w:sz="4" w:space="0" w:color="auto"/>
              <w:left w:val="single" w:sz="4" w:space="0" w:color="auto"/>
              <w:bottom w:val="single" w:sz="4" w:space="0" w:color="auto"/>
              <w:right w:val="single" w:sz="4" w:space="0" w:color="auto"/>
            </w:tcBorders>
          </w:tcPr>
          <w:p w:rsidR="00DC514D" w:rsidRPr="002F1704" w:rsidRDefault="00DC514D" w:rsidP="004D32A1">
            <w:pPr>
              <w:autoSpaceDE w:val="0"/>
              <w:autoSpaceDN w:val="0"/>
              <w:adjustRightInd w:val="0"/>
              <w:spacing w:after="0" w:line="240" w:lineRule="auto"/>
              <w:jc w:val="both"/>
              <w:rPr>
                <w:rFonts w:cs="ACaslon-Regular"/>
                <w:b/>
              </w:rPr>
            </w:pPr>
          </w:p>
        </w:tc>
        <w:tc>
          <w:tcPr>
            <w:tcW w:w="648" w:type="dxa"/>
            <w:tcBorders>
              <w:top w:val="single" w:sz="4" w:space="0" w:color="auto"/>
              <w:left w:val="single" w:sz="4" w:space="0" w:color="auto"/>
              <w:bottom w:val="single" w:sz="4" w:space="0" w:color="auto"/>
              <w:right w:val="single" w:sz="4" w:space="0" w:color="auto"/>
            </w:tcBorders>
          </w:tcPr>
          <w:p w:rsidR="00DC514D" w:rsidRPr="002F1704" w:rsidRDefault="00DC514D" w:rsidP="004D32A1">
            <w:pPr>
              <w:autoSpaceDE w:val="0"/>
              <w:autoSpaceDN w:val="0"/>
              <w:adjustRightInd w:val="0"/>
              <w:spacing w:after="0" w:line="240" w:lineRule="auto"/>
              <w:jc w:val="both"/>
              <w:rPr>
                <w:rFonts w:cs="ACaslon-Regular"/>
                <w:b/>
              </w:rPr>
            </w:pPr>
          </w:p>
        </w:tc>
      </w:tr>
      <w:tr w:rsidR="00DC514D" w:rsidTr="00DE6F83">
        <w:trPr>
          <w:trHeight w:val="845"/>
        </w:trPr>
        <w:tc>
          <w:tcPr>
            <w:tcW w:w="559" w:type="dxa"/>
            <w:tcBorders>
              <w:top w:val="single" w:sz="4" w:space="0" w:color="auto"/>
              <w:left w:val="single" w:sz="4" w:space="0" w:color="auto"/>
              <w:bottom w:val="single" w:sz="4" w:space="0" w:color="auto"/>
              <w:right w:val="single" w:sz="4" w:space="0" w:color="auto"/>
            </w:tcBorders>
          </w:tcPr>
          <w:p w:rsidR="00DC514D" w:rsidRPr="002F1704" w:rsidRDefault="00DC514D" w:rsidP="004D32A1">
            <w:pPr>
              <w:autoSpaceDE w:val="0"/>
              <w:autoSpaceDN w:val="0"/>
              <w:adjustRightInd w:val="0"/>
              <w:spacing w:after="0" w:line="240" w:lineRule="auto"/>
              <w:jc w:val="both"/>
              <w:rPr>
                <w:rFonts w:cs="ACaslon-Regular"/>
                <w:b/>
              </w:rPr>
            </w:pPr>
          </w:p>
          <w:p w:rsidR="00DC514D" w:rsidRPr="002F1704" w:rsidRDefault="00DC514D" w:rsidP="004D32A1">
            <w:pPr>
              <w:autoSpaceDE w:val="0"/>
              <w:autoSpaceDN w:val="0"/>
              <w:adjustRightInd w:val="0"/>
              <w:spacing w:after="0" w:line="240" w:lineRule="auto"/>
              <w:jc w:val="both"/>
              <w:rPr>
                <w:rFonts w:cs="ACaslon-Regular"/>
                <w:b/>
              </w:rPr>
            </w:pPr>
            <w:r w:rsidRPr="002F1704">
              <w:rPr>
                <w:rFonts w:cs="ACaslon-Regular"/>
                <w:b/>
              </w:rPr>
              <w:t>2.</w:t>
            </w:r>
          </w:p>
        </w:tc>
        <w:tc>
          <w:tcPr>
            <w:tcW w:w="3152" w:type="dxa"/>
            <w:tcBorders>
              <w:top w:val="single" w:sz="4" w:space="0" w:color="auto"/>
              <w:left w:val="single" w:sz="4" w:space="0" w:color="auto"/>
              <w:bottom w:val="single" w:sz="4" w:space="0" w:color="auto"/>
              <w:right w:val="single" w:sz="4" w:space="0" w:color="auto"/>
            </w:tcBorders>
          </w:tcPr>
          <w:p w:rsidR="00DC514D" w:rsidRPr="00BE7859" w:rsidRDefault="00DC514D" w:rsidP="004D32A1">
            <w:pPr>
              <w:autoSpaceDE w:val="0"/>
              <w:autoSpaceDN w:val="0"/>
              <w:adjustRightInd w:val="0"/>
              <w:spacing w:after="0" w:line="240" w:lineRule="auto"/>
              <w:jc w:val="both"/>
              <w:rPr>
                <w:rFonts w:cs="ACaslon-Regular"/>
                <w:bCs/>
              </w:rPr>
            </w:pPr>
          </w:p>
          <w:p w:rsidR="00DC514D" w:rsidRPr="00BE7859" w:rsidRDefault="00DC514D" w:rsidP="004D32A1">
            <w:pPr>
              <w:autoSpaceDE w:val="0"/>
              <w:autoSpaceDN w:val="0"/>
              <w:adjustRightInd w:val="0"/>
              <w:spacing w:after="0" w:line="240" w:lineRule="auto"/>
              <w:jc w:val="both"/>
              <w:rPr>
                <w:rFonts w:cs="ACaslon-Regular"/>
                <w:bCs/>
              </w:rPr>
            </w:pPr>
            <w:r w:rsidRPr="00BE7859">
              <w:rPr>
                <w:rFonts w:cs="ACaslon-Regular"/>
                <w:bCs/>
              </w:rPr>
              <w:t>Proposed Work Plan and Approach</w:t>
            </w:r>
          </w:p>
        </w:tc>
        <w:tc>
          <w:tcPr>
            <w:tcW w:w="1170" w:type="dxa"/>
            <w:tcBorders>
              <w:top w:val="single" w:sz="4" w:space="0" w:color="auto"/>
              <w:left w:val="single" w:sz="4" w:space="0" w:color="auto"/>
              <w:bottom w:val="single" w:sz="4" w:space="0" w:color="auto"/>
              <w:right w:val="single" w:sz="4" w:space="0" w:color="auto"/>
            </w:tcBorders>
          </w:tcPr>
          <w:p w:rsidR="00DC514D" w:rsidRPr="002F1704" w:rsidRDefault="00DC514D" w:rsidP="004D32A1">
            <w:pPr>
              <w:autoSpaceDE w:val="0"/>
              <w:autoSpaceDN w:val="0"/>
              <w:adjustRightInd w:val="0"/>
              <w:spacing w:after="0" w:line="240" w:lineRule="auto"/>
              <w:jc w:val="both"/>
              <w:rPr>
                <w:rFonts w:cs="ACaslon-Regular"/>
                <w:bCs/>
              </w:rPr>
            </w:pPr>
          </w:p>
          <w:p w:rsidR="00DC514D" w:rsidRPr="002F1704" w:rsidRDefault="00C667BD" w:rsidP="004D32A1">
            <w:pPr>
              <w:autoSpaceDE w:val="0"/>
              <w:autoSpaceDN w:val="0"/>
              <w:adjustRightInd w:val="0"/>
              <w:spacing w:after="0" w:line="240" w:lineRule="auto"/>
              <w:jc w:val="both"/>
              <w:rPr>
                <w:rFonts w:cs="ACaslon-Regular"/>
                <w:bCs/>
              </w:rPr>
            </w:pPr>
            <w:r>
              <w:rPr>
                <w:rFonts w:cs="ACaslon-Regular"/>
                <w:bCs/>
              </w:rPr>
              <w:t>40</w:t>
            </w:r>
            <w:r w:rsidR="00DC514D" w:rsidRPr="002F1704">
              <w:rPr>
                <w:rFonts w:cs="ACaslon-Regular"/>
                <w:bCs/>
              </w:rPr>
              <w:t>%</w:t>
            </w:r>
          </w:p>
        </w:tc>
        <w:tc>
          <w:tcPr>
            <w:tcW w:w="1531" w:type="dxa"/>
            <w:tcBorders>
              <w:top w:val="single" w:sz="4" w:space="0" w:color="auto"/>
              <w:left w:val="single" w:sz="4" w:space="0" w:color="auto"/>
              <w:bottom w:val="single" w:sz="4" w:space="0" w:color="auto"/>
              <w:right w:val="single" w:sz="4" w:space="0" w:color="auto"/>
            </w:tcBorders>
          </w:tcPr>
          <w:p w:rsidR="00DC514D" w:rsidRPr="002F1704" w:rsidRDefault="00DC514D" w:rsidP="004D32A1">
            <w:pPr>
              <w:autoSpaceDE w:val="0"/>
              <w:autoSpaceDN w:val="0"/>
              <w:adjustRightInd w:val="0"/>
              <w:spacing w:after="0" w:line="240" w:lineRule="auto"/>
              <w:jc w:val="both"/>
              <w:rPr>
                <w:rFonts w:cs="ACaslon-Regular"/>
                <w:bCs/>
              </w:rPr>
            </w:pPr>
          </w:p>
          <w:p w:rsidR="00DC514D" w:rsidRPr="002F1704" w:rsidRDefault="00DC514D" w:rsidP="004D32A1">
            <w:pPr>
              <w:autoSpaceDE w:val="0"/>
              <w:autoSpaceDN w:val="0"/>
              <w:adjustRightInd w:val="0"/>
              <w:spacing w:after="0" w:line="240" w:lineRule="auto"/>
              <w:jc w:val="both"/>
              <w:rPr>
                <w:rFonts w:cs="ACaslon-Regular"/>
                <w:bCs/>
              </w:rPr>
            </w:pPr>
            <w:r w:rsidRPr="002F1704">
              <w:rPr>
                <w:rFonts w:cs="ACaslon-Regular"/>
                <w:bCs/>
              </w:rPr>
              <w:t>400</w:t>
            </w:r>
          </w:p>
        </w:tc>
        <w:tc>
          <w:tcPr>
            <w:tcW w:w="540" w:type="dxa"/>
            <w:tcBorders>
              <w:top w:val="single" w:sz="4" w:space="0" w:color="auto"/>
              <w:left w:val="single" w:sz="4" w:space="0" w:color="auto"/>
              <w:bottom w:val="single" w:sz="4" w:space="0" w:color="auto"/>
              <w:right w:val="single" w:sz="4" w:space="0" w:color="auto"/>
            </w:tcBorders>
          </w:tcPr>
          <w:p w:rsidR="00DC514D" w:rsidRPr="002F1704" w:rsidRDefault="00DC514D" w:rsidP="004D32A1">
            <w:pPr>
              <w:autoSpaceDE w:val="0"/>
              <w:autoSpaceDN w:val="0"/>
              <w:adjustRightInd w:val="0"/>
              <w:spacing w:after="0" w:line="240" w:lineRule="auto"/>
              <w:jc w:val="both"/>
              <w:rPr>
                <w:rFonts w:cs="ACaslon-Regular"/>
                <w:b/>
              </w:rPr>
            </w:pPr>
          </w:p>
        </w:tc>
        <w:tc>
          <w:tcPr>
            <w:tcW w:w="630" w:type="dxa"/>
            <w:tcBorders>
              <w:top w:val="single" w:sz="4" w:space="0" w:color="auto"/>
              <w:left w:val="single" w:sz="4" w:space="0" w:color="auto"/>
              <w:bottom w:val="single" w:sz="4" w:space="0" w:color="auto"/>
              <w:right w:val="single" w:sz="4" w:space="0" w:color="auto"/>
            </w:tcBorders>
          </w:tcPr>
          <w:p w:rsidR="00DC514D" w:rsidRPr="002F1704" w:rsidRDefault="00DC514D" w:rsidP="004D32A1">
            <w:pPr>
              <w:autoSpaceDE w:val="0"/>
              <w:autoSpaceDN w:val="0"/>
              <w:adjustRightInd w:val="0"/>
              <w:spacing w:after="0" w:line="240" w:lineRule="auto"/>
              <w:jc w:val="both"/>
              <w:rPr>
                <w:rFonts w:cs="ACaslon-Regular"/>
                <w:b/>
              </w:rPr>
            </w:pPr>
          </w:p>
        </w:tc>
        <w:tc>
          <w:tcPr>
            <w:tcW w:w="720" w:type="dxa"/>
            <w:tcBorders>
              <w:top w:val="single" w:sz="4" w:space="0" w:color="auto"/>
              <w:left w:val="single" w:sz="4" w:space="0" w:color="auto"/>
              <w:bottom w:val="single" w:sz="4" w:space="0" w:color="auto"/>
              <w:right w:val="single" w:sz="4" w:space="0" w:color="auto"/>
            </w:tcBorders>
          </w:tcPr>
          <w:p w:rsidR="00DC514D" w:rsidRPr="002F1704" w:rsidRDefault="00DC514D" w:rsidP="004D32A1">
            <w:pPr>
              <w:autoSpaceDE w:val="0"/>
              <w:autoSpaceDN w:val="0"/>
              <w:adjustRightInd w:val="0"/>
              <w:spacing w:after="0" w:line="240" w:lineRule="auto"/>
              <w:jc w:val="both"/>
              <w:rPr>
                <w:rFonts w:cs="ACaslon-Regular"/>
                <w:b/>
              </w:rPr>
            </w:pPr>
          </w:p>
        </w:tc>
        <w:tc>
          <w:tcPr>
            <w:tcW w:w="630" w:type="dxa"/>
            <w:tcBorders>
              <w:top w:val="single" w:sz="4" w:space="0" w:color="auto"/>
              <w:left w:val="single" w:sz="4" w:space="0" w:color="auto"/>
              <w:bottom w:val="single" w:sz="4" w:space="0" w:color="auto"/>
              <w:right w:val="single" w:sz="4" w:space="0" w:color="auto"/>
            </w:tcBorders>
          </w:tcPr>
          <w:p w:rsidR="00DC514D" w:rsidRPr="002F1704" w:rsidRDefault="00DC514D" w:rsidP="004D32A1">
            <w:pPr>
              <w:autoSpaceDE w:val="0"/>
              <w:autoSpaceDN w:val="0"/>
              <w:adjustRightInd w:val="0"/>
              <w:spacing w:after="0" w:line="240" w:lineRule="auto"/>
              <w:jc w:val="both"/>
              <w:rPr>
                <w:rFonts w:cs="ACaslon-Regular"/>
                <w:b/>
              </w:rPr>
            </w:pPr>
          </w:p>
        </w:tc>
        <w:tc>
          <w:tcPr>
            <w:tcW w:w="648" w:type="dxa"/>
            <w:tcBorders>
              <w:top w:val="single" w:sz="4" w:space="0" w:color="auto"/>
              <w:left w:val="single" w:sz="4" w:space="0" w:color="auto"/>
              <w:bottom w:val="single" w:sz="4" w:space="0" w:color="auto"/>
              <w:right w:val="single" w:sz="4" w:space="0" w:color="auto"/>
            </w:tcBorders>
          </w:tcPr>
          <w:p w:rsidR="00DC514D" w:rsidRPr="002F1704" w:rsidRDefault="00DC514D" w:rsidP="004D32A1">
            <w:pPr>
              <w:autoSpaceDE w:val="0"/>
              <w:autoSpaceDN w:val="0"/>
              <w:adjustRightInd w:val="0"/>
              <w:spacing w:after="0" w:line="240" w:lineRule="auto"/>
              <w:jc w:val="both"/>
              <w:rPr>
                <w:rFonts w:cs="ACaslon-Regular"/>
                <w:b/>
              </w:rPr>
            </w:pPr>
          </w:p>
        </w:tc>
      </w:tr>
      <w:tr w:rsidR="00DC514D" w:rsidTr="00DE6F83">
        <w:trPr>
          <w:trHeight w:val="485"/>
        </w:trPr>
        <w:tc>
          <w:tcPr>
            <w:tcW w:w="559" w:type="dxa"/>
            <w:tcBorders>
              <w:top w:val="single" w:sz="4" w:space="0" w:color="auto"/>
              <w:left w:val="single" w:sz="4" w:space="0" w:color="auto"/>
              <w:bottom w:val="nil"/>
              <w:right w:val="single" w:sz="4" w:space="0" w:color="auto"/>
            </w:tcBorders>
          </w:tcPr>
          <w:p w:rsidR="00DC514D" w:rsidRPr="002F1704" w:rsidRDefault="00DC514D" w:rsidP="004D32A1">
            <w:pPr>
              <w:autoSpaceDE w:val="0"/>
              <w:autoSpaceDN w:val="0"/>
              <w:adjustRightInd w:val="0"/>
              <w:spacing w:after="0" w:line="240" w:lineRule="auto"/>
              <w:jc w:val="both"/>
              <w:rPr>
                <w:rFonts w:cs="ACaslon-Regular"/>
                <w:b/>
              </w:rPr>
            </w:pPr>
          </w:p>
          <w:p w:rsidR="00DC514D" w:rsidRPr="002F1704" w:rsidRDefault="00DC514D" w:rsidP="004D32A1">
            <w:pPr>
              <w:autoSpaceDE w:val="0"/>
              <w:autoSpaceDN w:val="0"/>
              <w:adjustRightInd w:val="0"/>
              <w:spacing w:after="0" w:line="240" w:lineRule="auto"/>
              <w:jc w:val="both"/>
              <w:rPr>
                <w:rFonts w:cs="ACaslon-Regular"/>
                <w:b/>
              </w:rPr>
            </w:pPr>
            <w:r w:rsidRPr="002F1704">
              <w:rPr>
                <w:rFonts w:cs="ACaslon-Regular"/>
                <w:b/>
              </w:rPr>
              <w:t>3.</w:t>
            </w:r>
          </w:p>
        </w:tc>
        <w:tc>
          <w:tcPr>
            <w:tcW w:w="3152" w:type="dxa"/>
            <w:tcBorders>
              <w:top w:val="single" w:sz="4" w:space="0" w:color="auto"/>
              <w:left w:val="single" w:sz="4" w:space="0" w:color="auto"/>
              <w:bottom w:val="nil"/>
              <w:right w:val="single" w:sz="4" w:space="0" w:color="auto"/>
            </w:tcBorders>
          </w:tcPr>
          <w:p w:rsidR="00DC514D" w:rsidRPr="00BE7859" w:rsidRDefault="00DC514D" w:rsidP="004D32A1">
            <w:pPr>
              <w:autoSpaceDE w:val="0"/>
              <w:autoSpaceDN w:val="0"/>
              <w:adjustRightInd w:val="0"/>
              <w:spacing w:after="0" w:line="240" w:lineRule="auto"/>
              <w:jc w:val="both"/>
              <w:rPr>
                <w:rFonts w:cs="ACaslon-Regular"/>
                <w:bCs/>
              </w:rPr>
            </w:pPr>
          </w:p>
          <w:p w:rsidR="00DC514D" w:rsidRPr="00BE7859" w:rsidRDefault="00DC514D" w:rsidP="004D32A1">
            <w:pPr>
              <w:autoSpaceDE w:val="0"/>
              <w:autoSpaceDN w:val="0"/>
              <w:adjustRightInd w:val="0"/>
              <w:spacing w:after="0" w:line="240" w:lineRule="auto"/>
              <w:jc w:val="both"/>
              <w:rPr>
                <w:rFonts w:cs="ACaslon-Regular"/>
                <w:bCs/>
              </w:rPr>
            </w:pPr>
            <w:r w:rsidRPr="00BE7859">
              <w:rPr>
                <w:rFonts w:cs="ACaslon-Regular"/>
                <w:bCs/>
              </w:rPr>
              <w:t>Personnel</w:t>
            </w:r>
          </w:p>
        </w:tc>
        <w:tc>
          <w:tcPr>
            <w:tcW w:w="1170" w:type="dxa"/>
            <w:tcBorders>
              <w:top w:val="single" w:sz="4" w:space="0" w:color="auto"/>
              <w:left w:val="single" w:sz="4" w:space="0" w:color="auto"/>
              <w:bottom w:val="nil"/>
              <w:right w:val="single" w:sz="4" w:space="0" w:color="auto"/>
            </w:tcBorders>
          </w:tcPr>
          <w:p w:rsidR="00DC514D" w:rsidRPr="002F1704" w:rsidRDefault="00DC514D" w:rsidP="004D32A1">
            <w:pPr>
              <w:autoSpaceDE w:val="0"/>
              <w:autoSpaceDN w:val="0"/>
              <w:adjustRightInd w:val="0"/>
              <w:spacing w:after="0" w:line="240" w:lineRule="auto"/>
              <w:jc w:val="both"/>
              <w:rPr>
                <w:rFonts w:cs="ACaslon-Regular"/>
                <w:bCs/>
              </w:rPr>
            </w:pPr>
          </w:p>
          <w:p w:rsidR="00DC514D" w:rsidRPr="002F1704" w:rsidRDefault="00C667BD" w:rsidP="004D32A1">
            <w:pPr>
              <w:autoSpaceDE w:val="0"/>
              <w:autoSpaceDN w:val="0"/>
              <w:adjustRightInd w:val="0"/>
              <w:spacing w:after="0" w:line="240" w:lineRule="auto"/>
              <w:jc w:val="both"/>
              <w:rPr>
                <w:rFonts w:cs="ACaslon-Regular"/>
                <w:bCs/>
              </w:rPr>
            </w:pPr>
            <w:r>
              <w:rPr>
                <w:rFonts w:cs="ACaslon-Regular"/>
                <w:bCs/>
              </w:rPr>
              <w:t>35</w:t>
            </w:r>
            <w:r w:rsidR="00DC514D" w:rsidRPr="002F1704">
              <w:rPr>
                <w:rFonts w:cs="ACaslon-Regular"/>
                <w:bCs/>
              </w:rPr>
              <w:t>%</w:t>
            </w:r>
          </w:p>
        </w:tc>
        <w:tc>
          <w:tcPr>
            <w:tcW w:w="1531" w:type="dxa"/>
            <w:tcBorders>
              <w:top w:val="single" w:sz="4" w:space="0" w:color="auto"/>
              <w:left w:val="single" w:sz="4" w:space="0" w:color="auto"/>
              <w:bottom w:val="nil"/>
              <w:right w:val="single" w:sz="4" w:space="0" w:color="auto"/>
            </w:tcBorders>
          </w:tcPr>
          <w:p w:rsidR="00DC514D" w:rsidRPr="002F1704" w:rsidRDefault="00DC514D" w:rsidP="004D32A1">
            <w:pPr>
              <w:autoSpaceDE w:val="0"/>
              <w:autoSpaceDN w:val="0"/>
              <w:adjustRightInd w:val="0"/>
              <w:spacing w:after="0" w:line="240" w:lineRule="auto"/>
              <w:jc w:val="both"/>
              <w:rPr>
                <w:rFonts w:cs="ACaslon-Regular"/>
                <w:bCs/>
              </w:rPr>
            </w:pPr>
          </w:p>
          <w:p w:rsidR="00DC514D" w:rsidRPr="002F1704" w:rsidRDefault="00DC514D" w:rsidP="004D32A1">
            <w:pPr>
              <w:autoSpaceDE w:val="0"/>
              <w:autoSpaceDN w:val="0"/>
              <w:adjustRightInd w:val="0"/>
              <w:spacing w:after="0" w:line="240" w:lineRule="auto"/>
              <w:jc w:val="both"/>
              <w:rPr>
                <w:rFonts w:cs="ACaslon-Regular"/>
                <w:bCs/>
              </w:rPr>
            </w:pPr>
            <w:r w:rsidRPr="002F1704">
              <w:rPr>
                <w:rFonts w:cs="ACaslon-Regular"/>
                <w:bCs/>
              </w:rPr>
              <w:t>350</w:t>
            </w:r>
          </w:p>
        </w:tc>
        <w:tc>
          <w:tcPr>
            <w:tcW w:w="540" w:type="dxa"/>
            <w:tcBorders>
              <w:top w:val="single" w:sz="4" w:space="0" w:color="auto"/>
              <w:left w:val="single" w:sz="4" w:space="0" w:color="auto"/>
              <w:bottom w:val="nil"/>
              <w:right w:val="single" w:sz="4" w:space="0" w:color="auto"/>
            </w:tcBorders>
          </w:tcPr>
          <w:p w:rsidR="00DC514D" w:rsidRPr="002F1704" w:rsidRDefault="00DC514D" w:rsidP="004D32A1">
            <w:pPr>
              <w:autoSpaceDE w:val="0"/>
              <w:autoSpaceDN w:val="0"/>
              <w:adjustRightInd w:val="0"/>
              <w:spacing w:after="0" w:line="240" w:lineRule="auto"/>
              <w:jc w:val="both"/>
              <w:rPr>
                <w:rFonts w:cs="ACaslon-Regular"/>
                <w:b/>
              </w:rPr>
            </w:pPr>
          </w:p>
        </w:tc>
        <w:tc>
          <w:tcPr>
            <w:tcW w:w="630" w:type="dxa"/>
            <w:tcBorders>
              <w:top w:val="single" w:sz="4" w:space="0" w:color="auto"/>
              <w:left w:val="single" w:sz="4" w:space="0" w:color="auto"/>
              <w:bottom w:val="nil"/>
              <w:right w:val="single" w:sz="4" w:space="0" w:color="auto"/>
            </w:tcBorders>
          </w:tcPr>
          <w:p w:rsidR="00DC514D" w:rsidRPr="002F1704" w:rsidRDefault="00DC514D" w:rsidP="004D32A1">
            <w:pPr>
              <w:autoSpaceDE w:val="0"/>
              <w:autoSpaceDN w:val="0"/>
              <w:adjustRightInd w:val="0"/>
              <w:spacing w:after="0" w:line="240" w:lineRule="auto"/>
              <w:jc w:val="both"/>
              <w:rPr>
                <w:rFonts w:cs="ACaslon-Regular"/>
                <w:b/>
              </w:rPr>
            </w:pPr>
          </w:p>
        </w:tc>
        <w:tc>
          <w:tcPr>
            <w:tcW w:w="720" w:type="dxa"/>
            <w:tcBorders>
              <w:top w:val="single" w:sz="4" w:space="0" w:color="auto"/>
              <w:left w:val="single" w:sz="4" w:space="0" w:color="auto"/>
              <w:bottom w:val="nil"/>
              <w:right w:val="single" w:sz="4" w:space="0" w:color="auto"/>
            </w:tcBorders>
          </w:tcPr>
          <w:p w:rsidR="00DC514D" w:rsidRPr="002F1704" w:rsidRDefault="00DC514D" w:rsidP="004D32A1">
            <w:pPr>
              <w:autoSpaceDE w:val="0"/>
              <w:autoSpaceDN w:val="0"/>
              <w:adjustRightInd w:val="0"/>
              <w:spacing w:after="0" w:line="240" w:lineRule="auto"/>
              <w:jc w:val="both"/>
              <w:rPr>
                <w:rFonts w:cs="ACaslon-Regular"/>
                <w:b/>
              </w:rPr>
            </w:pPr>
          </w:p>
        </w:tc>
        <w:tc>
          <w:tcPr>
            <w:tcW w:w="630" w:type="dxa"/>
            <w:tcBorders>
              <w:top w:val="single" w:sz="4" w:space="0" w:color="auto"/>
              <w:left w:val="single" w:sz="4" w:space="0" w:color="auto"/>
              <w:bottom w:val="nil"/>
              <w:right w:val="single" w:sz="4" w:space="0" w:color="auto"/>
            </w:tcBorders>
          </w:tcPr>
          <w:p w:rsidR="00DC514D" w:rsidRPr="002F1704" w:rsidRDefault="00DC514D" w:rsidP="004D32A1">
            <w:pPr>
              <w:autoSpaceDE w:val="0"/>
              <w:autoSpaceDN w:val="0"/>
              <w:adjustRightInd w:val="0"/>
              <w:spacing w:after="0" w:line="240" w:lineRule="auto"/>
              <w:jc w:val="both"/>
              <w:rPr>
                <w:rFonts w:cs="ACaslon-Regular"/>
                <w:b/>
              </w:rPr>
            </w:pPr>
          </w:p>
        </w:tc>
        <w:tc>
          <w:tcPr>
            <w:tcW w:w="648" w:type="dxa"/>
            <w:tcBorders>
              <w:top w:val="single" w:sz="4" w:space="0" w:color="auto"/>
              <w:left w:val="single" w:sz="4" w:space="0" w:color="auto"/>
              <w:bottom w:val="nil"/>
              <w:right w:val="single" w:sz="4" w:space="0" w:color="auto"/>
            </w:tcBorders>
          </w:tcPr>
          <w:p w:rsidR="00DC514D" w:rsidRPr="002F1704" w:rsidRDefault="00DC514D" w:rsidP="004D32A1">
            <w:pPr>
              <w:autoSpaceDE w:val="0"/>
              <w:autoSpaceDN w:val="0"/>
              <w:adjustRightInd w:val="0"/>
              <w:spacing w:after="0" w:line="240" w:lineRule="auto"/>
              <w:jc w:val="both"/>
              <w:rPr>
                <w:rFonts w:cs="ACaslon-Regular"/>
                <w:b/>
              </w:rPr>
            </w:pPr>
          </w:p>
        </w:tc>
      </w:tr>
      <w:tr w:rsidR="00DC514D" w:rsidTr="00DC514D">
        <w:trPr>
          <w:cantSplit/>
        </w:trPr>
        <w:tc>
          <w:tcPr>
            <w:tcW w:w="559" w:type="dxa"/>
            <w:tcBorders>
              <w:top w:val="single" w:sz="4" w:space="0" w:color="auto"/>
              <w:left w:val="single" w:sz="4" w:space="0" w:color="auto"/>
              <w:bottom w:val="single" w:sz="4" w:space="0" w:color="auto"/>
              <w:right w:val="single" w:sz="4" w:space="0" w:color="auto"/>
            </w:tcBorders>
            <w:shd w:val="pct15" w:color="auto" w:fill="FFFFFF"/>
          </w:tcPr>
          <w:p w:rsidR="00DC514D" w:rsidRPr="002F1704" w:rsidRDefault="00DC514D" w:rsidP="004D32A1">
            <w:pPr>
              <w:autoSpaceDE w:val="0"/>
              <w:autoSpaceDN w:val="0"/>
              <w:adjustRightInd w:val="0"/>
              <w:spacing w:after="0" w:line="240" w:lineRule="auto"/>
              <w:jc w:val="both"/>
              <w:rPr>
                <w:rFonts w:cs="ACaslon-Regular"/>
                <w:b/>
              </w:rPr>
            </w:pPr>
          </w:p>
        </w:tc>
        <w:tc>
          <w:tcPr>
            <w:tcW w:w="4322" w:type="dxa"/>
            <w:gridSpan w:val="2"/>
            <w:tcBorders>
              <w:top w:val="single" w:sz="4" w:space="0" w:color="auto"/>
              <w:left w:val="single" w:sz="4" w:space="0" w:color="auto"/>
              <w:bottom w:val="single" w:sz="4" w:space="0" w:color="auto"/>
              <w:right w:val="single" w:sz="4" w:space="0" w:color="auto"/>
            </w:tcBorders>
            <w:shd w:val="pct15" w:color="auto" w:fill="FFFFFF"/>
          </w:tcPr>
          <w:p w:rsidR="00DC514D" w:rsidRPr="002F1704" w:rsidRDefault="00DC514D" w:rsidP="004D32A1">
            <w:pPr>
              <w:autoSpaceDE w:val="0"/>
              <w:autoSpaceDN w:val="0"/>
              <w:adjustRightInd w:val="0"/>
              <w:spacing w:after="0" w:line="240" w:lineRule="auto"/>
              <w:jc w:val="both"/>
              <w:rPr>
                <w:rFonts w:cs="ACaslon-Regular"/>
                <w:bCs/>
              </w:rPr>
            </w:pPr>
          </w:p>
          <w:p w:rsidR="00DC514D" w:rsidRPr="002F1704" w:rsidRDefault="00DC514D" w:rsidP="004D32A1">
            <w:pPr>
              <w:autoSpaceDE w:val="0"/>
              <w:autoSpaceDN w:val="0"/>
              <w:adjustRightInd w:val="0"/>
              <w:spacing w:after="0" w:line="240" w:lineRule="auto"/>
              <w:jc w:val="both"/>
              <w:rPr>
                <w:rFonts w:cs="ACaslon-Regular"/>
                <w:bCs/>
              </w:rPr>
            </w:pPr>
            <w:r w:rsidRPr="002F1704">
              <w:rPr>
                <w:rFonts w:cs="ACaslon-Regular"/>
                <w:bCs/>
              </w:rPr>
              <w:t>Total</w:t>
            </w:r>
          </w:p>
        </w:tc>
        <w:tc>
          <w:tcPr>
            <w:tcW w:w="1531" w:type="dxa"/>
            <w:tcBorders>
              <w:top w:val="single" w:sz="4" w:space="0" w:color="auto"/>
              <w:left w:val="single" w:sz="4" w:space="0" w:color="auto"/>
              <w:bottom w:val="single" w:sz="4" w:space="0" w:color="auto"/>
              <w:right w:val="single" w:sz="4" w:space="0" w:color="auto"/>
            </w:tcBorders>
            <w:shd w:val="pct15" w:color="auto" w:fill="FFFFFF"/>
          </w:tcPr>
          <w:p w:rsidR="00DC514D" w:rsidRPr="002F1704" w:rsidRDefault="00DC514D" w:rsidP="004D32A1">
            <w:pPr>
              <w:autoSpaceDE w:val="0"/>
              <w:autoSpaceDN w:val="0"/>
              <w:adjustRightInd w:val="0"/>
              <w:spacing w:after="0" w:line="240" w:lineRule="auto"/>
              <w:jc w:val="both"/>
              <w:rPr>
                <w:rFonts w:cs="ACaslon-Regular"/>
                <w:bCs/>
              </w:rPr>
            </w:pPr>
          </w:p>
          <w:p w:rsidR="00DC514D" w:rsidRPr="002F1704" w:rsidRDefault="00DC514D" w:rsidP="004D32A1">
            <w:pPr>
              <w:autoSpaceDE w:val="0"/>
              <w:autoSpaceDN w:val="0"/>
              <w:adjustRightInd w:val="0"/>
              <w:spacing w:after="0" w:line="240" w:lineRule="auto"/>
              <w:jc w:val="both"/>
              <w:rPr>
                <w:rFonts w:cs="ACaslon-Regular"/>
                <w:bCs/>
              </w:rPr>
            </w:pPr>
            <w:r w:rsidRPr="002F1704">
              <w:rPr>
                <w:rFonts w:cs="ACaslon-Regular"/>
                <w:bCs/>
              </w:rPr>
              <w:t>1000</w:t>
            </w:r>
          </w:p>
        </w:tc>
        <w:tc>
          <w:tcPr>
            <w:tcW w:w="540" w:type="dxa"/>
            <w:tcBorders>
              <w:top w:val="single" w:sz="4" w:space="0" w:color="auto"/>
              <w:left w:val="single" w:sz="4" w:space="0" w:color="auto"/>
              <w:bottom w:val="single" w:sz="4" w:space="0" w:color="auto"/>
              <w:right w:val="single" w:sz="4" w:space="0" w:color="auto"/>
            </w:tcBorders>
            <w:shd w:val="pct15" w:color="auto" w:fill="FFFFFF"/>
          </w:tcPr>
          <w:p w:rsidR="00DC514D" w:rsidRPr="002F1704" w:rsidRDefault="00DC514D" w:rsidP="004D32A1">
            <w:pPr>
              <w:autoSpaceDE w:val="0"/>
              <w:autoSpaceDN w:val="0"/>
              <w:adjustRightInd w:val="0"/>
              <w:spacing w:after="0" w:line="240" w:lineRule="auto"/>
              <w:jc w:val="both"/>
              <w:rPr>
                <w:rFonts w:cs="ACaslon-Regular"/>
                <w:b/>
              </w:rPr>
            </w:pPr>
          </w:p>
        </w:tc>
        <w:tc>
          <w:tcPr>
            <w:tcW w:w="630" w:type="dxa"/>
            <w:tcBorders>
              <w:top w:val="single" w:sz="4" w:space="0" w:color="auto"/>
              <w:left w:val="single" w:sz="4" w:space="0" w:color="auto"/>
              <w:bottom w:val="single" w:sz="4" w:space="0" w:color="auto"/>
              <w:right w:val="single" w:sz="4" w:space="0" w:color="auto"/>
            </w:tcBorders>
            <w:shd w:val="pct15" w:color="auto" w:fill="FFFFFF"/>
          </w:tcPr>
          <w:p w:rsidR="00DC514D" w:rsidRPr="002F1704" w:rsidRDefault="00DC514D" w:rsidP="004D32A1">
            <w:pPr>
              <w:autoSpaceDE w:val="0"/>
              <w:autoSpaceDN w:val="0"/>
              <w:adjustRightInd w:val="0"/>
              <w:spacing w:after="0" w:line="240" w:lineRule="auto"/>
              <w:jc w:val="both"/>
              <w:rPr>
                <w:rFonts w:cs="ACaslon-Regular"/>
                <w:b/>
              </w:rPr>
            </w:pPr>
          </w:p>
        </w:tc>
        <w:tc>
          <w:tcPr>
            <w:tcW w:w="720" w:type="dxa"/>
            <w:tcBorders>
              <w:top w:val="single" w:sz="4" w:space="0" w:color="auto"/>
              <w:left w:val="single" w:sz="4" w:space="0" w:color="auto"/>
              <w:bottom w:val="single" w:sz="4" w:space="0" w:color="auto"/>
              <w:right w:val="single" w:sz="4" w:space="0" w:color="auto"/>
            </w:tcBorders>
            <w:shd w:val="pct15" w:color="auto" w:fill="FFFFFF"/>
          </w:tcPr>
          <w:p w:rsidR="00DC514D" w:rsidRPr="002F1704" w:rsidRDefault="00DC514D" w:rsidP="004D32A1">
            <w:pPr>
              <w:autoSpaceDE w:val="0"/>
              <w:autoSpaceDN w:val="0"/>
              <w:adjustRightInd w:val="0"/>
              <w:spacing w:after="0" w:line="240" w:lineRule="auto"/>
              <w:jc w:val="both"/>
              <w:rPr>
                <w:rFonts w:cs="ACaslon-Regular"/>
                <w:b/>
              </w:rPr>
            </w:pPr>
          </w:p>
        </w:tc>
        <w:tc>
          <w:tcPr>
            <w:tcW w:w="630" w:type="dxa"/>
            <w:tcBorders>
              <w:top w:val="single" w:sz="4" w:space="0" w:color="auto"/>
              <w:left w:val="single" w:sz="4" w:space="0" w:color="auto"/>
              <w:bottom w:val="single" w:sz="4" w:space="0" w:color="auto"/>
              <w:right w:val="single" w:sz="4" w:space="0" w:color="auto"/>
            </w:tcBorders>
            <w:shd w:val="pct15" w:color="auto" w:fill="FFFFFF"/>
          </w:tcPr>
          <w:p w:rsidR="00DC514D" w:rsidRPr="002F1704" w:rsidRDefault="00DC514D" w:rsidP="004D32A1">
            <w:pPr>
              <w:autoSpaceDE w:val="0"/>
              <w:autoSpaceDN w:val="0"/>
              <w:adjustRightInd w:val="0"/>
              <w:spacing w:after="0" w:line="240" w:lineRule="auto"/>
              <w:jc w:val="both"/>
              <w:rPr>
                <w:rFonts w:cs="ACaslon-Regular"/>
                <w:b/>
              </w:rPr>
            </w:pPr>
          </w:p>
        </w:tc>
        <w:tc>
          <w:tcPr>
            <w:tcW w:w="648" w:type="dxa"/>
            <w:tcBorders>
              <w:top w:val="single" w:sz="4" w:space="0" w:color="auto"/>
              <w:left w:val="single" w:sz="4" w:space="0" w:color="auto"/>
              <w:bottom w:val="single" w:sz="4" w:space="0" w:color="auto"/>
              <w:right w:val="single" w:sz="4" w:space="0" w:color="auto"/>
            </w:tcBorders>
            <w:shd w:val="pct15" w:color="auto" w:fill="FFFFFF"/>
          </w:tcPr>
          <w:p w:rsidR="00DC514D" w:rsidRPr="002F1704" w:rsidRDefault="00DC514D" w:rsidP="004D32A1">
            <w:pPr>
              <w:autoSpaceDE w:val="0"/>
              <w:autoSpaceDN w:val="0"/>
              <w:adjustRightInd w:val="0"/>
              <w:spacing w:after="0" w:line="240" w:lineRule="auto"/>
              <w:jc w:val="both"/>
              <w:rPr>
                <w:rFonts w:cs="ACaslon-Regular"/>
                <w:b/>
              </w:rPr>
            </w:pPr>
          </w:p>
        </w:tc>
      </w:tr>
    </w:tbl>
    <w:p w:rsidR="00DC514D" w:rsidRDefault="00DC514D" w:rsidP="004D32A1">
      <w:pPr>
        <w:pStyle w:val="BodyTextIndent"/>
        <w:spacing w:line="276" w:lineRule="auto"/>
        <w:ind w:left="720"/>
        <w:jc w:val="both"/>
        <w:rPr>
          <w:rFonts w:asciiTheme="minorHAnsi" w:hAnsiTheme="minorHAnsi"/>
          <w:sz w:val="22"/>
          <w:szCs w:val="22"/>
        </w:rPr>
      </w:pPr>
    </w:p>
    <w:p w:rsidR="00DC514D" w:rsidRDefault="00154C33" w:rsidP="004D32A1">
      <w:pPr>
        <w:spacing w:line="276" w:lineRule="auto"/>
        <w:jc w:val="both"/>
      </w:pPr>
      <w:r>
        <w:t>T</w:t>
      </w:r>
      <w:r w:rsidR="00DC514D">
        <w:t>he total obtainable number of points specified for each evaluation criterion indicates the relative significance or weight of the item in the overall evaluation process. The Technical Proposal Evaluation Forms are:</w:t>
      </w:r>
    </w:p>
    <w:p w:rsidR="00DC514D" w:rsidRPr="00DC514D" w:rsidRDefault="00DC514D" w:rsidP="004D32A1">
      <w:pPr>
        <w:pStyle w:val="ListParagraph"/>
        <w:numPr>
          <w:ilvl w:val="0"/>
          <w:numId w:val="28"/>
        </w:numPr>
        <w:spacing w:line="276" w:lineRule="auto"/>
        <w:jc w:val="both"/>
        <w:rPr>
          <w:snapToGrid w:val="0"/>
        </w:rPr>
      </w:pPr>
      <w:r w:rsidRPr="00DC514D">
        <w:rPr>
          <w:snapToGrid w:val="0"/>
        </w:rPr>
        <w:lastRenderedPageBreak/>
        <w:t xml:space="preserve">Form </w:t>
      </w:r>
      <w:r w:rsidRPr="00DC514D">
        <w:rPr>
          <w:b/>
          <w:snapToGrid w:val="0"/>
        </w:rPr>
        <w:t xml:space="preserve">1: </w:t>
      </w:r>
      <w:r w:rsidRPr="00DC514D">
        <w:rPr>
          <w:snapToGrid w:val="0"/>
        </w:rPr>
        <w:t>Expertise of Firm / Organization Submitting Proposal</w:t>
      </w:r>
    </w:p>
    <w:p w:rsidR="00DC514D" w:rsidRPr="00DC514D" w:rsidRDefault="00DC514D" w:rsidP="004D32A1">
      <w:pPr>
        <w:pStyle w:val="ListParagraph"/>
        <w:numPr>
          <w:ilvl w:val="0"/>
          <w:numId w:val="28"/>
        </w:numPr>
        <w:spacing w:line="276" w:lineRule="auto"/>
        <w:jc w:val="both"/>
        <w:rPr>
          <w:snapToGrid w:val="0"/>
        </w:rPr>
      </w:pPr>
      <w:r w:rsidRPr="00DC514D">
        <w:rPr>
          <w:snapToGrid w:val="0"/>
        </w:rPr>
        <w:t xml:space="preserve">Form </w:t>
      </w:r>
      <w:r w:rsidRPr="00DC514D">
        <w:rPr>
          <w:b/>
          <w:snapToGrid w:val="0"/>
        </w:rPr>
        <w:t xml:space="preserve">2: </w:t>
      </w:r>
      <w:r w:rsidRPr="00DC514D">
        <w:rPr>
          <w:snapToGrid w:val="0"/>
        </w:rPr>
        <w:t>Proposed Work Plan and Approach</w:t>
      </w:r>
    </w:p>
    <w:p w:rsidR="00DC514D" w:rsidRDefault="00DC514D" w:rsidP="004D32A1">
      <w:pPr>
        <w:pStyle w:val="ListParagraph"/>
        <w:numPr>
          <w:ilvl w:val="0"/>
          <w:numId w:val="28"/>
        </w:numPr>
        <w:spacing w:line="276" w:lineRule="auto"/>
        <w:jc w:val="both"/>
        <w:rPr>
          <w:snapToGrid w:val="0"/>
        </w:rPr>
      </w:pPr>
      <w:r w:rsidRPr="00DC514D">
        <w:rPr>
          <w:snapToGrid w:val="0"/>
        </w:rPr>
        <w:t xml:space="preserve">Form </w:t>
      </w:r>
      <w:r w:rsidRPr="00DC514D">
        <w:rPr>
          <w:b/>
          <w:snapToGrid w:val="0"/>
        </w:rPr>
        <w:t xml:space="preserve">3: </w:t>
      </w:r>
      <w:r w:rsidRPr="00DC514D">
        <w:rPr>
          <w:snapToGrid w:val="0"/>
        </w:rPr>
        <w:t>Personnel</w:t>
      </w:r>
    </w:p>
    <w:p w:rsidR="00DC514D" w:rsidRPr="00712E20" w:rsidRDefault="00DC514D" w:rsidP="00D50211">
      <w:pPr>
        <w:shd w:val="clear" w:color="auto" w:fill="D9E2F3" w:themeFill="accent1" w:themeFillTint="33"/>
        <w:autoSpaceDE w:val="0"/>
        <w:autoSpaceDN w:val="0"/>
        <w:adjustRightInd w:val="0"/>
        <w:spacing w:after="0" w:line="240" w:lineRule="auto"/>
        <w:jc w:val="both"/>
      </w:pPr>
    </w:p>
    <w:sectPr w:rsidR="00DC514D" w:rsidRPr="00712E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1C9" w:rsidRDefault="003161C9" w:rsidP="0099668C">
      <w:pPr>
        <w:spacing w:after="0" w:line="240" w:lineRule="auto"/>
      </w:pPr>
      <w:r>
        <w:separator/>
      </w:r>
    </w:p>
  </w:endnote>
  <w:endnote w:type="continuationSeparator" w:id="0">
    <w:p w:rsidR="003161C9" w:rsidRDefault="003161C9" w:rsidP="00996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yriad-Roman">
    <w:altName w:val="Calibri"/>
    <w:panose1 w:val="00000000000000000000"/>
    <w:charset w:val="00"/>
    <w:family w:val="swiss"/>
    <w:notTrueType/>
    <w:pitch w:val="default"/>
    <w:sig w:usb0="00000003" w:usb1="00000000" w:usb2="00000000" w:usb3="00000000" w:csb0="00000001" w:csb1="00000000"/>
  </w:font>
  <w:font w:name="ACaslon-Regular">
    <w:altName w:val="Calibri"/>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TT26o00">
    <w:altName w:val="Calibri"/>
    <w:panose1 w:val="00000000000000000000"/>
    <w:charset w:val="00"/>
    <w:family w:val="auto"/>
    <w:notTrueType/>
    <w:pitch w:val="default"/>
    <w:sig w:usb0="00000003" w:usb1="00000000" w:usb2="00000000" w:usb3="00000000" w:csb0="00000001" w:csb1="00000000"/>
  </w:font>
  <w:font w:name="TT25o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Caslon-Bold">
    <w:altName w:val="Cambria"/>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1C9" w:rsidRDefault="003161C9" w:rsidP="0099668C">
      <w:pPr>
        <w:spacing w:after="0" w:line="240" w:lineRule="auto"/>
      </w:pPr>
      <w:r>
        <w:separator/>
      </w:r>
    </w:p>
  </w:footnote>
  <w:footnote w:type="continuationSeparator" w:id="0">
    <w:p w:rsidR="003161C9" w:rsidRDefault="003161C9" w:rsidP="009966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05D"/>
    <w:multiLevelType w:val="hybridMultilevel"/>
    <w:tmpl w:val="2152C43A"/>
    <w:lvl w:ilvl="0" w:tplc="04D0EE36">
      <w:start w:val="2"/>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968C8"/>
    <w:multiLevelType w:val="hybridMultilevel"/>
    <w:tmpl w:val="3752D060"/>
    <w:lvl w:ilvl="0" w:tplc="F5AA19C8">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C8499D"/>
    <w:multiLevelType w:val="hybridMultilevel"/>
    <w:tmpl w:val="CFD6E350"/>
    <w:lvl w:ilvl="0" w:tplc="E4983CDA">
      <w:start w:val="30"/>
      <w:numFmt w:val="bullet"/>
      <w:lvlText w:val="-"/>
      <w:lvlJc w:val="left"/>
      <w:pPr>
        <w:ind w:left="720" w:hanging="360"/>
      </w:pPr>
      <w:rPr>
        <w:rFonts w:ascii="Calibri" w:eastAsiaTheme="minorHAnsi" w:hAnsi="Calibri" w:cs="Myriad-Roman" w:hint="default"/>
        <w:color w:val="1D1D1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C31EC"/>
    <w:multiLevelType w:val="hybridMultilevel"/>
    <w:tmpl w:val="B5F6447C"/>
    <w:lvl w:ilvl="0" w:tplc="A78E7AA0">
      <w:start w:val="2"/>
      <w:numFmt w:val="bullet"/>
      <w:lvlText w:val="-"/>
      <w:lvlJc w:val="left"/>
      <w:pPr>
        <w:ind w:left="720" w:hanging="360"/>
      </w:pPr>
      <w:rPr>
        <w:rFonts w:ascii="Calibri" w:eastAsia="MS Mincho"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1E97"/>
    <w:multiLevelType w:val="hybridMultilevel"/>
    <w:tmpl w:val="B98E1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62261"/>
    <w:multiLevelType w:val="hybridMultilevel"/>
    <w:tmpl w:val="08589258"/>
    <w:lvl w:ilvl="0" w:tplc="E716CE2C">
      <w:start w:val="2"/>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86E97"/>
    <w:multiLevelType w:val="hybridMultilevel"/>
    <w:tmpl w:val="114AB996"/>
    <w:lvl w:ilvl="0" w:tplc="1166DFA0">
      <w:start w:val="1"/>
      <w:numFmt w:val="decimal"/>
      <w:lvlText w:val="%1."/>
      <w:lvlJc w:val="left"/>
      <w:pPr>
        <w:ind w:left="630" w:hanging="360"/>
      </w:pPr>
      <w:rPr>
        <w:rFonts w:hint="default"/>
        <w:b/>
        <w:bCs/>
        <w:sz w:val="20"/>
        <w:szCs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10E407E"/>
    <w:multiLevelType w:val="hybridMultilevel"/>
    <w:tmpl w:val="3C864CAA"/>
    <w:lvl w:ilvl="0" w:tplc="9BD4ACCC">
      <w:start w:val="7"/>
      <w:numFmt w:val="bullet"/>
      <w:lvlText w:val="-"/>
      <w:lvlJc w:val="left"/>
      <w:pPr>
        <w:ind w:left="540" w:hanging="360"/>
      </w:pPr>
      <w:rPr>
        <w:rFonts w:ascii="Calibri" w:eastAsiaTheme="minorHAnsi" w:hAnsi="Calibri"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24BE43CB"/>
    <w:multiLevelType w:val="hybridMultilevel"/>
    <w:tmpl w:val="F9F6E26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85B6C7A"/>
    <w:multiLevelType w:val="hybridMultilevel"/>
    <w:tmpl w:val="7B92EC68"/>
    <w:lvl w:ilvl="0" w:tplc="9BD4ACCC">
      <w:start w:val="7"/>
      <w:numFmt w:val="bullet"/>
      <w:lvlText w:val="-"/>
      <w:lvlJc w:val="left"/>
      <w:pPr>
        <w:ind w:left="540" w:hanging="360"/>
      </w:pPr>
      <w:rPr>
        <w:rFonts w:ascii="Calibri" w:eastAsiaTheme="minorHAnsi" w:hAnsi="Calibri"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2D77587A"/>
    <w:multiLevelType w:val="hybridMultilevel"/>
    <w:tmpl w:val="D4B81520"/>
    <w:lvl w:ilvl="0" w:tplc="1166DFA0">
      <w:start w:val="1"/>
      <w:numFmt w:val="decimal"/>
      <w:lvlText w:val="%1."/>
      <w:lvlJc w:val="left"/>
      <w:pPr>
        <w:ind w:left="810" w:hanging="360"/>
      </w:pPr>
      <w:rPr>
        <w:rFonts w:hint="default"/>
        <w:b/>
        <w:bCs/>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2F951AA5"/>
    <w:multiLevelType w:val="hybridMultilevel"/>
    <w:tmpl w:val="0352A35A"/>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3BA026B8"/>
    <w:multiLevelType w:val="hybridMultilevel"/>
    <w:tmpl w:val="57364BF6"/>
    <w:lvl w:ilvl="0" w:tplc="7B4C9F14">
      <w:start w:val="1"/>
      <w:numFmt w:val="lowerRoman"/>
      <w:lvlText w:val="%1)"/>
      <w:lvlJc w:val="left"/>
      <w:pPr>
        <w:ind w:left="720" w:hanging="360"/>
      </w:pPr>
      <w:rPr>
        <w:rFonts w:asciiTheme="minorHAnsi" w:eastAsia="MS Mincho" w:hAnsiTheme="minorHAnsi" w:cs="ACaslon-Regula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4550FB"/>
    <w:multiLevelType w:val="hybridMultilevel"/>
    <w:tmpl w:val="ECDA0E2C"/>
    <w:lvl w:ilvl="0" w:tplc="067055D0">
      <w:start w:val="30"/>
      <w:numFmt w:val="bullet"/>
      <w:lvlText w:val="-"/>
      <w:lvlJc w:val="left"/>
      <w:pPr>
        <w:ind w:left="720" w:hanging="360"/>
      </w:pPr>
      <w:rPr>
        <w:rFonts w:ascii="Calibri" w:eastAsiaTheme="minorHAnsi" w:hAnsi="Calibri" w:cs="Myriad-Roman" w:hint="default"/>
        <w:b/>
        <w:bCs/>
        <w:color w:val="1D1D1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8A1D75"/>
    <w:multiLevelType w:val="hybridMultilevel"/>
    <w:tmpl w:val="FD10F468"/>
    <w:lvl w:ilvl="0" w:tplc="09DA734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10171"/>
    <w:multiLevelType w:val="hybridMultilevel"/>
    <w:tmpl w:val="C6E60954"/>
    <w:lvl w:ilvl="0" w:tplc="49B62406">
      <w:start w:val="1"/>
      <w:numFmt w:val="bullet"/>
      <w:lvlText w:val=""/>
      <w:lvlJc w:val="left"/>
      <w:pPr>
        <w:ind w:left="1440" w:hanging="360"/>
      </w:pPr>
      <w:rPr>
        <w:rFonts w:ascii="Wingdings" w:hAnsi="Wingdings" w:hint="default"/>
        <w:b/>
        <w:bCs/>
        <w:sz w:val="18"/>
        <w:szCs w:val="18"/>
      </w:rPr>
    </w:lvl>
    <w:lvl w:ilvl="1" w:tplc="04090003">
      <w:start w:val="1"/>
      <w:numFmt w:val="bullet"/>
      <w:lvlText w:val="o"/>
      <w:lvlJc w:val="left"/>
      <w:pPr>
        <w:ind w:left="1260" w:hanging="360"/>
      </w:pPr>
      <w:rPr>
        <w:rFonts w:ascii="Courier New" w:hAnsi="Courier New" w:cs="Courier New" w:hint="default"/>
      </w:rPr>
    </w:lvl>
    <w:lvl w:ilvl="2" w:tplc="FC3E9A30">
      <w:start w:val="1"/>
      <w:numFmt w:val="bullet"/>
      <w:lvlText w:val=""/>
      <w:lvlJc w:val="left"/>
      <w:pPr>
        <w:ind w:left="1980" w:hanging="360"/>
      </w:pPr>
      <w:rPr>
        <w:rFonts w:ascii="Symbol" w:hAnsi="Symbol" w:hint="default"/>
        <w:sz w:val="18"/>
        <w:szCs w:val="18"/>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4A6A12EC"/>
    <w:multiLevelType w:val="hybridMultilevel"/>
    <w:tmpl w:val="D8F60C1E"/>
    <w:lvl w:ilvl="0" w:tplc="4482BF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BBA5A34"/>
    <w:multiLevelType w:val="hybridMultilevel"/>
    <w:tmpl w:val="F8E03202"/>
    <w:lvl w:ilvl="0" w:tplc="3074221C">
      <w:start w:val="1"/>
      <w:numFmt w:val="lowerRoman"/>
      <w:lvlText w:val="%1)"/>
      <w:lvlJc w:val="left"/>
      <w:pPr>
        <w:ind w:left="1170" w:hanging="720"/>
      </w:pPr>
      <w:rPr>
        <w:rFonts w:cs="Myriad-Roman" w:hint="default"/>
        <w:b/>
        <w:color w:val="1D1D1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D532E9B"/>
    <w:multiLevelType w:val="hybridMultilevel"/>
    <w:tmpl w:val="437E8F96"/>
    <w:lvl w:ilvl="0" w:tplc="717E4EA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F84855"/>
    <w:multiLevelType w:val="hybridMultilevel"/>
    <w:tmpl w:val="9BFA2D7A"/>
    <w:lvl w:ilvl="0" w:tplc="0B76253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656B44"/>
    <w:multiLevelType w:val="hybridMultilevel"/>
    <w:tmpl w:val="E556D8CA"/>
    <w:lvl w:ilvl="0" w:tplc="270A249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EC604B"/>
    <w:multiLevelType w:val="hybridMultilevel"/>
    <w:tmpl w:val="BAF2842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00E38"/>
    <w:multiLevelType w:val="hybridMultilevel"/>
    <w:tmpl w:val="8F8A264A"/>
    <w:lvl w:ilvl="0" w:tplc="3B50C43A">
      <w:start w:val="2"/>
      <w:numFmt w:val="bullet"/>
      <w:lvlText w:val="-"/>
      <w:lvlJc w:val="left"/>
      <w:pPr>
        <w:ind w:left="720" w:hanging="360"/>
      </w:pPr>
      <w:rPr>
        <w:rFonts w:ascii="Calibri" w:eastAsia="MS Mincho"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480796"/>
    <w:multiLevelType w:val="hybridMultilevel"/>
    <w:tmpl w:val="A582EBBC"/>
    <w:lvl w:ilvl="0" w:tplc="04090005">
      <w:start w:val="1"/>
      <w:numFmt w:val="bullet"/>
      <w:lvlText w:val=""/>
      <w:lvlJc w:val="left"/>
      <w:pPr>
        <w:ind w:left="1710" w:hanging="720"/>
      </w:pPr>
      <w:rPr>
        <w:rFonts w:ascii="Wingdings" w:hAnsi="Wingding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736A7115"/>
    <w:multiLevelType w:val="hybridMultilevel"/>
    <w:tmpl w:val="AA8E8D74"/>
    <w:lvl w:ilvl="0" w:tplc="9BD4ACC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B4440"/>
    <w:multiLevelType w:val="hybridMultilevel"/>
    <w:tmpl w:val="F95A94B4"/>
    <w:lvl w:ilvl="0" w:tplc="9BD4ACC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CB6E22"/>
    <w:multiLevelType w:val="hybridMultilevel"/>
    <w:tmpl w:val="A6A6B2A2"/>
    <w:lvl w:ilvl="0" w:tplc="717E4EAE">
      <w:start w:val="1"/>
      <w:numFmt w:val="bullet"/>
      <w:lvlText w:val="–"/>
      <w:lvlJc w:val="left"/>
      <w:pPr>
        <w:tabs>
          <w:tab w:val="num" w:pos="720"/>
        </w:tabs>
        <w:ind w:left="720" w:hanging="360"/>
      </w:pPr>
      <w:rPr>
        <w:rFonts w:ascii="Arial" w:hAnsi="Arial" w:hint="default"/>
      </w:rPr>
    </w:lvl>
    <w:lvl w:ilvl="1" w:tplc="CB809BE0">
      <w:start w:val="1"/>
      <w:numFmt w:val="bullet"/>
      <w:lvlText w:val="–"/>
      <w:lvlJc w:val="left"/>
      <w:pPr>
        <w:tabs>
          <w:tab w:val="num" w:pos="1440"/>
        </w:tabs>
        <w:ind w:left="1440" w:hanging="360"/>
      </w:pPr>
      <w:rPr>
        <w:rFonts w:ascii="Arial" w:hAnsi="Arial" w:hint="default"/>
      </w:rPr>
    </w:lvl>
    <w:lvl w:ilvl="2" w:tplc="673CCCCA" w:tentative="1">
      <w:start w:val="1"/>
      <w:numFmt w:val="bullet"/>
      <w:lvlText w:val="–"/>
      <w:lvlJc w:val="left"/>
      <w:pPr>
        <w:tabs>
          <w:tab w:val="num" w:pos="2160"/>
        </w:tabs>
        <w:ind w:left="2160" w:hanging="360"/>
      </w:pPr>
      <w:rPr>
        <w:rFonts w:ascii="Arial" w:hAnsi="Arial" w:hint="default"/>
      </w:rPr>
    </w:lvl>
    <w:lvl w:ilvl="3" w:tplc="EB3E5154" w:tentative="1">
      <w:start w:val="1"/>
      <w:numFmt w:val="bullet"/>
      <w:lvlText w:val="–"/>
      <w:lvlJc w:val="left"/>
      <w:pPr>
        <w:tabs>
          <w:tab w:val="num" w:pos="2880"/>
        </w:tabs>
        <w:ind w:left="2880" w:hanging="360"/>
      </w:pPr>
      <w:rPr>
        <w:rFonts w:ascii="Arial" w:hAnsi="Arial" w:hint="default"/>
      </w:rPr>
    </w:lvl>
    <w:lvl w:ilvl="4" w:tplc="629A0EA6" w:tentative="1">
      <w:start w:val="1"/>
      <w:numFmt w:val="bullet"/>
      <w:lvlText w:val="–"/>
      <w:lvlJc w:val="left"/>
      <w:pPr>
        <w:tabs>
          <w:tab w:val="num" w:pos="3600"/>
        </w:tabs>
        <w:ind w:left="3600" w:hanging="360"/>
      </w:pPr>
      <w:rPr>
        <w:rFonts w:ascii="Arial" w:hAnsi="Arial" w:hint="default"/>
      </w:rPr>
    </w:lvl>
    <w:lvl w:ilvl="5" w:tplc="5922E6E6" w:tentative="1">
      <w:start w:val="1"/>
      <w:numFmt w:val="bullet"/>
      <w:lvlText w:val="–"/>
      <w:lvlJc w:val="left"/>
      <w:pPr>
        <w:tabs>
          <w:tab w:val="num" w:pos="4320"/>
        </w:tabs>
        <w:ind w:left="4320" w:hanging="360"/>
      </w:pPr>
      <w:rPr>
        <w:rFonts w:ascii="Arial" w:hAnsi="Arial" w:hint="default"/>
      </w:rPr>
    </w:lvl>
    <w:lvl w:ilvl="6" w:tplc="8A16009C" w:tentative="1">
      <w:start w:val="1"/>
      <w:numFmt w:val="bullet"/>
      <w:lvlText w:val="–"/>
      <w:lvlJc w:val="left"/>
      <w:pPr>
        <w:tabs>
          <w:tab w:val="num" w:pos="5040"/>
        </w:tabs>
        <w:ind w:left="5040" w:hanging="360"/>
      </w:pPr>
      <w:rPr>
        <w:rFonts w:ascii="Arial" w:hAnsi="Arial" w:hint="default"/>
      </w:rPr>
    </w:lvl>
    <w:lvl w:ilvl="7" w:tplc="AB185AB0" w:tentative="1">
      <w:start w:val="1"/>
      <w:numFmt w:val="bullet"/>
      <w:lvlText w:val="–"/>
      <w:lvlJc w:val="left"/>
      <w:pPr>
        <w:tabs>
          <w:tab w:val="num" w:pos="5760"/>
        </w:tabs>
        <w:ind w:left="5760" w:hanging="360"/>
      </w:pPr>
      <w:rPr>
        <w:rFonts w:ascii="Arial" w:hAnsi="Arial" w:hint="default"/>
      </w:rPr>
    </w:lvl>
    <w:lvl w:ilvl="8" w:tplc="92D4779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5BD2574"/>
    <w:multiLevelType w:val="hybridMultilevel"/>
    <w:tmpl w:val="2716FFBE"/>
    <w:lvl w:ilvl="0" w:tplc="EFF42872">
      <w:start w:val="6"/>
      <w:numFmt w:val="bullet"/>
      <w:lvlText w:val="-"/>
      <w:lvlJc w:val="left"/>
      <w:pPr>
        <w:ind w:left="1800" w:hanging="360"/>
      </w:pPr>
      <w:rPr>
        <w:rFonts w:ascii="Calibri" w:eastAsia="MS Mincho" w:hAnsi="Calibri" w:cs="ACaslon-Regular"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9893F38"/>
    <w:multiLevelType w:val="hybridMultilevel"/>
    <w:tmpl w:val="6686BCE8"/>
    <w:lvl w:ilvl="0" w:tplc="BBA64E3A">
      <w:start w:val="3"/>
      <w:numFmt w:val="bullet"/>
      <w:lvlText w:val="-"/>
      <w:lvlJc w:val="left"/>
      <w:pPr>
        <w:ind w:left="1080" w:hanging="360"/>
      </w:pPr>
      <w:rPr>
        <w:rFonts w:ascii="Calibri" w:eastAsia="MS Mincho"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D6134D6"/>
    <w:multiLevelType w:val="hybridMultilevel"/>
    <w:tmpl w:val="6608A13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24"/>
  </w:num>
  <w:num w:numId="2">
    <w:abstractNumId w:val="26"/>
  </w:num>
  <w:num w:numId="3">
    <w:abstractNumId w:val="25"/>
  </w:num>
  <w:num w:numId="4">
    <w:abstractNumId w:val="6"/>
  </w:num>
  <w:num w:numId="5">
    <w:abstractNumId w:val="15"/>
  </w:num>
  <w:num w:numId="6">
    <w:abstractNumId w:val="10"/>
  </w:num>
  <w:num w:numId="7">
    <w:abstractNumId w:val="9"/>
  </w:num>
  <w:num w:numId="8">
    <w:abstractNumId w:val="7"/>
  </w:num>
  <w:num w:numId="9">
    <w:abstractNumId w:val="1"/>
  </w:num>
  <w:num w:numId="10">
    <w:abstractNumId w:val="8"/>
  </w:num>
  <w:num w:numId="11">
    <w:abstractNumId w:val="2"/>
  </w:num>
  <w:num w:numId="12">
    <w:abstractNumId w:val="29"/>
  </w:num>
  <w:num w:numId="13">
    <w:abstractNumId w:val="16"/>
  </w:num>
  <w:num w:numId="14">
    <w:abstractNumId w:val="13"/>
  </w:num>
  <w:num w:numId="15">
    <w:abstractNumId w:val="19"/>
  </w:num>
  <w:num w:numId="16">
    <w:abstractNumId w:val="18"/>
  </w:num>
  <w:num w:numId="17">
    <w:abstractNumId w:val="5"/>
  </w:num>
  <w:num w:numId="18">
    <w:abstractNumId w:val="22"/>
  </w:num>
  <w:num w:numId="19">
    <w:abstractNumId w:val="3"/>
  </w:num>
  <w:num w:numId="20">
    <w:abstractNumId w:val="0"/>
  </w:num>
  <w:num w:numId="21">
    <w:abstractNumId w:val="17"/>
  </w:num>
  <w:num w:numId="22">
    <w:abstractNumId w:val="12"/>
  </w:num>
  <w:num w:numId="23">
    <w:abstractNumId w:val="14"/>
  </w:num>
  <w:num w:numId="24">
    <w:abstractNumId w:val="28"/>
  </w:num>
  <w:num w:numId="25">
    <w:abstractNumId w:val="11"/>
  </w:num>
  <w:num w:numId="26">
    <w:abstractNumId w:val="27"/>
  </w:num>
  <w:num w:numId="27">
    <w:abstractNumId w:val="4"/>
  </w:num>
  <w:num w:numId="28">
    <w:abstractNumId w:val="21"/>
  </w:num>
  <w:num w:numId="29">
    <w:abstractNumId w:val="2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0MzQ1MzayNDI3szBW0lEKTi0uzszPAykwqgUA/83pfywAAAA="/>
  </w:docVars>
  <w:rsids>
    <w:rsidRoot w:val="00BF170C"/>
    <w:rsid w:val="00000C53"/>
    <w:rsid w:val="0001682C"/>
    <w:rsid w:val="00031606"/>
    <w:rsid w:val="000348D9"/>
    <w:rsid w:val="000520C1"/>
    <w:rsid w:val="00066942"/>
    <w:rsid w:val="00070DF6"/>
    <w:rsid w:val="0008231D"/>
    <w:rsid w:val="00087A2E"/>
    <w:rsid w:val="000B6D09"/>
    <w:rsid w:val="000C6426"/>
    <w:rsid w:val="000D0BD7"/>
    <w:rsid w:val="000D63C0"/>
    <w:rsid w:val="00112BB1"/>
    <w:rsid w:val="00123D56"/>
    <w:rsid w:val="001427CC"/>
    <w:rsid w:val="001429AE"/>
    <w:rsid w:val="00154C33"/>
    <w:rsid w:val="00165AF5"/>
    <w:rsid w:val="00185627"/>
    <w:rsid w:val="001C3DA1"/>
    <w:rsid w:val="002024E0"/>
    <w:rsid w:val="00205D32"/>
    <w:rsid w:val="00216C08"/>
    <w:rsid w:val="00257AA6"/>
    <w:rsid w:val="00265184"/>
    <w:rsid w:val="00296A17"/>
    <w:rsid w:val="002A0B0E"/>
    <w:rsid w:val="002A3E06"/>
    <w:rsid w:val="002C10D5"/>
    <w:rsid w:val="002D3C7A"/>
    <w:rsid w:val="002F1704"/>
    <w:rsid w:val="002F4E2E"/>
    <w:rsid w:val="003078C0"/>
    <w:rsid w:val="00311599"/>
    <w:rsid w:val="003161C9"/>
    <w:rsid w:val="0033279D"/>
    <w:rsid w:val="0034368A"/>
    <w:rsid w:val="003501F2"/>
    <w:rsid w:val="00361E30"/>
    <w:rsid w:val="00363DC2"/>
    <w:rsid w:val="003A107C"/>
    <w:rsid w:val="003E1DE2"/>
    <w:rsid w:val="003E730F"/>
    <w:rsid w:val="00412EB9"/>
    <w:rsid w:val="00425EEE"/>
    <w:rsid w:val="00433E84"/>
    <w:rsid w:val="00443C6C"/>
    <w:rsid w:val="00456C56"/>
    <w:rsid w:val="00461603"/>
    <w:rsid w:val="004669B7"/>
    <w:rsid w:val="0047784A"/>
    <w:rsid w:val="00477D39"/>
    <w:rsid w:val="00496885"/>
    <w:rsid w:val="004A17E5"/>
    <w:rsid w:val="004B60C7"/>
    <w:rsid w:val="004C051A"/>
    <w:rsid w:val="004C2B7A"/>
    <w:rsid w:val="004C3C42"/>
    <w:rsid w:val="004D32A1"/>
    <w:rsid w:val="004D36BF"/>
    <w:rsid w:val="004E1FAD"/>
    <w:rsid w:val="004E4259"/>
    <w:rsid w:val="004E6740"/>
    <w:rsid w:val="004E7E36"/>
    <w:rsid w:val="00514ECC"/>
    <w:rsid w:val="005207A5"/>
    <w:rsid w:val="00523367"/>
    <w:rsid w:val="0053421A"/>
    <w:rsid w:val="00534A62"/>
    <w:rsid w:val="0054501C"/>
    <w:rsid w:val="005531F9"/>
    <w:rsid w:val="005662F9"/>
    <w:rsid w:val="00573A79"/>
    <w:rsid w:val="005830A7"/>
    <w:rsid w:val="005A30D4"/>
    <w:rsid w:val="005A3868"/>
    <w:rsid w:val="005A62DF"/>
    <w:rsid w:val="005B6E0F"/>
    <w:rsid w:val="005C2CE3"/>
    <w:rsid w:val="005D0CDE"/>
    <w:rsid w:val="005F560E"/>
    <w:rsid w:val="005F7CB7"/>
    <w:rsid w:val="00655051"/>
    <w:rsid w:val="00657E88"/>
    <w:rsid w:val="00674635"/>
    <w:rsid w:val="006772F4"/>
    <w:rsid w:val="00693980"/>
    <w:rsid w:val="006A0BBC"/>
    <w:rsid w:val="006C2302"/>
    <w:rsid w:val="006D61FF"/>
    <w:rsid w:val="006D6BFF"/>
    <w:rsid w:val="006E1CBB"/>
    <w:rsid w:val="006E4201"/>
    <w:rsid w:val="006E479C"/>
    <w:rsid w:val="006F3DF7"/>
    <w:rsid w:val="00711FBF"/>
    <w:rsid w:val="00712E20"/>
    <w:rsid w:val="0072133F"/>
    <w:rsid w:val="007435C9"/>
    <w:rsid w:val="007540B4"/>
    <w:rsid w:val="00760955"/>
    <w:rsid w:val="00770033"/>
    <w:rsid w:val="00782FDA"/>
    <w:rsid w:val="00790FE9"/>
    <w:rsid w:val="007A6CB3"/>
    <w:rsid w:val="007C5A46"/>
    <w:rsid w:val="007E2792"/>
    <w:rsid w:val="007E49BE"/>
    <w:rsid w:val="007E7507"/>
    <w:rsid w:val="007F105C"/>
    <w:rsid w:val="008048B6"/>
    <w:rsid w:val="008153A8"/>
    <w:rsid w:val="00822805"/>
    <w:rsid w:val="008423C3"/>
    <w:rsid w:val="0086096F"/>
    <w:rsid w:val="008875F9"/>
    <w:rsid w:val="00893DB9"/>
    <w:rsid w:val="008A08BE"/>
    <w:rsid w:val="008A5533"/>
    <w:rsid w:val="008B1073"/>
    <w:rsid w:val="008B3083"/>
    <w:rsid w:val="008C69AC"/>
    <w:rsid w:val="008E363D"/>
    <w:rsid w:val="008F1696"/>
    <w:rsid w:val="0091514D"/>
    <w:rsid w:val="00915BFE"/>
    <w:rsid w:val="00920403"/>
    <w:rsid w:val="00923C21"/>
    <w:rsid w:val="00936B73"/>
    <w:rsid w:val="009620C3"/>
    <w:rsid w:val="009707FE"/>
    <w:rsid w:val="00971E16"/>
    <w:rsid w:val="0099668C"/>
    <w:rsid w:val="009B1FE2"/>
    <w:rsid w:val="009D3FBF"/>
    <w:rsid w:val="00A021A1"/>
    <w:rsid w:val="00A02CF2"/>
    <w:rsid w:val="00A22362"/>
    <w:rsid w:val="00A22BC3"/>
    <w:rsid w:val="00A34F3A"/>
    <w:rsid w:val="00A44E8B"/>
    <w:rsid w:val="00A53D6B"/>
    <w:rsid w:val="00A62513"/>
    <w:rsid w:val="00AA01BC"/>
    <w:rsid w:val="00AD2822"/>
    <w:rsid w:val="00AD6196"/>
    <w:rsid w:val="00AE01B2"/>
    <w:rsid w:val="00B10D63"/>
    <w:rsid w:val="00B22252"/>
    <w:rsid w:val="00B23E4A"/>
    <w:rsid w:val="00B66A4D"/>
    <w:rsid w:val="00B77FD3"/>
    <w:rsid w:val="00B839A7"/>
    <w:rsid w:val="00B910E6"/>
    <w:rsid w:val="00BE7859"/>
    <w:rsid w:val="00BF170C"/>
    <w:rsid w:val="00C03BE2"/>
    <w:rsid w:val="00C3631D"/>
    <w:rsid w:val="00C44E34"/>
    <w:rsid w:val="00C54884"/>
    <w:rsid w:val="00C61AB7"/>
    <w:rsid w:val="00C667BD"/>
    <w:rsid w:val="00C756BA"/>
    <w:rsid w:val="00C76EF4"/>
    <w:rsid w:val="00CB6C27"/>
    <w:rsid w:val="00CC15E9"/>
    <w:rsid w:val="00CC1EFB"/>
    <w:rsid w:val="00CE37C9"/>
    <w:rsid w:val="00CE7972"/>
    <w:rsid w:val="00CF214F"/>
    <w:rsid w:val="00D00991"/>
    <w:rsid w:val="00D017EE"/>
    <w:rsid w:val="00D22B7E"/>
    <w:rsid w:val="00D237DC"/>
    <w:rsid w:val="00D312BE"/>
    <w:rsid w:val="00D31FEC"/>
    <w:rsid w:val="00D321B3"/>
    <w:rsid w:val="00D50211"/>
    <w:rsid w:val="00D76E34"/>
    <w:rsid w:val="00D77153"/>
    <w:rsid w:val="00D91FE6"/>
    <w:rsid w:val="00D94A7A"/>
    <w:rsid w:val="00DA0FBA"/>
    <w:rsid w:val="00DC514D"/>
    <w:rsid w:val="00DD4ACB"/>
    <w:rsid w:val="00DE05B2"/>
    <w:rsid w:val="00DE2885"/>
    <w:rsid w:val="00DE6F83"/>
    <w:rsid w:val="00E0002D"/>
    <w:rsid w:val="00E0615C"/>
    <w:rsid w:val="00E1243A"/>
    <w:rsid w:val="00E226C9"/>
    <w:rsid w:val="00E27614"/>
    <w:rsid w:val="00E374D4"/>
    <w:rsid w:val="00E7185C"/>
    <w:rsid w:val="00E879EB"/>
    <w:rsid w:val="00E91F6E"/>
    <w:rsid w:val="00EA6838"/>
    <w:rsid w:val="00EB3E49"/>
    <w:rsid w:val="00EC28F3"/>
    <w:rsid w:val="00EE76C8"/>
    <w:rsid w:val="00F13654"/>
    <w:rsid w:val="00F174AF"/>
    <w:rsid w:val="00F45813"/>
    <w:rsid w:val="00F45D4B"/>
    <w:rsid w:val="00F5029B"/>
    <w:rsid w:val="00F50DB5"/>
    <w:rsid w:val="00F54400"/>
    <w:rsid w:val="00F62AB7"/>
    <w:rsid w:val="00F75872"/>
    <w:rsid w:val="00F84529"/>
    <w:rsid w:val="00F92B06"/>
    <w:rsid w:val="00FB7410"/>
    <w:rsid w:val="00FD2CF9"/>
    <w:rsid w:val="00FE06C9"/>
    <w:rsid w:val="00FE52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D6616"/>
  <w15:chartTrackingRefBased/>
  <w15:docId w15:val="{05C7BFB2-96DD-4319-B1A6-EDCF96AF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semiHidden/>
    <w:unhideWhenUsed/>
    <w:qFormat/>
    <w:rsid w:val="00DC514D"/>
    <w:pPr>
      <w:keepNext/>
      <w:widowControl w:val="0"/>
      <w:overflowPunct w:val="0"/>
      <w:adjustRightInd w:val="0"/>
      <w:spacing w:after="0" w:line="240" w:lineRule="auto"/>
      <w:outlineLvl w:val="3"/>
    </w:pPr>
    <w:rPr>
      <w:rFonts w:ascii="Gill Sans MT" w:eastAsiaTheme="minorEastAsia" w:hAnsi="Gill Sans MT" w:cs="Times New Roman"/>
      <w:bCs/>
      <w:kern w:val="28"/>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68C"/>
  </w:style>
  <w:style w:type="paragraph" w:styleId="Footer">
    <w:name w:val="footer"/>
    <w:basedOn w:val="Normal"/>
    <w:link w:val="FooterChar"/>
    <w:uiPriority w:val="99"/>
    <w:unhideWhenUsed/>
    <w:rsid w:val="00996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68C"/>
  </w:style>
  <w:style w:type="character" w:styleId="CommentReference">
    <w:name w:val="annotation reference"/>
    <w:basedOn w:val="DefaultParagraphFont"/>
    <w:uiPriority w:val="99"/>
    <w:semiHidden/>
    <w:unhideWhenUsed/>
    <w:rsid w:val="00A22BC3"/>
    <w:rPr>
      <w:sz w:val="16"/>
      <w:szCs w:val="16"/>
    </w:rPr>
  </w:style>
  <w:style w:type="paragraph" w:styleId="CommentText">
    <w:name w:val="annotation text"/>
    <w:basedOn w:val="Normal"/>
    <w:link w:val="CommentTextChar"/>
    <w:uiPriority w:val="99"/>
    <w:semiHidden/>
    <w:unhideWhenUsed/>
    <w:rsid w:val="00A22BC3"/>
    <w:pPr>
      <w:spacing w:line="240" w:lineRule="auto"/>
    </w:pPr>
    <w:rPr>
      <w:sz w:val="20"/>
      <w:szCs w:val="20"/>
    </w:rPr>
  </w:style>
  <w:style w:type="character" w:customStyle="1" w:styleId="CommentTextChar">
    <w:name w:val="Comment Text Char"/>
    <w:basedOn w:val="DefaultParagraphFont"/>
    <w:link w:val="CommentText"/>
    <w:uiPriority w:val="99"/>
    <w:semiHidden/>
    <w:rsid w:val="00A22BC3"/>
    <w:rPr>
      <w:sz w:val="20"/>
      <w:szCs w:val="20"/>
    </w:rPr>
  </w:style>
  <w:style w:type="paragraph" w:styleId="CommentSubject">
    <w:name w:val="annotation subject"/>
    <w:basedOn w:val="CommentText"/>
    <w:next w:val="CommentText"/>
    <w:link w:val="CommentSubjectChar"/>
    <w:uiPriority w:val="99"/>
    <w:semiHidden/>
    <w:unhideWhenUsed/>
    <w:rsid w:val="00A22BC3"/>
    <w:rPr>
      <w:b/>
      <w:bCs/>
    </w:rPr>
  </w:style>
  <w:style w:type="character" w:customStyle="1" w:styleId="CommentSubjectChar">
    <w:name w:val="Comment Subject Char"/>
    <w:basedOn w:val="CommentTextChar"/>
    <w:link w:val="CommentSubject"/>
    <w:uiPriority w:val="99"/>
    <w:semiHidden/>
    <w:rsid w:val="00A22BC3"/>
    <w:rPr>
      <w:b/>
      <w:bCs/>
      <w:sz w:val="20"/>
      <w:szCs w:val="20"/>
    </w:rPr>
  </w:style>
  <w:style w:type="paragraph" w:styleId="BalloonText">
    <w:name w:val="Balloon Text"/>
    <w:basedOn w:val="Normal"/>
    <w:link w:val="BalloonTextChar"/>
    <w:uiPriority w:val="99"/>
    <w:semiHidden/>
    <w:unhideWhenUsed/>
    <w:rsid w:val="00A22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BC3"/>
    <w:rPr>
      <w:rFonts w:ascii="Segoe UI" w:hAnsi="Segoe UI" w:cs="Segoe UI"/>
      <w:sz w:val="18"/>
      <w:szCs w:val="18"/>
    </w:rPr>
  </w:style>
  <w:style w:type="paragraph" w:styleId="NormalWeb">
    <w:name w:val="Normal (Web)"/>
    <w:basedOn w:val="Normal"/>
    <w:uiPriority w:val="99"/>
    <w:semiHidden/>
    <w:unhideWhenUsed/>
    <w:rsid w:val="00E718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B6C27"/>
    <w:pPr>
      <w:ind w:left="720"/>
      <w:contextualSpacing/>
    </w:pPr>
  </w:style>
  <w:style w:type="character" w:styleId="Hyperlink">
    <w:name w:val="Hyperlink"/>
    <w:rsid w:val="00D94A7A"/>
    <w:rPr>
      <w:color w:val="3366FF"/>
      <w:u w:val="none"/>
    </w:rPr>
  </w:style>
  <w:style w:type="paragraph" w:styleId="Revision">
    <w:name w:val="Revision"/>
    <w:hidden/>
    <w:uiPriority w:val="99"/>
    <w:semiHidden/>
    <w:rsid w:val="004C2B7A"/>
    <w:pPr>
      <w:spacing w:after="0" w:line="240" w:lineRule="auto"/>
    </w:pPr>
  </w:style>
  <w:style w:type="table" w:styleId="TableGrid">
    <w:name w:val="Table Grid"/>
    <w:basedOn w:val="TableNormal"/>
    <w:uiPriority w:val="39"/>
    <w:rsid w:val="00D00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semiHidden/>
    <w:rsid w:val="00C61AB7"/>
    <w:pPr>
      <w:tabs>
        <w:tab w:val="right" w:leader="dot" w:pos="9605"/>
      </w:tabs>
      <w:spacing w:before="120" w:after="120" w:line="240" w:lineRule="auto"/>
      <w:jc w:val="center"/>
    </w:pPr>
    <w:rPr>
      <w:rFonts w:ascii="Times New Roman" w:eastAsia="Times New Roman" w:hAnsi="Times New Roman" w:cs="Times New Roman"/>
      <w:b/>
      <w:bCs/>
      <w:caps/>
      <w:sz w:val="24"/>
      <w:lang w:val="en-GB"/>
    </w:rPr>
  </w:style>
  <w:style w:type="paragraph" w:styleId="TOC2">
    <w:name w:val="toc 2"/>
    <w:basedOn w:val="Normal"/>
    <w:next w:val="Normal"/>
    <w:semiHidden/>
    <w:rsid w:val="00C61AB7"/>
    <w:pPr>
      <w:tabs>
        <w:tab w:val="right" w:leader="dot" w:pos="9605"/>
      </w:tabs>
      <w:spacing w:after="0" w:line="240" w:lineRule="auto"/>
      <w:ind w:left="220"/>
    </w:pPr>
    <w:rPr>
      <w:rFonts w:ascii="Times New Roman" w:eastAsia="Times New Roman" w:hAnsi="Times New Roman" w:cs="Times New Roman"/>
      <w:smallCaps/>
      <w:sz w:val="20"/>
      <w:szCs w:val="20"/>
    </w:rPr>
  </w:style>
  <w:style w:type="character" w:customStyle="1" w:styleId="Heading4Char">
    <w:name w:val="Heading 4 Char"/>
    <w:basedOn w:val="DefaultParagraphFont"/>
    <w:link w:val="Heading4"/>
    <w:semiHidden/>
    <w:rsid w:val="00DC514D"/>
    <w:rPr>
      <w:rFonts w:ascii="Gill Sans MT" w:eastAsiaTheme="minorEastAsia" w:hAnsi="Gill Sans MT" w:cs="Times New Roman"/>
      <w:bCs/>
      <w:kern w:val="28"/>
      <w:sz w:val="20"/>
      <w:szCs w:val="28"/>
    </w:rPr>
  </w:style>
  <w:style w:type="paragraph" w:styleId="BodyTextIndent">
    <w:name w:val="Body Text Indent"/>
    <w:basedOn w:val="Normal"/>
    <w:link w:val="BodyTextIndentChar"/>
    <w:semiHidden/>
    <w:unhideWhenUsed/>
    <w:rsid w:val="00DC514D"/>
    <w:pPr>
      <w:widowControl w:val="0"/>
      <w:overflowPunct w:val="0"/>
      <w:adjustRightInd w:val="0"/>
      <w:spacing w:after="120" w:line="240" w:lineRule="auto"/>
      <w:ind w:left="360"/>
    </w:pPr>
    <w:rPr>
      <w:rFonts w:ascii="Times New Roman" w:eastAsiaTheme="minorEastAsia" w:hAnsi="Times New Roman" w:cs="Times New Roman"/>
      <w:kern w:val="28"/>
      <w:sz w:val="24"/>
      <w:szCs w:val="24"/>
    </w:rPr>
  </w:style>
  <w:style w:type="character" w:customStyle="1" w:styleId="BodyTextIndentChar">
    <w:name w:val="Body Text Indent Char"/>
    <w:basedOn w:val="DefaultParagraphFont"/>
    <w:link w:val="BodyTextIndent"/>
    <w:semiHidden/>
    <w:rsid w:val="00DC514D"/>
    <w:rPr>
      <w:rFonts w:ascii="Times New Roman" w:eastAsiaTheme="minorEastAsia" w:hAnsi="Times New Roman" w:cs="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47758">
      <w:bodyDiv w:val="1"/>
      <w:marLeft w:val="0"/>
      <w:marRight w:val="0"/>
      <w:marTop w:val="0"/>
      <w:marBottom w:val="0"/>
      <w:divBdr>
        <w:top w:val="none" w:sz="0" w:space="0" w:color="auto"/>
        <w:left w:val="none" w:sz="0" w:space="0" w:color="auto"/>
        <w:bottom w:val="none" w:sz="0" w:space="0" w:color="auto"/>
        <w:right w:val="none" w:sz="0" w:space="0" w:color="auto"/>
      </w:divBdr>
    </w:div>
    <w:div w:id="364722381">
      <w:bodyDiv w:val="1"/>
      <w:marLeft w:val="0"/>
      <w:marRight w:val="0"/>
      <w:marTop w:val="0"/>
      <w:marBottom w:val="0"/>
      <w:divBdr>
        <w:top w:val="none" w:sz="0" w:space="0" w:color="auto"/>
        <w:left w:val="none" w:sz="0" w:space="0" w:color="auto"/>
        <w:bottom w:val="none" w:sz="0" w:space="0" w:color="auto"/>
        <w:right w:val="none" w:sz="0" w:space="0" w:color="auto"/>
      </w:divBdr>
    </w:div>
    <w:div w:id="666829014">
      <w:bodyDiv w:val="1"/>
      <w:marLeft w:val="0"/>
      <w:marRight w:val="0"/>
      <w:marTop w:val="0"/>
      <w:marBottom w:val="0"/>
      <w:divBdr>
        <w:top w:val="none" w:sz="0" w:space="0" w:color="auto"/>
        <w:left w:val="none" w:sz="0" w:space="0" w:color="auto"/>
        <w:bottom w:val="none" w:sz="0" w:space="0" w:color="auto"/>
        <w:right w:val="none" w:sz="0" w:space="0" w:color="auto"/>
      </w:divBdr>
      <w:divsChild>
        <w:div w:id="545528184">
          <w:marLeft w:val="1166"/>
          <w:marRight w:val="0"/>
          <w:marTop w:val="86"/>
          <w:marBottom w:val="0"/>
          <w:divBdr>
            <w:top w:val="none" w:sz="0" w:space="0" w:color="auto"/>
            <w:left w:val="none" w:sz="0" w:space="0" w:color="auto"/>
            <w:bottom w:val="none" w:sz="0" w:space="0" w:color="auto"/>
            <w:right w:val="none" w:sz="0" w:space="0" w:color="auto"/>
          </w:divBdr>
        </w:div>
      </w:divsChild>
    </w:div>
    <w:div w:id="1225797953">
      <w:bodyDiv w:val="1"/>
      <w:marLeft w:val="0"/>
      <w:marRight w:val="0"/>
      <w:marTop w:val="0"/>
      <w:marBottom w:val="0"/>
      <w:divBdr>
        <w:top w:val="none" w:sz="0" w:space="0" w:color="auto"/>
        <w:left w:val="none" w:sz="0" w:space="0" w:color="auto"/>
        <w:bottom w:val="none" w:sz="0" w:space="0" w:color="auto"/>
        <w:right w:val="none" w:sz="0" w:space="0" w:color="auto"/>
      </w:divBdr>
    </w:div>
    <w:div w:id="129984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6318D-5C07-42C5-8669-63D6B260E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2792</Words>
  <Characters>15920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Etab Altaki</dc:creator>
  <cp:keywords/>
  <dc:description/>
  <cp:lastModifiedBy>Etab Altaki</cp:lastModifiedBy>
  <cp:revision>8</cp:revision>
  <dcterms:created xsi:type="dcterms:W3CDTF">2017-10-03T11:17:00Z</dcterms:created>
  <dcterms:modified xsi:type="dcterms:W3CDTF">2017-10-05T09:56:00Z</dcterms:modified>
</cp:coreProperties>
</file>